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A5" w:rsidRDefault="000B0AA5" w:rsidP="0098509C">
      <w:pPr>
        <w:tabs>
          <w:tab w:val="center" w:pos="4320"/>
          <w:tab w:val="right" w:pos="9360"/>
        </w:tabs>
        <w:jc w:val="right"/>
        <w:rPr>
          <w:szCs w:val="26"/>
        </w:rPr>
      </w:pPr>
      <w:bookmarkStart w:id="0" w:name="_GoBack"/>
      <w:bookmarkEnd w:id="0"/>
      <w:r>
        <w:t>COM/</w:t>
      </w:r>
      <w:r w:rsidR="0022563B">
        <w:t>MP6</w:t>
      </w:r>
      <w:r w:rsidR="001A33B3">
        <w:t>/</w:t>
      </w:r>
      <w:r w:rsidR="00651FBC">
        <w:t>ek4</w:t>
      </w:r>
      <w:r w:rsidR="00CA0F9D">
        <w:tab/>
      </w:r>
      <w:r w:rsidR="00705B49" w:rsidRPr="00152FA8">
        <w:rPr>
          <w:b/>
          <w:sz w:val="32"/>
          <w:szCs w:val="32"/>
        </w:rPr>
        <w:t>PROPOSED DECISION</w:t>
      </w:r>
      <w:r w:rsidR="00152FA8">
        <w:rPr>
          <w:b/>
        </w:rPr>
        <w:t xml:space="preserve"> </w:t>
      </w:r>
      <w:r w:rsidR="00152FA8">
        <w:rPr>
          <w:b/>
        </w:rPr>
        <w:tab/>
        <w:t>Agenda ID#</w:t>
      </w:r>
      <w:r w:rsidR="007B5CDD">
        <w:rPr>
          <w:b/>
        </w:rPr>
        <w:t>16371 (Rev. 1)</w:t>
      </w:r>
    </w:p>
    <w:p w:rsidR="000B0AA5" w:rsidRDefault="00152FA8" w:rsidP="00152FA8">
      <w:pPr>
        <w:tabs>
          <w:tab w:val="center" w:pos="4680"/>
          <w:tab w:val="right" w:pos="9360"/>
        </w:tabs>
      </w:pPr>
      <w:r>
        <w:tab/>
      </w:r>
      <w:r>
        <w:tab/>
        <w:t>Quasi-Legislative</w:t>
      </w:r>
    </w:p>
    <w:p w:rsidR="0098509C" w:rsidRDefault="0098509C" w:rsidP="0098509C">
      <w:pPr>
        <w:tabs>
          <w:tab w:val="center" w:pos="4680"/>
          <w:tab w:val="right" w:pos="9360"/>
        </w:tabs>
        <w:jc w:val="right"/>
      </w:pPr>
      <w:r>
        <w:t>4/24/2018  Item 22</w:t>
      </w:r>
    </w:p>
    <w:p w:rsidR="00E30E20" w:rsidRDefault="00E30E20" w:rsidP="00F715F5">
      <w:pPr>
        <w:suppressAutoHyphens/>
        <w:jc w:val="both"/>
      </w:pPr>
    </w:p>
    <w:p w:rsidR="001A33B3" w:rsidRPr="00B12C19" w:rsidRDefault="008E443F" w:rsidP="00E30E20">
      <w:pPr>
        <w:pStyle w:val="standard"/>
        <w:spacing w:line="240" w:lineRule="auto"/>
        <w:ind w:left="1080" w:hanging="1080"/>
      </w:pPr>
      <w:r>
        <w:t xml:space="preserve">Decision </w:t>
      </w:r>
      <w:r w:rsidR="00651FBC" w:rsidRPr="00651FBC">
        <w:rPr>
          <w:b/>
          <w:u w:val="single"/>
        </w:rPr>
        <w:t xml:space="preserve">PROPOSED DECISION OF </w:t>
      </w:r>
      <w:r w:rsidR="00651FBC">
        <w:rPr>
          <w:b/>
          <w:u w:val="single"/>
        </w:rPr>
        <w:t>COMMISSIONER PICKER</w:t>
      </w:r>
      <w:r w:rsidR="00651FBC">
        <w:rPr>
          <w:b/>
        </w:rPr>
        <w:t xml:space="preserve"> </w:t>
      </w:r>
      <w:r w:rsidR="00651FBC">
        <w:rPr>
          <w:b/>
        </w:rPr>
        <w:br/>
      </w:r>
      <w:r w:rsidR="00651FBC">
        <w:t>(Mailed 3/20/2017)</w:t>
      </w:r>
    </w:p>
    <w:p w:rsidR="00B12C19" w:rsidRPr="00E30E20" w:rsidRDefault="00B12C19" w:rsidP="00E30E20">
      <w:pPr>
        <w:pStyle w:val="standard"/>
        <w:spacing w:line="240" w:lineRule="auto"/>
        <w:ind w:left="1080" w:hanging="1080"/>
      </w:pPr>
    </w:p>
    <w:p w:rsidR="00354E46" w:rsidRDefault="00354E46" w:rsidP="00354E46">
      <w:pPr>
        <w:jc w:val="center"/>
        <w:rPr>
          <w:rFonts w:ascii="Helvetica" w:hAnsi="Helvetica"/>
          <w:b/>
          <w:bCs/>
          <w:sz w:val="24"/>
        </w:rPr>
      </w:pPr>
      <w:r>
        <w:rPr>
          <w:rFonts w:ascii="Helvetica" w:hAnsi="Helvetica"/>
          <w:b/>
          <w:bCs/>
          <w:sz w:val="24"/>
        </w:rPr>
        <w:t>BEFORE THE PUBLIC UTILITIES COMMISSION OF THE STATE OF CALIFORNIA</w:t>
      </w:r>
    </w:p>
    <w:tbl>
      <w:tblPr>
        <w:tblW w:w="0" w:type="auto"/>
        <w:tblLayout w:type="fixed"/>
        <w:tblLook w:val="0000" w:firstRow="0" w:lastRow="0" w:firstColumn="0" w:lastColumn="0" w:noHBand="0" w:noVBand="0"/>
      </w:tblPr>
      <w:tblGrid>
        <w:gridCol w:w="4968"/>
        <w:gridCol w:w="4590"/>
      </w:tblGrid>
      <w:tr w:rsidR="00354E46" w:rsidTr="0069484C">
        <w:trPr>
          <w:cantSplit/>
          <w:trHeight w:val="1728"/>
        </w:trPr>
        <w:tc>
          <w:tcPr>
            <w:tcW w:w="4968" w:type="dxa"/>
            <w:tcBorders>
              <w:bottom w:val="single" w:sz="6" w:space="0" w:color="auto"/>
              <w:right w:val="single" w:sz="6" w:space="0" w:color="auto"/>
            </w:tcBorders>
            <w:vAlign w:val="center"/>
          </w:tcPr>
          <w:p w:rsidR="00354E46" w:rsidRDefault="00354E46" w:rsidP="0069484C">
            <w:pPr>
              <w:spacing w:after="120"/>
            </w:pPr>
            <w:r>
              <w:t>O</w:t>
            </w:r>
            <w:r w:rsidRPr="00B32497">
              <w:t>rder Instituting Investigation into the Creation of a Shared Database or Statewide Census of Utility Poles and Conduit in California.</w:t>
            </w:r>
          </w:p>
        </w:tc>
        <w:tc>
          <w:tcPr>
            <w:tcW w:w="4590" w:type="dxa"/>
            <w:tcBorders>
              <w:left w:val="nil"/>
            </w:tcBorders>
            <w:vAlign w:val="center"/>
          </w:tcPr>
          <w:p w:rsidR="00354E46" w:rsidRDefault="00354E46" w:rsidP="0069484C">
            <w:pPr>
              <w:jc w:val="center"/>
            </w:pPr>
            <w:r>
              <w:t xml:space="preserve">Investigation 17-06-027 </w:t>
            </w:r>
          </w:p>
        </w:tc>
      </w:tr>
      <w:tr w:rsidR="00354E46" w:rsidTr="0069484C">
        <w:trPr>
          <w:cantSplit/>
          <w:trHeight w:val="1206"/>
        </w:trPr>
        <w:tc>
          <w:tcPr>
            <w:tcW w:w="4968" w:type="dxa"/>
            <w:tcBorders>
              <w:top w:val="single" w:sz="6" w:space="0" w:color="auto"/>
              <w:bottom w:val="single" w:sz="6" w:space="0" w:color="auto"/>
              <w:right w:val="single" w:sz="6" w:space="0" w:color="auto"/>
            </w:tcBorders>
            <w:vAlign w:val="center"/>
          </w:tcPr>
          <w:p w:rsidR="00354E46" w:rsidRDefault="00354E46" w:rsidP="0069484C">
            <w:pPr>
              <w:spacing w:after="120"/>
            </w:pPr>
            <w:r>
              <w:t>And Related Matters.</w:t>
            </w:r>
          </w:p>
        </w:tc>
        <w:tc>
          <w:tcPr>
            <w:tcW w:w="4590" w:type="dxa"/>
            <w:tcBorders>
              <w:left w:val="nil"/>
            </w:tcBorders>
            <w:vAlign w:val="center"/>
          </w:tcPr>
          <w:p w:rsidR="00354E46" w:rsidRDefault="00354E46" w:rsidP="0069484C">
            <w:pPr>
              <w:spacing w:after="60"/>
              <w:jc w:val="center"/>
            </w:pPr>
            <w:r>
              <w:t>Rulemaking 17-06-028</w:t>
            </w:r>
          </w:p>
          <w:p w:rsidR="00354E46" w:rsidRDefault="00354E46" w:rsidP="0069484C">
            <w:pPr>
              <w:jc w:val="center"/>
            </w:pPr>
            <w:r>
              <w:t>Rulemaking 17-03-009</w:t>
            </w:r>
          </w:p>
          <w:p w:rsidR="00354E46" w:rsidRDefault="00354E46" w:rsidP="0069484C">
            <w:pPr>
              <w:jc w:val="center"/>
            </w:pPr>
          </w:p>
        </w:tc>
      </w:tr>
    </w:tbl>
    <w:p w:rsidR="00354E46" w:rsidRDefault="00354E46" w:rsidP="00354E46">
      <w:pPr>
        <w:suppressAutoHyphens/>
        <w:jc w:val="both"/>
      </w:pPr>
    </w:p>
    <w:p w:rsidR="000B0AA5" w:rsidRDefault="000B0AA5">
      <w:pPr>
        <w:jc w:val="both"/>
      </w:pPr>
    </w:p>
    <w:p w:rsidR="000B0AA5" w:rsidRDefault="000B0AA5" w:rsidP="007F2EFF">
      <w:pPr>
        <w:pStyle w:val="main"/>
        <w:tabs>
          <w:tab w:val="right" w:pos="9360"/>
        </w:tabs>
      </w:pPr>
    </w:p>
    <w:p w:rsidR="000B0AA5" w:rsidRDefault="00651FBC" w:rsidP="00076B4A">
      <w:pPr>
        <w:pStyle w:val="main"/>
        <w:tabs>
          <w:tab w:val="right" w:pos="9360"/>
        </w:tabs>
      </w:pPr>
      <w:bookmarkStart w:id="1" w:name="_Toc512317957"/>
      <w:bookmarkStart w:id="2" w:name="_Toc424321882"/>
      <w:r>
        <w:t xml:space="preserve">DECISION AMENDING THE RIGHT-OF-WAY RULES TO APPLY TO WIRELESS </w:t>
      </w:r>
      <w:r w:rsidRPr="007F2EFF">
        <w:t xml:space="preserve">TELECOMMUNICATIONS </w:t>
      </w:r>
      <w:r>
        <w:t>FACILITIES INSTALLED BY COMPETITIVE LOCAL EXCHANGE CARRIERS</w:t>
      </w:r>
      <w:bookmarkEnd w:id="1"/>
      <w:r>
        <w:t xml:space="preserve"> </w:t>
      </w:r>
      <w:bookmarkEnd w:id="2"/>
    </w:p>
    <w:p w:rsidR="000B0AA5" w:rsidRDefault="000B0AA5">
      <w:pPr>
        <w:pStyle w:val="standard"/>
      </w:pPr>
    </w:p>
    <w:p w:rsidR="000B0AA5" w:rsidRPr="009A4E87" w:rsidRDefault="000B0AA5" w:rsidP="009A4E87">
      <w:pPr>
        <w:pStyle w:val="standard"/>
      </w:pPr>
    </w:p>
    <w:p w:rsidR="000B0AA5" w:rsidRDefault="000B0AA5">
      <w:pPr>
        <w:pStyle w:val="standard"/>
        <w:spacing w:line="240" w:lineRule="auto"/>
        <w:sectPr w:rsidR="000B0AA5" w:rsidSect="008A0045">
          <w:headerReference w:type="first" r:id="rId9"/>
          <w:footerReference w:type="first" r:id="rId10"/>
          <w:pgSz w:w="12240" w:h="15840" w:code="1"/>
          <w:pgMar w:top="1152" w:right="1440" w:bottom="1440" w:left="1440" w:header="720" w:footer="720" w:gutter="0"/>
          <w:pgNumType w:start="1"/>
          <w:cols w:space="720"/>
          <w:titlePg/>
        </w:sectPr>
      </w:pPr>
    </w:p>
    <w:p w:rsidR="000B0AA5" w:rsidRPr="001E3AF9" w:rsidRDefault="000B0AA5" w:rsidP="00FE5D52">
      <w:pPr>
        <w:pStyle w:val="TOC1"/>
        <w:keepNext w:val="0"/>
        <w:widowControl w:val="0"/>
        <w:tabs>
          <w:tab w:val="clear" w:pos="520"/>
        </w:tabs>
        <w:spacing w:before="0" w:after="0" w:line="360" w:lineRule="auto"/>
        <w:ind w:right="0"/>
        <w:jc w:val="center"/>
        <w:rPr>
          <w:b/>
        </w:rPr>
      </w:pPr>
      <w:r w:rsidRPr="001E3AF9">
        <w:rPr>
          <w:b/>
        </w:rPr>
        <w:lastRenderedPageBreak/>
        <w:t>TABLE OF CONTENTS</w:t>
      </w:r>
    </w:p>
    <w:p w:rsidR="000B0AA5" w:rsidRDefault="000B0AA5" w:rsidP="006606A3">
      <w:pPr>
        <w:tabs>
          <w:tab w:val="center" w:pos="4680"/>
          <w:tab w:val="right" w:pos="9360"/>
        </w:tabs>
        <w:spacing w:after="180"/>
      </w:pPr>
      <w:r w:rsidRPr="00557C97">
        <w:rPr>
          <w:rStyle w:val="standardChar"/>
          <w:b/>
          <w:u w:val="single"/>
        </w:rPr>
        <w:t>Title</w:t>
      </w:r>
      <w:r>
        <w:t xml:space="preserve"> </w:t>
      </w:r>
      <w:r>
        <w:tab/>
      </w:r>
      <w:r>
        <w:tab/>
      </w:r>
      <w:r w:rsidRPr="00557C97">
        <w:rPr>
          <w:rStyle w:val="standardChar"/>
          <w:b/>
          <w:u w:val="single"/>
        </w:rPr>
        <w:t>Page</w:t>
      </w:r>
    </w:p>
    <w:p w:rsidR="00E704ED" w:rsidRDefault="0079108A">
      <w:pPr>
        <w:pStyle w:val="TOC1"/>
        <w:rPr>
          <w:rFonts w:asciiTheme="minorHAnsi" w:eastAsiaTheme="minorEastAsia" w:hAnsiTheme="minorHAnsi" w:cstheme="minorBidi"/>
          <w:sz w:val="22"/>
          <w:szCs w:val="22"/>
        </w:rPr>
      </w:pPr>
      <w:r>
        <w:fldChar w:fldCharType="begin"/>
      </w:r>
      <w:r>
        <w:instrText xml:space="preserve"> TOC \o "1-1" \t "Heading 2,2,Heading 3,3,Heading 4,4,Heading 5,5,Heading 8,8,Heading 9,1,main,1,mainex,1,Header,1,dummy,1,Appendix Page Headers,2,List Paragraph,1,Level 2,2,Level 3,3,Subtitle,2" </w:instrText>
      </w:r>
      <w:r>
        <w:fldChar w:fldCharType="separate"/>
      </w:r>
      <w:r w:rsidR="00E704ED">
        <w:t>DECISION AMENDING THE RIGHT-OF-WAY RULES TO APPLY TO WIRELESS TELECOMMUNICATIONS FACILITIES INSTALLED BY COMPETITIVE LOCAL EXCHANGE CARRIERS</w:t>
      </w:r>
      <w:r w:rsidR="00E704ED">
        <w:tab/>
      </w:r>
      <w:r w:rsidR="00E704ED">
        <w:fldChar w:fldCharType="begin"/>
      </w:r>
      <w:r w:rsidR="00E704ED">
        <w:instrText xml:space="preserve"> PAGEREF _Toc512317957 \h </w:instrText>
      </w:r>
      <w:r w:rsidR="00E704ED">
        <w:fldChar w:fldCharType="separate"/>
      </w:r>
      <w:r w:rsidR="00722F2E">
        <w:t>1</w:t>
      </w:r>
      <w:r w:rsidR="00E704ED">
        <w:fldChar w:fldCharType="end"/>
      </w:r>
    </w:p>
    <w:p w:rsidR="00E704ED" w:rsidRDefault="00E704ED">
      <w:pPr>
        <w:pStyle w:val="TOC1"/>
        <w:rPr>
          <w:rFonts w:asciiTheme="minorHAnsi" w:eastAsiaTheme="minorEastAsia" w:hAnsiTheme="minorHAnsi" w:cstheme="minorBidi"/>
          <w:sz w:val="22"/>
          <w:szCs w:val="22"/>
        </w:rPr>
      </w:pPr>
      <w:r>
        <w:t>Summary</w:t>
      </w:r>
      <w:r>
        <w:tab/>
      </w:r>
      <w:r>
        <w:fldChar w:fldCharType="begin"/>
      </w:r>
      <w:r>
        <w:instrText xml:space="preserve"> PAGEREF _Toc512317958 \h </w:instrText>
      </w:r>
      <w:r>
        <w:fldChar w:fldCharType="separate"/>
      </w:r>
      <w:r w:rsidR="00722F2E">
        <w:t>2</w:t>
      </w:r>
      <w:r>
        <w:fldChar w:fldCharType="end"/>
      </w:r>
    </w:p>
    <w:p w:rsidR="00E704ED" w:rsidRDefault="00E704ED">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Background</w:t>
      </w:r>
      <w:r>
        <w:tab/>
      </w:r>
      <w:r>
        <w:fldChar w:fldCharType="begin"/>
      </w:r>
      <w:r>
        <w:instrText xml:space="preserve"> PAGEREF _Toc512317959 \h </w:instrText>
      </w:r>
      <w:r>
        <w:fldChar w:fldCharType="separate"/>
      </w:r>
      <w:r w:rsidR="00722F2E">
        <w:t>2</w:t>
      </w:r>
      <w:r>
        <w:fldChar w:fldCharType="end"/>
      </w:r>
    </w:p>
    <w:p w:rsidR="00E704ED" w:rsidRDefault="00E704ED">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Federal Laws and Regulations</w:t>
      </w:r>
      <w:r>
        <w:tab/>
      </w:r>
      <w:r>
        <w:fldChar w:fldCharType="begin"/>
      </w:r>
      <w:r>
        <w:instrText xml:space="preserve"> PAGEREF _Toc512317960 \h </w:instrText>
      </w:r>
      <w:r>
        <w:fldChar w:fldCharType="separate"/>
      </w:r>
      <w:r w:rsidR="00722F2E">
        <w:t>2</w:t>
      </w:r>
      <w:r>
        <w:fldChar w:fldCharType="end"/>
      </w:r>
    </w:p>
    <w:p w:rsidR="00E704ED" w:rsidRDefault="00E704ED">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The Commission’s Right-of-Way Rules</w:t>
      </w:r>
      <w:r>
        <w:tab/>
      </w:r>
      <w:r>
        <w:fldChar w:fldCharType="begin"/>
      </w:r>
      <w:r>
        <w:instrText xml:space="preserve"> PAGEREF _Toc512317961 \h </w:instrText>
      </w:r>
      <w:r>
        <w:fldChar w:fldCharType="separate"/>
      </w:r>
      <w:r w:rsidR="00722F2E">
        <w:t>4</w:t>
      </w:r>
      <w:r>
        <w:fldChar w:fldCharType="end"/>
      </w:r>
    </w:p>
    <w:p w:rsidR="00E704ED" w:rsidRDefault="00E704ED">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Rulemaking 17-03-009</w:t>
      </w:r>
      <w:r>
        <w:tab/>
      </w:r>
      <w:r>
        <w:fldChar w:fldCharType="begin"/>
      </w:r>
      <w:r>
        <w:instrText xml:space="preserve"> PAGEREF _Toc512317962 \h </w:instrText>
      </w:r>
      <w:r>
        <w:fldChar w:fldCharType="separate"/>
      </w:r>
      <w:r w:rsidR="00722F2E">
        <w:t>6</w:t>
      </w:r>
      <w:r>
        <w:fldChar w:fldCharType="end"/>
      </w:r>
    </w:p>
    <w:p w:rsidR="00E704ED" w:rsidRDefault="00E704ED">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Procedural Background</w:t>
      </w:r>
      <w:r>
        <w:tab/>
      </w:r>
      <w:r>
        <w:fldChar w:fldCharType="begin"/>
      </w:r>
      <w:r>
        <w:instrText xml:space="preserve"> PAGEREF _Toc512317963 \h </w:instrText>
      </w:r>
      <w:r>
        <w:fldChar w:fldCharType="separate"/>
      </w:r>
      <w:r w:rsidR="00722F2E">
        <w:t>7</w:t>
      </w:r>
      <w:r>
        <w:fldChar w:fldCharType="end"/>
      </w:r>
    </w:p>
    <w:p w:rsidR="00E704ED" w:rsidRDefault="00E704ED">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Issues</w:t>
      </w:r>
      <w:r>
        <w:tab/>
      </w:r>
      <w:r>
        <w:fldChar w:fldCharType="begin"/>
      </w:r>
      <w:r>
        <w:instrText xml:space="preserve"> PAGEREF _Toc512317964 \h </w:instrText>
      </w:r>
      <w:r>
        <w:fldChar w:fldCharType="separate"/>
      </w:r>
      <w:r w:rsidR="00722F2E">
        <w:t>9</w:t>
      </w:r>
      <w:r>
        <w:fldChar w:fldCharType="end"/>
      </w:r>
    </w:p>
    <w:p w:rsidR="00E704ED" w:rsidRDefault="00E704ED">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Amending the ROW Rules to Encompass All  CLEC Wireless Telecommunications Facilities</w:t>
      </w:r>
      <w:r>
        <w:tab/>
      </w:r>
      <w:r>
        <w:fldChar w:fldCharType="begin"/>
      </w:r>
      <w:r>
        <w:instrText xml:space="preserve"> PAGEREF _Toc512317965 \h </w:instrText>
      </w:r>
      <w:r>
        <w:fldChar w:fldCharType="separate"/>
      </w:r>
      <w:r w:rsidR="00722F2E">
        <w:t>9</w:t>
      </w:r>
      <w:r>
        <w:fldChar w:fldCharType="end"/>
      </w:r>
    </w:p>
    <w:p w:rsidR="00E704ED" w:rsidRDefault="00E704ED">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Background</w:t>
      </w:r>
      <w:r>
        <w:tab/>
      </w:r>
      <w:r>
        <w:fldChar w:fldCharType="begin"/>
      </w:r>
      <w:r>
        <w:instrText xml:space="preserve"> PAGEREF _Toc512317966 \h </w:instrText>
      </w:r>
      <w:r>
        <w:fldChar w:fldCharType="separate"/>
      </w:r>
      <w:r w:rsidR="00722F2E">
        <w:t>9</w:t>
      </w:r>
      <w:r>
        <w:fldChar w:fldCharType="end"/>
      </w:r>
    </w:p>
    <w:p w:rsidR="00E704ED" w:rsidRDefault="00E704ED">
      <w:pPr>
        <w:pStyle w:val="TOC3"/>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Positions of the Parties</w:t>
      </w:r>
      <w:r>
        <w:tab/>
      </w:r>
      <w:r>
        <w:fldChar w:fldCharType="begin"/>
      </w:r>
      <w:r>
        <w:instrText xml:space="preserve"> PAGEREF _Toc512317967 \h </w:instrText>
      </w:r>
      <w:r>
        <w:fldChar w:fldCharType="separate"/>
      </w:r>
      <w:r w:rsidR="00722F2E">
        <w:t>9</w:t>
      </w:r>
      <w:r>
        <w:fldChar w:fldCharType="end"/>
      </w:r>
    </w:p>
    <w:p w:rsidR="00E704ED" w:rsidRDefault="00E704ED">
      <w:pPr>
        <w:pStyle w:val="TOC3"/>
        <w:rPr>
          <w:rFonts w:asciiTheme="minorHAnsi" w:eastAsiaTheme="minorEastAsia" w:hAnsiTheme="minorHAnsi" w:cstheme="minorBidi"/>
          <w:sz w:val="22"/>
          <w:szCs w:val="22"/>
        </w:rPr>
      </w:pPr>
      <w:r>
        <w:t>2.1.3.</w:t>
      </w:r>
      <w:r>
        <w:rPr>
          <w:rFonts w:asciiTheme="minorHAnsi" w:eastAsiaTheme="minorEastAsia" w:hAnsiTheme="minorHAnsi" w:cstheme="minorBidi"/>
          <w:sz w:val="22"/>
          <w:szCs w:val="22"/>
        </w:rPr>
        <w:tab/>
      </w:r>
      <w:r>
        <w:t>Discussion</w:t>
      </w:r>
      <w:r>
        <w:tab/>
      </w:r>
      <w:r>
        <w:fldChar w:fldCharType="begin"/>
      </w:r>
      <w:r>
        <w:instrText xml:space="preserve"> PAGEREF _Toc512317968 \h </w:instrText>
      </w:r>
      <w:r>
        <w:fldChar w:fldCharType="separate"/>
      </w:r>
      <w:r w:rsidR="00722F2E">
        <w:t>9</w:t>
      </w:r>
      <w:r>
        <w:fldChar w:fldCharType="end"/>
      </w:r>
    </w:p>
    <w:p w:rsidR="00E704ED" w:rsidRDefault="00E704ED">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Required Authority</w:t>
      </w:r>
      <w:r>
        <w:tab/>
      </w:r>
      <w:r>
        <w:fldChar w:fldCharType="begin"/>
      </w:r>
      <w:r>
        <w:instrText xml:space="preserve"> PAGEREF _Toc512317969 \h </w:instrText>
      </w:r>
      <w:r>
        <w:fldChar w:fldCharType="separate"/>
      </w:r>
      <w:r w:rsidR="00722F2E">
        <w:t>14</w:t>
      </w:r>
      <w:r>
        <w:fldChar w:fldCharType="end"/>
      </w:r>
    </w:p>
    <w:p w:rsidR="00E704ED" w:rsidRDefault="00E704ED">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Background</w:t>
      </w:r>
      <w:r>
        <w:tab/>
      </w:r>
      <w:r>
        <w:fldChar w:fldCharType="begin"/>
      </w:r>
      <w:r>
        <w:instrText xml:space="preserve"> PAGEREF _Toc512317970 \h </w:instrText>
      </w:r>
      <w:r>
        <w:fldChar w:fldCharType="separate"/>
      </w:r>
      <w:r w:rsidR="00722F2E">
        <w:t>14</w:t>
      </w:r>
      <w:r>
        <w:fldChar w:fldCharType="end"/>
      </w:r>
    </w:p>
    <w:p w:rsidR="00E704ED" w:rsidRDefault="00E704ED">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Positions of the Parties</w:t>
      </w:r>
      <w:r>
        <w:tab/>
      </w:r>
      <w:r>
        <w:fldChar w:fldCharType="begin"/>
      </w:r>
      <w:r>
        <w:instrText xml:space="preserve"> PAGEREF _Toc512317971 \h </w:instrText>
      </w:r>
      <w:r>
        <w:fldChar w:fldCharType="separate"/>
      </w:r>
      <w:r w:rsidR="00722F2E">
        <w:t>15</w:t>
      </w:r>
      <w:r>
        <w:fldChar w:fldCharType="end"/>
      </w:r>
    </w:p>
    <w:p w:rsidR="00E704ED" w:rsidRDefault="00E704ED">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Discussion</w:t>
      </w:r>
      <w:r>
        <w:tab/>
      </w:r>
      <w:r>
        <w:fldChar w:fldCharType="begin"/>
      </w:r>
      <w:r>
        <w:instrText xml:space="preserve"> PAGEREF _Toc512317972 \h </w:instrText>
      </w:r>
      <w:r>
        <w:fldChar w:fldCharType="separate"/>
      </w:r>
      <w:r w:rsidR="00722F2E">
        <w:t>17</w:t>
      </w:r>
      <w:r>
        <w:fldChar w:fldCharType="end"/>
      </w:r>
    </w:p>
    <w:p w:rsidR="00E704ED" w:rsidRDefault="00E704ED">
      <w:pPr>
        <w:pStyle w:val="TOC4"/>
        <w:rPr>
          <w:rFonts w:asciiTheme="minorHAnsi" w:eastAsiaTheme="minorEastAsia" w:hAnsiTheme="minorHAnsi" w:cstheme="minorBidi"/>
          <w:sz w:val="22"/>
          <w:szCs w:val="22"/>
        </w:rPr>
      </w:pPr>
      <w:r>
        <w:t>2.2.3.1</w:t>
      </w:r>
      <w:r>
        <w:rPr>
          <w:rFonts w:asciiTheme="minorHAnsi" w:eastAsiaTheme="minorEastAsia" w:hAnsiTheme="minorHAnsi" w:cstheme="minorBidi"/>
          <w:sz w:val="22"/>
          <w:szCs w:val="22"/>
        </w:rPr>
        <w:tab/>
      </w:r>
      <w:r>
        <w:t>CPCN Requirement</w:t>
      </w:r>
      <w:r>
        <w:tab/>
      </w:r>
      <w:r>
        <w:fldChar w:fldCharType="begin"/>
      </w:r>
      <w:r>
        <w:instrText xml:space="preserve"> PAGEREF _Toc512317973 \h </w:instrText>
      </w:r>
      <w:r>
        <w:fldChar w:fldCharType="separate"/>
      </w:r>
      <w:r w:rsidR="00722F2E">
        <w:t>17</w:t>
      </w:r>
      <w:r>
        <w:fldChar w:fldCharType="end"/>
      </w:r>
    </w:p>
    <w:p w:rsidR="00E704ED" w:rsidRDefault="00E704ED">
      <w:pPr>
        <w:pStyle w:val="TOC4"/>
        <w:rPr>
          <w:rFonts w:asciiTheme="minorHAnsi" w:eastAsiaTheme="minorEastAsia" w:hAnsiTheme="minorHAnsi" w:cstheme="minorBidi"/>
          <w:sz w:val="22"/>
          <w:szCs w:val="22"/>
        </w:rPr>
      </w:pPr>
      <w:r>
        <w:t>2.2.3.2</w:t>
      </w:r>
      <w:r>
        <w:rPr>
          <w:rFonts w:asciiTheme="minorHAnsi" w:eastAsiaTheme="minorEastAsia" w:hAnsiTheme="minorHAnsi" w:cstheme="minorBidi"/>
          <w:sz w:val="22"/>
          <w:szCs w:val="22"/>
        </w:rPr>
        <w:tab/>
      </w:r>
      <w:r>
        <w:t>WIR Requirement</w:t>
      </w:r>
      <w:r>
        <w:tab/>
      </w:r>
      <w:r>
        <w:fldChar w:fldCharType="begin"/>
      </w:r>
      <w:r>
        <w:instrText xml:space="preserve"> PAGEREF _Toc512317974 \h </w:instrText>
      </w:r>
      <w:r>
        <w:fldChar w:fldCharType="separate"/>
      </w:r>
      <w:r w:rsidR="00722F2E">
        <w:t>19</w:t>
      </w:r>
      <w:r>
        <w:fldChar w:fldCharType="end"/>
      </w:r>
    </w:p>
    <w:p w:rsidR="00E704ED" w:rsidRDefault="00E704ED">
      <w:pPr>
        <w:pStyle w:val="TOC4"/>
        <w:rPr>
          <w:rFonts w:asciiTheme="minorHAnsi" w:eastAsiaTheme="minorEastAsia" w:hAnsiTheme="minorHAnsi" w:cstheme="minorBidi"/>
          <w:sz w:val="22"/>
          <w:szCs w:val="22"/>
        </w:rPr>
      </w:pPr>
      <w:r>
        <w:t>2.2.3.3</w:t>
      </w:r>
      <w:r>
        <w:rPr>
          <w:rFonts w:asciiTheme="minorHAnsi" w:eastAsiaTheme="minorEastAsia" w:hAnsiTheme="minorHAnsi" w:cstheme="minorBidi"/>
          <w:sz w:val="22"/>
          <w:szCs w:val="22"/>
        </w:rPr>
        <w:tab/>
      </w:r>
      <w:r>
        <w:t>CEQA Requirement</w:t>
      </w:r>
      <w:r>
        <w:tab/>
      </w:r>
      <w:r>
        <w:fldChar w:fldCharType="begin"/>
      </w:r>
      <w:r>
        <w:instrText xml:space="preserve"> PAGEREF _Toc512317975 \h </w:instrText>
      </w:r>
      <w:r>
        <w:fldChar w:fldCharType="separate"/>
      </w:r>
      <w:r w:rsidR="00722F2E">
        <w:t>20</w:t>
      </w:r>
      <w:r>
        <w:fldChar w:fldCharType="end"/>
      </w:r>
    </w:p>
    <w:p w:rsidR="00E704ED" w:rsidRDefault="00E704ED">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Fees and Charges</w:t>
      </w:r>
      <w:r>
        <w:tab/>
      </w:r>
      <w:r>
        <w:fldChar w:fldCharType="begin"/>
      </w:r>
      <w:r>
        <w:instrText xml:space="preserve"> PAGEREF _Toc512317976 \h </w:instrText>
      </w:r>
      <w:r>
        <w:fldChar w:fldCharType="separate"/>
      </w:r>
      <w:r w:rsidR="00722F2E">
        <w:t>20</w:t>
      </w:r>
      <w:r>
        <w:fldChar w:fldCharType="end"/>
      </w:r>
    </w:p>
    <w:p w:rsidR="00E704ED" w:rsidRDefault="00E704ED">
      <w:pPr>
        <w:pStyle w:val="TOC3"/>
        <w:rPr>
          <w:rFonts w:asciiTheme="minorHAnsi" w:eastAsiaTheme="minorEastAsia" w:hAnsiTheme="minorHAnsi" w:cstheme="minorBidi"/>
          <w:sz w:val="22"/>
          <w:szCs w:val="22"/>
        </w:rPr>
      </w:pPr>
      <w:r>
        <w:t>2.3.1.</w:t>
      </w:r>
      <w:r>
        <w:rPr>
          <w:rFonts w:asciiTheme="minorHAnsi" w:eastAsiaTheme="minorEastAsia" w:hAnsiTheme="minorHAnsi" w:cstheme="minorBidi"/>
          <w:sz w:val="22"/>
          <w:szCs w:val="22"/>
        </w:rPr>
        <w:tab/>
      </w:r>
      <w:r>
        <w:t>Background</w:t>
      </w:r>
      <w:r>
        <w:tab/>
      </w:r>
      <w:r>
        <w:fldChar w:fldCharType="begin"/>
      </w:r>
      <w:r>
        <w:instrText xml:space="preserve"> PAGEREF _Toc512317977 \h </w:instrText>
      </w:r>
      <w:r>
        <w:fldChar w:fldCharType="separate"/>
      </w:r>
      <w:r w:rsidR="00722F2E">
        <w:t>20</w:t>
      </w:r>
      <w:r>
        <w:fldChar w:fldCharType="end"/>
      </w:r>
    </w:p>
    <w:p w:rsidR="00E704ED" w:rsidRDefault="00E704ED">
      <w:pPr>
        <w:pStyle w:val="TOC3"/>
        <w:rPr>
          <w:rFonts w:asciiTheme="minorHAnsi" w:eastAsiaTheme="minorEastAsia" w:hAnsiTheme="minorHAnsi" w:cstheme="minorBidi"/>
          <w:sz w:val="22"/>
          <w:szCs w:val="22"/>
        </w:rPr>
      </w:pPr>
      <w:r>
        <w:t>2.3.2.</w:t>
      </w:r>
      <w:r>
        <w:rPr>
          <w:rFonts w:asciiTheme="minorHAnsi" w:eastAsiaTheme="minorEastAsia" w:hAnsiTheme="minorHAnsi" w:cstheme="minorBidi"/>
          <w:sz w:val="22"/>
          <w:szCs w:val="22"/>
        </w:rPr>
        <w:tab/>
      </w:r>
      <w:r>
        <w:t>Positions of the Parties</w:t>
      </w:r>
      <w:r>
        <w:tab/>
      </w:r>
      <w:r>
        <w:fldChar w:fldCharType="begin"/>
      </w:r>
      <w:r>
        <w:instrText xml:space="preserve"> PAGEREF _Toc512317978 \h </w:instrText>
      </w:r>
      <w:r>
        <w:fldChar w:fldCharType="separate"/>
      </w:r>
      <w:r w:rsidR="00722F2E">
        <w:t>23</w:t>
      </w:r>
      <w:r>
        <w:fldChar w:fldCharType="end"/>
      </w:r>
    </w:p>
    <w:p w:rsidR="00E704ED" w:rsidRDefault="00E704ED">
      <w:pPr>
        <w:pStyle w:val="TOC3"/>
        <w:rPr>
          <w:rFonts w:asciiTheme="minorHAnsi" w:eastAsiaTheme="minorEastAsia" w:hAnsiTheme="minorHAnsi" w:cstheme="minorBidi"/>
          <w:sz w:val="22"/>
          <w:szCs w:val="22"/>
        </w:rPr>
      </w:pPr>
      <w:r>
        <w:t>2.3.3.</w:t>
      </w:r>
      <w:r>
        <w:rPr>
          <w:rFonts w:asciiTheme="minorHAnsi" w:eastAsiaTheme="minorEastAsia" w:hAnsiTheme="minorHAnsi" w:cstheme="minorBidi"/>
          <w:sz w:val="22"/>
          <w:szCs w:val="22"/>
        </w:rPr>
        <w:tab/>
      </w:r>
      <w:r>
        <w:t>Discussion</w:t>
      </w:r>
      <w:r>
        <w:tab/>
      </w:r>
      <w:r>
        <w:fldChar w:fldCharType="begin"/>
      </w:r>
      <w:r>
        <w:instrText xml:space="preserve"> PAGEREF _Toc512317979 \h </w:instrText>
      </w:r>
      <w:r>
        <w:fldChar w:fldCharType="separate"/>
      </w:r>
      <w:r w:rsidR="00722F2E">
        <w:t>23</w:t>
      </w:r>
      <w:r>
        <w:fldChar w:fldCharType="end"/>
      </w:r>
    </w:p>
    <w:p w:rsidR="00E704ED" w:rsidRDefault="00E704ED">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Safety and Reliability</w:t>
      </w:r>
      <w:r>
        <w:tab/>
      </w:r>
      <w:r>
        <w:fldChar w:fldCharType="begin"/>
      </w:r>
      <w:r>
        <w:instrText xml:space="preserve"> PAGEREF _Toc512317980 \h </w:instrText>
      </w:r>
      <w:r>
        <w:fldChar w:fldCharType="separate"/>
      </w:r>
      <w:r w:rsidR="00722F2E">
        <w:t>26</w:t>
      </w:r>
      <w:r>
        <w:fldChar w:fldCharType="end"/>
      </w:r>
    </w:p>
    <w:p w:rsidR="00E704ED" w:rsidRDefault="00E704ED">
      <w:pPr>
        <w:pStyle w:val="TOC3"/>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Background</w:t>
      </w:r>
      <w:r>
        <w:tab/>
      </w:r>
      <w:r>
        <w:fldChar w:fldCharType="begin"/>
      </w:r>
      <w:r>
        <w:instrText xml:space="preserve"> PAGEREF _Toc512317981 \h </w:instrText>
      </w:r>
      <w:r>
        <w:fldChar w:fldCharType="separate"/>
      </w:r>
      <w:r w:rsidR="00722F2E">
        <w:t>26</w:t>
      </w:r>
      <w:r>
        <w:fldChar w:fldCharType="end"/>
      </w:r>
    </w:p>
    <w:p w:rsidR="00E704ED" w:rsidRDefault="00E704ED">
      <w:pPr>
        <w:pStyle w:val="TOC3"/>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Positions of the Parties</w:t>
      </w:r>
      <w:r>
        <w:tab/>
      </w:r>
      <w:r>
        <w:fldChar w:fldCharType="begin"/>
      </w:r>
      <w:r>
        <w:instrText xml:space="preserve"> PAGEREF _Toc512317982 \h </w:instrText>
      </w:r>
      <w:r>
        <w:fldChar w:fldCharType="separate"/>
      </w:r>
      <w:r w:rsidR="00722F2E">
        <w:t>26</w:t>
      </w:r>
      <w:r>
        <w:fldChar w:fldCharType="end"/>
      </w:r>
    </w:p>
    <w:p w:rsidR="00E704ED" w:rsidRDefault="00E704ED">
      <w:pPr>
        <w:pStyle w:val="TOC3"/>
        <w:rPr>
          <w:rFonts w:asciiTheme="minorHAnsi" w:eastAsiaTheme="minorEastAsia" w:hAnsiTheme="minorHAnsi" w:cstheme="minorBidi"/>
          <w:sz w:val="22"/>
          <w:szCs w:val="22"/>
        </w:rPr>
      </w:pPr>
      <w:r>
        <w:t>2.4.3.</w:t>
      </w:r>
      <w:r>
        <w:rPr>
          <w:rFonts w:asciiTheme="minorHAnsi" w:eastAsiaTheme="minorEastAsia" w:hAnsiTheme="minorHAnsi" w:cstheme="minorBidi"/>
          <w:sz w:val="22"/>
          <w:szCs w:val="22"/>
        </w:rPr>
        <w:tab/>
      </w:r>
      <w:r>
        <w:t>Discussion</w:t>
      </w:r>
      <w:r>
        <w:tab/>
      </w:r>
      <w:r>
        <w:fldChar w:fldCharType="begin"/>
      </w:r>
      <w:r>
        <w:instrText xml:space="preserve"> PAGEREF _Toc512317983 \h </w:instrText>
      </w:r>
      <w:r>
        <w:fldChar w:fldCharType="separate"/>
      </w:r>
      <w:r w:rsidR="00722F2E">
        <w:t>27</w:t>
      </w:r>
      <w:r>
        <w:fldChar w:fldCharType="end"/>
      </w:r>
    </w:p>
    <w:p w:rsidR="00E704ED" w:rsidRDefault="00E704ED">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Adopted Amendments to the Text of the ROW</w:t>
      </w:r>
      <w:r w:rsidRPr="00226569">
        <w:rPr>
          <w:rFonts w:cs="Helvetica"/>
        </w:rPr>
        <w:t> </w:t>
      </w:r>
      <w:r>
        <w:t>Rules</w:t>
      </w:r>
      <w:r>
        <w:tab/>
      </w:r>
      <w:r>
        <w:fldChar w:fldCharType="begin"/>
      </w:r>
      <w:r>
        <w:instrText xml:space="preserve"> PAGEREF _Toc512317984 \h </w:instrText>
      </w:r>
      <w:r>
        <w:fldChar w:fldCharType="separate"/>
      </w:r>
      <w:r w:rsidR="00722F2E">
        <w:t>28</w:t>
      </w:r>
      <w:r>
        <w:fldChar w:fldCharType="end"/>
      </w:r>
    </w:p>
    <w:p w:rsidR="00E704ED" w:rsidRDefault="00E704ED">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Regulatory Accounting for Public Utilities</w:t>
      </w:r>
      <w:r>
        <w:tab/>
      </w:r>
      <w:r>
        <w:fldChar w:fldCharType="begin"/>
      </w:r>
      <w:r>
        <w:instrText xml:space="preserve"> PAGEREF _Toc512317985 \h </w:instrText>
      </w:r>
      <w:r>
        <w:fldChar w:fldCharType="separate"/>
      </w:r>
      <w:r w:rsidR="00722F2E">
        <w:t>29</w:t>
      </w:r>
      <w:r>
        <w:fldChar w:fldCharType="end"/>
      </w:r>
    </w:p>
    <w:p w:rsidR="00E704ED" w:rsidRDefault="00E704ED">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Certification of Compliance with 47 U.S.C. §</w:t>
      </w:r>
      <w:r w:rsidRPr="00226569">
        <w:rPr>
          <w:rFonts w:cs="Helvetica"/>
        </w:rPr>
        <w:t> </w:t>
      </w:r>
      <w:r>
        <w:t>224(c)</w:t>
      </w:r>
      <w:r>
        <w:tab/>
      </w:r>
      <w:r>
        <w:fldChar w:fldCharType="begin"/>
      </w:r>
      <w:r>
        <w:instrText xml:space="preserve"> PAGEREF _Toc512317986 \h </w:instrText>
      </w:r>
      <w:r>
        <w:fldChar w:fldCharType="separate"/>
      </w:r>
      <w:r w:rsidR="00722F2E">
        <w:t>30</w:t>
      </w:r>
      <w:r>
        <w:fldChar w:fldCharType="end"/>
      </w:r>
    </w:p>
    <w:p w:rsidR="00E704ED" w:rsidRDefault="00E704ED">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Implementation of the Amended ROW Rules</w:t>
      </w:r>
      <w:r>
        <w:tab/>
      </w:r>
      <w:r>
        <w:fldChar w:fldCharType="begin"/>
      </w:r>
      <w:r>
        <w:instrText xml:space="preserve"> PAGEREF _Toc512317987 \h </w:instrText>
      </w:r>
      <w:r>
        <w:fldChar w:fldCharType="separate"/>
      </w:r>
      <w:r w:rsidR="00722F2E">
        <w:t>30</w:t>
      </w:r>
      <w:r>
        <w:fldChar w:fldCharType="end"/>
      </w:r>
    </w:p>
    <w:p w:rsidR="00E704ED" w:rsidRDefault="00E704ED">
      <w:pPr>
        <w:pStyle w:val="TOC1"/>
        <w:rPr>
          <w:rFonts w:asciiTheme="minorHAnsi" w:eastAsiaTheme="minorEastAsia" w:hAnsiTheme="minorHAnsi" w:cstheme="minorBidi"/>
          <w:sz w:val="22"/>
          <w:szCs w:val="22"/>
        </w:rPr>
      </w:pPr>
      <w:r>
        <w:lastRenderedPageBreak/>
        <w:t>3.</w:t>
      </w:r>
      <w:r>
        <w:rPr>
          <w:rFonts w:asciiTheme="minorHAnsi" w:eastAsiaTheme="minorEastAsia" w:hAnsiTheme="minorHAnsi" w:cstheme="minorBidi"/>
          <w:sz w:val="22"/>
          <w:szCs w:val="22"/>
        </w:rPr>
        <w:tab/>
      </w:r>
      <w:r>
        <w:t>Coordination with I.17-06-027 and R.17-06-028</w:t>
      </w:r>
      <w:r>
        <w:tab/>
      </w:r>
      <w:r>
        <w:fldChar w:fldCharType="begin"/>
      </w:r>
      <w:r>
        <w:instrText xml:space="preserve"> PAGEREF _Toc512317988 \h </w:instrText>
      </w:r>
      <w:r>
        <w:fldChar w:fldCharType="separate"/>
      </w:r>
      <w:r w:rsidR="00722F2E">
        <w:t>30</w:t>
      </w:r>
      <w:r>
        <w:fldChar w:fldCharType="end"/>
      </w:r>
    </w:p>
    <w:p w:rsidR="00E704ED" w:rsidRDefault="00E704ED">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Comments on the Proposed Decision</w:t>
      </w:r>
      <w:r>
        <w:tab/>
      </w:r>
      <w:r>
        <w:fldChar w:fldCharType="begin"/>
      </w:r>
      <w:r>
        <w:instrText xml:space="preserve"> PAGEREF _Toc512317989 \h </w:instrText>
      </w:r>
      <w:r>
        <w:fldChar w:fldCharType="separate"/>
      </w:r>
      <w:r w:rsidR="00722F2E">
        <w:t>31</w:t>
      </w:r>
      <w:r>
        <w:fldChar w:fldCharType="end"/>
      </w:r>
    </w:p>
    <w:p w:rsidR="00E704ED" w:rsidRDefault="00E704ED">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Assignment of the Proceeding</w:t>
      </w:r>
      <w:r>
        <w:tab/>
      </w:r>
      <w:r>
        <w:fldChar w:fldCharType="begin"/>
      </w:r>
      <w:r>
        <w:instrText xml:space="preserve"> PAGEREF _Toc512317991 \h </w:instrText>
      </w:r>
      <w:r>
        <w:fldChar w:fldCharType="separate"/>
      </w:r>
      <w:r w:rsidR="00722F2E">
        <w:t>33</w:t>
      </w:r>
      <w:r>
        <w:fldChar w:fldCharType="end"/>
      </w:r>
    </w:p>
    <w:p w:rsidR="00E704ED" w:rsidRDefault="00E704ED">
      <w:pPr>
        <w:pStyle w:val="TOC1"/>
        <w:rPr>
          <w:rFonts w:asciiTheme="minorHAnsi" w:eastAsiaTheme="minorEastAsia" w:hAnsiTheme="minorHAnsi" w:cstheme="minorBidi"/>
          <w:sz w:val="22"/>
          <w:szCs w:val="22"/>
        </w:rPr>
      </w:pPr>
      <w:r>
        <w:t>Findings of Fact</w:t>
      </w:r>
      <w:r>
        <w:tab/>
      </w:r>
      <w:r>
        <w:fldChar w:fldCharType="begin"/>
      </w:r>
      <w:r>
        <w:instrText xml:space="preserve"> PAGEREF _Toc512317992 \h </w:instrText>
      </w:r>
      <w:r>
        <w:fldChar w:fldCharType="separate"/>
      </w:r>
      <w:r w:rsidR="00722F2E">
        <w:t>33</w:t>
      </w:r>
      <w:r>
        <w:fldChar w:fldCharType="end"/>
      </w:r>
    </w:p>
    <w:p w:rsidR="00E704ED" w:rsidRDefault="00E704ED">
      <w:pPr>
        <w:pStyle w:val="TOC1"/>
        <w:rPr>
          <w:rFonts w:asciiTheme="minorHAnsi" w:eastAsiaTheme="minorEastAsia" w:hAnsiTheme="minorHAnsi" w:cstheme="minorBidi"/>
          <w:sz w:val="22"/>
          <w:szCs w:val="22"/>
        </w:rPr>
      </w:pPr>
      <w:r>
        <w:t>Conclusions of Law</w:t>
      </w:r>
      <w:r>
        <w:tab/>
      </w:r>
      <w:r>
        <w:fldChar w:fldCharType="begin"/>
      </w:r>
      <w:r>
        <w:instrText xml:space="preserve"> PAGEREF _Toc512317993 \h </w:instrText>
      </w:r>
      <w:r>
        <w:fldChar w:fldCharType="separate"/>
      </w:r>
      <w:r w:rsidR="00722F2E">
        <w:t>34</w:t>
      </w:r>
      <w:r>
        <w:fldChar w:fldCharType="end"/>
      </w:r>
    </w:p>
    <w:p w:rsidR="00E704ED" w:rsidRDefault="00E704ED">
      <w:pPr>
        <w:pStyle w:val="TOC1"/>
        <w:rPr>
          <w:rFonts w:asciiTheme="minorHAnsi" w:eastAsiaTheme="minorEastAsia" w:hAnsiTheme="minorHAnsi" w:cstheme="minorBidi"/>
          <w:sz w:val="22"/>
          <w:szCs w:val="22"/>
        </w:rPr>
      </w:pPr>
      <w:r>
        <w:t>ORDER</w:t>
      </w:r>
      <w:r>
        <w:tab/>
      </w:r>
      <w:r>
        <w:fldChar w:fldCharType="begin"/>
      </w:r>
      <w:r>
        <w:instrText xml:space="preserve"> PAGEREF _Toc512317994 \h </w:instrText>
      </w:r>
      <w:r>
        <w:fldChar w:fldCharType="separate"/>
      </w:r>
      <w:r w:rsidR="00722F2E">
        <w:t>37</w:t>
      </w:r>
      <w:r>
        <w:fldChar w:fldCharType="end"/>
      </w:r>
    </w:p>
    <w:p w:rsidR="00E704ED" w:rsidRDefault="00E704ED">
      <w:pPr>
        <w:pStyle w:val="TOC1"/>
        <w:rPr>
          <w:rFonts w:asciiTheme="minorHAnsi" w:eastAsiaTheme="minorEastAsia" w:hAnsiTheme="minorHAnsi" w:cstheme="minorBidi"/>
          <w:sz w:val="22"/>
          <w:szCs w:val="22"/>
        </w:rPr>
      </w:pPr>
      <w:r>
        <w:t>Appendix A: Adopted Amendments to the ROW Rules (redline)</w:t>
      </w:r>
      <w:r>
        <w:tab/>
      </w:r>
      <w:r>
        <w:fldChar w:fldCharType="begin"/>
      </w:r>
      <w:r>
        <w:instrText xml:space="preserve"> PAGEREF _Toc512317995 \h </w:instrText>
      </w:r>
      <w:r>
        <w:fldChar w:fldCharType="separate"/>
      </w:r>
      <w:r w:rsidR="00722F2E">
        <w:t>A-1</w:t>
      </w:r>
      <w:r>
        <w:fldChar w:fldCharType="end"/>
      </w:r>
    </w:p>
    <w:p w:rsidR="00E704ED" w:rsidRDefault="00E704ED">
      <w:pPr>
        <w:pStyle w:val="TOC1"/>
        <w:rPr>
          <w:rFonts w:asciiTheme="minorHAnsi" w:eastAsiaTheme="minorEastAsia" w:hAnsiTheme="minorHAnsi" w:cstheme="minorBidi"/>
          <w:sz w:val="22"/>
          <w:szCs w:val="22"/>
        </w:rPr>
      </w:pPr>
      <w:r>
        <w:t>Appendix B: Adopted Amendments to the ROW Rules (final)</w:t>
      </w:r>
      <w:r>
        <w:tab/>
      </w:r>
      <w:r>
        <w:fldChar w:fldCharType="begin"/>
      </w:r>
      <w:r>
        <w:instrText xml:space="preserve"> PAGEREF _Toc512317996 \h </w:instrText>
      </w:r>
      <w:r>
        <w:fldChar w:fldCharType="separate"/>
      </w:r>
      <w:r w:rsidR="00722F2E">
        <w:t>B-1</w:t>
      </w:r>
      <w:r>
        <w:fldChar w:fldCharType="end"/>
      </w:r>
    </w:p>
    <w:p w:rsidR="000B0AA5" w:rsidRDefault="0079108A" w:rsidP="002E3B0D">
      <w:pPr>
        <w:pStyle w:val="standard"/>
        <w:widowControl w:val="0"/>
        <w:spacing w:line="240" w:lineRule="auto"/>
        <w:ind w:firstLine="0"/>
        <w:sectPr w:rsidR="000B0AA5" w:rsidSect="002710BA">
          <w:headerReference w:type="default" r:id="rId11"/>
          <w:footerReference w:type="default" r:id="rId12"/>
          <w:headerReference w:type="first" r:id="rId13"/>
          <w:footerReference w:type="first" r:id="rId14"/>
          <w:pgSz w:w="12240" w:h="15840" w:code="1"/>
          <w:pgMar w:top="1296" w:right="1440" w:bottom="1296" w:left="1440" w:header="720" w:footer="720" w:gutter="0"/>
          <w:pgNumType w:fmt="lowerRoman" w:start="1"/>
          <w:cols w:space="720"/>
          <w:titlePg/>
          <w:docGrid w:linePitch="354"/>
        </w:sectPr>
      </w:pPr>
      <w:r>
        <w:rPr>
          <w:noProof/>
          <w:szCs w:val="26"/>
        </w:rPr>
        <w:fldChar w:fldCharType="end"/>
      </w:r>
    </w:p>
    <w:p w:rsidR="000B0AA5" w:rsidRDefault="000B0AA5">
      <w:pPr>
        <w:pStyle w:val="standard"/>
        <w:spacing w:before="120" w:line="240" w:lineRule="auto"/>
        <w:ind w:firstLine="0"/>
        <w:sectPr w:rsidR="000B0AA5" w:rsidSect="00CC7D0E">
          <w:headerReference w:type="default" r:id="rId15"/>
          <w:footerReference w:type="first" r:id="rId16"/>
          <w:type w:val="continuous"/>
          <w:pgSz w:w="12240" w:h="15840" w:code="1"/>
          <w:pgMar w:top="1152" w:right="1440" w:bottom="1440" w:left="1440" w:header="720" w:footer="720" w:gutter="0"/>
          <w:pgNumType w:start="2"/>
          <w:cols w:space="720"/>
          <w:titlePg/>
        </w:sectPr>
      </w:pPr>
    </w:p>
    <w:p w:rsidR="00F44782" w:rsidRDefault="00651FBC" w:rsidP="00A7503A">
      <w:pPr>
        <w:pStyle w:val="standard"/>
        <w:spacing w:line="240" w:lineRule="auto"/>
        <w:ind w:firstLine="0"/>
        <w:jc w:val="center"/>
        <w:rPr>
          <w:rFonts w:ascii="Helvetica" w:hAnsi="Helvetica"/>
          <w:b/>
        </w:rPr>
      </w:pPr>
      <w:r w:rsidRPr="008B47F9">
        <w:rPr>
          <w:rFonts w:ascii="Helvetica" w:hAnsi="Helvetica"/>
          <w:b/>
        </w:rPr>
        <w:lastRenderedPageBreak/>
        <w:t>DECISION AMENDING THE RIGHT</w:t>
      </w:r>
      <w:r>
        <w:rPr>
          <w:rFonts w:ascii="Helvetica" w:hAnsi="Helvetica"/>
          <w:b/>
        </w:rPr>
        <w:t>-</w:t>
      </w:r>
      <w:r w:rsidRPr="008B47F9">
        <w:rPr>
          <w:rFonts w:ascii="Helvetica" w:hAnsi="Helvetica"/>
          <w:b/>
        </w:rPr>
        <w:t>OF</w:t>
      </w:r>
      <w:r>
        <w:rPr>
          <w:rFonts w:ascii="Helvetica" w:hAnsi="Helvetica"/>
          <w:b/>
        </w:rPr>
        <w:t>-</w:t>
      </w:r>
      <w:r w:rsidRPr="008B47F9">
        <w:rPr>
          <w:rFonts w:ascii="Helvetica" w:hAnsi="Helvetica"/>
          <w:b/>
        </w:rPr>
        <w:t>WAY RULES TO</w:t>
      </w:r>
      <w:r>
        <w:rPr>
          <w:rFonts w:ascii="Helvetica" w:hAnsi="Helvetica" w:cs="Helvetica"/>
          <w:b/>
        </w:rPr>
        <w:t> </w:t>
      </w:r>
      <w:r w:rsidRPr="008B47F9">
        <w:rPr>
          <w:rFonts w:ascii="Helvetica" w:hAnsi="Helvetica"/>
          <w:b/>
        </w:rPr>
        <w:t>APPLY</w:t>
      </w:r>
      <w:r>
        <w:rPr>
          <w:rFonts w:ascii="Helvetica" w:hAnsi="Helvetica" w:cs="Helvetica"/>
          <w:b/>
        </w:rPr>
        <w:t> </w:t>
      </w:r>
      <w:r w:rsidRPr="008B47F9">
        <w:rPr>
          <w:rFonts w:ascii="Helvetica" w:hAnsi="Helvetica"/>
          <w:b/>
        </w:rPr>
        <w:t>TO</w:t>
      </w:r>
      <w:r>
        <w:rPr>
          <w:rFonts w:ascii="Helvetica" w:hAnsi="Helvetica" w:cs="Helvetica"/>
          <w:b/>
        </w:rPr>
        <w:t> </w:t>
      </w:r>
      <w:r w:rsidRPr="008B47F9">
        <w:rPr>
          <w:rFonts w:ascii="Helvetica" w:hAnsi="Helvetica"/>
          <w:b/>
        </w:rPr>
        <w:t xml:space="preserve">WIRELESS </w:t>
      </w:r>
      <w:r>
        <w:rPr>
          <w:rFonts w:ascii="Helvetica" w:hAnsi="Helvetica" w:cs="Helvetica"/>
          <w:b/>
        </w:rPr>
        <w:t xml:space="preserve">TELECOMMUNICATIONS </w:t>
      </w:r>
      <w:r w:rsidRPr="008B47F9">
        <w:rPr>
          <w:rFonts w:ascii="Helvetica" w:hAnsi="Helvetica"/>
          <w:b/>
        </w:rPr>
        <w:t>FACILITIES INSTALLED</w:t>
      </w:r>
      <w:r>
        <w:rPr>
          <w:rFonts w:ascii="Helvetica" w:hAnsi="Helvetica"/>
          <w:b/>
        </w:rPr>
        <w:t> </w:t>
      </w:r>
      <w:r w:rsidRPr="008B47F9">
        <w:rPr>
          <w:rFonts w:ascii="Helvetica" w:hAnsi="Helvetica"/>
          <w:b/>
        </w:rPr>
        <w:t>BY COMPETITIVE LOCAL EXCHANGE</w:t>
      </w:r>
      <w:r>
        <w:rPr>
          <w:rFonts w:ascii="Helvetica" w:hAnsi="Helvetica"/>
          <w:b/>
        </w:rPr>
        <w:t xml:space="preserve"> </w:t>
      </w:r>
      <w:r w:rsidRPr="008B47F9">
        <w:rPr>
          <w:rFonts w:ascii="Helvetica" w:hAnsi="Helvetica"/>
          <w:b/>
        </w:rPr>
        <w:t xml:space="preserve">CARRIERS </w:t>
      </w:r>
    </w:p>
    <w:p w:rsidR="008B47F9" w:rsidRPr="008B47F9" w:rsidRDefault="008B47F9" w:rsidP="008B47F9">
      <w:pPr>
        <w:pStyle w:val="standard"/>
        <w:spacing w:line="240" w:lineRule="auto"/>
        <w:ind w:firstLine="0"/>
        <w:jc w:val="center"/>
        <w:rPr>
          <w:rFonts w:ascii="Helvetica" w:hAnsi="Helvetica"/>
          <w:b/>
        </w:rPr>
      </w:pPr>
    </w:p>
    <w:p w:rsidR="000B0AA5" w:rsidRDefault="000B0AA5" w:rsidP="00651FBC">
      <w:pPr>
        <w:pStyle w:val="Heading1"/>
        <w:numPr>
          <w:ilvl w:val="0"/>
          <w:numId w:val="0"/>
        </w:numPr>
        <w:ind w:left="720" w:hanging="720"/>
      </w:pPr>
      <w:bookmarkStart w:id="3" w:name="_Toc194913473"/>
      <w:bookmarkStart w:id="4" w:name="_Toc424321883"/>
      <w:bookmarkStart w:id="5" w:name="_Toc512317958"/>
      <w:bookmarkStart w:id="6" w:name="_Toc213645579"/>
      <w:r>
        <w:t>Summary</w:t>
      </w:r>
      <w:bookmarkEnd w:id="3"/>
      <w:bookmarkEnd w:id="4"/>
      <w:bookmarkEnd w:id="5"/>
      <w:r>
        <w:t xml:space="preserve"> </w:t>
      </w:r>
      <w:bookmarkEnd w:id="6"/>
    </w:p>
    <w:p w:rsidR="00FA0236" w:rsidRDefault="00534B65" w:rsidP="00BC5EA8">
      <w:pPr>
        <w:pStyle w:val="standard"/>
      </w:pPr>
      <w:r>
        <w:t xml:space="preserve">Today’s Decision amends the </w:t>
      </w:r>
      <w:r w:rsidR="00801020">
        <w:t xml:space="preserve">Right-of-Way Rules (ROW Rules) </w:t>
      </w:r>
      <w:r w:rsidR="007718CB">
        <w:t xml:space="preserve">set forth in </w:t>
      </w:r>
      <w:r w:rsidR="00CB16D1">
        <w:t>Decision</w:t>
      </w:r>
      <w:r w:rsidR="00AC7EA2">
        <w:t> </w:t>
      </w:r>
      <w:r w:rsidR="00E823F3">
        <w:t xml:space="preserve">16-01-046 </w:t>
      </w:r>
      <w:r>
        <w:t xml:space="preserve">to </w:t>
      </w:r>
      <w:r w:rsidR="00CB16D1">
        <w:t>provide</w:t>
      </w:r>
      <w:r w:rsidR="00D0627F">
        <w:t xml:space="preserve"> </w:t>
      </w:r>
      <w:r>
        <w:t xml:space="preserve">competitive local exchange carriers (CLECs) with </w:t>
      </w:r>
      <w:r w:rsidR="00456CBF">
        <w:t xml:space="preserve">expanded </w:t>
      </w:r>
      <w:r w:rsidR="00B73CE3">
        <w:t xml:space="preserve">nondiscriminatory access to public utility infrastructure </w:t>
      </w:r>
      <w:r>
        <w:t>for the purpose of installing antennas and other wireless telecommunications facilities.  The</w:t>
      </w:r>
      <w:r w:rsidR="00052168">
        <w:t xml:space="preserve"> adopted amendments </w:t>
      </w:r>
      <w:r w:rsidR="009007CD">
        <w:t xml:space="preserve">to the ROW Rules </w:t>
      </w:r>
      <w:r w:rsidR="00312266">
        <w:t xml:space="preserve">include a default </w:t>
      </w:r>
      <w:r>
        <w:t xml:space="preserve">“per-foot fee” for CLECs’ </w:t>
      </w:r>
      <w:r w:rsidR="00312266">
        <w:t xml:space="preserve">wireless </w:t>
      </w:r>
      <w:r>
        <w:t xml:space="preserve">pole </w:t>
      </w:r>
      <w:r w:rsidR="00312266">
        <w:t xml:space="preserve">attachments.  </w:t>
      </w:r>
    </w:p>
    <w:p w:rsidR="00A42B37" w:rsidRDefault="00A81A13" w:rsidP="00BC5EA8">
      <w:pPr>
        <w:pStyle w:val="standard"/>
      </w:pPr>
      <w:r>
        <w:t xml:space="preserve">Today’s Decision finds that the </w:t>
      </w:r>
      <w:r w:rsidR="00AD03E7">
        <w:t xml:space="preserve">adopted amendments to the ROW Rules </w:t>
      </w:r>
      <w:r>
        <w:t>are in the public interest because the</w:t>
      </w:r>
      <w:r w:rsidR="005064A8">
        <w:t xml:space="preserve"> amendments </w:t>
      </w:r>
      <w:r w:rsidR="00AD03E7">
        <w:t>will facilitate investment in wireless infrastructure, foster competition among providers of wireless services, expand access to wireless services in unserved and underserved areas, and encourage widespread deployment of broadband wireless services</w:t>
      </w:r>
      <w:r w:rsidR="00AD03E7" w:rsidRPr="00627E1B">
        <w:t xml:space="preserve">. </w:t>
      </w:r>
      <w:r>
        <w:t xml:space="preserve"> </w:t>
      </w:r>
      <w:r w:rsidR="0073632B">
        <w:t xml:space="preserve">The </w:t>
      </w:r>
      <w:r w:rsidR="00AD03E7">
        <w:t xml:space="preserve">adopted amendments </w:t>
      </w:r>
      <w:r>
        <w:t xml:space="preserve">do </w:t>
      </w:r>
      <w:r w:rsidR="00F71AB9">
        <w:t xml:space="preserve">not adversely affect </w:t>
      </w:r>
      <w:r w:rsidR="00BE7193">
        <w:t xml:space="preserve">worker </w:t>
      </w:r>
      <w:r w:rsidR="00F71AB9">
        <w:t>safety</w:t>
      </w:r>
      <w:r w:rsidR="00BE7193">
        <w:t xml:space="preserve">, public safety, </w:t>
      </w:r>
      <w:r w:rsidR="00F71AB9">
        <w:t xml:space="preserve">or </w:t>
      </w:r>
      <w:r w:rsidR="004A57FE">
        <w:t>the reliability of co</w:t>
      </w:r>
      <w:r w:rsidR="00C408B9">
        <w:t>-</w:t>
      </w:r>
      <w:r w:rsidR="004A57FE">
        <w:t xml:space="preserve">located utility facilities (e.g., </w:t>
      </w:r>
      <w:r w:rsidR="00F71AB9">
        <w:t xml:space="preserve">electric </w:t>
      </w:r>
      <w:r w:rsidR="00BE7193">
        <w:t>power</w:t>
      </w:r>
      <w:r w:rsidR="00F71AB9">
        <w:t xml:space="preserve"> lines)</w:t>
      </w:r>
      <w:r w:rsidR="004A57FE">
        <w:t>.</w:t>
      </w:r>
      <w:r w:rsidR="000963B1">
        <w:t xml:space="preserve">  </w:t>
      </w:r>
    </w:p>
    <w:p w:rsidR="00A53F3F" w:rsidRDefault="00A53F3F" w:rsidP="00BC5EA8">
      <w:pPr>
        <w:pStyle w:val="standard"/>
      </w:pPr>
      <w:r>
        <w:t>This proceeding is closed.</w:t>
      </w:r>
    </w:p>
    <w:p w:rsidR="000B0AA5" w:rsidRDefault="000B0AA5" w:rsidP="00A4093B">
      <w:pPr>
        <w:pStyle w:val="Heading1"/>
      </w:pPr>
      <w:bookmarkStart w:id="7" w:name="_Toc424321884"/>
      <w:bookmarkStart w:id="8" w:name="_Toc512317959"/>
      <w:r>
        <w:t>Background</w:t>
      </w:r>
      <w:bookmarkEnd w:id="7"/>
      <w:bookmarkEnd w:id="8"/>
      <w:r>
        <w:t xml:space="preserve"> </w:t>
      </w:r>
    </w:p>
    <w:p w:rsidR="005B2EF3" w:rsidRDefault="005B2EF3" w:rsidP="00214651">
      <w:pPr>
        <w:pStyle w:val="Heading2"/>
      </w:pPr>
      <w:bookmarkStart w:id="9" w:name="_Toc424321885"/>
      <w:bookmarkStart w:id="10" w:name="_Toc512317960"/>
      <w:r>
        <w:t>Federal Laws and Regulations</w:t>
      </w:r>
      <w:bookmarkEnd w:id="9"/>
      <w:bookmarkEnd w:id="10"/>
      <w:r>
        <w:t xml:space="preserve"> </w:t>
      </w:r>
    </w:p>
    <w:p w:rsidR="004E3CC0" w:rsidRDefault="00E009F7" w:rsidP="0099333F">
      <w:pPr>
        <w:pStyle w:val="standard"/>
      </w:pPr>
      <w:r>
        <w:t>Title</w:t>
      </w:r>
      <w:r w:rsidR="003240F4">
        <w:t> </w:t>
      </w:r>
      <w:r>
        <w:t>47</w:t>
      </w:r>
      <w:r w:rsidR="009A2F16">
        <w:t xml:space="preserve"> of the United States Code</w:t>
      </w:r>
      <w:r w:rsidR="0095032A">
        <w:t xml:space="preserve">, </w:t>
      </w:r>
      <w:r w:rsidR="009A2F16">
        <w:t xml:space="preserve">at </w:t>
      </w:r>
      <w:r w:rsidR="0095032A">
        <w:t>Section</w:t>
      </w:r>
      <w:r w:rsidR="009A2F16">
        <w:t> </w:t>
      </w:r>
      <w:r w:rsidR="0095032A">
        <w:t xml:space="preserve">224(f) </w:t>
      </w:r>
      <w:r w:rsidRPr="00E81B71">
        <w:t>(</w:t>
      </w:r>
      <w:r w:rsidR="00B83F57">
        <w:t>“</w:t>
      </w:r>
      <w:r w:rsidRPr="00E81B71">
        <w:t>47</w:t>
      </w:r>
      <w:r w:rsidR="00512977" w:rsidRPr="00E81B71">
        <w:t> </w:t>
      </w:r>
      <w:r w:rsidRPr="00E81B71">
        <w:t>U.S.C. § 224</w:t>
      </w:r>
      <w:r w:rsidR="00D07D77" w:rsidRPr="00E81B71">
        <w:t>(f)</w:t>
      </w:r>
      <w:r w:rsidR="00B83F57">
        <w:t>”</w:t>
      </w:r>
      <w:r w:rsidRPr="00E81B71">
        <w:t>)</w:t>
      </w:r>
      <w:r w:rsidR="00B83F57">
        <w:t>,</w:t>
      </w:r>
      <w:r w:rsidRPr="00E81B71">
        <w:t xml:space="preserve"> </w:t>
      </w:r>
      <w:r w:rsidR="00B009CB">
        <w:t xml:space="preserve">requires </w:t>
      </w:r>
      <w:r w:rsidR="002156F2">
        <w:t>every</w:t>
      </w:r>
      <w:r w:rsidR="00B009CB">
        <w:t xml:space="preserve"> utility</w:t>
      </w:r>
      <w:r w:rsidR="00332766" w:rsidRPr="00F051AD">
        <w:rPr>
          <w:rStyle w:val="StandardFootnoteReferenceChar"/>
        </w:rPr>
        <w:footnoteReference w:id="2"/>
      </w:r>
      <w:r w:rsidR="00B009CB">
        <w:t xml:space="preserve"> to </w:t>
      </w:r>
      <w:r w:rsidR="005A1DD2" w:rsidRPr="00E81B71">
        <w:t xml:space="preserve">provide </w:t>
      </w:r>
      <w:r w:rsidR="00620AF0" w:rsidRPr="00E81B71">
        <w:t>“</w:t>
      </w:r>
      <w:r w:rsidR="00E81B71" w:rsidRPr="00E81B71">
        <w:t xml:space="preserve">a cable television system or </w:t>
      </w:r>
      <w:r w:rsidR="005A1DD2" w:rsidRPr="00E81B71">
        <w:t>any</w:t>
      </w:r>
      <w:r w:rsidR="005A1DD2" w:rsidRPr="00CA3655">
        <w:rPr>
          <w:rStyle w:val="standardChar"/>
        </w:rPr>
        <w:t xml:space="preserve"> telecommunications carrier with nondiscriminatory access to any pole, duct, </w:t>
      </w:r>
      <w:r w:rsidR="005A1DD2" w:rsidRPr="00CA3655">
        <w:rPr>
          <w:rStyle w:val="standardChar"/>
        </w:rPr>
        <w:lastRenderedPageBreak/>
        <w:t>conduit, or right-of-way owned or controlled by</w:t>
      </w:r>
      <w:r w:rsidR="00E87950">
        <w:rPr>
          <w:rStyle w:val="standardChar"/>
        </w:rPr>
        <w:t xml:space="preserve">” the utility </w:t>
      </w:r>
      <w:r w:rsidR="00A01C47">
        <w:rPr>
          <w:rStyle w:val="standardChar"/>
        </w:rPr>
        <w:t>except in situations where a</w:t>
      </w:r>
      <w:r w:rsidR="009A2F16">
        <w:rPr>
          <w:rStyle w:val="standardChar"/>
        </w:rPr>
        <w:t xml:space="preserve"> </w:t>
      </w:r>
      <w:r w:rsidR="00A01C47">
        <w:rPr>
          <w:rStyle w:val="standardChar"/>
        </w:rPr>
        <w:t xml:space="preserve">utility cannot provide access because </w:t>
      </w:r>
      <w:r w:rsidR="00E87950">
        <w:rPr>
          <w:rStyle w:val="standardChar"/>
        </w:rPr>
        <w:t>of</w:t>
      </w:r>
      <w:r w:rsidR="00A01C47">
        <w:rPr>
          <w:rStyle w:val="standardChar"/>
        </w:rPr>
        <w:t xml:space="preserve"> </w:t>
      </w:r>
      <w:r w:rsidR="003A2C40">
        <w:rPr>
          <w:rStyle w:val="standardChar"/>
        </w:rPr>
        <w:t>“</w:t>
      </w:r>
      <w:r w:rsidR="00A01C47">
        <w:rPr>
          <w:rStyle w:val="standardChar"/>
        </w:rPr>
        <w:t xml:space="preserve">insufficient capacity </w:t>
      </w:r>
      <w:r w:rsidR="003A2C40">
        <w:rPr>
          <w:rStyle w:val="standardChar"/>
        </w:rPr>
        <w:t>and</w:t>
      </w:r>
      <w:r w:rsidR="00A01C47">
        <w:rPr>
          <w:rStyle w:val="standardChar"/>
        </w:rPr>
        <w:t xml:space="preserve"> for reasons of safety, </w:t>
      </w:r>
      <w:r w:rsidR="00DB5F3B">
        <w:rPr>
          <w:rStyle w:val="standardChar"/>
        </w:rPr>
        <w:t>reliability</w:t>
      </w:r>
      <w:r w:rsidR="003A2C40">
        <w:rPr>
          <w:rStyle w:val="standardChar"/>
        </w:rPr>
        <w:t xml:space="preserve"> and generally applicable</w:t>
      </w:r>
      <w:r w:rsidR="00DB5F3B">
        <w:rPr>
          <w:rStyle w:val="standardChar"/>
        </w:rPr>
        <w:t xml:space="preserve"> </w:t>
      </w:r>
      <w:r w:rsidR="00A01C47">
        <w:rPr>
          <w:rStyle w:val="standardChar"/>
        </w:rPr>
        <w:t xml:space="preserve">engineering </w:t>
      </w:r>
      <w:r w:rsidR="006F292F">
        <w:rPr>
          <w:rStyle w:val="standardChar"/>
        </w:rPr>
        <w:t>principles</w:t>
      </w:r>
      <w:r w:rsidR="00A01C47">
        <w:rPr>
          <w:rStyle w:val="standardChar"/>
        </w:rPr>
        <w:t>.</w:t>
      </w:r>
      <w:r w:rsidR="006D2E50">
        <w:rPr>
          <w:rStyle w:val="standardChar"/>
        </w:rPr>
        <w:t>”</w:t>
      </w:r>
      <w:r w:rsidR="002C32CC">
        <w:rPr>
          <w:rStyle w:val="standardChar"/>
        </w:rPr>
        <w:t xml:space="preserve"> </w:t>
      </w:r>
      <w:r w:rsidR="00304C15">
        <w:rPr>
          <w:rStyle w:val="standardChar"/>
        </w:rPr>
        <w:t xml:space="preserve"> </w:t>
      </w:r>
      <w:r w:rsidR="00E11890">
        <w:rPr>
          <w:rStyle w:val="standardChar"/>
        </w:rPr>
        <w:t>T</w:t>
      </w:r>
      <w:r w:rsidR="00633B66">
        <w:rPr>
          <w:rStyle w:val="standardChar"/>
        </w:rPr>
        <w:t xml:space="preserve">he Federal Communications Commission (FCC) </w:t>
      </w:r>
      <w:r w:rsidR="00E11890">
        <w:rPr>
          <w:rStyle w:val="standardChar"/>
        </w:rPr>
        <w:t xml:space="preserve">is required by </w:t>
      </w:r>
      <w:r w:rsidR="00E11890" w:rsidRPr="00E81B71">
        <w:t>47 U.S.C.</w:t>
      </w:r>
      <w:r w:rsidR="00E11890">
        <w:t> </w:t>
      </w:r>
      <w:r w:rsidR="00E11890" w:rsidRPr="00E81B71">
        <w:t>§ </w:t>
      </w:r>
      <w:r w:rsidR="00E11890">
        <w:rPr>
          <w:rStyle w:val="standardChar"/>
        </w:rPr>
        <w:t xml:space="preserve">224(b)(1) </w:t>
      </w:r>
      <w:r w:rsidR="00633B66">
        <w:rPr>
          <w:rStyle w:val="standardChar"/>
        </w:rPr>
        <w:t>to “</w:t>
      </w:r>
      <w:r w:rsidRPr="000C1438">
        <w:t xml:space="preserve">regulate the rates, terms, and conditions for </w:t>
      </w:r>
      <w:r w:rsidRPr="0016371A">
        <w:t>pole attachments</w:t>
      </w:r>
      <w:r w:rsidRPr="000C1438">
        <w:t xml:space="preserve"> to provide that such rates, terms, and conditions are just and reasonable, and</w:t>
      </w:r>
      <w:r w:rsidR="009148E9">
        <w:t>…</w:t>
      </w:r>
      <w:r w:rsidRPr="000C1438">
        <w:t xml:space="preserve"> to hear and resolve complaints concerning such rates, terms, and conditions</w:t>
      </w:r>
      <w:r w:rsidR="003827EC">
        <w:t xml:space="preserve">.”  </w:t>
      </w:r>
      <w:r w:rsidR="005064A8">
        <w:t xml:space="preserve">The </w:t>
      </w:r>
      <w:r w:rsidR="004E3CC0">
        <w:t xml:space="preserve">FCC has determined that </w:t>
      </w:r>
      <w:r w:rsidR="004E3CC0" w:rsidRPr="00E90F79">
        <w:rPr>
          <w:rStyle w:val="standardChar"/>
        </w:rPr>
        <w:t>47 U.S.C. </w:t>
      </w:r>
      <w:r w:rsidR="004E3CC0" w:rsidRPr="00CA3655">
        <w:rPr>
          <w:rStyle w:val="standardChar"/>
        </w:rPr>
        <w:t>§ 224</w:t>
      </w:r>
      <w:r w:rsidR="009D55F0">
        <w:rPr>
          <w:rStyle w:val="standardChar"/>
        </w:rPr>
        <w:t xml:space="preserve"> applies</w:t>
      </w:r>
      <w:r w:rsidR="004E3CC0">
        <w:rPr>
          <w:rStyle w:val="standardChar"/>
        </w:rPr>
        <w:t xml:space="preserve"> to </w:t>
      </w:r>
      <w:r w:rsidR="0015718B">
        <w:t>wireless</w:t>
      </w:r>
      <w:r w:rsidR="00EE0496">
        <w:t xml:space="preserve"> </w:t>
      </w:r>
      <w:r w:rsidR="004E3CC0" w:rsidRPr="00E90F79">
        <w:rPr>
          <w:rStyle w:val="standardChar"/>
        </w:rPr>
        <w:t xml:space="preserve">carriers </w:t>
      </w:r>
      <w:r w:rsidR="004E3CC0">
        <w:rPr>
          <w:rStyle w:val="standardChar"/>
        </w:rPr>
        <w:t xml:space="preserve">and </w:t>
      </w:r>
      <w:r w:rsidR="004E3CC0" w:rsidRPr="00E90F79">
        <w:rPr>
          <w:rStyle w:val="standardChar"/>
        </w:rPr>
        <w:t xml:space="preserve">wireless </w:t>
      </w:r>
      <w:r w:rsidR="004E3CC0">
        <w:rPr>
          <w:rStyle w:val="standardChar"/>
        </w:rPr>
        <w:t>pole attachments</w:t>
      </w:r>
      <w:r w:rsidR="004E3CC0" w:rsidRPr="00E90F79">
        <w:rPr>
          <w:rStyle w:val="standardChar"/>
        </w:rPr>
        <w:t>.</w:t>
      </w:r>
      <w:r w:rsidR="00EE0496" w:rsidRPr="00F051AD">
        <w:rPr>
          <w:rStyle w:val="StandardFootnoteReferenceChar"/>
        </w:rPr>
        <w:footnoteReference w:id="3"/>
      </w:r>
    </w:p>
    <w:p w:rsidR="0099333F" w:rsidRDefault="00FD63E1" w:rsidP="0099333F">
      <w:pPr>
        <w:pStyle w:val="standard"/>
      </w:pPr>
      <w:r>
        <w:t>A S</w:t>
      </w:r>
      <w:r w:rsidR="00D92246">
        <w:t xml:space="preserve">tate may preempt </w:t>
      </w:r>
      <w:r w:rsidR="00EE7441">
        <w:t>the FCC’s</w:t>
      </w:r>
      <w:r w:rsidR="00FF3BD6">
        <w:t xml:space="preserve"> </w:t>
      </w:r>
      <w:r w:rsidR="00D92246">
        <w:t>regulation of pole attachments</w:t>
      </w:r>
      <w:r w:rsidR="00834E52">
        <w:t xml:space="preserve">.  </w:t>
      </w:r>
      <w:r w:rsidR="00304C15">
        <w:t>Specifically</w:t>
      </w:r>
      <w:r w:rsidR="00834E52">
        <w:t xml:space="preserve">, </w:t>
      </w:r>
      <w:r w:rsidR="00E11EA8" w:rsidRPr="00CA3655">
        <w:rPr>
          <w:rStyle w:val="standardChar"/>
        </w:rPr>
        <w:t>47</w:t>
      </w:r>
      <w:r w:rsidR="00E11EA8">
        <w:rPr>
          <w:rStyle w:val="standardChar"/>
        </w:rPr>
        <w:t> </w:t>
      </w:r>
      <w:r w:rsidR="00E11EA8" w:rsidRPr="00CA3655">
        <w:rPr>
          <w:rStyle w:val="standardChar"/>
        </w:rPr>
        <w:t>U.S.C.</w:t>
      </w:r>
      <w:r w:rsidR="00E11EA8">
        <w:rPr>
          <w:rStyle w:val="standardChar"/>
        </w:rPr>
        <w:t> </w:t>
      </w:r>
      <w:r w:rsidR="00FE0575" w:rsidRPr="00CA3655">
        <w:rPr>
          <w:rStyle w:val="standardChar"/>
        </w:rPr>
        <w:t>§</w:t>
      </w:r>
      <w:r w:rsidR="00FE0575">
        <w:rPr>
          <w:rStyle w:val="standardChar"/>
        </w:rPr>
        <w:t> </w:t>
      </w:r>
      <w:r w:rsidR="00FE0575" w:rsidRPr="00CA3655">
        <w:rPr>
          <w:rStyle w:val="standardChar"/>
        </w:rPr>
        <w:t>2</w:t>
      </w:r>
      <w:r w:rsidR="00D92246">
        <w:rPr>
          <w:rStyle w:val="standardChar"/>
        </w:rPr>
        <w:t>2</w:t>
      </w:r>
      <w:r w:rsidR="00FE0575" w:rsidRPr="00CA3655">
        <w:rPr>
          <w:rStyle w:val="standardChar"/>
        </w:rPr>
        <w:t xml:space="preserve">4(c)(1) </w:t>
      </w:r>
      <w:r w:rsidR="00834E52">
        <w:rPr>
          <w:rStyle w:val="standardChar"/>
        </w:rPr>
        <w:t xml:space="preserve">provides that “[n]othing in this section shall be construed to apply to, or to give the [FCC] jurisdiction </w:t>
      </w:r>
      <w:r w:rsidR="00FE0575" w:rsidRPr="00CA3655">
        <w:rPr>
          <w:rStyle w:val="standardChar"/>
        </w:rPr>
        <w:t>with respect to rates, terms, and conditions, or access to poles, ducts, conduits, and rights-of-way</w:t>
      </w:r>
      <w:r w:rsidR="00834E52">
        <w:rPr>
          <w:rStyle w:val="standardChar"/>
        </w:rPr>
        <w:t xml:space="preserve">… </w:t>
      </w:r>
      <w:r w:rsidR="00FE0575" w:rsidRPr="00CA3655">
        <w:rPr>
          <w:rStyle w:val="standardChar"/>
        </w:rPr>
        <w:t xml:space="preserve">where such matters are regulated by a State."  </w:t>
      </w:r>
      <w:r w:rsidR="00A3734A">
        <w:rPr>
          <w:rStyle w:val="standardChar"/>
        </w:rPr>
        <w:t xml:space="preserve">For such preemption to occur, </w:t>
      </w:r>
      <w:r w:rsidR="00A3734A">
        <w:t xml:space="preserve">a </w:t>
      </w:r>
      <w:r w:rsidR="00FE5D52">
        <w:t>S</w:t>
      </w:r>
      <w:r w:rsidR="0099333F">
        <w:t xml:space="preserve">tate must </w:t>
      </w:r>
      <w:r w:rsidR="006F292F">
        <w:t xml:space="preserve">certify to the FCC that the </w:t>
      </w:r>
      <w:r w:rsidR="00FE5D52">
        <w:t>S</w:t>
      </w:r>
      <w:r w:rsidR="006F292F">
        <w:t xml:space="preserve">tate has enacted regulations that meet </w:t>
      </w:r>
      <w:r w:rsidR="0099333F">
        <w:t xml:space="preserve">the </w:t>
      </w:r>
      <w:r w:rsidR="0034556F">
        <w:t xml:space="preserve">following </w:t>
      </w:r>
      <w:r w:rsidR="0099333F">
        <w:t xml:space="preserve">conditions </w:t>
      </w:r>
      <w:r w:rsidR="0034556F">
        <w:t xml:space="preserve">set forth in </w:t>
      </w:r>
      <w:r w:rsidR="00ED3C9F" w:rsidRPr="00CA3655">
        <w:rPr>
          <w:rStyle w:val="standardChar"/>
        </w:rPr>
        <w:t>47</w:t>
      </w:r>
      <w:r w:rsidR="00ED3C9F">
        <w:rPr>
          <w:rStyle w:val="standardChar"/>
        </w:rPr>
        <w:t> </w:t>
      </w:r>
      <w:r w:rsidR="00ED3C9F" w:rsidRPr="00CA3655">
        <w:rPr>
          <w:rStyle w:val="standardChar"/>
        </w:rPr>
        <w:t>U.S.C.</w:t>
      </w:r>
      <w:r w:rsidR="00ED3C9F">
        <w:rPr>
          <w:rStyle w:val="standardChar"/>
        </w:rPr>
        <w:t> </w:t>
      </w:r>
      <w:r w:rsidR="0099333F">
        <w:t>§§ 224(c)(2) and (3):</w:t>
      </w:r>
    </w:p>
    <w:p w:rsidR="0099333F" w:rsidRPr="00CA3655" w:rsidRDefault="0099333F" w:rsidP="00EA2B68">
      <w:pPr>
        <w:pStyle w:val="standard"/>
        <w:tabs>
          <w:tab w:val="left" w:pos="1080"/>
        </w:tabs>
        <w:spacing w:after="80" w:line="240" w:lineRule="auto"/>
        <w:ind w:left="1080" w:right="720" w:hanging="547"/>
        <w:rPr>
          <w:rStyle w:val="standardChar"/>
        </w:rPr>
      </w:pPr>
      <w:r w:rsidRPr="00CA3655">
        <w:rPr>
          <w:rStyle w:val="standardChar"/>
        </w:rPr>
        <w:t xml:space="preserve">(2) </w:t>
      </w:r>
      <w:r>
        <w:rPr>
          <w:rStyle w:val="standardChar"/>
        </w:rPr>
        <w:tab/>
      </w:r>
      <w:r w:rsidRPr="00CA3655">
        <w:rPr>
          <w:rStyle w:val="standardChar"/>
        </w:rPr>
        <w:t xml:space="preserve">Each </w:t>
      </w:r>
      <w:r w:rsidRPr="00CA3655">
        <w:t>State</w:t>
      </w:r>
      <w:r w:rsidRPr="00CA3655">
        <w:rPr>
          <w:rStyle w:val="standardChar"/>
        </w:rPr>
        <w:t xml:space="preserve"> which regulates the rates, terms, and conditions for pole attachment shall certify to the </w:t>
      </w:r>
      <w:r w:rsidR="003D6BE3">
        <w:rPr>
          <w:rStyle w:val="standardChar"/>
        </w:rPr>
        <w:t xml:space="preserve">[FCC] </w:t>
      </w:r>
      <w:r w:rsidRPr="00CA3655">
        <w:rPr>
          <w:rStyle w:val="standardChar"/>
        </w:rPr>
        <w:t>that - -</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(A) </w:t>
      </w:r>
      <w:r>
        <w:rPr>
          <w:rStyle w:val="standardChar"/>
        </w:rPr>
        <w:tab/>
      </w:r>
      <w:r w:rsidR="003D6BE3">
        <w:rPr>
          <w:rStyle w:val="standardChar"/>
        </w:rPr>
        <w:t>i</w:t>
      </w:r>
      <w:r w:rsidRPr="00CA3655">
        <w:rPr>
          <w:rStyle w:val="standardChar"/>
        </w:rPr>
        <w:t>t regulates such rates, terms, and conditions; and</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(B) </w:t>
      </w:r>
      <w:r>
        <w:rPr>
          <w:rStyle w:val="standardChar"/>
        </w:rPr>
        <w:tab/>
      </w:r>
      <w:r w:rsidR="003D6BE3">
        <w:rPr>
          <w:rStyle w:val="standardChar"/>
        </w:rPr>
        <w:t>i</w:t>
      </w:r>
      <w:r w:rsidRPr="00CA3655">
        <w:rPr>
          <w:rStyle w:val="standardChar"/>
        </w:rPr>
        <w:t>n so regulating such rates</w:t>
      </w:r>
      <w:r w:rsidR="00AD11CC">
        <w:rPr>
          <w:rStyle w:val="standardChar"/>
        </w:rPr>
        <w:t>,</w:t>
      </w:r>
      <w:r w:rsidRPr="00CA3655">
        <w:rPr>
          <w:rStyle w:val="standardChar"/>
        </w:rPr>
        <w:t xml:space="preserve"> terms, and conditions, the State has the authority to consider and does consider the interests of the subscribers of the services offered via such attachment, as well as the interests of the consumers of the utility service.</w:t>
      </w:r>
    </w:p>
    <w:p w:rsidR="0099333F" w:rsidRPr="00CA3655" w:rsidRDefault="0099333F" w:rsidP="00EA2B68">
      <w:pPr>
        <w:pStyle w:val="standard"/>
        <w:keepNext/>
        <w:tabs>
          <w:tab w:val="left" w:pos="1080"/>
        </w:tabs>
        <w:spacing w:after="80" w:line="240" w:lineRule="auto"/>
        <w:ind w:left="1080" w:right="360" w:hanging="547"/>
      </w:pPr>
      <w:r w:rsidRPr="00CA3655">
        <w:lastRenderedPageBreak/>
        <w:t xml:space="preserve">(3) </w:t>
      </w:r>
      <w:r>
        <w:tab/>
      </w:r>
      <w:r w:rsidRPr="00CA3655">
        <w:t>For purposes of this subsection, a State shall not be considered to regulate the rates, terms, and conditions for pole attachments</w:t>
      </w:r>
      <w:r w:rsidR="00EE7441">
        <w:t> </w:t>
      </w:r>
      <w:r w:rsidR="00943440">
        <w:t xml:space="preserve">- </w:t>
      </w:r>
      <w:r w:rsidRPr="00CA3655">
        <w:t>-</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(A) </w:t>
      </w:r>
      <w:r>
        <w:rPr>
          <w:rStyle w:val="standardChar"/>
        </w:rPr>
        <w:tab/>
      </w:r>
      <w:r w:rsidR="003D6BE3">
        <w:rPr>
          <w:rStyle w:val="standardChar"/>
        </w:rPr>
        <w:t>u</w:t>
      </w:r>
      <w:r w:rsidRPr="00CA3655">
        <w:rPr>
          <w:rStyle w:val="standardChar"/>
        </w:rPr>
        <w:t>nless the State has issued and made effective rules and regulations implementing the State's regulatory authority over pole attachments; and</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(B) </w:t>
      </w:r>
      <w:r>
        <w:rPr>
          <w:rStyle w:val="standardChar"/>
        </w:rPr>
        <w:tab/>
      </w:r>
      <w:r w:rsidR="003D6BE3">
        <w:rPr>
          <w:rStyle w:val="standardChar"/>
        </w:rPr>
        <w:t>w</w:t>
      </w:r>
      <w:r w:rsidRPr="00CA3655">
        <w:rPr>
          <w:rStyle w:val="standardChar"/>
        </w:rPr>
        <w:t>ith respect to any individual matter, unless the State takes final action on a co</w:t>
      </w:r>
      <w:r w:rsidR="00943440">
        <w:rPr>
          <w:rStyle w:val="standardChar"/>
        </w:rPr>
        <w:t xml:space="preserve">mplaint regarding such matter - </w:t>
      </w:r>
      <w:r w:rsidRPr="00CA3655">
        <w:rPr>
          <w:rStyle w:val="standardChar"/>
        </w:rPr>
        <w:t>-</w:t>
      </w:r>
    </w:p>
    <w:p w:rsidR="0099333F" w:rsidRPr="00CA3655" w:rsidRDefault="0099333F" w:rsidP="00A674E0">
      <w:pPr>
        <w:pStyle w:val="standard"/>
        <w:keepNext/>
        <w:tabs>
          <w:tab w:val="left" w:pos="2160"/>
        </w:tabs>
        <w:spacing w:after="80" w:line="240" w:lineRule="auto"/>
        <w:ind w:left="2160" w:right="907" w:hanging="360"/>
        <w:rPr>
          <w:rStyle w:val="standardChar"/>
        </w:rPr>
      </w:pPr>
      <w:r w:rsidRPr="00CA3655">
        <w:rPr>
          <w:rStyle w:val="standardChar"/>
        </w:rPr>
        <w:t>i.</w:t>
      </w:r>
      <w:r>
        <w:rPr>
          <w:rStyle w:val="standardChar"/>
        </w:rPr>
        <w:t xml:space="preserve"> </w:t>
      </w:r>
      <w:r>
        <w:rPr>
          <w:rStyle w:val="standardChar"/>
        </w:rPr>
        <w:tab/>
      </w:r>
      <w:r w:rsidR="003D6BE3">
        <w:rPr>
          <w:rStyle w:val="standardChar"/>
        </w:rPr>
        <w:t>w</w:t>
      </w:r>
      <w:r w:rsidRPr="00CA3655">
        <w:rPr>
          <w:rStyle w:val="standardChar"/>
        </w:rPr>
        <w:t>ithin 180 days after the complaint is filed with the State or</w:t>
      </w:r>
    </w:p>
    <w:p w:rsidR="0099333F" w:rsidRPr="00CA3655" w:rsidRDefault="0099333F" w:rsidP="00A674E0">
      <w:pPr>
        <w:pStyle w:val="standard"/>
        <w:keepLines/>
        <w:tabs>
          <w:tab w:val="left" w:pos="2160"/>
        </w:tabs>
        <w:spacing w:after="240" w:line="240" w:lineRule="auto"/>
        <w:ind w:left="2160" w:right="907" w:hanging="360"/>
        <w:rPr>
          <w:rStyle w:val="standardChar"/>
        </w:rPr>
      </w:pPr>
      <w:r w:rsidRPr="00CA3655">
        <w:rPr>
          <w:rStyle w:val="standardChar"/>
        </w:rPr>
        <w:t xml:space="preserve">ii. </w:t>
      </w:r>
      <w:r>
        <w:rPr>
          <w:rStyle w:val="standardChar"/>
        </w:rPr>
        <w:tab/>
      </w:r>
      <w:r w:rsidR="003D6BE3">
        <w:rPr>
          <w:rStyle w:val="standardChar"/>
        </w:rPr>
        <w:t>w</w:t>
      </w:r>
      <w:r w:rsidRPr="00CA3655">
        <w:rPr>
          <w:rStyle w:val="standardChar"/>
        </w:rPr>
        <w:t>ithin the application period prescribed for such final action in such rules and regulations of the State, if the prescribed period does not extend beyond 360</w:t>
      </w:r>
      <w:r w:rsidR="00A674E0">
        <w:rPr>
          <w:rStyle w:val="standardChar"/>
        </w:rPr>
        <w:t> </w:t>
      </w:r>
      <w:r w:rsidRPr="00CA3655">
        <w:rPr>
          <w:rStyle w:val="standardChar"/>
        </w:rPr>
        <w:t>days after the filing of such complaint.</w:t>
      </w:r>
    </w:p>
    <w:p w:rsidR="00924491" w:rsidRDefault="00924491" w:rsidP="00924491">
      <w:pPr>
        <w:pStyle w:val="standard"/>
      </w:pPr>
      <w:r>
        <w:rPr>
          <w:rStyle w:val="standardChar"/>
        </w:rPr>
        <w:t xml:space="preserve">In Decision </w:t>
      </w:r>
      <w:r w:rsidR="00FC0946">
        <w:t xml:space="preserve">(D.) </w:t>
      </w:r>
      <w:r>
        <w:rPr>
          <w:rStyle w:val="standardChar"/>
        </w:rPr>
        <w:t>98-10-05</w:t>
      </w:r>
      <w:r w:rsidR="00CC360A">
        <w:rPr>
          <w:rStyle w:val="standardChar"/>
        </w:rPr>
        <w:t>8</w:t>
      </w:r>
      <w:r w:rsidR="005B5CD4">
        <w:rPr>
          <w:rStyle w:val="standardChar"/>
        </w:rPr>
        <w:t xml:space="preserve"> and D.16-01-046</w:t>
      </w:r>
      <w:r>
        <w:rPr>
          <w:rStyle w:val="standardChar"/>
        </w:rPr>
        <w:t xml:space="preserve">, </w:t>
      </w:r>
      <w:r w:rsidR="00EA2B68">
        <w:t>t</w:t>
      </w:r>
      <w:r w:rsidR="00EA2B68" w:rsidRPr="005B69DB">
        <w:t xml:space="preserve">he </w:t>
      </w:r>
      <w:r w:rsidR="00EA2B68">
        <w:t xml:space="preserve">California Public Utilities Commission (CPUC or Commission) </w:t>
      </w:r>
      <w:r>
        <w:rPr>
          <w:rStyle w:val="standardChar"/>
        </w:rPr>
        <w:t xml:space="preserve">provided certification pursuant to </w:t>
      </w:r>
      <w:r w:rsidRPr="00CA3655">
        <w:rPr>
          <w:rStyle w:val="standardChar"/>
        </w:rPr>
        <w:t>47</w:t>
      </w:r>
      <w:r>
        <w:rPr>
          <w:rStyle w:val="standardChar"/>
        </w:rPr>
        <w:t> </w:t>
      </w:r>
      <w:r w:rsidRPr="00CA3655">
        <w:rPr>
          <w:rStyle w:val="standardChar"/>
        </w:rPr>
        <w:t>U.S.C.</w:t>
      </w:r>
      <w:r>
        <w:rPr>
          <w:rStyle w:val="standardChar"/>
        </w:rPr>
        <w:t> </w:t>
      </w:r>
      <w:r w:rsidRPr="00CA3655">
        <w:rPr>
          <w:rStyle w:val="standardChar"/>
        </w:rPr>
        <w:t>§</w:t>
      </w:r>
      <w:r>
        <w:rPr>
          <w:rStyle w:val="standardChar"/>
        </w:rPr>
        <w:t> </w:t>
      </w:r>
      <w:r w:rsidRPr="00CA3655">
        <w:rPr>
          <w:rStyle w:val="standardChar"/>
        </w:rPr>
        <w:t>2</w:t>
      </w:r>
      <w:r>
        <w:rPr>
          <w:rStyle w:val="standardChar"/>
        </w:rPr>
        <w:t>2</w:t>
      </w:r>
      <w:r w:rsidRPr="00CA3655">
        <w:rPr>
          <w:rStyle w:val="standardChar"/>
        </w:rPr>
        <w:t>4(c)</w:t>
      </w:r>
      <w:r>
        <w:rPr>
          <w:rStyle w:val="standardChar"/>
        </w:rPr>
        <w:t xml:space="preserve"> that the Commission regulates </w:t>
      </w:r>
      <w:r>
        <w:t xml:space="preserve">the rate, terms, and conditions of access to poles, ducts, conduits, and rights-of-way in conformance with </w:t>
      </w:r>
      <w:r w:rsidRPr="00CA3655">
        <w:rPr>
          <w:rStyle w:val="standardChar"/>
        </w:rPr>
        <w:t>47</w:t>
      </w:r>
      <w:r>
        <w:rPr>
          <w:rStyle w:val="standardChar"/>
        </w:rPr>
        <w:t> </w:t>
      </w:r>
      <w:r w:rsidRPr="00CA3655">
        <w:rPr>
          <w:rStyle w:val="standardChar"/>
        </w:rPr>
        <w:t>U.S.C.</w:t>
      </w:r>
      <w:r>
        <w:rPr>
          <w:rStyle w:val="standardChar"/>
        </w:rPr>
        <w:t> </w:t>
      </w:r>
      <w:r>
        <w:t>§§ 224(c)(2) and (3).</w:t>
      </w:r>
      <w:r w:rsidR="0054608A">
        <w:rPr>
          <w:rStyle w:val="FootnoteReference"/>
        </w:rPr>
        <w:footnoteReference w:id="4"/>
      </w:r>
      <w:r w:rsidR="003E3D4E">
        <w:t xml:space="preserve">  As a result, </w:t>
      </w:r>
      <w:r w:rsidR="003E3D4E">
        <w:rPr>
          <w:rStyle w:val="standardChar"/>
        </w:rPr>
        <w:t xml:space="preserve">the </w:t>
      </w:r>
      <w:r w:rsidR="003E3D4E" w:rsidRPr="00CA3655">
        <w:rPr>
          <w:rStyle w:val="standardChar"/>
        </w:rPr>
        <w:t>Commission</w:t>
      </w:r>
      <w:r w:rsidR="003E3D4E">
        <w:rPr>
          <w:rStyle w:val="standardChar"/>
        </w:rPr>
        <w:t xml:space="preserve"> </w:t>
      </w:r>
      <w:r w:rsidR="003E3D4E" w:rsidRPr="00CA3655">
        <w:rPr>
          <w:rStyle w:val="standardChar"/>
        </w:rPr>
        <w:t xml:space="preserve">has </w:t>
      </w:r>
      <w:r w:rsidR="003E3D4E">
        <w:rPr>
          <w:rStyle w:val="standardChar"/>
        </w:rPr>
        <w:t>preempted the FCC’s regulation of pole attachments in California.</w:t>
      </w:r>
    </w:p>
    <w:p w:rsidR="005B2EF3" w:rsidRDefault="00814CF9" w:rsidP="00214651">
      <w:pPr>
        <w:pStyle w:val="Heading2"/>
      </w:pPr>
      <w:bookmarkStart w:id="11" w:name="_Toc424321886"/>
      <w:bookmarkStart w:id="12" w:name="_Toc512317961"/>
      <w:r>
        <w:t>T</w:t>
      </w:r>
      <w:r w:rsidR="005B2EF3">
        <w:t xml:space="preserve">he </w:t>
      </w:r>
      <w:r>
        <w:t xml:space="preserve">Commission’s </w:t>
      </w:r>
      <w:r w:rsidR="005064A8">
        <w:t xml:space="preserve">Right-of-Way </w:t>
      </w:r>
      <w:r w:rsidR="005B2EF3">
        <w:t>Rules</w:t>
      </w:r>
      <w:bookmarkEnd w:id="11"/>
      <w:bookmarkEnd w:id="12"/>
    </w:p>
    <w:p w:rsidR="00DF0412" w:rsidRDefault="00D10657" w:rsidP="00DF0412">
      <w:pPr>
        <w:pStyle w:val="standard"/>
      </w:pPr>
      <w:r>
        <w:t xml:space="preserve">California </w:t>
      </w:r>
      <w:r w:rsidR="00001CB4" w:rsidRPr="005B69DB">
        <w:t xml:space="preserve">Public Utilities Code </w:t>
      </w:r>
      <w:r w:rsidR="00685953">
        <w:t>S</w:t>
      </w:r>
      <w:r w:rsidR="00001CB4">
        <w:t>ections (Pub. Util. Code</w:t>
      </w:r>
      <w:r w:rsidR="006F292F">
        <w:t> </w:t>
      </w:r>
      <w:r w:rsidR="00001CB4" w:rsidRPr="005B69DB">
        <w:t>§§</w:t>
      </w:r>
      <w:r w:rsidR="00001CB4">
        <w:t>) 701</w:t>
      </w:r>
      <w:r w:rsidR="00F750F8">
        <w:t xml:space="preserve"> and </w:t>
      </w:r>
      <w:r w:rsidR="00001CB4" w:rsidRPr="005B69DB">
        <w:t>767</w:t>
      </w:r>
      <w:r w:rsidR="00001CB4">
        <w:t xml:space="preserve"> </w:t>
      </w:r>
      <w:r w:rsidR="00E101BE">
        <w:t xml:space="preserve">authorize </w:t>
      </w:r>
      <w:r w:rsidR="00B913FC">
        <w:t>t</w:t>
      </w:r>
      <w:r w:rsidR="00FE0575" w:rsidRPr="005B69DB">
        <w:t xml:space="preserve">he </w:t>
      </w:r>
      <w:r w:rsidR="005B12EB">
        <w:t xml:space="preserve">Commission </w:t>
      </w:r>
      <w:r w:rsidR="00001CB4" w:rsidRPr="00070AF6">
        <w:t xml:space="preserve">to </w:t>
      </w:r>
      <w:r w:rsidR="00EA2B68">
        <w:t>establish</w:t>
      </w:r>
      <w:r w:rsidR="00001CB4">
        <w:t xml:space="preserve"> </w:t>
      </w:r>
      <w:r w:rsidR="00F704BB">
        <w:t>rates</w:t>
      </w:r>
      <w:r w:rsidR="00D91751">
        <w:t xml:space="preserve">, </w:t>
      </w:r>
      <w:r w:rsidR="00001CB4">
        <w:t>terms</w:t>
      </w:r>
      <w:r w:rsidR="00D91751">
        <w:t>,</w:t>
      </w:r>
      <w:r w:rsidR="00001CB4">
        <w:t xml:space="preserve"> and conditions for joint use of </w:t>
      </w:r>
      <w:r w:rsidR="004A0527">
        <w:t xml:space="preserve">public </w:t>
      </w:r>
      <w:r w:rsidR="00001CB4">
        <w:t>utility</w:t>
      </w:r>
      <w:r w:rsidR="00E101BE">
        <w:t xml:space="preserve"> </w:t>
      </w:r>
      <w:r w:rsidR="0057652D">
        <w:t xml:space="preserve">poles, ducts, conduits, and </w:t>
      </w:r>
      <w:r w:rsidR="005064A8">
        <w:t xml:space="preserve">rights-of-way </w:t>
      </w:r>
      <w:r w:rsidR="0057652D">
        <w:t>(together, “</w:t>
      </w:r>
      <w:r w:rsidR="004A0527">
        <w:t xml:space="preserve">public </w:t>
      </w:r>
      <w:r w:rsidR="0057652D">
        <w:t xml:space="preserve">utility </w:t>
      </w:r>
      <w:r w:rsidR="00726C5F">
        <w:t>infrastructure</w:t>
      </w:r>
      <w:r w:rsidR="0057652D">
        <w:t>”)</w:t>
      </w:r>
      <w:r w:rsidR="00943440">
        <w:t>.</w:t>
      </w:r>
      <w:r w:rsidR="00AB60F2">
        <w:t xml:space="preserve">  </w:t>
      </w:r>
    </w:p>
    <w:p w:rsidR="00BD0D21" w:rsidRDefault="00FE0575" w:rsidP="006979BD">
      <w:pPr>
        <w:pStyle w:val="standard"/>
      </w:pPr>
      <w:r>
        <w:t xml:space="preserve">In </w:t>
      </w:r>
      <w:r w:rsidR="00BD169C">
        <w:t>D.</w:t>
      </w:r>
      <w:r>
        <w:t xml:space="preserve">98-10-058, </w:t>
      </w:r>
      <w:r w:rsidR="001B15B3">
        <w:t xml:space="preserve">as modified by D.16-01-046, </w:t>
      </w:r>
      <w:r>
        <w:t xml:space="preserve">the </w:t>
      </w:r>
      <w:r w:rsidR="00CD000C">
        <w:t xml:space="preserve">Commission adopted rules </w:t>
      </w:r>
      <w:r w:rsidR="00531590">
        <w:t>that</w:t>
      </w:r>
      <w:r w:rsidR="0057652D">
        <w:t xml:space="preserve"> provide competitive local </w:t>
      </w:r>
      <w:r w:rsidR="004F131D">
        <w:t xml:space="preserve">exchange </w:t>
      </w:r>
      <w:r w:rsidR="0057652D">
        <w:t xml:space="preserve">carriers </w:t>
      </w:r>
      <w:r w:rsidR="006F292F">
        <w:t>(CL</w:t>
      </w:r>
      <w:r w:rsidR="004F131D">
        <w:t>E</w:t>
      </w:r>
      <w:r w:rsidR="006F292F">
        <w:t>Cs)</w:t>
      </w:r>
      <w:r w:rsidR="001B15B3">
        <w:t>,</w:t>
      </w:r>
      <w:r w:rsidR="004F131D">
        <w:rPr>
          <w:rStyle w:val="FootnoteReference"/>
        </w:rPr>
        <w:footnoteReference w:id="5"/>
      </w:r>
      <w:r w:rsidR="006F292F">
        <w:t xml:space="preserve"> </w:t>
      </w:r>
      <w:r w:rsidR="001B15B3">
        <w:t xml:space="preserve">commercial mobile </w:t>
      </w:r>
      <w:r w:rsidR="001B15B3">
        <w:lastRenderedPageBreak/>
        <w:t>radio service (CMRS) carriers</w:t>
      </w:r>
      <w:r w:rsidR="006F22DD">
        <w:t xml:space="preserve">, </w:t>
      </w:r>
      <w:r w:rsidR="004C77A5">
        <w:t xml:space="preserve">and </w:t>
      </w:r>
      <w:r w:rsidR="006F22DD">
        <w:t xml:space="preserve">cable television (CATV) corporations </w:t>
      </w:r>
      <w:r w:rsidR="0057652D">
        <w:t xml:space="preserve">with </w:t>
      </w:r>
      <w:r w:rsidR="0057652D" w:rsidRPr="00A00D7B">
        <w:t xml:space="preserve">nondiscriminatory access to </w:t>
      </w:r>
      <w:r w:rsidR="008160E0">
        <w:t xml:space="preserve">public </w:t>
      </w:r>
      <w:r w:rsidR="0057652D">
        <w:t>utility </w:t>
      </w:r>
      <w:r w:rsidR="00726C5F">
        <w:t>infrastructure</w:t>
      </w:r>
      <w:r w:rsidR="0057652D">
        <w:t xml:space="preserve"> that is owned or controlled by (1) </w:t>
      </w:r>
      <w:r w:rsidR="0057652D" w:rsidRPr="00A00D7B">
        <w:t>large and midsized incumbent local exchange carriers</w:t>
      </w:r>
      <w:r w:rsidR="0057652D">
        <w:t>; and (2) </w:t>
      </w:r>
      <w:r w:rsidR="006E7632">
        <w:t>three</w:t>
      </w:r>
      <w:r w:rsidR="0057652D" w:rsidRPr="00A00D7B">
        <w:t xml:space="preserve"> electric utilities </w:t>
      </w:r>
      <w:r w:rsidR="0057652D">
        <w:t xml:space="preserve">consisting of </w:t>
      </w:r>
      <w:r w:rsidR="0057652D" w:rsidRPr="00A00D7B">
        <w:t>Pacific Gas and Electric Company</w:t>
      </w:r>
      <w:r w:rsidR="0057652D">
        <w:t>,</w:t>
      </w:r>
      <w:r w:rsidR="0057652D" w:rsidRPr="00A00D7B">
        <w:t xml:space="preserve"> San</w:t>
      </w:r>
      <w:r w:rsidR="0057652D">
        <w:t> </w:t>
      </w:r>
      <w:r w:rsidR="0057652D" w:rsidRPr="00A00D7B">
        <w:t>Diego Gas &amp; Electric Company</w:t>
      </w:r>
      <w:r w:rsidR="00280EF5">
        <w:t xml:space="preserve">, and </w:t>
      </w:r>
      <w:r w:rsidR="00280EF5" w:rsidRPr="00A00D7B">
        <w:t>Southern California Edison Company</w:t>
      </w:r>
      <w:r w:rsidR="006E7632">
        <w:t xml:space="preserve">.  </w:t>
      </w:r>
      <w:r w:rsidR="001B5820">
        <w:t xml:space="preserve">The Commission’s </w:t>
      </w:r>
      <w:r w:rsidR="003544C5">
        <w:t xml:space="preserve">rules </w:t>
      </w:r>
      <w:r w:rsidR="003A2C40">
        <w:t xml:space="preserve">for </w:t>
      </w:r>
      <w:r w:rsidR="00C87218">
        <w:t xml:space="preserve">nondiscriminatory access to </w:t>
      </w:r>
      <w:r w:rsidR="008160E0">
        <w:t>public utility infrastructure</w:t>
      </w:r>
      <w:r w:rsidR="00280EF5">
        <w:t xml:space="preserve"> are </w:t>
      </w:r>
      <w:r w:rsidR="00C87218">
        <w:t xml:space="preserve">referred to as </w:t>
      </w:r>
      <w:r w:rsidR="009E6C9E">
        <w:t xml:space="preserve">the </w:t>
      </w:r>
      <w:r w:rsidR="005064A8">
        <w:t xml:space="preserve">“Right-of-Way Rules” </w:t>
      </w:r>
      <w:r w:rsidR="00280EF5">
        <w:t>(</w:t>
      </w:r>
      <w:r w:rsidR="009E6C9E">
        <w:t>“ROW</w:t>
      </w:r>
      <w:r w:rsidR="001B5820">
        <w:t> </w:t>
      </w:r>
      <w:r w:rsidR="009E6C9E">
        <w:t>Rules”</w:t>
      </w:r>
      <w:r w:rsidR="00280EF5">
        <w:t>)</w:t>
      </w:r>
      <w:r w:rsidR="009E6C9E">
        <w:t xml:space="preserve"> </w:t>
      </w:r>
      <w:r w:rsidR="00280EF5">
        <w:t xml:space="preserve">and </w:t>
      </w:r>
      <w:r w:rsidR="00943440">
        <w:t>address the following matters:</w:t>
      </w:r>
    </w:p>
    <w:p w:rsidR="003544C5" w:rsidRDefault="00A05CDD" w:rsidP="00FF4579">
      <w:pPr>
        <w:pStyle w:val="standard"/>
        <w:spacing w:after="120" w:line="240" w:lineRule="auto"/>
        <w:ind w:left="1440" w:right="990" w:hanging="360"/>
      </w:pPr>
      <w:r>
        <w:t>1</w:t>
      </w:r>
      <w:r w:rsidR="00915804">
        <w:t xml:space="preserve">. </w:t>
      </w:r>
      <w:r w:rsidR="00915804">
        <w:tab/>
        <w:t xml:space="preserve">Requests </w:t>
      </w:r>
      <w:r w:rsidR="00D65007">
        <w:t xml:space="preserve">to </w:t>
      </w:r>
      <w:r w:rsidR="00915804">
        <w:t xml:space="preserve">access </w:t>
      </w:r>
      <w:r w:rsidR="00280EF5">
        <w:t xml:space="preserve">a public </w:t>
      </w:r>
      <w:r w:rsidR="00B9035C">
        <w:t>utility</w:t>
      </w:r>
      <w:r w:rsidR="00D65007">
        <w:t>’s</w:t>
      </w:r>
      <w:r w:rsidR="00B9035C">
        <w:t xml:space="preserve"> </w:t>
      </w:r>
      <w:r w:rsidR="00C87218">
        <w:t>infrastructure</w:t>
      </w:r>
      <w:r w:rsidR="00D65007">
        <w:t xml:space="preserve"> </w:t>
      </w:r>
      <w:r w:rsidR="00B9035C">
        <w:t xml:space="preserve">by </w:t>
      </w:r>
      <w:r w:rsidR="004C77A5">
        <w:t xml:space="preserve">CLECs, CMRS carriers, CATV corporations, </w:t>
      </w:r>
      <w:r w:rsidR="00F9004B">
        <w:t>including</w:t>
      </w:r>
      <w:r w:rsidR="00D65007">
        <w:t xml:space="preserve"> </w:t>
      </w:r>
      <w:r w:rsidR="00F9004B">
        <w:t xml:space="preserve">the contents of </w:t>
      </w:r>
      <w:r w:rsidR="00650017">
        <w:t xml:space="preserve">the </w:t>
      </w:r>
      <w:r w:rsidR="00F9004B">
        <w:t>requests</w:t>
      </w:r>
      <w:r w:rsidR="00280EF5">
        <w:t>,</w:t>
      </w:r>
      <w:r w:rsidR="00F9004B">
        <w:t xml:space="preserve"> </w:t>
      </w:r>
      <w:r w:rsidR="00280EF5">
        <w:t>deadlines for utility responses,</w:t>
      </w:r>
      <w:r w:rsidR="00F9004B">
        <w:t xml:space="preserve"> </w:t>
      </w:r>
      <w:r w:rsidR="00E004C0">
        <w:t xml:space="preserve">and </w:t>
      </w:r>
      <w:r w:rsidR="00F9004B">
        <w:t>timeframe</w:t>
      </w:r>
      <w:r w:rsidR="005064A8">
        <w:t>s</w:t>
      </w:r>
      <w:r w:rsidR="00F9004B">
        <w:t xml:space="preserve"> for </w:t>
      </w:r>
      <w:r w:rsidR="00C87218">
        <w:t xml:space="preserve">the utility to complete </w:t>
      </w:r>
      <w:r w:rsidR="00F9004B">
        <w:t>make</w:t>
      </w:r>
      <w:r w:rsidR="00C87218">
        <w:t>-</w:t>
      </w:r>
      <w:r w:rsidR="00E004C0">
        <w:t>ready work</w:t>
      </w:r>
      <w:r w:rsidR="00943440">
        <w:t>.</w:t>
      </w:r>
    </w:p>
    <w:p w:rsidR="00A42540" w:rsidRDefault="00A05CDD" w:rsidP="00FF4579">
      <w:pPr>
        <w:pStyle w:val="standard"/>
        <w:spacing w:after="120" w:line="240" w:lineRule="auto"/>
        <w:ind w:left="1440" w:right="1080" w:hanging="360"/>
      </w:pPr>
      <w:r>
        <w:t>2</w:t>
      </w:r>
      <w:r w:rsidR="00A42540">
        <w:t xml:space="preserve">. </w:t>
      </w:r>
      <w:r w:rsidR="00A42540">
        <w:tab/>
        <w:t xml:space="preserve">Protections for proprietary information. </w:t>
      </w:r>
    </w:p>
    <w:p w:rsidR="0077187B" w:rsidRDefault="00A05CDD" w:rsidP="00FF4579">
      <w:pPr>
        <w:pStyle w:val="standard"/>
        <w:spacing w:after="120" w:line="240" w:lineRule="auto"/>
        <w:ind w:left="1440" w:right="1080" w:hanging="360"/>
      </w:pPr>
      <w:r>
        <w:t>3</w:t>
      </w:r>
      <w:r w:rsidR="0077187B">
        <w:t xml:space="preserve">. </w:t>
      </w:r>
      <w:r w:rsidR="0077187B">
        <w:tab/>
      </w:r>
      <w:r w:rsidR="003A2C40">
        <w:t>Fees</w:t>
      </w:r>
      <w:r w:rsidR="00E004C0">
        <w:t xml:space="preserve"> </w:t>
      </w:r>
      <w:r w:rsidR="0077187B">
        <w:t>and contracts for access</w:t>
      </w:r>
      <w:r w:rsidR="00D65007">
        <w:t xml:space="preserve"> to </w:t>
      </w:r>
      <w:r w:rsidR="008160E0">
        <w:t>public utility infrastructure</w:t>
      </w:r>
      <w:r w:rsidR="0077187B">
        <w:t xml:space="preserve">. </w:t>
      </w:r>
    </w:p>
    <w:p w:rsidR="0077187B" w:rsidRDefault="00A05CDD" w:rsidP="00FF4579">
      <w:pPr>
        <w:pStyle w:val="standard"/>
        <w:spacing w:after="120" w:line="240" w:lineRule="auto"/>
        <w:ind w:left="1440" w:right="1080" w:hanging="360"/>
      </w:pPr>
      <w:r>
        <w:t>4</w:t>
      </w:r>
      <w:r w:rsidR="0077187B">
        <w:t xml:space="preserve">. </w:t>
      </w:r>
      <w:r w:rsidR="0077187B">
        <w:tab/>
        <w:t xml:space="preserve">Reservations of </w:t>
      </w:r>
      <w:r w:rsidR="00C87218">
        <w:t>infrastructure</w:t>
      </w:r>
      <w:r w:rsidR="00D65007">
        <w:t xml:space="preserve"> </w:t>
      </w:r>
      <w:r w:rsidR="0077187B">
        <w:t xml:space="preserve">capacity for future use. </w:t>
      </w:r>
    </w:p>
    <w:p w:rsidR="0077187B" w:rsidRDefault="0089019C" w:rsidP="00FF4579">
      <w:pPr>
        <w:pStyle w:val="standard"/>
        <w:spacing w:after="120" w:line="240" w:lineRule="auto"/>
        <w:ind w:left="1440" w:right="1080" w:hanging="360"/>
      </w:pPr>
      <w:r>
        <w:t>5</w:t>
      </w:r>
      <w:r w:rsidR="0027108D">
        <w:t xml:space="preserve">. </w:t>
      </w:r>
      <w:r w:rsidR="0027108D">
        <w:tab/>
      </w:r>
      <w:r w:rsidR="0077187B">
        <w:t>Procedures for expedited resolution of disputes.</w:t>
      </w:r>
    </w:p>
    <w:p w:rsidR="0077187B" w:rsidRDefault="0089019C" w:rsidP="00FF4579">
      <w:pPr>
        <w:pStyle w:val="standard"/>
        <w:spacing w:after="240" w:line="240" w:lineRule="auto"/>
        <w:ind w:left="1440" w:right="1080" w:hanging="360"/>
      </w:pPr>
      <w:r>
        <w:t>6</w:t>
      </w:r>
      <w:r w:rsidR="0077187B">
        <w:t xml:space="preserve">. </w:t>
      </w:r>
      <w:r w:rsidR="0077187B">
        <w:tab/>
        <w:t>Safety standards for a</w:t>
      </w:r>
      <w:r w:rsidR="0077187B" w:rsidRPr="007C199F">
        <w:t xml:space="preserve">ccess to </w:t>
      </w:r>
      <w:r w:rsidR="008160E0">
        <w:t>public utility infrastructure</w:t>
      </w:r>
      <w:r w:rsidR="00D65007" w:rsidRPr="007C199F">
        <w:t>.</w:t>
      </w:r>
    </w:p>
    <w:p w:rsidR="000256F5" w:rsidRDefault="000256F5" w:rsidP="000256F5">
      <w:pPr>
        <w:pStyle w:val="standard"/>
      </w:pPr>
      <w:r>
        <w:t>The ROW Rules</w:t>
      </w:r>
      <w:r w:rsidRPr="00EB6DCD">
        <w:t xml:space="preserve"> </w:t>
      </w:r>
      <w:r>
        <w:t>are administered by the Commission in the form of preferred outcomes.</w:t>
      </w:r>
      <w:r w:rsidRPr="00EB6DCD">
        <w:t xml:space="preserve">  </w:t>
      </w:r>
      <w:r w:rsidR="00C87218">
        <w:t>P</w:t>
      </w:r>
      <w:r>
        <w:t xml:space="preserve">arties </w:t>
      </w:r>
      <w:r w:rsidR="00531590">
        <w:t xml:space="preserve">may </w:t>
      </w:r>
      <w:r>
        <w:t>negotiat</w:t>
      </w:r>
      <w:r w:rsidR="00531590">
        <w:t>e</w:t>
      </w:r>
      <w:r>
        <w:t xml:space="preserve"> </w:t>
      </w:r>
      <w:r w:rsidR="00C87218">
        <w:t>access</w:t>
      </w:r>
      <w:r>
        <w:t xml:space="preserve"> agreements </w:t>
      </w:r>
      <w:r w:rsidR="003F73F5">
        <w:t>that</w:t>
      </w:r>
      <w:r>
        <w:t xml:space="preserve"> depart from these preferred outcomes</w:t>
      </w:r>
      <w:r w:rsidR="005064A8">
        <w:t>,</w:t>
      </w:r>
      <w:r>
        <w:t xml:space="preserve"> but in resolving any </w:t>
      </w:r>
      <w:r w:rsidR="00C87218">
        <w:t>access</w:t>
      </w:r>
      <w:r>
        <w:t xml:space="preserve"> dispute the Commission will consider how closely each party has conformed to these </w:t>
      </w:r>
      <w:r w:rsidR="00C87218">
        <w:t xml:space="preserve">preferred </w:t>
      </w:r>
      <w:r>
        <w:t xml:space="preserve">outcomes.  </w:t>
      </w:r>
    </w:p>
    <w:p w:rsidR="00902DCB" w:rsidRDefault="009A5BB2" w:rsidP="00127428">
      <w:pPr>
        <w:pStyle w:val="standard"/>
      </w:pPr>
      <w:r>
        <w:t xml:space="preserve">Of importance to today’s </w:t>
      </w:r>
      <w:r w:rsidR="00991463">
        <w:t xml:space="preserve">decision, </w:t>
      </w:r>
      <w:r w:rsidR="00035693">
        <w:t xml:space="preserve">the </w:t>
      </w:r>
      <w:r w:rsidR="008804EF">
        <w:t xml:space="preserve">current </w:t>
      </w:r>
      <w:r w:rsidR="00035693">
        <w:t>ROW Rules appl</w:t>
      </w:r>
      <w:r w:rsidR="00950837">
        <w:t>y</w:t>
      </w:r>
      <w:r w:rsidR="00035693">
        <w:t xml:space="preserve"> only to </w:t>
      </w:r>
      <w:r w:rsidR="00902DCB">
        <w:t xml:space="preserve">the following types of </w:t>
      </w:r>
      <w:r w:rsidR="003F73F5">
        <w:t>facilities</w:t>
      </w:r>
      <w:r w:rsidR="00902DCB">
        <w:t>:</w:t>
      </w:r>
    </w:p>
    <w:p w:rsidR="006A4AE4" w:rsidRDefault="006A4AE4" w:rsidP="00FF4579">
      <w:pPr>
        <w:pStyle w:val="standard"/>
        <w:numPr>
          <w:ilvl w:val="0"/>
          <w:numId w:val="23"/>
        </w:numPr>
        <w:spacing w:after="120" w:line="240" w:lineRule="auto"/>
        <w:ind w:right="1080"/>
      </w:pPr>
      <w:r>
        <w:t>Wireline facilities installed by CATV corporations and CLECs.</w:t>
      </w:r>
    </w:p>
    <w:p w:rsidR="00902DCB" w:rsidRDefault="00902DCB" w:rsidP="00FF4579">
      <w:pPr>
        <w:pStyle w:val="standard"/>
        <w:numPr>
          <w:ilvl w:val="0"/>
          <w:numId w:val="23"/>
        </w:numPr>
        <w:spacing w:after="120" w:line="240" w:lineRule="auto"/>
        <w:ind w:right="1080"/>
      </w:pPr>
      <w:r>
        <w:t>W</w:t>
      </w:r>
      <w:r w:rsidR="00864BBE">
        <w:t xml:space="preserve">ireless </w:t>
      </w:r>
      <w:r w:rsidR="00531590">
        <w:t>facilities</w:t>
      </w:r>
      <w:r w:rsidR="00864BBE">
        <w:t xml:space="preserve"> installed by CMRS carriers</w:t>
      </w:r>
      <w:r w:rsidR="006F2934">
        <w:t xml:space="preserve"> and </w:t>
      </w:r>
      <w:r w:rsidR="003D08F4">
        <w:t>related</w:t>
      </w:r>
      <w:r w:rsidR="006F2934">
        <w:t xml:space="preserve"> wireline </w:t>
      </w:r>
      <w:r w:rsidR="00575E6B">
        <w:t>facilities</w:t>
      </w:r>
      <w:r w:rsidR="006F2934">
        <w:t xml:space="preserve"> installed by CMRS carriers</w:t>
      </w:r>
      <w:r>
        <w:t>.</w:t>
      </w:r>
    </w:p>
    <w:p w:rsidR="00902DCB" w:rsidRDefault="00902DCB" w:rsidP="00FF4579">
      <w:pPr>
        <w:pStyle w:val="standard"/>
        <w:numPr>
          <w:ilvl w:val="0"/>
          <w:numId w:val="23"/>
        </w:numPr>
        <w:spacing w:after="240" w:line="240" w:lineRule="auto"/>
        <w:ind w:right="1080"/>
      </w:pPr>
      <w:r>
        <w:lastRenderedPageBreak/>
        <w:t>W</w:t>
      </w:r>
      <w:r w:rsidR="00B53113">
        <w:t xml:space="preserve">ireless </w:t>
      </w:r>
      <w:r w:rsidR="00531590">
        <w:t>facilities</w:t>
      </w:r>
      <w:r w:rsidR="00B53113">
        <w:t xml:space="preserve"> installed by CLECs </w:t>
      </w:r>
      <w:r w:rsidR="00F56558">
        <w:t xml:space="preserve">that use fixed wireless technology </w:t>
      </w:r>
      <w:r w:rsidR="00003DE6">
        <w:t>to</w:t>
      </w:r>
      <w:r w:rsidR="00B53113">
        <w:t xml:space="preserve"> provid</w:t>
      </w:r>
      <w:r w:rsidR="00003DE6">
        <w:t>e</w:t>
      </w:r>
      <w:r w:rsidR="00B53113">
        <w:t xml:space="preserve"> point-to-multipoint service</w:t>
      </w:r>
      <w:r w:rsidR="0011560D">
        <w:t xml:space="preserve"> at fixed locations</w:t>
      </w:r>
      <w:r w:rsidR="006A4AE4">
        <w:t xml:space="preserve"> </w:t>
      </w:r>
      <w:r w:rsidR="00681B66">
        <w:t>(</w:t>
      </w:r>
      <w:r w:rsidR="006A4AE4">
        <w:t>fixed wireless facilities)</w:t>
      </w:r>
      <w:r w:rsidR="00864BBE">
        <w:t>.</w:t>
      </w:r>
      <w:r w:rsidR="00B53113">
        <w:t xml:space="preserve">  </w:t>
      </w:r>
      <w:r w:rsidR="00A06DC6">
        <w:t>The ROW</w:t>
      </w:r>
      <w:r w:rsidR="00003DE6">
        <w:t> </w:t>
      </w:r>
      <w:r w:rsidR="00A06DC6">
        <w:t xml:space="preserve">Rules do </w:t>
      </w:r>
      <w:r w:rsidR="00A06DC6" w:rsidRPr="00A06DC6">
        <w:rPr>
          <w:u w:val="single"/>
        </w:rPr>
        <w:t>not</w:t>
      </w:r>
      <w:r w:rsidR="00A06DC6">
        <w:t xml:space="preserve"> apply to </w:t>
      </w:r>
      <w:r w:rsidR="00681B66">
        <w:t xml:space="preserve">other types of </w:t>
      </w:r>
      <w:r w:rsidR="00A06DC6">
        <w:t xml:space="preserve">CLEC wireless </w:t>
      </w:r>
      <w:r w:rsidR="00403151">
        <w:t>facilities</w:t>
      </w:r>
      <w:r w:rsidR="00A06DC6">
        <w:t>.</w:t>
      </w:r>
    </w:p>
    <w:p w:rsidR="003178E9" w:rsidRDefault="003178E9" w:rsidP="003178E9">
      <w:pPr>
        <w:pStyle w:val="Heading2"/>
      </w:pPr>
      <w:bookmarkStart w:id="13" w:name="_Toc512317962"/>
      <w:r>
        <w:t>Rulemaking 17-03-009</w:t>
      </w:r>
      <w:bookmarkEnd w:id="13"/>
      <w:r>
        <w:t xml:space="preserve"> </w:t>
      </w:r>
    </w:p>
    <w:p w:rsidR="00D76FBA" w:rsidRDefault="001D11FC" w:rsidP="00267BAD">
      <w:pPr>
        <w:pStyle w:val="standard"/>
        <w:keepLines/>
      </w:pPr>
      <w:r>
        <w:rPr>
          <w:rStyle w:val="standardChar"/>
        </w:rPr>
        <w:t xml:space="preserve">The Commission </w:t>
      </w:r>
      <w:r w:rsidR="00AE5DDF">
        <w:rPr>
          <w:rStyle w:val="standardChar"/>
        </w:rPr>
        <w:t xml:space="preserve">issued Order Instituting </w:t>
      </w:r>
      <w:r>
        <w:rPr>
          <w:rStyle w:val="standardChar"/>
        </w:rPr>
        <w:t xml:space="preserve">Rulemaking </w:t>
      </w:r>
      <w:r w:rsidR="00C07822">
        <w:rPr>
          <w:rStyle w:val="standardChar"/>
        </w:rPr>
        <w:t>(</w:t>
      </w:r>
      <w:r w:rsidR="00E432D4">
        <w:rPr>
          <w:rStyle w:val="standardChar"/>
        </w:rPr>
        <w:t>OI</w:t>
      </w:r>
      <w:r>
        <w:rPr>
          <w:rStyle w:val="standardChar"/>
        </w:rPr>
        <w:t>R) 17</w:t>
      </w:r>
      <w:r w:rsidR="00403151">
        <w:rPr>
          <w:rStyle w:val="standardChar"/>
        </w:rPr>
        <w:noBreakHyphen/>
      </w:r>
      <w:r>
        <w:rPr>
          <w:rStyle w:val="standardChar"/>
        </w:rPr>
        <w:t>03</w:t>
      </w:r>
      <w:r w:rsidR="00403151">
        <w:rPr>
          <w:rStyle w:val="standardChar"/>
        </w:rPr>
        <w:noBreakHyphen/>
      </w:r>
      <w:r>
        <w:rPr>
          <w:rStyle w:val="standardChar"/>
        </w:rPr>
        <w:t xml:space="preserve">009 in response to </w:t>
      </w:r>
      <w:r w:rsidR="00C07822">
        <w:rPr>
          <w:rStyle w:val="standardChar"/>
        </w:rPr>
        <w:t>P</w:t>
      </w:r>
      <w:r>
        <w:rPr>
          <w:rStyle w:val="standardChar"/>
        </w:rPr>
        <w:t xml:space="preserve">etition </w:t>
      </w:r>
      <w:r w:rsidR="00AE5DDF">
        <w:rPr>
          <w:rStyle w:val="standardChar"/>
        </w:rPr>
        <w:t xml:space="preserve">16-08-016 </w:t>
      </w:r>
      <w:r>
        <w:rPr>
          <w:rStyle w:val="standardChar"/>
        </w:rPr>
        <w:t xml:space="preserve">filed by the Wireless Infrastructure Association pursuant to </w:t>
      </w:r>
      <w:r w:rsidR="00C07822" w:rsidRPr="001E6156">
        <w:t>Pub. Util. Code</w:t>
      </w:r>
      <w:r w:rsidR="00C07822">
        <w:t> </w:t>
      </w:r>
      <w:r w:rsidR="00C07822" w:rsidRPr="001E6156">
        <w:t>§</w:t>
      </w:r>
      <w:r w:rsidR="00DA2714">
        <w:t> </w:t>
      </w:r>
      <w:r w:rsidR="00403151">
        <w:t>1708.5</w:t>
      </w:r>
      <w:r w:rsidR="00ED6C27">
        <w:t>.</w:t>
      </w:r>
      <w:r w:rsidR="00ED6C27">
        <w:rPr>
          <w:rStyle w:val="FootnoteReference"/>
        </w:rPr>
        <w:footnoteReference w:id="6"/>
      </w:r>
      <w:r w:rsidR="00ED6C27">
        <w:t xml:space="preserve">  </w:t>
      </w:r>
      <w:r w:rsidR="00E432D4">
        <w:t>A</w:t>
      </w:r>
      <w:r w:rsidR="00D76FBA">
        <w:t>s set forth in OIR 17-03-0</w:t>
      </w:r>
      <w:r w:rsidR="00DA2714">
        <w:t>09</w:t>
      </w:r>
      <w:r w:rsidR="00D76FBA">
        <w:t>, the following issues are within the scope of this proceeding:</w:t>
      </w:r>
    </w:p>
    <w:p w:rsidR="00D76FBA" w:rsidRDefault="00D76FBA" w:rsidP="00FF4579">
      <w:pPr>
        <w:numPr>
          <w:ilvl w:val="0"/>
          <w:numId w:val="24"/>
        </w:numPr>
        <w:tabs>
          <w:tab w:val="left" w:pos="1440"/>
        </w:tabs>
        <w:spacing w:after="120"/>
        <w:ind w:left="1440" w:right="900"/>
      </w:pPr>
      <w:r>
        <w:t xml:space="preserve">Whether it is in the public interest to amend the ROW Rules to encompass </w:t>
      </w:r>
      <w:r w:rsidR="00596A2C">
        <w:t xml:space="preserve">all </w:t>
      </w:r>
      <w:r>
        <w:t xml:space="preserve">CLEC wireless </w:t>
      </w:r>
      <w:r w:rsidR="003C5069">
        <w:t>facilities</w:t>
      </w:r>
      <w:r>
        <w:t xml:space="preserve">. </w:t>
      </w:r>
      <w:r w:rsidR="00D379A1">
        <w:t xml:space="preserve"> </w:t>
      </w:r>
      <w:r w:rsidR="00196137">
        <w:t>T</w:t>
      </w:r>
      <w:r w:rsidR="00D379A1">
        <w:t>h</w:t>
      </w:r>
      <w:r w:rsidR="00782EDA">
        <w:t>e ROW</w:t>
      </w:r>
      <w:r w:rsidR="003C5069">
        <w:t> </w:t>
      </w:r>
      <w:r w:rsidR="00782EDA">
        <w:t xml:space="preserve">Rules currently apply to CLEC </w:t>
      </w:r>
      <w:r w:rsidR="006A4AE4">
        <w:t xml:space="preserve">fixed </w:t>
      </w:r>
      <w:r w:rsidR="00782EDA">
        <w:t>w</w:t>
      </w:r>
      <w:r w:rsidR="00D379A1">
        <w:t xml:space="preserve">ireless </w:t>
      </w:r>
      <w:r w:rsidR="006A4AE4">
        <w:t>facilities</w:t>
      </w:r>
      <w:r w:rsidR="00596A2C">
        <w:t>, but not to other types of CLEC wireless facilities</w:t>
      </w:r>
      <w:r w:rsidR="00D379A1">
        <w:t xml:space="preserve">.  </w:t>
      </w:r>
      <w:r w:rsidR="00782EDA">
        <w:t xml:space="preserve"> </w:t>
      </w:r>
    </w:p>
    <w:p w:rsidR="00D76FBA" w:rsidRDefault="00D76FBA" w:rsidP="00FF4579">
      <w:pPr>
        <w:numPr>
          <w:ilvl w:val="0"/>
          <w:numId w:val="24"/>
        </w:numPr>
        <w:tabs>
          <w:tab w:val="left" w:pos="1440"/>
        </w:tabs>
        <w:spacing w:after="120"/>
        <w:ind w:left="1440" w:right="900"/>
      </w:pPr>
      <w:r>
        <w:t xml:space="preserve">The specific amendments to the ROW Rules that are necessary to provide nondiscriminatory access to </w:t>
      </w:r>
      <w:r w:rsidR="00E60190">
        <w:t xml:space="preserve">public utility infrastructure </w:t>
      </w:r>
      <w:r>
        <w:t xml:space="preserve">for CLEC wireless </w:t>
      </w:r>
      <w:r w:rsidR="00E60190">
        <w:t>facilities</w:t>
      </w:r>
      <w:r>
        <w:t xml:space="preserve">.  The scope of potential amendments to the ROW Rules is limited to CLEC wireless </w:t>
      </w:r>
      <w:r w:rsidR="00E60190">
        <w:t xml:space="preserve">facilities </w:t>
      </w:r>
      <w:r>
        <w:t xml:space="preserve">and any associated CLEC wireline </w:t>
      </w:r>
      <w:r w:rsidR="00E60190">
        <w:t>facilities</w:t>
      </w:r>
      <w:r>
        <w:t xml:space="preserve">.  </w:t>
      </w:r>
    </w:p>
    <w:p w:rsidR="00D76FBA" w:rsidRDefault="00D76FBA" w:rsidP="00FF4579">
      <w:pPr>
        <w:numPr>
          <w:ilvl w:val="0"/>
          <w:numId w:val="24"/>
        </w:numPr>
        <w:tabs>
          <w:tab w:val="left" w:pos="1440"/>
        </w:tabs>
        <w:spacing w:after="120"/>
        <w:ind w:left="1440" w:right="900"/>
      </w:pPr>
      <w:r>
        <w:t xml:space="preserve">The specific Commission authority that a CLEC must possess to install wireless </w:t>
      </w:r>
      <w:r w:rsidR="00880D09">
        <w:t>facilities</w:t>
      </w:r>
      <w:r w:rsidR="00644BED">
        <w:t xml:space="preserve"> under the ROW</w:t>
      </w:r>
      <w:r w:rsidR="00FF4579">
        <w:t> </w:t>
      </w:r>
      <w:r w:rsidR="00644BED">
        <w:t>Rules</w:t>
      </w:r>
      <w:r>
        <w:t xml:space="preserve">, such as a </w:t>
      </w:r>
      <w:r w:rsidR="00681B66">
        <w:t xml:space="preserve">certificate of public convenience and necessity (CPCN) </w:t>
      </w:r>
      <w:r w:rsidR="00644BED">
        <w:t xml:space="preserve">to </w:t>
      </w:r>
      <w:r>
        <w:t>provide facilities-based competitive local exchange service; a</w:t>
      </w:r>
      <w:r w:rsidR="00880D09">
        <w:t xml:space="preserve"> </w:t>
      </w:r>
      <w:r>
        <w:t xml:space="preserve">Wireless </w:t>
      </w:r>
      <w:r w:rsidR="00DE7843">
        <w:t>Identification</w:t>
      </w:r>
      <w:r>
        <w:t xml:space="preserve"> Registration to provide facilities-based CMRS; and/or a final environmental impact report, negative declaration, or other documents that may be required by the California Environmental Quality Act for the installation </w:t>
      </w:r>
      <w:r w:rsidR="00880D09">
        <w:t xml:space="preserve">or construction </w:t>
      </w:r>
      <w:r>
        <w:t xml:space="preserve">of wireless </w:t>
      </w:r>
      <w:r w:rsidR="00880D09">
        <w:t>facilities</w:t>
      </w:r>
      <w:r>
        <w:t xml:space="preserve">.   </w:t>
      </w:r>
    </w:p>
    <w:p w:rsidR="00D76FBA" w:rsidRDefault="00D76FBA" w:rsidP="00FF4579">
      <w:pPr>
        <w:keepLines/>
        <w:numPr>
          <w:ilvl w:val="0"/>
          <w:numId w:val="24"/>
        </w:numPr>
        <w:tabs>
          <w:tab w:val="left" w:pos="1440"/>
        </w:tabs>
        <w:spacing w:after="120"/>
        <w:ind w:left="1440" w:right="900"/>
      </w:pPr>
      <w:r>
        <w:t xml:space="preserve">Just and reasonable </w:t>
      </w:r>
      <w:r w:rsidR="00CA7A09">
        <w:t xml:space="preserve">fees and charges for </w:t>
      </w:r>
      <w:r w:rsidR="00880D09">
        <w:t xml:space="preserve">access </w:t>
      </w:r>
      <w:r w:rsidR="00CA7A09">
        <w:t xml:space="preserve">to public utility infrastructure </w:t>
      </w:r>
      <w:r>
        <w:t>for CLEC wi</w:t>
      </w:r>
      <w:r w:rsidR="00267BAD">
        <w:t xml:space="preserve">reless </w:t>
      </w:r>
      <w:r w:rsidR="00880D09">
        <w:t>facilities</w:t>
      </w:r>
      <w:r>
        <w:t>.</w:t>
      </w:r>
    </w:p>
    <w:p w:rsidR="00D76FBA" w:rsidRDefault="00D76FBA" w:rsidP="00FF4579">
      <w:pPr>
        <w:keepLines/>
        <w:numPr>
          <w:ilvl w:val="0"/>
          <w:numId w:val="24"/>
        </w:numPr>
        <w:tabs>
          <w:tab w:val="left" w:pos="1440"/>
        </w:tabs>
        <w:spacing w:after="120"/>
        <w:ind w:left="1440" w:right="900"/>
      </w:pPr>
      <w:r>
        <w:lastRenderedPageBreak/>
        <w:t xml:space="preserve">Additional regulations that may be necessary, if any, to ensure that CLEC wireless </w:t>
      </w:r>
      <w:r w:rsidR="00880D09">
        <w:t>facilities</w:t>
      </w:r>
      <w:r>
        <w:t xml:space="preserve"> are designed, constructed, operated, inspected, and maintained to </w:t>
      </w:r>
      <w:r w:rsidR="00571AC2">
        <w:br/>
      </w:r>
      <w:r>
        <w:t>(A)</w:t>
      </w:r>
      <w:r w:rsidR="00FF4579">
        <w:t> </w:t>
      </w:r>
      <w:r>
        <w:t xml:space="preserve">protect worker </w:t>
      </w:r>
      <w:r w:rsidR="005064A8">
        <w:t xml:space="preserve">safety </w:t>
      </w:r>
      <w:r>
        <w:t xml:space="preserve">and public safety, and (B) preserve the reliability of co-located utility facilities (e.g., power lines and telephone lines).  </w:t>
      </w:r>
    </w:p>
    <w:p w:rsidR="00D76FBA" w:rsidRDefault="00D76FBA" w:rsidP="00FF4579">
      <w:pPr>
        <w:numPr>
          <w:ilvl w:val="0"/>
          <w:numId w:val="24"/>
        </w:numPr>
        <w:tabs>
          <w:tab w:val="left" w:pos="1440"/>
        </w:tabs>
        <w:spacing w:after="200"/>
        <w:ind w:left="1440" w:right="900"/>
      </w:pPr>
      <w:r>
        <w:t>Certification of any adopted amendments to the ROW</w:t>
      </w:r>
      <w:r w:rsidR="005C7E52">
        <w:t> </w:t>
      </w:r>
      <w:r>
        <w:t>Rules in accordance with 47 U.S.C. 224(c).</w:t>
      </w:r>
    </w:p>
    <w:p w:rsidR="003178E9" w:rsidRDefault="00923090" w:rsidP="00923090">
      <w:pPr>
        <w:pStyle w:val="standard"/>
        <w:rPr>
          <w:rStyle w:val="standardChar"/>
        </w:rPr>
      </w:pPr>
      <w:r>
        <w:t>The Commission further determined that adopted amendments to the ROW</w:t>
      </w:r>
      <w:r w:rsidR="00E94883">
        <w:t> </w:t>
      </w:r>
      <w:r>
        <w:t xml:space="preserve">Rules, if any, </w:t>
      </w:r>
      <w:r w:rsidRPr="009E3B2B">
        <w:t>will apply prospectively</w:t>
      </w:r>
      <w:r>
        <w:t xml:space="preserve"> in accordance with Rule 6.3(a) of the Commission’s Rules of Practice and Procedure, </w:t>
      </w:r>
      <w:r w:rsidR="005064A8">
        <w:t>and</w:t>
      </w:r>
      <w:r>
        <w:t xml:space="preserve"> will not apply to the contractual rates, terms, and conditions for existing </w:t>
      </w:r>
      <w:r w:rsidR="00E63E21">
        <w:t>CLEC installations</w:t>
      </w:r>
      <w:r>
        <w:t>.</w:t>
      </w:r>
    </w:p>
    <w:p w:rsidR="00C07822" w:rsidRDefault="00E94883" w:rsidP="00127428">
      <w:pPr>
        <w:pStyle w:val="standard"/>
        <w:rPr>
          <w:rStyle w:val="standardChar"/>
        </w:rPr>
      </w:pPr>
      <w:r>
        <w:rPr>
          <w:rStyle w:val="standardChar"/>
        </w:rPr>
        <w:t>On June 29, 2017, the Commission issued the combined Order Instituting Investigation (OII) 17-06-027 and OIR 17-06-028</w:t>
      </w:r>
      <w:r w:rsidR="00E63E21">
        <w:rPr>
          <w:rStyle w:val="standardChar"/>
        </w:rPr>
        <w:t>.  The c</w:t>
      </w:r>
      <w:r>
        <w:rPr>
          <w:rStyle w:val="standardChar"/>
        </w:rPr>
        <w:t>ombined OII/OIR consolidated the instant proceeding, R</w:t>
      </w:r>
      <w:r w:rsidR="00267AF8">
        <w:rPr>
          <w:rStyle w:val="standardChar"/>
        </w:rPr>
        <w:t xml:space="preserve">ulemaking </w:t>
      </w:r>
      <w:r>
        <w:rPr>
          <w:rStyle w:val="standardChar"/>
        </w:rPr>
        <w:t>17</w:t>
      </w:r>
      <w:r>
        <w:rPr>
          <w:rStyle w:val="standardChar"/>
        </w:rPr>
        <w:noBreakHyphen/>
        <w:t>03</w:t>
      </w:r>
      <w:r>
        <w:rPr>
          <w:rStyle w:val="standardChar"/>
        </w:rPr>
        <w:noBreakHyphen/>
        <w:t>009, with Investigation (I.)</w:t>
      </w:r>
      <w:r w:rsidR="00E63E21">
        <w:rPr>
          <w:rStyle w:val="standardChar"/>
        </w:rPr>
        <w:t> </w:t>
      </w:r>
      <w:r>
        <w:rPr>
          <w:rStyle w:val="standardChar"/>
        </w:rPr>
        <w:t>17-06-027 and R</w:t>
      </w:r>
      <w:r w:rsidR="00267AF8">
        <w:rPr>
          <w:rStyle w:val="standardChar"/>
        </w:rPr>
        <w:t>ulemaking (R.) </w:t>
      </w:r>
      <w:r>
        <w:rPr>
          <w:rStyle w:val="standardChar"/>
        </w:rPr>
        <w:t>17-06-028, subject to the condition that such consolidat</w:t>
      </w:r>
      <w:r w:rsidR="00196137">
        <w:rPr>
          <w:rStyle w:val="standardChar"/>
        </w:rPr>
        <w:t>ion</w:t>
      </w:r>
      <w:r>
        <w:rPr>
          <w:rStyle w:val="standardChar"/>
        </w:rPr>
        <w:t xml:space="preserve"> would not affect the </w:t>
      </w:r>
      <w:r w:rsidR="00AB2750">
        <w:rPr>
          <w:rStyle w:val="standardChar"/>
        </w:rPr>
        <w:t>scope</w:t>
      </w:r>
      <w:r>
        <w:rPr>
          <w:rStyle w:val="standardChar"/>
        </w:rPr>
        <w:t xml:space="preserve"> </w:t>
      </w:r>
      <w:r w:rsidR="00214A42">
        <w:rPr>
          <w:rStyle w:val="standardChar"/>
        </w:rPr>
        <w:t xml:space="preserve">and schedule </w:t>
      </w:r>
      <w:r>
        <w:rPr>
          <w:rStyle w:val="standardChar"/>
        </w:rPr>
        <w:t>for R.17-03-009.</w:t>
      </w:r>
      <w:r w:rsidR="00214A42">
        <w:rPr>
          <w:rStyle w:val="FootnoteReference"/>
        </w:rPr>
        <w:footnoteReference w:id="7"/>
      </w:r>
      <w:r>
        <w:rPr>
          <w:rStyle w:val="standardChar"/>
        </w:rPr>
        <w:t xml:space="preserve"> </w:t>
      </w:r>
    </w:p>
    <w:p w:rsidR="009B6B64" w:rsidRDefault="009B6B64" w:rsidP="00214651">
      <w:pPr>
        <w:pStyle w:val="Heading2"/>
      </w:pPr>
      <w:bookmarkStart w:id="14" w:name="_Toc399832138"/>
      <w:bookmarkStart w:id="15" w:name="_Toc424321889"/>
      <w:bookmarkStart w:id="16" w:name="_Toc512317963"/>
      <w:r>
        <w:t xml:space="preserve">Procedural </w:t>
      </w:r>
      <w:r w:rsidRPr="00214651">
        <w:t>Background</w:t>
      </w:r>
      <w:bookmarkEnd w:id="14"/>
      <w:bookmarkEnd w:id="15"/>
      <w:bookmarkEnd w:id="16"/>
      <w:r>
        <w:t xml:space="preserve"> </w:t>
      </w:r>
    </w:p>
    <w:p w:rsidR="004C3A8C" w:rsidRDefault="00560113" w:rsidP="008B0E8E">
      <w:pPr>
        <w:pStyle w:val="standard"/>
      </w:pPr>
      <w:r>
        <w:t xml:space="preserve">The Commission approved </w:t>
      </w:r>
      <w:r w:rsidR="008B0E8E">
        <w:t>OIR 1</w:t>
      </w:r>
      <w:r w:rsidR="004C3A8C">
        <w:t>7</w:t>
      </w:r>
      <w:r w:rsidR="008B0E8E">
        <w:t>-0</w:t>
      </w:r>
      <w:r w:rsidR="004C3A8C">
        <w:t>3</w:t>
      </w:r>
      <w:r w:rsidR="008B0E8E">
        <w:t>-00</w:t>
      </w:r>
      <w:r w:rsidR="004C3A8C">
        <w:t>9</w:t>
      </w:r>
      <w:r w:rsidR="008B0E8E">
        <w:t xml:space="preserve"> </w:t>
      </w:r>
      <w:r>
        <w:t xml:space="preserve">at its </w:t>
      </w:r>
      <w:r w:rsidR="000C434A">
        <w:t xml:space="preserve">business </w:t>
      </w:r>
      <w:r>
        <w:t>meeting on Ma</w:t>
      </w:r>
      <w:r w:rsidR="004C3A8C">
        <w:t>rch</w:t>
      </w:r>
      <w:r w:rsidR="000C12EE">
        <w:t> </w:t>
      </w:r>
      <w:r w:rsidR="004C3A8C">
        <w:t>23</w:t>
      </w:r>
      <w:r w:rsidR="009A520F">
        <w:t>, 201</w:t>
      </w:r>
      <w:r w:rsidR="004C3A8C">
        <w:t xml:space="preserve">7, and issued OIR </w:t>
      </w:r>
      <w:r w:rsidR="00267AF8">
        <w:t xml:space="preserve">17-03-009 </w:t>
      </w:r>
      <w:r w:rsidR="004C3A8C">
        <w:t>on April 3, 2017</w:t>
      </w:r>
      <w:r>
        <w:t xml:space="preserve">.  </w:t>
      </w:r>
      <w:r w:rsidR="004C3A8C">
        <w:t>The OIR, or a</w:t>
      </w:r>
      <w:r>
        <w:t xml:space="preserve"> notice of availability of the OIR</w:t>
      </w:r>
      <w:r w:rsidR="00094EDE">
        <w:t>,</w:t>
      </w:r>
      <w:r>
        <w:t xml:space="preserve"> was served on </w:t>
      </w:r>
      <w:r w:rsidR="004C3A8C">
        <w:t>the following:</w:t>
      </w:r>
    </w:p>
    <w:p w:rsidR="004C3A8C" w:rsidRDefault="004C3A8C" w:rsidP="00FF4579">
      <w:pPr>
        <w:numPr>
          <w:ilvl w:val="0"/>
          <w:numId w:val="25"/>
        </w:numPr>
        <w:tabs>
          <w:tab w:val="clear" w:pos="1332"/>
        </w:tabs>
        <w:spacing w:after="80"/>
        <w:ind w:left="1440" w:right="900" w:hanging="360"/>
      </w:pPr>
      <w:r>
        <w:t>The service lists for Petition 16-08-016, Petition 16-07-009</w:t>
      </w:r>
      <w:r w:rsidR="000C434A">
        <w:t>,</w:t>
      </w:r>
      <w:r>
        <w:t xml:space="preserve"> and R.14</w:t>
      </w:r>
      <w:r>
        <w:noBreakHyphen/>
        <w:t>05</w:t>
      </w:r>
      <w:r>
        <w:noBreakHyphen/>
        <w:t>001.</w:t>
      </w:r>
    </w:p>
    <w:p w:rsidR="004C3A8C" w:rsidRDefault="004C3A8C" w:rsidP="00FF4579">
      <w:pPr>
        <w:numPr>
          <w:ilvl w:val="0"/>
          <w:numId w:val="25"/>
        </w:numPr>
        <w:tabs>
          <w:tab w:val="clear" w:pos="1332"/>
        </w:tabs>
        <w:spacing w:after="80"/>
        <w:ind w:left="1440" w:right="900" w:hanging="360"/>
      </w:pPr>
      <w:r>
        <w:t xml:space="preserve">All CLECs that have a CPCN to provide full facilities-based or limited facilities-based local exchange service. </w:t>
      </w:r>
    </w:p>
    <w:p w:rsidR="004C3A8C" w:rsidRDefault="004C3A8C" w:rsidP="00FF4579">
      <w:pPr>
        <w:numPr>
          <w:ilvl w:val="0"/>
          <w:numId w:val="25"/>
        </w:numPr>
        <w:tabs>
          <w:tab w:val="clear" w:pos="1332"/>
        </w:tabs>
        <w:spacing w:after="80"/>
        <w:ind w:left="1440" w:right="900" w:hanging="360"/>
      </w:pPr>
      <w:r>
        <w:t xml:space="preserve">All CMRS carriers that have a CPCN or </w:t>
      </w:r>
      <w:r w:rsidR="00982314">
        <w:t xml:space="preserve">Wireless Identification Registration </w:t>
      </w:r>
      <w:r>
        <w:t>to provide facilities-based CMRS.</w:t>
      </w:r>
    </w:p>
    <w:p w:rsidR="004C3A8C" w:rsidRDefault="004C3A8C" w:rsidP="00FF4579">
      <w:pPr>
        <w:numPr>
          <w:ilvl w:val="0"/>
          <w:numId w:val="25"/>
        </w:numPr>
        <w:tabs>
          <w:tab w:val="clear" w:pos="1332"/>
        </w:tabs>
        <w:spacing w:after="200"/>
        <w:ind w:left="1440" w:right="900" w:hanging="360"/>
      </w:pPr>
      <w:r>
        <w:lastRenderedPageBreak/>
        <w:t xml:space="preserve">All California counties, incorporated cities, and incorporated towns, to the extent practical.  </w:t>
      </w:r>
    </w:p>
    <w:p w:rsidR="0059351B" w:rsidRDefault="00137886" w:rsidP="00137886">
      <w:pPr>
        <w:pStyle w:val="standard"/>
      </w:pPr>
      <w:r>
        <w:t xml:space="preserve">Combined prehearing conference statements and opening </w:t>
      </w:r>
      <w:r w:rsidR="0059351B">
        <w:t>c</w:t>
      </w:r>
      <w:r>
        <w:t xml:space="preserve">omments were filed on </w:t>
      </w:r>
      <w:r w:rsidR="00821175">
        <w:t>May</w:t>
      </w:r>
      <w:r>
        <w:t> </w:t>
      </w:r>
      <w:r w:rsidR="00821175">
        <w:t>3, 2017</w:t>
      </w:r>
      <w:r>
        <w:t xml:space="preserve">, by the following parties:  </w:t>
      </w:r>
    </w:p>
    <w:p w:rsidR="0059351B" w:rsidRDefault="00821175" w:rsidP="00FF4579">
      <w:pPr>
        <w:pStyle w:val="standard"/>
        <w:numPr>
          <w:ilvl w:val="0"/>
          <w:numId w:val="11"/>
        </w:numPr>
        <w:spacing w:after="120" w:line="240" w:lineRule="auto"/>
        <w:ind w:right="1080"/>
      </w:pPr>
      <w:r>
        <w:t xml:space="preserve">AT&amp;T California (U-1001-C) and </w:t>
      </w:r>
      <w:r w:rsidR="00137886">
        <w:t>AT&amp;T Mobility</w:t>
      </w:r>
      <w:r>
        <w:t xml:space="preserve"> (together, </w:t>
      </w:r>
      <w:r w:rsidR="00AF70F8">
        <w:t>“</w:t>
      </w:r>
      <w:r>
        <w:t>AT&amp;T</w:t>
      </w:r>
      <w:r w:rsidR="00AF70F8">
        <w:t>”</w:t>
      </w:r>
      <w:r>
        <w:t>)</w:t>
      </w:r>
      <w:r w:rsidR="00501A72">
        <w:t>.</w:t>
      </w:r>
    </w:p>
    <w:p w:rsidR="0072737D" w:rsidRDefault="0072737D" w:rsidP="00FF4579">
      <w:pPr>
        <w:pStyle w:val="standard"/>
        <w:numPr>
          <w:ilvl w:val="0"/>
          <w:numId w:val="11"/>
        </w:numPr>
        <w:spacing w:after="120" w:line="240" w:lineRule="auto"/>
        <w:ind w:right="1080"/>
      </w:pPr>
      <w:r>
        <w:t xml:space="preserve">California Association of Competitive Telecommunications Companies (CALTEL).  </w:t>
      </w:r>
    </w:p>
    <w:p w:rsidR="0072737D" w:rsidRDefault="0072737D" w:rsidP="00FF4579">
      <w:pPr>
        <w:pStyle w:val="standard"/>
        <w:numPr>
          <w:ilvl w:val="0"/>
          <w:numId w:val="11"/>
        </w:numPr>
        <w:spacing w:after="120" w:line="240" w:lineRule="auto"/>
        <w:ind w:right="1080"/>
      </w:pPr>
      <w:r>
        <w:t>The California Cable and Telecommunications Association.</w:t>
      </w:r>
    </w:p>
    <w:p w:rsidR="009B0B22" w:rsidRPr="009B0B22" w:rsidRDefault="009B0B22" w:rsidP="00FF4579">
      <w:pPr>
        <w:pStyle w:val="standard"/>
        <w:numPr>
          <w:ilvl w:val="0"/>
          <w:numId w:val="11"/>
        </w:numPr>
        <w:spacing w:after="120" w:line="240" w:lineRule="auto"/>
        <w:ind w:right="1080"/>
      </w:pPr>
      <w:r w:rsidRPr="009B0B22">
        <w:t xml:space="preserve">Cox California Telcom, LLC (U-5684-C) (Cox) </w:t>
      </w:r>
    </w:p>
    <w:p w:rsidR="0072737D" w:rsidRDefault="0072737D" w:rsidP="00FF4579">
      <w:pPr>
        <w:pStyle w:val="standard"/>
        <w:numPr>
          <w:ilvl w:val="0"/>
          <w:numId w:val="11"/>
        </w:numPr>
        <w:spacing w:after="120" w:line="240" w:lineRule="auto"/>
        <w:ind w:right="1080"/>
      </w:pPr>
      <w:r>
        <w:t xml:space="preserve">Pacific Gas and Electric Company (PG&amp;E). </w:t>
      </w:r>
    </w:p>
    <w:p w:rsidR="00563963" w:rsidRDefault="00563963" w:rsidP="00FF4579">
      <w:pPr>
        <w:pStyle w:val="standard"/>
        <w:numPr>
          <w:ilvl w:val="0"/>
          <w:numId w:val="11"/>
        </w:numPr>
        <w:spacing w:after="120" w:line="240" w:lineRule="auto"/>
        <w:ind w:right="1080"/>
      </w:pPr>
      <w:r>
        <w:t xml:space="preserve">San Diego Gas &amp; Electric Company (SDG&amp;E). </w:t>
      </w:r>
    </w:p>
    <w:p w:rsidR="0072737D" w:rsidRDefault="0072737D" w:rsidP="00FF4579">
      <w:pPr>
        <w:pStyle w:val="standard"/>
        <w:numPr>
          <w:ilvl w:val="0"/>
          <w:numId w:val="11"/>
        </w:numPr>
        <w:spacing w:after="120" w:line="240" w:lineRule="auto"/>
        <w:ind w:right="1080"/>
      </w:pPr>
      <w:r>
        <w:t xml:space="preserve">Southern California Edison Company (SCE). </w:t>
      </w:r>
    </w:p>
    <w:p w:rsidR="0072737D" w:rsidRDefault="0072737D" w:rsidP="00FF4579">
      <w:pPr>
        <w:pStyle w:val="standard"/>
        <w:numPr>
          <w:ilvl w:val="0"/>
          <w:numId w:val="11"/>
        </w:numPr>
        <w:spacing w:after="240" w:line="240" w:lineRule="auto"/>
        <w:ind w:right="1080"/>
      </w:pPr>
      <w:r>
        <w:t xml:space="preserve">The Wireless Infrastructure Association (WIA).  </w:t>
      </w:r>
    </w:p>
    <w:p w:rsidR="00303E06" w:rsidRDefault="0059351B" w:rsidP="008B0E8E">
      <w:pPr>
        <w:pStyle w:val="standard"/>
      </w:pPr>
      <w:r>
        <w:t xml:space="preserve">Reply comments were filed on </w:t>
      </w:r>
      <w:r w:rsidR="004047BE">
        <w:t>May 15</w:t>
      </w:r>
      <w:r>
        <w:t>, 201</w:t>
      </w:r>
      <w:r w:rsidR="004047BE">
        <w:t>7</w:t>
      </w:r>
      <w:r>
        <w:t xml:space="preserve">, by </w:t>
      </w:r>
      <w:r w:rsidR="00303E06">
        <w:t xml:space="preserve">the following </w:t>
      </w:r>
      <w:r w:rsidR="00E465CF">
        <w:t>parties</w:t>
      </w:r>
      <w:r w:rsidR="00303E06">
        <w:t xml:space="preserve">: </w:t>
      </w:r>
      <w:r w:rsidR="00102F81">
        <w:t xml:space="preserve"> AT&amp;T, Cox, PG&amp;E, SCE, SDG&amp;E, WIA, the City and County of San Francisco, and the Commission’s Safety and Enforcement Division (SED).</w:t>
      </w:r>
      <w:r w:rsidR="002268BC">
        <w:t xml:space="preserve">  </w:t>
      </w:r>
      <w:r w:rsidR="002268BC" w:rsidRPr="00F9775F">
        <w:t xml:space="preserve">The Commission also received letters from the </w:t>
      </w:r>
      <w:r w:rsidR="004A3E61" w:rsidRPr="00F9775F">
        <w:t>City of Rancho</w:t>
      </w:r>
      <w:r w:rsidR="004A3E61">
        <w:t> </w:t>
      </w:r>
      <w:r w:rsidR="004A3E61" w:rsidRPr="00F9775F">
        <w:t xml:space="preserve">Cucamonga </w:t>
      </w:r>
      <w:r w:rsidR="004A3E61">
        <w:t xml:space="preserve">and the </w:t>
      </w:r>
      <w:r w:rsidR="002268BC" w:rsidRPr="00F9775F">
        <w:t>County of Los</w:t>
      </w:r>
      <w:r w:rsidR="002268BC">
        <w:t> </w:t>
      </w:r>
      <w:r w:rsidR="002268BC" w:rsidRPr="00F9775F">
        <w:t>Angeles Department of Public Works.</w:t>
      </w:r>
      <w:r w:rsidR="00F9775F">
        <w:rPr>
          <w:rStyle w:val="FootnoteReference"/>
        </w:rPr>
        <w:footnoteReference w:id="8"/>
      </w:r>
      <w:r w:rsidR="00102F81">
        <w:t xml:space="preserve"> </w:t>
      </w:r>
    </w:p>
    <w:p w:rsidR="00B61E8C" w:rsidRPr="00B61E8C" w:rsidRDefault="00053D53" w:rsidP="00B61E8C">
      <w:pPr>
        <w:pStyle w:val="standard"/>
      </w:pPr>
      <w:r>
        <w:t xml:space="preserve">A prehearing conference was held on </w:t>
      </w:r>
      <w:r w:rsidR="00503DF5">
        <w:t>June</w:t>
      </w:r>
      <w:r>
        <w:t> </w:t>
      </w:r>
      <w:r w:rsidR="00503DF5">
        <w:t>12</w:t>
      </w:r>
      <w:r>
        <w:t>, 201</w:t>
      </w:r>
      <w:r w:rsidR="00503DF5">
        <w:t>7</w:t>
      </w:r>
      <w:r w:rsidR="00B04153">
        <w:t xml:space="preserve">, </w:t>
      </w:r>
      <w:r w:rsidR="00AA315F">
        <w:t xml:space="preserve">and </w:t>
      </w:r>
      <w:r w:rsidR="00501A72">
        <w:t>t</w:t>
      </w:r>
      <w:r>
        <w:t xml:space="preserve">he </w:t>
      </w:r>
      <w:r w:rsidRPr="00B04153">
        <w:rPr>
          <w:i/>
        </w:rPr>
        <w:t>Assigned</w:t>
      </w:r>
      <w:r w:rsidR="00B04153">
        <w:rPr>
          <w:i/>
        </w:rPr>
        <w:t> </w:t>
      </w:r>
      <w:r w:rsidRPr="00B04153">
        <w:rPr>
          <w:i/>
        </w:rPr>
        <w:t>Commissioner’s Scoping</w:t>
      </w:r>
      <w:r w:rsidR="00B04153">
        <w:rPr>
          <w:i/>
        </w:rPr>
        <w:t> </w:t>
      </w:r>
      <w:r w:rsidRPr="00B04153">
        <w:rPr>
          <w:i/>
        </w:rPr>
        <w:t>Memo and Ruling</w:t>
      </w:r>
      <w:r>
        <w:t xml:space="preserve"> </w:t>
      </w:r>
      <w:r w:rsidR="00AA315F">
        <w:t xml:space="preserve">was issued </w:t>
      </w:r>
      <w:r>
        <w:t xml:space="preserve">on </w:t>
      </w:r>
      <w:r w:rsidR="00503DF5">
        <w:t>June</w:t>
      </w:r>
      <w:r w:rsidR="00B04153">
        <w:t> </w:t>
      </w:r>
      <w:r>
        <w:t>2</w:t>
      </w:r>
      <w:r w:rsidR="00503DF5">
        <w:t>6</w:t>
      </w:r>
      <w:r>
        <w:t>, 201</w:t>
      </w:r>
      <w:r w:rsidR="00503DF5">
        <w:t>7</w:t>
      </w:r>
      <w:r>
        <w:t xml:space="preserve"> (Scoping Memo).  </w:t>
      </w:r>
      <w:r w:rsidR="00185944">
        <w:t xml:space="preserve">In accordance with the Scoping Memo, </w:t>
      </w:r>
      <w:r w:rsidR="00503DF5">
        <w:t>WIA arranged an all</w:t>
      </w:r>
      <w:r w:rsidR="00E465CF">
        <w:noBreakHyphen/>
      </w:r>
      <w:r w:rsidR="00503DF5">
        <w:t>party meeting on July</w:t>
      </w:r>
      <w:r w:rsidR="0072737D">
        <w:t> </w:t>
      </w:r>
      <w:r w:rsidR="00503DF5">
        <w:t xml:space="preserve">12, 2017, where WIA’s and Cox’s subject matter experts </w:t>
      </w:r>
      <w:r w:rsidR="00B61E8C">
        <w:t xml:space="preserve">responded to interested parties’ </w:t>
      </w:r>
      <w:r w:rsidR="002270FA">
        <w:t xml:space="preserve">written </w:t>
      </w:r>
      <w:r w:rsidR="00B61E8C">
        <w:t>discovery requests and follow</w:t>
      </w:r>
      <w:r w:rsidR="00FF2953">
        <w:t>-</w:t>
      </w:r>
      <w:r w:rsidR="00B61E8C">
        <w:t xml:space="preserve">up questions </w:t>
      </w:r>
      <w:r w:rsidR="00B61E8C" w:rsidRPr="00B61E8C">
        <w:t xml:space="preserve">regarding CLEC wireless </w:t>
      </w:r>
      <w:r w:rsidR="002270FA">
        <w:t xml:space="preserve">facilities </w:t>
      </w:r>
      <w:r w:rsidR="00B61E8C" w:rsidRPr="00B61E8C">
        <w:t>and services</w:t>
      </w:r>
      <w:r w:rsidR="00FF2953">
        <w:t xml:space="preserve">.  </w:t>
      </w:r>
    </w:p>
    <w:p w:rsidR="00717417" w:rsidRPr="00717417" w:rsidRDefault="00717417" w:rsidP="00717417">
      <w:pPr>
        <w:pStyle w:val="standard"/>
      </w:pPr>
      <w:r>
        <w:lastRenderedPageBreak/>
        <w:t xml:space="preserve">The following parties filed </w:t>
      </w:r>
      <w:r w:rsidR="009D3B76">
        <w:t xml:space="preserve">supplemental </w:t>
      </w:r>
      <w:r>
        <w:t>comment</w:t>
      </w:r>
      <w:r w:rsidR="009D3B76">
        <w:t>s</w:t>
      </w:r>
      <w:r>
        <w:t xml:space="preserve"> on August</w:t>
      </w:r>
      <w:r w:rsidR="007301D2">
        <w:t> </w:t>
      </w:r>
      <w:r w:rsidR="000A5F64">
        <w:t>4</w:t>
      </w:r>
      <w:r>
        <w:t xml:space="preserve">, 2017:  CALTEL, Cox, </w:t>
      </w:r>
      <w:r w:rsidRPr="00717417">
        <w:t xml:space="preserve">ExteNet Systems (California), LLC </w:t>
      </w:r>
      <w:r>
        <w:t>(U-6959</w:t>
      </w:r>
      <w:r w:rsidR="00821A41">
        <w:t>-</w:t>
      </w:r>
      <w:r>
        <w:t xml:space="preserve">C) </w:t>
      </w:r>
      <w:r w:rsidRPr="00717417">
        <w:t>(ExteNe</w:t>
      </w:r>
      <w:r>
        <w:t>t)</w:t>
      </w:r>
      <w:r w:rsidR="00821A41">
        <w:t xml:space="preserve">, </w:t>
      </w:r>
      <w:r w:rsidR="009D3B76">
        <w:t xml:space="preserve">WIA, and jointly by PG&amp;E, SCE, and SDG&amp;E (together, “the </w:t>
      </w:r>
      <w:r w:rsidR="00126728">
        <w:t>investor-owned electric u</w:t>
      </w:r>
      <w:r w:rsidR="009D3B76">
        <w:t>tilities”</w:t>
      </w:r>
      <w:r w:rsidR="00126728">
        <w:t xml:space="preserve"> or “Electric IOUs”</w:t>
      </w:r>
      <w:r w:rsidR="009D3B76">
        <w:t xml:space="preserve">).  The following parties filed supplemental reply comments </w:t>
      </w:r>
      <w:r w:rsidR="003240D7">
        <w:t>o</w:t>
      </w:r>
      <w:r w:rsidR="009D3B76">
        <w:t xml:space="preserve">n August 18, 2017:  Cox, ExteNet, and WIA.  </w:t>
      </w:r>
    </w:p>
    <w:p w:rsidR="006E295F" w:rsidRDefault="006E295F" w:rsidP="008504A4">
      <w:pPr>
        <w:pStyle w:val="standard"/>
      </w:pPr>
      <w:r>
        <w:t>There were no requests for evidentiary hearings and none were held.</w:t>
      </w:r>
    </w:p>
    <w:p w:rsidR="008504A4" w:rsidRDefault="00342DFE" w:rsidP="00A4093B">
      <w:pPr>
        <w:pStyle w:val="Heading1"/>
      </w:pPr>
      <w:bookmarkStart w:id="17" w:name="_Toc424321890"/>
      <w:bookmarkStart w:id="18" w:name="_Toc512317964"/>
      <w:r>
        <w:t>Issues</w:t>
      </w:r>
      <w:bookmarkEnd w:id="17"/>
      <w:bookmarkEnd w:id="18"/>
      <w:r w:rsidR="008504A4">
        <w:t xml:space="preserve"> </w:t>
      </w:r>
    </w:p>
    <w:p w:rsidR="008504A4" w:rsidRDefault="0061634D" w:rsidP="00214651">
      <w:pPr>
        <w:pStyle w:val="Heading2"/>
      </w:pPr>
      <w:bookmarkStart w:id="19" w:name="_Toc424321891"/>
      <w:bookmarkStart w:id="20" w:name="_Toc512317965"/>
      <w:r>
        <w:t>Amending</w:t>
      </w:r>
      <w:r w:rsidR="00E75FD4">
        <w:t xml:space="preserve"> the ROW Rules to </w:t>
      </w:r>
      <w:r>
        <w:t xml:space="preserve">Encompass </w:t>
      </w:r>
      <w:r w:rsidR="008B47F9">
        <w:t xml:space="preserve">All </w:t>
      </w:r>
      <w:r w:rsidR="00A2636A">
        <w:br/>
      </w:r>
      <w:r w:rsidR="00C60315">
        <w:t xml:space="preserve">CLEC </w:t>
      </w:r>
      <w:bookmarkEnd w:id="19"/>
      <w:r w:rsidR="00C60315">
        <w:t xml:space="preserve">Wireless </w:t>
      </w:r>
      <w:r w:rsidR="008B47F9">
        <w:t xml:space="preserve">Telecommunications </w:t>
      </w:r>
      <w:r w:rsidR="007F2EFF">
        <w:t>Facilities</w:t>
      </w:r>
      <w:bookmarkEnd w:id="20"/>
    </w:p>
    <w:p w:rsidR="00AF7AC0" w:rsidRDefault="00AF7AC0" w:rsidP="005719C6">
      <w:pPr>
        <w:pStyle w:val="Heading3"/>
      </w:pPr>
      <w:bookmarkStart w:id="21" w:name="_Toc512317966"/>
      <w:bookmarkStart w:id="22" w:name="_Toc424321892"/>
      <w:r>
        <w:t>Background</w:t>
      </w:r>
      <w:bookmarkEnd w:id="21"/>
    </w:p>
    <w:p w:rsidR="00DC5D3D" w:rsidRDefault="00CE2855" w:rsidP="00DC5D3D">
      <w:pPr>
        <w:pStyle w:val="standard"/>
      </w:pPr>
      <w:r>
        <w:t>T</w:t>
      </w:r>
      <w:r w:rsidR="006E1687">
        <w:t>he ROW Rules</w:t>
      </w:r>
      <w:r>
        <w:t xml:space="preserve"> provide </w:t>
      </w:r>
      <w:r w:rsidR="006E1687">
        <w:t xml:space="preserve">CLECs </w:t>
      </w:r>
      <w:r>
        <w:t xml:space="preserve">with </w:t>
      </w:r>
      <w:r w:rsidR="006E1687">
        <w:t xml:space="preserve">nondiscriminatory access to public utility </w:t>
      </w:r>
      <w:r w:rsidR="00FE19D2">
        <w:t xml:space="preserve">infrastructure </w:t>
      </w:r>
      <w:r w:rsidR="006E1687">
        <w:t xml:space="preserve">for the purpose of installing (1) wireline </w:t>
      </w:r>
      <w:r w:rsidR="00A13EF9">
        <w:t xml:space="preserve">telecommunications </w:t>
      </w:r>
      <w:r w:rsidR="00A36CFE">
        <w:t>facilities</w:t>
      </w:r>
      <w:r w:rsidR="006E1687">
        <w:t>, and (2)</w:t>
      </w:r>
      <w:r w:rsidR="00A36CFE">
        <w:t> </w:t>
      </w:r>
      <w:r w:rsidR="006A4AE4">
        <w:t xml:space="preserve">fixed </w:t>
      </w:r>
      <w:r w:rsidR="006E1687">
        <w:t xml:space="preserve">wireless </w:t>
      </w:r>
      <w:r w:rsidR="00A13EF9">
        <w:t xml:space="preserve">telecommunications </w:t>
      </w:r>
      <w:r w:rsidR="00A36CFE">
        <w:t>facilities</w:t>
      </w:r>
      <w:r w:rsidR="006E1687">
        <w:t xml:space="preserve">.  </w:t>
      </w:r>
      <w:r w:rsidR="00DC5D3D">
        <w:t>The scope of this proceeding includes the issue of whether the ROW</w:t>
      </w:r>
      <w:r w:rsidR="00A13EF9">
        <w:t> </w:t>
      </w:r>
      <w:r w:rsidR="00DC5D3D">
        <w:t xml:space="preserve">Rules should be amended to encompass other types of CLEC wireless </w:t>
      </w:r>
      <w:r w:rsidR="00A13EF9">
        <w:t xml:space="preserve">telecommunications </w:t>
      </w:r>
      <w:r w:rsidR="00A36CFE">
        <w:t>facilities</w:t>
      </w:r>
      <w:r w:rsidR="00DC5D3D">
        <w:t xml:space="preserve">.  </w:t>
      </w:r>
    </w:p>
    <w:p w:rsidR="00342DFE" w:rsidRDefault="00342DFE" w:rsidP="005719C6">
      <w:pPr>
        <w:pStyle w:val="Heading3"/>
      </w:pPr>
      <w:bookmarkStart w:id="23" w:name="_Toc512317967"/>
      <w:r>
        <w:t>Position</w:t>
      </w:r>
      <w:r w:rsidR="00762C38">
        <w:t>s</w:t>
      </w:r>
      <w:r>
        <w:t xml:space="preserve"> of the Parties</w:t>
      </w:r>
      <w:bookmarkEnd w:id="22"/>
      <w:bookmarkEnd w:id="23"/>
      <w:r>
        <w:t xml:space="preserve">  </w:t>
      </w:r>
    </w:p>
    <w:p w:rsidR="00D53219" w:rsidRDefault="002620B4" w:rsidP="007063F4">
      <w:pPr>
        <w:pStyle w:val="standard"/>
      </w:pPr>
      <w:r>
        <w:t>Most parties</w:t>
      </w:r>
      <w:r w:rsidR="000A5F64">
        <w:t> </w:t>
      </w:r>
      <w:r w:rsidR="009E7FB7">
        <w:t>–</w:t>
      </w:r>
      <w:r w:rsidR="000A5F64">
        <w:t xml:space="preserve"> </w:t>
      </w:r>
      <w:r w:rsidR="00BA68AC">
        <w:t>including AT&amp;T, CALTEL, Cox, WIA, and the Electric IOUs</w:t>
      </w:r>
      <w:r w:rsidR="000A5F64">
        <w:t> </w:t>
      </w:r>
      <w:r w:rsidR="009E7FB7">
        <w:t>–</w:t>
      </w:r>
      <w:r w:rsidR="000A5F64">
        <w:t xml:space="preserve"> </w:t>
      </w:r>
      <w:r w:rsidR="003250F0">
        <w:t xml:space="preserve">recommend that </w:t>
      </w:r>
      <w:r>
        <w:t xml:space="preserve">the ROW Rules </w:t>
      </w:r>
      <w:r w:rsidR="003250F0">
        <w:t xml:space="preserve">be amended </w:t>
      </w:r>
      <w:r w:rsidR="00E71740">
        <w:t xml:space="preserve">so that the </w:t>
      </w:r>
      <w:r w:rsidR="00DE4938">
        <w:t>R</w:t>
      </w:r>
      <w:r w:rsidR="000E7087">
        <w:t>ules</w:t>
      </w:r>
      <w:r w:rsidR="00E71740">
        <w:t xml:space="preserve"> </w:t>
      </w:r>
      <w:r w:rsidR="003547DA">
        <w:t xml:space="preserve">apply to all </w:t>
      </w:r>
      <w:r w:rsidR="005713A9">
        <w:t xml:space="preserve">CLEC wireless </w:t>
      </w:r>
      <w:r w:rsidR="00A36CFE">
        <w:t>facilities</w:t>
      </w:r>
      <w:r w:rsidR="003547DA">
        <w:t xml:space="preserve">, regardless of technology, </w:t>
      </w:r>
      <w:r w:rsidR="00BA68AC">
        <w:t xml:space="preserve">that </w:t>
      </w:r>
      <w:r w:rsidR="003547DA">
        <w:t>are</w:t>
      </w:r>
      <w:r w:rsidR="00BA68AC">
        <w:t xml:space="preserve"> </w:t>
      </w:r>
      <w:r w:rsidR="003547DA">
        <w:t xml:space="preserve">used to </w:t>
      </w:r>
      <w:r w:rsidR="007953AF">
        <w:t xml:space="preserve">provide </w:t>
      </w:r>
      <w:r w:rsidR="00BA68AC">
        <w:t xml:space="preserve">telecommunications services authorized by </w:t>
      </w:r>
      <w:r w:rsidR="003547DA">
        <w:t>the</w:t>
      </w:r>
      <w:r w:rsidR="00BA68AC">
        <w:t xml:space="preserve"> CLECs</w:t>
      </w:r>
      <w:r w:rsidR="003547DA">
        <w:t>’</w:t>
      </w:r>
      <w:r w:rsidR="00BA68AC">
        <w:t xml:space="preserve"> CPCN</w:t>
      </w:r>
      <w:r w:rsidR="003547DA">
        <w:t>s</w:t>
      </w:r>
      <w:r w:rsidR="005B4338">
        <w:t xml:space="preserve">.  </w:t>
      </w:r>
      <w:r w:rsidR="00E55B26">
        <w:t xml:space="preserve">There is no opposition </w:t>
      </w:r>
      <w:r w:rsidR="00511D89">
        <w:t xml:space="preserve">to </w:t>
      </w:r>
      <w:r w:rsidR="003250F0">
        <w:t>th</w:t>
      </w:r>
      <w:r w:rsidR="00A36CFE">
        <w:t xml:space="preserve">is recommendation.  </w:t>
      </w:r>
      <w:r w:rsidR="004C0D53">
        <w:t xml:space="preserve"> </w:t>
      </w:r>
    </w:p>
    <w:p w:rsidR="00342DFE" w:rsidRDefault="00342DFE" w:rsidP="005719C6">
      <w:pPr>
        <w:pStyle w:val="Heading3"/>
      </w:pPr>
      <w:bookmarkStart w:id="24" w:name="_Toc424321893"/>
      <w:bookmarkStart w:id="25" w:name="_Toc512317968"/>
      <w:r>
        <w:t>Discussion</w:t>
      </w:r>
      <w:bookmarkEnd w:id="24"/>
      <w:bookmarkEnd w:id="25"/>
    </w:p>
    <w:p w:rsidR="00BD1DC7" w:rsidRDefault="007063F4" w:rsidP="00C004E2">
      <w:pPr>
        <w:pStyle w:val="standard"/>
      </w:pPr>
      <w:r>
        <w:t xml:space="preserve">We conclude </w:t>
      </w:r>
      <w:r w:rsidR="00DF5E37">
        <w:t xml:space="preserve">for the following reasons </w:t>
      </w:r>
      <w:r>
        <w:t xml:space="preserve">that it is </w:t>
      </w:r>
      <w:r w:rsidR="007B2C10">
        <w:t xml:space="preserve">in the public interest </w:t>
      </w:r>
      <w:r>
        <w:t xml:space="preserve">to amend the </w:t>
      </w:r>
      <w:r w:rsidR="00554C10">
        <w:t>ROW</w:t>
      </w:r>
      <w:r w:rsidR="007B2C10">
        <w:t> </w:t>
      </w:r>
      <w:r w:rsidR="00554C10">
        <w:t xml:space="preserve">Rules </w:t>
      </w:r>
      <w:r w:rsidR="003E45E3">
        <w:t xml:space="preserve">to encompass </w:t>
      </w:r>
      <w:r w:rsidR="003D0996">
        <w:t>all CLEC</w:t>
      </w:r>
      <w:r w:rsidR="00C60315">
        <w:t xml:space="preserve"> wireless </w:t>
      </w:r>
      <w:r w:rsidR="003D0996">
        <w:t xml:space="preserve">facilities </w:t>
      </w:r>
      <w:r w:rsidR="00E41F20">
        <w:t xml:space="preserve">that are </w:t>
      </w:r>
      <w:r w:rsidR="00A06E42">
        <w:t>necessary or useful for the</w:t>
      </w:r>
      <w:r w:rsidR="00E41F20">
        <w:t xml:space="preserve"> provi</w:t>
      </w:r>
      <w:r w:rsidR="00A06E42">
        <w:t xml:space="preserve">sion of </w:t>
      </w:r>
      <w:r w:rsidR="00E41F20">
        <w:t xml:space="preserve">telecommunications services authorized </w:t>
      </w:r>
      <w:r w:rsidR="00E41F20">
        <w:lastRenderedPageBreak/>
        <w:t>by CLECs’ CPCNs</w:t>
      </w:r>
      <w:r w:rsidR="003E45E3">
        <w:t xml:space="preserve">.  </w:t>
      </w:r>
      <w:r w:rsidR="00DF5E37">
        <w:t xml:space="preserve">First, </w:t>
      </w:r>
      <w:r w:rsidR="009E7FB7">
        <w:t>as</w:t>
      </w:r>
      <w:r w:rsidR="00BD1876">
        <w:t xml:space="preserve"> telecommunications carriers</w:t>
      </w:r>
      <w:r w:rsidR="009E7FB7">
        <w:t xml:space="preserve">, CLEC </w:t>
      </w:r>
      <w:r w:rsidR="00554C10">
        <w:t>have a right under federal law and FCC</w:t>
      </w:r>
      <w:r w:rsidR="00FD7CAD">
        <w:t> </w:t>
      </w:r>
      <w:r w:rsidR="00554C10">
        <w:t>regulations</w:t>
      </w:r>
      <w:r w:rsidR="00A03E82">
        <w:t xml:space="preserve"> </w:t>
      </w:r>
      <w:r w:rsidR="00B20DF6">
        <w:t xml:space="preserve">to access public utility infrastructure on a nondiscriminatory basis </w:t>
      </w:r>
      <w:r w:rsidR="00A03E82">
        <w:t xml:space="preserve">for </w:t>
      </w:r>
      <w:r w:rsidR="00B20DF6">
        <w:t xml:space="preserve">purpose of installing </w:t>
      </w:r>
      <w:r w:rsidR="00A03E82">
        <w:t xml:space="preserve">wireless </w:t>
      </w:r>
      <w:r w:rsidR="00DE4938">
        <w:t xml:space="preserve">telecommunications </w:t>
      </w:r>
      <w:r w:rsidR="008C6246">
        <w:t>facilities</w:t>
      </w:r>
      <w:r w:rsidR="00554C10">
        <w:t>.</w:t>
      </w:r>
      <w:r w:rsidR="00554C10" w:rsidRPr="00F051AD">
        <w:rPr>
          <w:rStyle w:val="StandardFootnoteReferenceChar"/>
        </w:rPr>
        <w:footnoteReference w:id="9"/>
      </w:r>
      <w:r w:rsidR="00554C10">
        <w:t xml:space="preserve">  In D.98</w:t>
      </w:r>
      <w:r w:rsidR="00554C10">
        <w:noBreakHyphen/>
        <w:t>10</w:t>
      </w:r>
      <w:r w:rsidR="00554C10">
        <w:noBreakHyphen/>
        <w:t>058</w:t>
      </w:r>
      <w:r w:rsidR="00154841">
        <w:t xml:space="preserve"> and D.16</w:t>
      </w:r>
      <w:r w:rsidR="00FD7CAD">
        <w:noBreakHyphen/>
      </w:r>
      <w:r w:rsidR="00154841">
        <w:t>01</w:t>
      </w:r>
      <w:r w:rsidR="00FD7CAD">
        <w:noBreakHyphen/>
      </w:r>
      <w:r w:rsidR="00154841">
        <w:t>046</w:t>
      </w:r>
      <w:r w:rsidR="00554C10">
        <w:t xml:space="preserve">, the Commission asserted jurisdiction under federal law to regulate nondiscriminatory </w:t>
      </w:r>
      <w:r w:rsidR="007B2C10">
        <w:t>access</w:t>
      </w:r>
      <w:r w:rsidR="00554C10">
        <w:t>.</w:t>
      </w:r>
      <w:r w:rsidR="00554C10" w:rsidRPr="00F051AD">
        <w:rPr>
          <w:rStyle w:val="StandardFootnoteReferenceChar"/>
        </w:rPr>
        <w:footnoteReference w:id="10"/>
      </w:r>
      <w:r w:rsidR="00554C10">
        <w:t xml:space="preserve">  By asserting such jurisdiction, the Commission assumed the obligation to promulgate </w:t>
      </w:r>
      <w:r w:rsidR="00C004E2">
        <w:t>regulations</w:t>
      </w:r>
      <w:r w:rsidR="00554C10">
        <w:t xml:space="preserve"> for nondiscriminatory </w:t>
      </w:r>
      <w:r w:rsidR="007B2C10">
        <w:t>access</w:t>
      </w:r>
      <w:r w:rsidR="00554C10">
        <w:t xml:space="preserve"> that apply to </w:t>
      </w:r>
      <w:r w:rsidR="000F5B87">
        <w:t xml:space="preserve">all CLEC </w:t>
      </w:r>
      <w:r w:rsidR="00B20DF6">
        <w:t xml:space="preserve">wireless </w:t>
      </w:r>
      <w:r w:rsidR="00FA34A9">
        <w:t>telecommunications facilities</w:t>
      </w:r>
      <w:r w:rsidR="00554C10">
        <w:t xml:space="preserve">.  </w:t>
      </w:r>
      <w:r w:rsidR="00B11A34">
        <w:t xml:space="preserve">Today’s decision fulfills our obligation.  </w:t>
      </w:r>
    </w:p>
    <w:p w:rsidR="00777463" w:rsidRDefault="00777463" w:rsidP="00777463">
      <w:pPr>
        <w:pStyle w:val="standard"/>
      </w:pPr>
      <w:r>
        <w:t>Second, in D.16-01-046 the Commission amended the ROW Rules to encompass CMRS carriers.  The record of the instant proceeding demonstrates that CLEC wireless telecommunications facilities are essentially identical to CMRS carrier wireless facilities.</w:t>
      </w:r>
      <w:r>
        <w:rPr>
          <w:rStyle w:val="FootnoteReference"/>
        </w:rPr>
        <w:footnoteReference w:id="11"/>
      </w:r>
      <w:r>
        <w:t xml:space="preserve">  We conclude that because CLECs install the same types of wireless facilities as CMRS carriers, it is reasonable to amend the ROW Rules to encompass CLEC wireless telecommunications facilities, too.  </w:t>
      </w:r>
    </w:p>
    <w:p w:rsidR="00554C10" w:rsidRDefault="00777463" w:rsidP="00554C10">
      <w:pPr>
        <w:pStyle w:val="standard"/>
      </w:pPr>
      <w:r>
        <w:t>Third</w:t>
      </w:r>
      <w:r w:rsidR="000F5B87">
        <w:t xml:space="preserve">, </w:t>
      </w:r>
      <w:r w:rsidR="00F8368B">
        <w:t>provid</w:t>
      </w:r>
      <w:r w:rsidR="00865AAF">
        <w:t>in</w:t>
      </w:r>
      <w:r w:rsidR="00F8368B">
        <w:t xml:space="preserve">g </w:t>
      </w:r>
      <w:r w:rsidR="000F5B87">
        <w:t>CLECs</w:t>
      </w:r>
      <w:r w:rsidR="00F8368B">
        <w:t xml:space="preserve"> with nondiscriminatory access to public utility infrastructure </w:t>
      </w:r>
      <w:r w:rsidR="008023AD">
        <w:t xml:space="preserve">for the purpose of installing </w:t>
      </w:r>
      <w:r w:rsidR="00BD1DC7">
        <w:t xml:space="preserve">wireless </w:t>
      </w:r>
      <w:r w:rsidR="00FA34A9">
        <w:t xml:space="preserve">telecommunications facilities </w:t>
      </w:r>
      <w:r w:rsidR="00F8368B">
        <w:t xml:space="preserve">will help </w:t>
      </w:r>
      <w:r w:rsidR="008023AD">
        <w:t xml:space="preserve">to </w:t>
      </w:r>
      <w:r w:rsidR="00F8368B">
        <w:t xml:space="preserve">achieve the following </w:t>
      </w:r>
      <w:r w:rsidR="007B339A">
        <w:t>public</w:t>
      </w:r>
      <w:r w:rsidR="004B04B7">
        <w:t>-</w:t>
      </w:r>
      <w:r w:rsidR="007B339A">
        <w:t>interest goals</w:t>
      </w:r>
      <w:r w:rsidR="00F8368B">
        <w:t xml:space="preserve"> </w:t>
      </w:r>
      <w:r w:rsidR="000A5F64">
        <w:t xml:space="preserve">for telecommunications services </w:t>
      </w:r>
      <w:r w:rsidR="00B45AC0">
        <w:t>embodied</w:t>
      </w:r>
      <w:r w:rsidR="008023AD">
        <w:t xml:space="preserve"> in</w:t>
      </w:r>
      <w:r w:rsidR="00F8368B">
        <w:t xml:space="preserve"> </w:t>
      </w:r>
      <w:r w:rsidR="00554C10">
        <w:t xml:space="preserve">Pub. Util. Code </w:t>
      </w:r>
      <w:r w:rsidR="00554C10" w:rsidRPr="00D074EC">
        <w:t>§</w:t>
      </w:r>
      <w:r w:rsidR="00554C10">
        <w:t> 709</w:t>
      </w:r>
      <w:r w:rsidR="00F8368B">
        <w:t xml:space="preserve">: </w:t>
      </w:r>
    </w:p>
    <w:p w:rsidR="00554C10" w:rsidRPr="00CD23B9" w:rsidRDefault="00554C10" w:rsidP="00FF4579">
      <w:pPr>
        <w:pStyle w:val="StandardBullet"/>
        <w:tabs>
          <w:tab w:val="clear" w:pos="1332"/>
        </w:tabs>
        <w:ind w:left="1440" w:right="1080" w:hanging="360"/>
      </w:pPr>
      <w:r w:rsidRPr="00CD23B9">
        <w:t>Provide affordable</w:t>
      </w:r>
      <w:r>
        <w:t xml:space="preserve">, </w:t>
      </w:r>
      <w:r w:rsidRPr="00CD23B9">
        <w:t>high quality telecommunications services to all Californians. (§ 709(a)</w:t>
      </w:r>
      <w:r>
        <w:t>.</w:t>
      </w:r>
      <w:r w:rsidRPr="00CD23B9">
        <w:t>)</w:t>
      </w:r>
    </w:p>
    <w:p w:rsidR="00554C10" w:rsidRPr="00CD23B9" w:rsidRDefault="00554C10" w:rsidP="00FF4579">
      <w:pPr>
        <w:pStyle w:val="StandardBullet"/>
        <w:tabs>
          <w:tab w:val="clear" w:pos="1332"/>
        </w:tabs>
        <w:ind w:left="1440" w:right="1080" w:hanging="360"/>
      </w:pPr>
      <w:r w:rsidRPr="00CD23B9">
        <w:t>Encourage the deployment of new technologies and the equitable provision of services in a way that efficiently meets consumer need</w:t>
      </w:r>
      <w:r>
        <w:t>s</w:t>
      </w:r>
      <w:r w:rsidRPr="00CD23B9">
        <w:t xml:space="preserve"> and encourages the ubiquitous </w:t>
      </w:r>
      <w:r w:rsidRPr="00CD23B9">
        <w:lastRenderedPageBreak/>
        <w:t>availability of a wide choice of state-of-the art services. (§ 709(c)</w:t>
      </w:r>
      <w:r>
        <w:t>.</w:t>
      </w:r>
      <w:r w:rsidRPr="00CD23B9">
        <w:t>)</w:t>
      </w:r>
    </w:p>
    <w:p w:rsidR="00554C10" w:rsidRPr="00CD23B9" w:rsidRDefault="00554C10" w:rsidP="00FF4579">
      <w:pPr>
        <w:pStyle w:val="StandardBullet"/>
        <w:tabs>
          <w:tab w:val="clear" w:pos="1332"/>
        </w:tabs>
        <w:ind w:left="1440" w:right="1080" w:hanging="360"/>
      </w:pPr>
      <w:r w:rsidRPr="00CD23B9">
        <w:t>Bridge the digital divide by encouraging expanded access to state-of-the art technologies for rural, inner-city, low-income, and disabled Californians. (§ 709(d)</w:t>
      </w:r>
      <w:r>
        <w:t>.</w:t>
      </w:r>
      <w:r w:rsidRPr="00CD23B9">
        <w:t>)</w:t>
      </w:r>
    </w:p>
    <w:p w:rsidR="00554C10" w:rsidRPr="00CD23B9" w:rsidRDefault="00554C10" w:rsidP="00FF4579">
      <w:pPr>
        <w:pStyle w:val="StandardBullet"/>
        <w:tabs>
          <w:tab w:val="clear" w:pos="1332"/>
        </w:tabs>
        <w:ind w:left="1440" w:right="1080" w:hanging="360"/>
      </w:pPr>
      <w:r w:rsidRPr="00CD23B9">
        <w:t>Promote economic growth, job creation, and the substantial social benefits that result from information and communications technologies by adequate investment in the necessary infrastructure.</w:t>
      </w:r>
      <w:r>
        <w:t xml:space="preserve"> </w:t>
      </w:r>
      <w:r w:rsidRPr="00CD23B9">
        <w:t>(§ 709(e)</w:t>
      </w:r>
      <w:r>
        <w:t>.</w:t>
      </w:r>
      <w:r w:rsidRPr="00CD23B9">
        <w:t>)</w:t>
      </w:r>
    </w:p>
    <w:p w:rsidR="00554C10" w:rsidRPr="00CD23B9" w:rsidRDefault="00554C10" w:rsidP="00FF4579">
      <w:pPr>
        <w:pStyle w:val="StandardBullet"/>
        <w:tabs>
          <w:tab w:val="clear" w:pos="1332"/>
        </w:tabs>
        <w:spacing w:after="200"/>
        <w:ind w:left="1440" w:right="1080" w:hanging="360"/>
      </w:pPr>
      <w:r w:rsidRPr="00CD23B9">
        <w:t>Remove barriers to competitive markets and promote fair product and price competition in a way that encourages greater efficiency, lower prices, and more consumer choice. (§ 709(</w:t>
      </w:r>
      <w:r>
        <w:t>g</w:t>
      </w:r>
      <w:r w:rsidRPr="00CD23B9">
        <w:t>)</w:t>
      </w:r>
      <w:r>
        <w:t>.</w:t>
      </w:r>
      <w:r w:rsidRPr="00CD23B9">
        <w:t xml:space="preserve">) </w:t>
      </w:r>
    </w:p>
    <w:p w:rsidR="0028035C" w:rsidRDefault="00554C10" w:rsidP="002E3CB5">
      <w:pPr>
        <w:pStyle w:val="standard"/>
      </w:pPr>
      <w:r>
        <w:rPr>
          <w:highlight w:val="white"/>
        </w:rPr>
        <w:t xml:space="preserve">A related and equally important </w:t>
      </w:r>
      <w:r w:rsidR="00581A56">
        <w:rPr>
          <w:highlight w:val="white"/>
        </w:rPr>
        <w:t xml:space="preserve">public-interest </w:t>
      </w:r>
      <w:r>
        <w:rPr>
          <w:highlight w:val="white"/>
        </w:rPr>
        <w:t>goal is the w</w:t>
      </w:r>
      <w:r w:rsidRPr="001D46A5">
        <w:rPr>
          <w:highlight w:val="white"/>
        </w:rPr>
        <w:t xml:space="preserve">idespread </w:t>
      </w:r>
      <w:r>
        <w:rPr>
          <w:highlight w:val="white"/>
        </w:rPr>
        <w:t>deployment</w:t>
      </w:r>
      <w:r w:rsidRPr="001D46A5">
        <w:rPr>
          <w:highlight w:val="white"/>
        </w:rPr>
        <w:t xml:space="preserve"> of broadband service.  </w:t>
      </w:r>
      <w:r>
        <w:t xml:space="preserve">Like electricity a century ago, broadband is a foundation for new industries, economic growth, global competitiveness, </w:t>
      </w:r>
      <w:r w:rsidR="00551C63">
        <w:t xml:space="preserve">improved education, </w:t>
      </w:r>
      <w:r>
        <w:t>and a better life</w:t>
      </w:r>
      <w:r w:rsidR="00551C63">
        <w:t xml:space="preserve"> for </w:t>
      </w:r>
      <w:r w:rsidR="00DA286F">
        <w:t>all</w:t>
      </w:r>
      <w:r w:rsidR="00282D79">
        <w:t xml:space="preserve"> California</w:t>
      </w:r>
      <w:r w:rsidR="00DA286F">
        <w:t>ns</w:t>
      </w:r>
      <w:r>
        <w:t xml:space="preserve">.  </w:t>
      </w:r>
      <w:r w:rsidR="0071121D">
        <w:t xml:space="preserve">Most </w:t>
      </w:r>
      <w:r w:rsidR="00E408F6">
        <w:t xml:space="preserve">Californians use </w:t>
      </w:r>
      <w:r w:rsidR="00DA3402" w:rsidRPr="00636F4E">
        <w:t>a wireless device as their primary Internet access tool</w:t>
      </w:r>
      <w:r w:rsidR="00C40DBA">
        <w:t>, and many</w:t>
      </w:r>
      <w:r w:rsidR="00C40DBA" w:rsidRPr="001E0A95">
        <w:t xml:space="preserve"> Californians live in wireless-only households</w:t>
      </w:r>
      <w:r w:rsidR="00C40DBA" w:rsidRPr="005062CC">
        <w:t xml:space="preserve">.  </w:t>
      </w:r>
      <w:r w:rsidR="00E9680A">
        <w:t>A</w:t>
      </w:r>
      <w:r w:rsidR="0071121D">
        <w:t xml:space="preserve"> large majority of calls to 911</w:t>
      </w:r>
      <w:r w:rsidR="0071121D" w:rsidRPr="005062CC">
        <w:t xml:space="preserve"> </w:t>
      </w:r>
      <w:r w:rsidR="0071121D">
        <w:t>are</w:t>
      </w:r>
      <w:r w:rsidR="0071121D" w:rsidRPr="005062CC">
        <w:t xml:space="preserve"> </w:t>
      </w:r>
      <w:r w:rsidR="008F4990">
        <w:t xml:space="preserve">made </w:t>
      </w:r>
      <w:r w:rsidR="0071121D" w:rsidRPr="005062CC">
        <w:t>with wireless device</w:t>
      </w:r>
      <w:r w:rsidR="00E9680A">
        <w:t>s</w:t>
      </w:r>
      <w:r w:rsidR="00DA3402" w:rsidRPr="00636F4E">
        <w:t>.</w:t>
      </w:r>
      <w:r w:rsidR="003A7ABA" w:rsidRPr="00F051AD">
        <w:rPr>
          <w:rStyle w:val="StandardFootnoteReferenceChar"/>
        </w:rPr>
        <w:footnoteReference w:id="12"/>
      </w:r>
      <w:r w:rsidR="00DA3402" w:rsidRPr="00636F4E">
        <w:t xml:space="preserve"> </w:t>
      </w:r>
      <w:r w:rsidR="00DA3402">
        <w:t xml:space="preserve"> </w:t>
      </w:r>
      <w:r w:rsidR="00153C4A" w:rsidRPr="005062CC">
        <w:t xml:space="preserve">The </w:t>
      </w:r>
      <w:r w:rsidR="00777463">
        <w:t xml:space="preserve">strong and </w:t>
      </w:r>
      <w:r w:rsidR="00F87F07">
        <w:t>growing</w:t>
      </w:r>
      <w:r w:rsidR="00153C4A" w:rsidRPr="005062CC">
        <w:t xml:space="preserve"> demand for </w:t>
      </w:r>
      <w:r w:rsidR="00E33A5C">
        <w:t xml:space="preserve">wireless </w:t>
      </w:r>
      <w:r w:rsidR="00153C4A" w:rsidRPr="005062CC">
        <w:t xml:space="preserve">services requires </w:t>
      </w:r>
      <w:r w:rsidR="00E33A5C">
        <w:t>constant</w:t>
      </w:r>
      <w:r w:rsidR="00153C4A" w:rsidRPr="005062CC">
        <w:t xml:space="preserve"> augmentation of wireless infrastructure. </w:t>
      </w:r>
      <w:r w:rsidR="00153C4A">
        <w:t xml:space="preserve"> </w:t>
      </w:r>
      <w:r w:rsidR="00E33A5C">
        <w:t xml:space="preserve">In an urban setting, </w:t>
      </w:r>
      <w:r w:rsidR="00F551B4">
        <w:t xml:space="preserve">the </w:t>
      </w:r>
      <w:r w:rsidR="00D405C6">
        <w:t>wireless</w:t>
      </w:r>
      <w:r w:rsidR="00F551B4">
        <w:t xml:space="preserve"> infrastructure must be </w:t>
      </w:r>
      <w:r w:rsidR="00D405C6">
        <w:t>particularly</w:t>
      </w:r>
      <w:r w:rsidR="00F551B4">
        <w:t xml:space="preserve"> dense in order to provide the </w:t>
      </w:r>
      <w:r w:rsidR="00FE56F7">
        <w:t xml:space="preserve">wireless </w:t>
      </w:r>
      <w:r w:rsidR="00F551B4">
        <w:t xml:space="preserve">services demanded by the public, </w:t>
      </w:r>
      <w:r w:rsidR="00153C4A" w:rsidRPr="005062CC">
        <w:t>from basic vo</w:t>
      </w:r>
      <w:r w:rsidR="00F551B4">
        <w:t>ice communications to broadband</w:t>
      </w:r>
      <w:r w:rsidR="008A22C8">
        <w:t xml:space="preserve"> intensive services</w:t>
      </w:r>
      <w:r w:rsidR="00153C4A" w:rsidRPr="005062CC">
        <w:t xml:space="preserve">. </w:t>
      </w:r>
      <w:r w:rsidR="00153C4A">
        <w:t xml:space="preserve"> </w:t>
      </w:r>
      <w:r w:rsidR="00F551B4">
        <w:t xml:space="preserve">Oftentimes, </w:t>
      </w:r>
      <w:r w:rsidR="00153C4A" w:rsidRPr="005062CC">
        <w:t xml:space="preserve">the most efficient way to </w:t>
      </w:r>
      <w:r w:rsidR="00E33A5C">
        <w:t xml:space="preserve">obtain the required density is to use existing public utility infrastructure, </w:t>
      </w:r>
      <w:r w:rsidR="00F551B4">
        <w:t>especially</w:t>
      </w:r>
      <w:r w:rsidR="00E33A5C">
        <w:t xml:space="preserve"> utility poles.</w:t>
      </w:r>
      <w:r w:rsidR="00F87F07">
        <w:t xml:space="preserve"> </w:t>
      </w:r>
      <w:r w:rsidR="00E9680A">
        <w:t xml:space="preserve"> Amending the ROW</w:t>
      </w:r>
      <w:r w:rsidR="00777463">
        <w:t> </w:t>
      </w:r>
      <w:r w:rsidR="00E9680A">
        <w:t xml:space="preserve">Rules to encompass CLEC wireless facilities </w:t>
      </w:r>
      <w:r w:rsidR="00F87F07" w:rsidRPr="002E15D5">
        <w:t xml:space="preserve">will </w:t>
      </w:r>
      <w:r w:rsidR="00F87F07">
        <w:lastRenderedPageBreak/>
        <w:t xml:space="preserve">facilitate </w:t>
      </w:r>
      <w:r w:rsidR="00CA7A09">
        <w:t>the</w:t>
      </w:r>
      <w:r w:rsidR="00F87F07" w:rsidRPr="002E15D5">
        <w:t xml:space="preserve"> </w:t>
      </w:r>
      <w:r w:rsidR="00F87F07">
        <w:t xml:space="preserve">ability </w:t>
      </w:r>
      <w:r w:rsidR="00CA7A09">
        <w:t>of CLECs and their wireless service</w:t>
      </w:r>
      <w:r w:rsidR="008A22C8">
        <w:t>-</w:t>
      </w:r>
      <w:r w:rsidR="00CA7A09">
        <w:t xml:space="preserve">provider customers </w:t>
      </w:r>
      <w:r w:rsidR="00A2636A">
        <w:br/>
      </w:r>
      <w:r w:rsidR="00CA7A09">
        <w:t>(e.g., CMRS</w:t>
      </w:r>
      <w:r w:rsidR="008A22C8">
        <w:t> </w:t>
      </w:r>
      <w:r w:rsidR="00CA7A09">
        <w:t xml:space="preserve">carriers) </w:t>
      </w:r>
      <w:r w:rsidR="00F87F07">
        <w:t>to</w:t>
      </w:r>
      <w:r w:rsidR="00F87F07" w:rsidRPr="002E15D5">
        <w:t xml:space="preserve"> meet </w:t>
      </w:r>
      <w:r w:rsidR="008A22C8">
        <w:t>growing</w:t>
      </w:r>
      <w:r w:rsidR="00CA7A09">
        <w:t xml:space="preserve"> </w:t>
      </w:r>
      <w:r w:rsidR="00F87F07" w:rsidRPr="002E15D5">
        <w:t xml:space="preserve">demand for </w:t>
      </w:r>
      <w:r w:rsidR="00E23895">
        <w:t xml:space="preserve">vital </w:t>
      </w:r>
      <w:r w:rsidR="00F87F07">
        <w:t>wireless services</w:t>
      </w:r>
      <w:r w:rsidR="00F87F07" w:rsidRPr="002E15D5">
        <w:t>.</w:t>
      </w:r>
      <w:r w:rsidR="00F87F07">
        <w:t xml:space="preserve">  </w:t>
      </w:r>
    </w:p>
    <w:p w:rsidR="00D57C9A" w:rsidRDefault="00777463" w:rsidP="00D57C9A">
      <w:pPr>
        <w:pStyle w:val="standard"/>
      </w:pPr>
      <w:r>
        <w:rPr>
          <w:highlight w:val="white"/>
        </w:rPr>
        <w:t>Fourth</w:t>
      </w:r>
      <w:r w:rsidR="00B809FD">
        <w:rPr>
          <w:highlight w:val="white"/>
        </w:rPr>
        <w:t xml:space="preserve">, </w:t>
      </w:r>
      <w:r w:rsidR="004C6FF3">
        <w:rPr>
          <w:highlight w:val="white"/>
        </w:rPr>
        <w:t xml:space="preserve">investment </w:t>
      </w:r>
      <w:r w:rsidR="00D57C9A">
        <w:t xml:space="preserve">in wireless infrastructure </w:t>
      </w:r>
      <w:r w:rsidR="00311249">
        <w:t>increases</w:t>
      </w:r>
      <w:r w:rsidR="00C23257">
        <w:t xml:space="preserve"> public safety </w:t>
      </w:r>
      <w:r w:rsidR="00D57C9A" w:rsidRPr="008B1D9D">
        <w:rPr>
          <w:rStyle w:val="standardChar"/>
        </w:rPr>
        <w:t xml:space="preserve">by </w:t>
      </w:r>
      <w:r w:rsidR="00FE56F7">
        <w:rPr>
          <w:rStyle w:val="standardChar"/>
        </w:rPr>
        <w:t>enhancing</w:t>
      </w:r>
      <w:r w:rsidR="00D57C9A" w:rsidRPr="008B1D9D">
        <w:rPr>
          <w:rStyle w:val="standardChar"/>
        </w:rPr>
        <w:t xml:space="preserve"> t</w:t>
      </w:r>
      <w:r w:rsidR="00D57C9A" w:rsidRPr="008B1D9D">
        <w:t>h</w:t>
      </w:r>
      <w:r w:rsidR="00D57C9A" w:rsidRPr="008B1D9D">
        <w:rPr>
          <w:rStyle w:val="standardChar"/>
        </w:rPr>
        <w:t xml:space="preserve">e </w:t>
      </w:r>
      <w:r w:rsidR="00D57C9A">
        <w:rPr>
          <w:rStyle w:val="standardChar"/>
        </w:rPr>
        <w:t xml:space="preserve">public’s </w:t>
      </w:r>
      <w:r w:rsidR="00D57C9A" w:rsidRPr="008B1D9D">
        <w:rPr>
          <w:rStyle w:val="standardChar"/>
        </w:rPr>
        <w:t xml:space="preserve">ability </w:t>
      </w:r>
      <w:r w:rsidR="00D57C9A">
        <w:rPr>
          <w:rStyle w:val="standardChar"/>
        </w:rPr>
        <w:t xml:space="preserve">to </w:t>
      </w:r>
      <w:r w:rsidR="00657E2E">
        <w:rPr>
          <w:rStyle w:val="standardChar"/>
        </w:rPr>
        <w:t xml:space="preserve">notify </w:t>
      </w:r>
      <w:r w:rsidR="00D57C9A" w:rsidRPr="008B1D9D">
        <w:rPr>
          <w:rStyle w:val="standardChar"/>
        </w:rPr>
        <w:t xml:space="preserve">public-safety agencies </w:t>
      </w:r>
      <w:r w:rsidR="00657E2E">
        <w:rPr>
          <w:rStyle w:val="standardChar"/>
        </w:rPr>
        <w:t>of</w:t>
      </w:r>
      <w:r w:rsidR="00D57C9A" w:rsidRPr="008B1D9D">
        <w:rPr>
          <w:rStyle w:val="standardChar"/>
        </w:rPr>
        <w:t xml:space="preserve"> emergencies</w:t>
      </w:r>
      <w:r w:rsidR="00C23257">
        <w:rPr>
          <w:rStyle w:val="standardChar"/>
        </w:rPr>
        <w:t xml:space="preserve"> (e.g., vehicle accidents)</w:t>
      </w:r>
      <w:r w:rsidR="00D57C9A" w:rsidRPr="008B1D9D">
        <w:rPr>
          <w:rStyle w:val="standardChar"/>
        </w:rPr>
        <w:t xml:space="preserve"> and </w:t>
      </w:r>
      <w:r w:rsidR="00657E2E">
        <w:rPr>
          <w:rStyle w:val="standardChar"/>
        </w:rPr>
        <w:t>first responders</w:t>
      </w:r>
      <w:r w:rsidR="00311249">
        <w:rPr>
          <w:rStyle w:val="standardChar"/>
        </w:rPr>
        <w:t>’ ability</w:t>
      </w:r>
      <w:r w:rsidR="00657E2E">
        <w:rPr>
          <w:rStyle w:val="standardChar"/>
        </w:rPr>
        <w:t xml:space="preserve"> to communicate with each other during emergencies</w:t>
      </w:r>
      <w:r w:rsidR="00CF5CB0">
        <w:rPr>
          <w:rStyle w:val="standardChar"/>
        </w:rPr>
        <w:t xml:space="preserve"> (e.g., wildfires)</w:t>
      </w:r>
      <w:r w:rsidR="00D57C9A" w:rsidRPr="008B1D9D">
        <w:t>.</w:t>
      </w:r>
      <w:r w:rsidR="00D57C9A">
        <w:t xml:space="preserve">  Nondiscriminato</w:t>
      </w:r>
      <w:r w:rsidR="00E408F6">
        <w:t>r</w:t>
      </w:r>
      <w:r w:rsidR="00D57C9A">
        <w:t xml:space="preserve">y access to </w:t>
      </w:r>
      <w:r w:rsidR="008160E0">
        <w:t>public utility infrastructure</w:t>
      </w:r>
      <w:r w:rsidR="00D57C9A">
        <w:t xml:space="preserve"> will </w:t>
      </w:r>
      <w:r w:rsidR="00E408F6">
        <w:t xml:space="preserve">help </w:t>
      </w:r>
      <w:r w:rsidR="002F71F0">
        <w:t>CLECs</w:t>
      </w:r>
      <w:r w:rsidR="00E408F6">
        <w:t xml:space="preserve"> to provide a robust </w:t>
      </w:r>
      <w:r w:rsidR="00E75980">
        <w:t>network</w:t>
      </w:r>
      <w:r w:rsidR="00E408F6">
        <w:t xml:space="preserve"> </w:t>
      </w:r>
      <w:r w:rsidR="00334CD6">
        <w:t xml:space="preserve">of wireless facilities </w:t>
      </w:r>
      <w:r w:rsidR="00E408F6">
        <w:t xml:space="preserve">for </w:t>
      </w:r>
      <w:r w:rsidR="00F34BD2">
        <w:t>communicating</w:t>
      </w:r>
      <w:r w:rsidR="00E408F6">
        <w:t xml:space="preserve"> life-saving information</w:t>
      </w:r>
      <w:r w:rsidR="00D57C9A">
        <w:t xml:space="preserve">.  </w:t>
      </w:r>
    </w:p>
    <w:p w:rsidR="00326829" w:rsidRDefault="00326829" w:rsidP="00FD6517">
      <w:pPr>
        <w:pStyle w:val="standard"/>
      </w:pPr>
      <w:r>
        <w:t xml:space="preserve">Finally, </w:t>
      </w:r>
      <w:r w:rsidR="00817FB2">
        <w:t xml:space="preserve">the </w:t>
      </w:r>
      <w:r w:rsidR="00CE13BF">
        <w:t xml:space="preserve">current </w:t>
      </w:r>
      <w:r w:rsidR="00817FB2">
        <w:t>ROW Rules that apply to CLECs were adopted 20</w:t>
      </w:r>
      <w:r w:rsidR="00CE13BF">
        <w:t> </w:t>
      </w:r>
      <w:r w:rsidR="00817FB2">
        <w:t xml:space="preserve">years ago in </w:t>
      </w:r>
      <w:r w:rsidR="008369CE">
        <w:t>D.98</w:t>
      </w:r>
      <w:r w:rsidR="00817FB2">
        <w:noBreakHyphen/>
      </w:r>
      <w:r w:rsidR="008369CE">
        <w:t>10</w:t>
      </w:r>
      <w:r w:rsidR="00817FB2">
        <w:noBreakHyphen/>
      </w:r>
      <w:r w:rsidR="008369CE">
        <w:t xml:space="preserve">058.  </w:t>
      </w:r>
      <w:r w:rsidR="00817FB2">
        <w:t xml:space="preserve">Since then, there has been a tremendous increase in the use of </w:t>
      </w:r>
      <w:r w:rsidR="008369CE">
        <w:t xml:space="preserve">wireless technology </w:t>
      </w:r>
      <w:r w:rsidR="0094483F">
        <w:t>to provide telecommunications services</w:t>
      </w:r>
      <w:r w:rsidR="00FE71BE">
        <w:t xml:space="preserve">. </w:t>
      </w:r>
      <w:r w:rsidR="00F467B5">
        <w:t xml:space="preserve"> </w:t>
      </w:r>
      <w:r w:rsidR="008713D1">
        <w:t xml:space="preserve">Just as telegraph lines were replaced by telephone lines, and copper </w:t>
      </w:r>
      <w:r w:rsidR="005421D1">
        <w:t>wires</w:t>
      </w:r>
      <w:r w:rsidR="008713D1">
        <w:t xml:space="preserve"> supplanted by fiber</w:t>
      </w:r>
      <w:r w:rsidR="00C40DBA">
        <w:t>-</w:t>
      </w:r>
      <w:r w:rsidR="008713D1">
        <w:t>optic cable</w:t>
      </w:r>
      <w:r w:rsidR="00EB1156">
        <w:t>s</w:t>
      </w:r>
      <w:r w:rsidR="008713D1">
        <w:t>, wireline technology is being displaced by wireless technology</w:t>
      </w:r>
      <w:r w:rsidR="00F73679">
        <w:t>.  The</w:t>
      </w:r>
      <w:r w:rsidR="00D079D9">
        <w:t xml:space="preserve"> </w:t>
      </w:r>
      <w:r w:rsidR="00F467B5">
        <w:t>ROW</w:t>
      </w:r>
      <w:r w:rsidR="002212E1">
        <w:t> </w:t>
      </w:r>
      <w:r w:rsidR="00F467B5">
        <w:t xml:space="preserve">Rules </w:t>
      </w:r>
      <w:r w:rsidR="00817FB2">
        <w:t xml:space="preserve">need to be updated </w:t>
      </w:r>
      <w:r w:rsidR="00F467B5">
        <w:t xml:space="preserve">to reflect </w:t>
      </w:r>
      <w:r w:rsidR="00F73679">
        <w:t>CLECs’ use of</w:t>
      </w:r>
      <w:r w:rsidR="00F467B5">
        <w:t xml:space="preserve"> </w:t>
      </w:r>
      <w:r w:rsidR="00F73679">
        <w:t>wireless</w:t>
      </w:r>
      <w:r w:rsidR="00F467B5">
        <w:t xml:space="preserve"> technology. </w:t>
      </w:r>
    </w:p>
    <w:p w:rsidR="009A6747" w:rsidRDefault="009A6747" w:rsidP="00985747">
      <w:pPr>
        <w:pStyle w:val="standard"/>
      </w:pPr>
      <w:r>
        <w:t>In</w:t>
      </w:r>
      <w:r w:rsidR="00FD6517">
        <w:t xml:space="preserve"> accordance with Commission precedent, </w:t>
      </w:r>
      <w:r w:rsidR="00B41FDD">
        <w:t xml:space="preserve">the </w:t>
      </w:r>
      <w:r w:rsidR="00FD6517">
        <w:t>CLEC</w:t>
      </w:r>
      <w:r w:rsidR="00B41FDD">
        <w:t xml:space="preserve"> </w:t>
      </w:r>
      <w:r w:rsidR="00E511B8">
        <w:t xml:space="preserve">wireless </w:t>
      </w:r>
      <w:r w:rsidR="002D0D7A">
        <w:t xml:space="preserve">telecommunications </w:t>
      </w:r>
      <w:r w:rsidR="00E511B8">
        <w:t>facilities</w:t>
      </w:r>
      <w:r w:rsidR="00FD6517">
        <w:t xml:space="preserve"> that are installed under the </w:t>
      </w:r>
      <w:r>
        <w:t xml:space="preserve">amended </w:t>
      </w:r>
      <w:r w:rsidR="00FD6517">
        <w:t>ROW</w:t>
      </w:r>
      <w:r w:rsidR="002D0D7A">
        <w:t> </w:t>
      </w:r>
      <w:r w:rsidR="00FD6517">
        <w:t xml:space="preserve">Rules </w:t>
      </w:r>
      <w:r>
        <w:t xml:space="preserve">adopted by today’s Decision </w:t>
      </w:r>
      <w:r w:rsidR="00B41FDD">
        <w:t xml:space="preserve">may be used to provide </w:t>
      </w:r>
      <w:r w:rsidR="007569CB">
        <w:t xml:space="preserve">other </w:t>
      </w:r>
      <w:r w:rsidR="00FD6517">
        <w:t xml:space="preserve">services </w:t>
      </w:r>
      <w:r w:rsidR="007569CB">
        <w:t xml:space="preserve">(e.g., wireless broadband service) </w:t>
      </w:r>
      <w:r w:rsidR="00FD6517">
        <w:t>besides local exchange</w:t>
      </w:r>
      <w:r w:rsidR="00B809FD">
        <w:t xml:space="preserve"> service.</w:t>
      </w:r>
      <w:r w:rsidR="00334CD6">
        <w:rPr>
          <w:rStyle w:val="FootnoteReference"/>
        </w:rPr>
        <w:footnoteReference w:id="13"/>
      </w:r>
      <w:r w:rsidR="00B809FD">
        <w:t xml:space="preserve">  We</w:t>
      </w:r>
      <w:r w:rsidR="00FD6517">
        <w:t xml:space="preserve"> caution, however, that </w:t>
      </w:r>
      <w:r w:rsidR="006406E6">
        <w:t>the amended ROW Rules do</w:t>
      </w:r>
      <w:r w:rsidR="00FD6517">
        <w:t xml:space="preserve"> not </w:t>
      </w:r>
      <w:r w:rsidR="006406E6">
        <w:t xml:space="preserve">provide </w:t>
      </w:r>
      <w:r w:rsidR="00FD6517">
        <w:t xml:space="preserve">unbounded access to public utility infrastructure for CLEC wireless </w:t>
      </w:r>
      <w:r w:rsidR="00E511B8">
        <w:t>facilities</w:t>
      </w:r>
      <w:r w:rsidR="00FD6517">
        <w:t xml:space="preserve">.  Inherent in the ROW Rules </w:t>
      </w:r>
      <w:r w:rsidR="00D079D9">
        <w:t xml:space="preserve">is the presumption that CLECs’ access to public utility infrastructure under the ROW Rules is limited to facilities that are necessary or useful for the provision of the telecommunications services that CLECs may provide pursuant to their </w:t>
      </w:r>
      <w:r w:rsidR="00D079D9">
        <w:lastRenderedPageBreak/>
        <w:t xml:space="preserve">Commission-issued CPCNs.  The ROW Rules do not apply to </w:t>
      </w:r>
      <w:r w:rsidR="00E511B8">
        <w:t>facilities</w:t>
      </w:r>
      <w:r w:rsidR="00D079D9">
        <w:t xml:space="preserve"> that are wholly unrelated to the provision of such telecommunications services. </w:t>
      </w:r>
      <w:r w:rsidR="00FD6517">
        <w:t xml:space="preserve"> </w:t>
      </w:r>
    </w:p>
    <w:p w:rsidR="008D567F" w:rsidRDefault="008D567F" w:rsidP="008D567F">
      <w:pPr>
        <w:pStyle w:val="standard"/>
      </w:pPr>
      <w:r>
        <w:t xml:space="preserve">Today’s Decision does not provide a comprehensive list of </w:t>
      </w:r>
      <w:r w:rsidR="00E5075D">
        <w:t xml:space="preserve">the specific </w:t>
      </w:r>
      <w:r>
        <w:t xml:space="preserve">wireless </w:t>
      </w:r>
      <w:r w:rsidR="003D0996">
        <w:t xml:space="preserve">telecommunications </w:t>
      </w:r>
      <w:r w:rsidR="00E511B8">
        <w:t>facilities</w:t>
      </w:r>
      <w:r>
        <w:t xml:space="preserve"> </w:t>
      </w:r>
      <w:r w:rsidR="003D0996">
        <w:t xml:space="preserve">that </w:t>
      </w:r>
      <w:r>
        <w:t xml:space="preserve">CLECs </w:t>
      </w:r>
      <w:r w:rsidR="00E511B8">
        <w:t xml:space="preserve">may install </w:t>
      </w:r>
      <w:r w:rsidR="00A52677">
        <w:t>pursuant to the amended ROW</w:t>
      </w:r>
      <w:r w:rsidR="00E511B8">
        <w:t> </w:t>
      </w:r>
      <w:r w:rsidR="00A52677">
        <w:t>Rules adopted by today’s Decision</w:t>
      </w:r>
      <w:r>
        <w:t xml:space="preserve">.  </w:t>
      </w:r>
      <w:r w:rsidR="003B2C32">
        <w:t xml:space="preserve">Such a list would become obsolete over time and thereby stifle new technologies and services.  Such a list would also be inconsistent </w:t>
      </w:r>
      <w:r w:rsidR="00B82DF8">
        <w:t xml:space="preserve">with </w:t>
      </w:r>
      <w:r w:rsidR="005D1EE1">
        <w:t xml:space="preserve">the Commission’s practice </w:t>
      </w:r>
      <w:r w:rsidR="000A1690">
        <w:t>of</w:t>
      </w:r>
      <w:r w:rsidR="005D1EE1">
        <w:t xml:space="preserve"> issu</w:t>
      </w:r>
      <w:r w:rsidR="000A1690">
        <w:t>ing</w:t>
      </w:r>
      <w:r w:rsidR="005D1EE1">
        <w:t xml:space="preserve"> CPCNs to provide facilities-based competitive local exchange service (</w:t>
      </w:r>
      <w:r w:rsidR="00F9206B">
        <w:t>CLEC service</w:t>
      </w:r>
      <w:r w:rsidR="005D1EE1">
        <w:t>) in a technology neutral manner, i.e., without regard to whether the CLEC will use wireline</w:t>
      </w:r>
      <w:bookmarkStart w:id="26" w:name="_Ref506270952"/>
      <w:r w:rsidR="00985747">
        <w:rPr>
          <w:rStyle w:val="FootnoteReference"/>
        </w:rPr>
        <w:footnoteReference w:id="14"/>
      </w:r>
      <w:bookmarkEnd w:id="26"/>
      <w:r w:rsidR="005D1EE1">
        <w:t xml:space="preserve"> or wireless</w:t>
      </w:r>
      <w:bookmarkStart w:id="27" w:name="_Ref506271006"/>
      <w:r w:rsidR="00985747">
        <w:rPr>
          <w:rStyle w:val="FootnoteReference"/>
        </w:rPr>
        <w:footnoteReference w:id="15"/>
      </w:r>
      <w:bookmarkEnd w:id="27"/>
      <w:r w:rsidR="005D1EE1">
        <w:t xml:space="preserve"> </w:t>
      </w:r>
      <w:r w:rsidR="00740730">
        <w:t xml:space="preserve">telecommunications </w:t>
      </w:r>
      <w:r w:rsidR="005D1EE1">
        <w:t xml:space="preserve">facilities to provide </w:t>
      </w:r>
      <w:r w:rsidR="00F9206B">
        <w:t>CLEC service</w:t>
      </w:r>
      <w:r w:rsidR="005D1EE1">
        <w:t xml:space="preserve">.  </w:t>
      </w:r>
    </w:p>
    <w:p w:rsidR="009A6747" w:rsidRDefault="009A6747" w:rsidP="009A6747">
      <w:pPr>
        <w:pStyle w:val="standard"/>
      </w:pPr>
      <w:bookmarkStart w:id="28" w:name="_Toc424321894"/>
      <w:r>
        <w:t>We emphasize that regardless</w:t>
      </w:r>
      <w:r w:rsidRPr="004C23D3">
        <w:t xml:space="preserve"> of </w:t>
      </w:r>
      <w:r>
        <w:t xml:space="preserve">the types of wireless telecommunications facilities installed by </w:t>
      </w:r>
      <w:r w:rsidRPr="004C23D3">
        <w:t>CLEC</w:t>
      </w:r>
      <w:r>
        <w:t>s</w:t>
      </w:r>
      <w:r w:rsidRPr="004C23D3">
        <w:t xml:space="preserve"> </w:t>
      </w:r>
      <w:r>
        <w:t xml:space="preserve">or the services </w:t>
      </w:r>
      <w:r w:rsidRPr="004C23D3">
        <w:t>provid</w:t>
      </w:r>
      <w:r>
        <w:t xml:space="preserve">ed by CLECs, </w:t>
      </w:r>
      <w:r w:rsidRPr="004C23D3">
        <w:t xml:space="preserve">the Commission </w:t>
      </w:r>
      <w:r>
        <w:t>may regulate CLEC wireless facilities in accordance with (1) Pub. Util. Code §§ 701, 761, 762, 767, and 768, and (2) GOs 95 and 128.</w:t>
      </w:r>
    </w:p>
    <w:p w:rsidR="00511D89" w:rsidRDefault="00511D89" w:rsidP="00511D89">
      <w:pPr>
        <w:pStyle w:val="Heading2"/>
      </w:pPr>
      <w:bookmarkStart w:id="29" w:name="_Toc512317969"/>
      <w:r>
        <w:lastRenderedPageBreak/>
        <w:t>Required Authority</w:t>
      </w:r>
      <w:bookmarkEnd w:id="29"/>
      <w:r>
        <w:t xml:space="preserve"> </w:t>
      </w:r>
    </w:p>
    <w:p w:rsidR="00511D89" w:rsidRDefault="00511D89" w:rsidP="00A2636A">
      <w:pPr>
        <w:pStyle w:val="Heading3"/>
        <w:ind w:hanging="288"/>
      </w:pPr>
      <w:bookmarkStart w:id="30" w:name="_Toc512317970"/>
      <w:r>
        <w:t>Background</w:t>
      </w:r>
      <w:bookmarkEnd w:id="30"/>
    </w:p>
    <w:p w:rsidR="00511D89" w:rsidRDefault="00511D89" w:rsidP="00511D89">
      <w:pPr>
        <w:pStyle w:val="standard"/>
      </w:pPr>
      <w:r>
        <w:t xml:space="preserve">The ROW Rules </w:t>
      </w:r>
      <w:r w:rsidR="00F01B3E">
        <w:t xml:space="preserve">provide </w:t>
      </w:r>
      <w:r w:rsidR="006A499A">
        <w:t>nondiscriminatory</w:t>
      </w:r>
      <w:r w:rsidR="00F01B3E">
        <w:t xml:space="preserve"> </w:t>
      </w:r>
      <w:r>
        <w:t xml:space="preserve">access to public utility infrastructure </w:t>
      </w:r>
      <w:r w:rsidR="00F01B3E">
        <w:t>for</w:t>
      </w:r>
      <w:r>
        <w:t xml:space="preserve"> CATV corporations</w:t>
      </w:r>
      <w:r w:rsidR="009A6747">
        <w:t>, CMRS carriers, and telecommunications carriers</w:t>
      </w:r>
      <w:r>
        <w:t>.  The ROW Rules define a “telecommunications carrier” as follows:</w:t>
      </w:r>
    </w:p>
    <w:p w:rsidR="00511D89" w:rsidRPr="006813CF" w:rsidRDefault="00511D89" w:rsidP="001877D8">
      <w:pPr>
        <w:pStyle w:val="standard"/>
        <w:spacing w:after="240" w:line="240" w:lineRule="auto"/>
        <w:ind w:left="1138" w:right="1080" w:hanging="144"/>
      </w:pPr>
      <w:r w:rsidRPr="006813CF">
        <w:t xml:space="preserve">“Telecommunications carrier” generally means any provider of telecommunications services that has been granted a </w:t>
      </w:r>
      <w:r w:rsidR="00791D1C">
        <w:t xml:space="preserve">[CPCN] </w:t>
      </w:r>
      <w:r w:rsidRPr="006813CF">
        <w:t xml:space="preserve">by the </w:t>
      </w:r>
      <w:r w:rsidR="00791D1C">
        <w:t>[</w:t>
      </w:r>
      <w:r w:rsidRPr="006813CF">
        <w:t>Commission</w:t>
      </w:r>
      <w:r w:rsidR="00356F63">
        <w:t>]</w:t>
      </w:r>
      <w:r w:rsidRPr="006813CF">
        <w:t>.  These rules</w:t>
      </w:r>
      <w:r w:rsidR="00356F63">
        <w:t xml:space="preserve">… </w:t>
      </w:r>
      <w:r w:rsidRPr="006813CF">
        <w:t>exclude interexchange carriers from the definition of “telecommunications carrier.”</w:t>
      </w:r>
      <w:r>
        <w:t xml:space="preserve"> (D.16-01-046, Appendix A, Section II, </w:t>
      </w:r>
      <w:r w:rsidR="0060477F">
        <w:t xml:space="preserve">at </w:t>
      </w:r>
      <w:r>
        <w:t>A</w:t>
      </w:r>
      <w:r>
        <w:noBreakHyphen/>
        <w:t xml:space="preserve">25.) </w:t>
      </w:r>
    </w:p>
    <w:p w:rsidR="00854A04" w:rsidRDefault="00511D89" w:rsidP="00511D89">
      <w:pPr>
        <w:pStyle w:val="standard"/>
      </w:pPr>
      <w:r>
        <w:t xml:space="preserve">CLECs are </w:t>
      </w:r>
      <w:r w:rsidR="004A7FD0">
        <w:t>“</w:t>
      </w:r>
      <w:r>
        <w:t xml:space="preserve">telecommunications </w:t>
      </w:r>
      <w:r w:rsidR="00B274DC">
        <w:t>carriers</w:t>
      </w:r>
      <w:r w:rsidR="004A7FD0">
        <w:t>”</w:t>
      </w:r>
      <w:r w:rsidR="00B274DC">
        <w:t xml:space="preserve"> as defined by the ROW</w:t>
      </w:r>
      <w:r w:rsidR="00AC6F07">
        <w:t> </w:t>
      </w:r>
      <w:r w:rsidR="00B274DC">
        <w:t>Rules</w:t>
      </w:r>
      <w:r w:rsidR="002B0F2E">
        <w:t xml:space="preserve"> because </w:t>
      </w:r>
      <w:r w:rsidR="00791D1C">
        <w:t>CLECs</w:t>
      </w:r>
      <w:r w:rsidR="002B0F2E">
        <w:t xml:space="preserve"> provide telecommunications services </w:t>
      </w:r>
      <w:r w:rsidR="00982314">
        <w:t xml:space="preserve">and </w:t>
      </w:r>
      <w:r w:rsidR="002B0F2E">
        <w:t xml:space="preserve">have been granted a CPCN by the Commission to provide </w:t>
      </w:r>
      <w:r w:rsidR="00F9206B">
        <w:t>CLEC service</w:t>
      </w:r>
      <w:r w:rsidR="00B274DC">
        <w:t>.</w:t>
      </w:r>
      <w:r w:rsidR="00AB5B00">
        <w:rPr>
          <w:rStyle w:val="FootnoteReference"/>
        </w:rPr>
        <w:footnoteReference w:id="16"/>
      </w:r>
      <w:r w:rsidR="00B274DC">
        <w:t xml:space="preserve">  </w:t>
      </w:r>
    </w:p>
    <w:p w:rsidR="002B0F2E" w:rsidRDefault="002B0F2E" w:rsidP="007569CB">
      <w:pPr>
        <w:pStyle w:val="standard"/>
      </w:pPr>
      <w:r>
        <w:t xml:space="preserve">The Commission issues three types of CPCNs to provide </w:t>
      </w:r>
      <w:r w:rsidR="00F9206B">
        <w:t>CLEC service</w:t>
      </w:r>
      <w:r>
        <w:t xml:space="preserve">.  These are </w:t>
      </w:r>
      <w:r w:rsidR="00982314">
        <w:t>a</w:t>
      </w:r>
      <w:r>
        <w:t xml:space="preserve"> CPCN to provide </w:t>
      </w:r>
      <w:r w:rsidR="00982314">
        <w:t>(</w:t>
      </w:r>
      <w:r w:rsidR="000046B3">
        <w:t>1</w:t>
      </w:r>
      <w:r w:rsidR="00982314">
        <w:t xml:space="preserve">) </w:t>
      </w:r>
      <w:r>
        <w:t xml:space="preserve">resold </w:t>
      </w:r>
      <w:r w:rsidR="00F9206B">
        <w:t>CLEC service</w:t>
      </w:r>
      <w:r>
        <w:t xml:space="preserve">, (2) limited facilities-based </w:t>
      </w:r>
      <w:r w:rsidR="00F9206B">
        <w:t>CLEC service</w:t>
      </w:r>
      <w:r>
        <w:t>,</w:t>
      </w:r>
      <w:r>
        <w:rPr>
          <w:rStyle w:val="FootnoteReference"/>
        </w:rPr>
        <w:footnoteReference w:id="17"/>
      </w:r>
      <w:r>
        <w:t xml:space="preserve"> or (3) full facilities-based </w:t>
      </w:r>
      <w:r w:rsidR="00F9206B">
        <w:t>CLEC service</w:t>
      </w:r>
      <w:r>
        <w:t>.</w:t>
      </w:r>
      <w:r>
        <w:rPr>
          <w:rStyle w:val="FootnoteReference"/>
        </w:rPr>
        <w:footnoteReference w:id="18"/>
      </w:r>
      <w:r>
        <w:t xml:space="preserve">  A CPCN to provide resold </w:t>
      </w:r>
      <w:r w:rsidR="00F9206B">
        <w:t>CLEC service</w:t>
      </w:r>
      <w:r>
        <w:t xml:space="preserve"> </w:t>
      </w:r>
      <w:r w:rsidR="004A7FD0">
        <w:t xml:space="preserve">does not provide authority </w:t>
      </w:r>
      <w:r>
        <w:t>t</w:t>
      </w:r>
      <w:r w:rsidR="004A7FD0">
        <w:t>o</w:t>
      </w:r>
      <w:r>
        <w:t xml:space="preserve"> install or construct telecommunications facilities.  In order to install telecommunications facilities on </w:t>
      </w:r>
      <w:r>
        <w:lastRenderedPageBreak/>
        <w:t xml:space="preserve">existing support structures, a CLEC must possess a CPCN to provide either limited facilities-based </w:t>
      </w:r>
      <w:r w:rsidR="00F9206B">
        <w:t>CLEC service</w:t>
      </w:r>
      <w:r>
        <w:t xml:space="preserve"> or full facilities-based </w:t>
      </w:r>
      <w:r w:rsidR="00F9206B">
        <w:t>CLEC service</w:t>
      </w:r>
      <w:r>
        <w:t xml:space="preserve">.  In order to construct </w:t>
      </w:r>
      <w:r w:rsidR="00D36956">
        <w:t>support structures</w:t>
      </w:r>
      <w:r>
        <w:t xml:space="preserve">, a CLEC must possess a CPCN to provide full facilities-based </w:t>
      </w:r>
      <w:r w:rsidR="00F9206B">
        <w:t>CLEC service</w:t>
      </w:r>
      <w:r>
        <w:t xml:space="preserve">.  </w:t>
      </w:r>
      <w:r w:rsidR="007569CB">
        <w:t>The</w:t>
      </w:r>
      <w:r>
        <w:t xml:space="preserve"> </w:t>
      </w:r>
      <w:r w:rsidR="00F9206B">
        <w:t xml:space="preserve">current </w:t>
      </w:r>
      <w:r>
        <w:t xml:space="preserve">ROW Rules do not specify what type of CPCN a CLEC must possess in order to obtain </w:t>
      </w:r>
      <w:r w:rsidR="006A499A">
        <w:t>nondiscriminatory</w:t>
      </w:r>
      <w:r>
        <w:t xml:space="preserve"> access to public utility infrastructure.  </w:t>
      </w:r>
    </w:p>
    <w:p w:rsidR="00854A04" w:rsidRDefault="00854A04" w:rsidP="00854A04">
      <w:pPr>
        <w:pStyle w:val="standard"/>
      </w:pPr>
      <w:r>
        <w:t>The scope of this proceeding includes the topic of whether a CLEC that seeks to access public utility infrastructure under the ROW Rules for the purpose of installing wireless facilities must have (1) a CPCN that provides explicit authorization for wireless facilities; (2) a Wireless Identification Registration (WIR) to provide facilities-based CMRS on file at the Commission</w:t>
      </w:r>
      <w:r w:rsidRPr="00806EC5">
        <w:rPr>
          <w:rStyle w:val="FootnoteReference"/>
          <w:sz w:val="22"/>
          <w:szCs w:val="22"/>
        </w:rPr>
        <w:footnoteReference w:id="19"/>
      </w:r>
      <w:r>
        <w:t>; and/or (3) a final environmental impact report, negative declaration, or other documents that may be required by the California Environmental Quality Act (CEQA)</w:t>
      </w:r>
      <w:r w:rsidRPr="00B677EA">
        <w:rPr>
          <w:rStyle w:val="StandardFootnoteReferenceChar"/>
          <w:sz w:val="22"/>
          <w:szCs w:val="22"/>
        </w:rPr>
        <w:footnoteReference w:id="20"/>
      </w:r>
      <w:r>
        <w:t xml:space="preserve"> for the installation </w:t>
      </w:r>
      <w:r w:rsidR="00DC2E26">
        <w:t xml:space="preserve">or construction </w:t>
      </w:r>
      <w:r>
        <w:t xml:space="preserve">of wireless </w:t>
      </w:r>
      <w:r w:rsidR="00DC2E26">
        <w:t>facilities</w:t>
      </w:r>
      <w:r>
        <w:t xml:space="preserve">.  </w:t>
      </w:r>
    </w:p>
    <w:p w:rsidR="00511D89" w:rsidRDefault="00511D89" w:rsidP="00A2636A">
      <w:pPr>
        <w:pStyle w:val="Heading3"/>
        <w:ind w:hanging="288"/>
      </w:pPr>
      <w:bookmarkStart w:id="31" w:name="_Toc512317971"/>
      <w:r>
        <w:t>Positions of the Parties</w:t>
      </w:r>
      <w:bookmarkEnd w:id="31"/>
    </w:p>
    <w:p w:rsidR="00511D89" w:rsidRDefault="0086469E" w:rsidP="00511D89">
      <w:pPr>
        <w:pStyle w:val="standard"/>
      </w:pPr>
      <w:r>
        <w:t>Those</w:t>
      </w:r>
      <w:r w:rsidR="00511D89">
        <w:t xml:space="preserve"> parties that addressed this topic</w:t>
      </w:r>
      <w:r>
        <w:t> – </w:t>
      </w:r>
      <w:r w:rsidR="00511D89">
        <w:t xml:space="preserve">including CALTEL, Cox, ExteNet, </w:t>
      </w:r>
      <w:r w:rsidR="00A704C0">
        <w:t xml:space="preserve">the </w:t>
      </w:r>
      <w:r w:rsidR="003250F0">
        <w:t>Electric</w:t>
      </w:r>
      <w:r w:rsidR="00A704C0">
        <w:t xml:space="preserve"> IOUs, </w:t>
      </w:r>
      <w:r w:rsidR="00511D89">
        <w:t>and WIA</w:t>
      </w:r>
      <w:r>
        <w:t> – </w:t>
      </w:r>
      <w:r w:rsidR="00831DEE">
        <w:t xml:space="preserve">agree </w:t>
      </w:r>
      <w:r w:rsidR="00511D89">
        <w:t xml:space="preserve">that </w:t>
      </w:r>
      <w:r w:rsidR="00A704C0">
        <w:t>a</w:t>
      </w:r>
      <w:r w:rsidR="00511D89">
        <w:t xml:space="preserve"> CPCN to provide facilities-based </w:t>
      </w:r>
      <w:r w:rsidR="00F9206B">
        <w:t>CLEC service</w:t>
      </w:r>
      <w:r w:rsidR="00511D89">
        <w:t xml:space="preserve"> is sufficient to gain access to public utility infrastructure under the ROW Rules for the purpose of installing wireless facilities.  </w:t>
      </w:r>
      <w:r w:rsidR="00A704C0">
        <w:t>Most of these</w:t>
      </w:r>
      <w:r w:rsidR="00235FC2">
        <w:t xml:space="preserve"> parties </w:t>
      </w:r>
      <w:r w:rsidR="00A704C0">
        <w:t>contend</w:t>
      </w:r>
      <w:r w:rsidR="00235FC2">
        <w:t xml:space="preserve"> </w:t>
      </w:r>
      <w:r w:rsidR="008C3999">
        <w:t xml:space="preserve">that </w:t>
      </w:r>
      <w:r w:rsidR="00235FC2">
        <w:t>t</w:t>
      </w:r>
      <w:r w:rsidR="00511D89">
        <w:t xml:space="preserve">here is no need </w:t>
      </w:r>
      <w:r w:rsidR="00713B28">
        <w:t xml:space="preserve">for a CLEC to possess a </w:t>
      </w:r>
      <w:r w:rsidR="00511D89">
        <w:t xml:space="preserve">CPCN </w:t>
      </w:r>
      <w:r w:rsidR="00713B28">
        <w:t xml:space="preserve">that provides </w:t>
      </w:r>
      <w:r w:rsidR="00511D89">
        <w:t xml:space="preserve">explicit authority to install wireless facilities.  </w:t>
      </w:r>
      <w:r w:rsidR="00A704C0">
        <w:t xml:space="preserve">No party disputes this contention.  </w:t>
      </w:r>
    </w:p>
    <w:p w:rsidR="006508E0" w:rsidRDefault="00036DA2" w:rsidP="001C56D2">
      <w:pPr>
        <w:pStyle w:val="standard"/>
      </w:pPr>
      <w:r>
        <w:lastRenderedPageBreak/>
        <w:t xml:space="preserve">Cox and </w:t>
      </w:r>
      <w:r w:rsidR="00FF367A">
        <w:t xml:space="preserve">WIA </w:t>
      </w:r>
      <w:r w:rsidR="006C4D2C">
        <w:t>assert</w:t>
      </w:r>
      <w:r w:rsidR="007C308B">
        <w:t xml:space="preserve"> </w:t>
      </w:r>
      <w:r w:rsidR="00FF367A">
        <w:t xml:space="preserve">that CLECs should not be required to </w:t>
      </w:r>
      <w:r w:rsidR="00F70668">
        <w:t>possess</w:t>
      </w:r>
      <w:r w:rsidR="00FF367A">
        <w:t xml:space="preserve"> a WIR </w:t>
      </w:r>
      <w:r w:rsidR="00F70668">
        <w:t xml:space="preserve">in order </w:t>
      </w:r>
      <w:r>
        <w:t xml:space="preserve">to install wireless facilities under the ROW Rules. </w:t>
      </w:r>
      <w:r w:rsidR="00FF367A">
        <w:t xml:space="preserve"> </w:t>
      </w:r>
      <w:r w:rsidR="00CF14F6">
        <w:t>The</w:t>
      </w:r>
      <w:r w:rsidR="00C63BC0">
        <w:t>y</w:t>
      </w:r>
      <w:r w:rsidR="00CF14F6">
        <w:t xml:space="preserve"> state that D.94</w:t>
      </w:r>
      <w:r w:rsidR="00F70668">
        <w:noBreakHyphen/>
      </w:r>
      <w:r w:rsidR="00CF14F6">
        <w:t>10</w:t>
      </w:r>
      <w:r w:rsidR="00F70668">
        <w:noBreakHyphen/>
      </w:r>
      <w:r w:rsidR="00CF14F6">
        <w:t xml:space="preserve">031 instituted the WIR </w:t>
      </w:r>
      <w:r w:rsidR="00870563">
        <w:t xml:space="preserve">so </w:t>
      </w:r>
      <w:r w:rsidR="00CF14F6">
        <w:t xml:space="preserve">the Commission </w:t>
      </w:r>
      <w:r w:rsidR="00870563">
        <w:t>could</w:t>
      </w:r>
      <w:r w:rsidR="00CF14F6">
        <w:t xml:space="preserve"> monitor CMRS carriers</w:t>
      </w:r>
      <w:r w:rsidR="00856D26">
        <w:t xml:space="preserve">, and that the </w:t>
      </w:r>
      <w:r w:rsidR="008C3999">
        <w:t xml:space="preserve">requirement to possess a WIR has </w:t>
      </w:r>
      <w:r w:rsidR="00856D26">
        <w:t xml:space="preserve">always </w:t>
      </w:r>
      <w:r w:rsidR="008C3999">
        <w:t xml:space="preserve">been limited to CMRS carriers.  </w:t>
      </w:r>
      <w:r w:rsidR="00870563">
        <w:t xml:space="preserve">Cox and WIA acknowledge, however, that if a CLEC were to offer </w:t>
      </w:r>
      <w:r w:rsidR="0009364C">
        <w:t>CMRS</w:t>
      </w:r>
      <w:r w:rsidR="00870563">
        <w:t xml:space="preserve">, the CLEC would have to possess a Commission-issued WIR.  </w:t>
      </w:r>
    </w:p>
    <w:p w:rsidR="006508E0" w:rsidRDefault="00870563" w:rsidP="006508E0">
      <w:pPr>
        <w:pStyle w:val="standard"/>
      </w:pPr>
      <w:r>
        <w:t xml:space="preserve">Cox represents that as a CLEC, it </w:t>
      </w:r>
      <w:r w:rsidR="00891592">
        <w:t xml:space="preserve">intends to </w:t>
      </w:r>
      <w:r w:rsidR="0024759C">
        <w:t xml:space="preserve">access public utility infrastructure in California for the purpose of installing </w:t>
      </w:r>
      <w:r w:rsidR="00B32B99">
        <w:t xml:space="preserve">antennas and other </w:t>
      </w:r>
      <w:r>
        <w:t xml:space="preserve">wireless facilities that </w:t>
      </w:r>
      <w:r w:rsidR="009F067D">
        <w:t>are</w:t>
      </w:r>
      <w:r>
        <w:t xml:space="preserve"> connected to Cox’s</w:t>
      </w:r>
      <w:r w:rsidRPr="00655F7B">
        <w:t xml:space="preserve"> fiber </w:t>
      </w:r>
      <w:r w:rsidR="009F067D">
        <w:t>network</w:t>
      </w:r>
      <w:r w:rsidRPr="00655F7B">
        <w:t>.</w:t>
      </w:r>
      <w:r>
        <w:t xml:space="preserve">  </w:t>
      </w:r>
      <w:r w:rsidR="00891592">
        <w:t xml:space="preserve">Cox anticipates that </w:t>
      </w:r>
      <w:r>
        <w:t>CMRS</w:t>
      </w:r>
      <w:r w:rsidR="00891592">
        <w:t> </w:t>
      </w:r>
      <w:r>
        <w:t>carrier</w:t>
      </w:r>
      <w:r w:rsidR="00B32B99">
        <w:t>s</w:t>
      </w:r>
      <w:r>
        <w:t xml:space="preserve"> </w:t>
      </w:r>
      <w:r w:rsidR="00891592">
        <w:t xml:space="preserve">will </w:t>
      </w:r>
      <w:r>
        <w:t xml:space="preserve">use Cox’s wireless facilities to transmit </w:t>
      </w:r>
      <w:r w:rsidR="00586A71">
        <w:t>radio frequency (RF) </w:t>
      </w:r>
      <w:r>
        <w:t>signals to end users using the CMRS carriers</w:t>
      </w:r>
      <w:r w:rsidR="00B32B99">
        <w:t>’</w:t>
      </w:r>
      <w:r>
        <w:t xml:space="preserve"> </w:t>
      </w:r>
      <w:r w:rsidR="00CB357B">
        <w:t>FCC-</w:t>
      </w:r>
      <w:r>
        <w:t xml:space="preserve">licensed spectrum.  </w:t>
      </w:r>
      <w:r w:rsidR="00B32B99">
        <w:t>Cox states that the Commission has authorized CLECs to offer the previously described service to CMRS carriers.</w:t>
      </w:r>
      <w:r w:rsidR="00B32B99">
        <w:rPr>
          <w:rStyle w:val="FootnoteReference"/>
        </w:rPr>
        <w:footnoteReference w:id="21"/>
      </w:r>
      <w:r w:rsidR="00B32B99">
        <w:t xml:space="preserve">  </w:t>
      </w:r>
      <w:r w:rsidR="006508E0">
        <w:t xml:space="preserve">Cox adds that while the FCC requires a spectrum license to provide CMRS, the FCC does not require CLECs to </w:t>
      </w:r>
      <w:r w:rsidR="007F296D">
        <w:t>have</w:t>
      </w:r>
      <w:r w:rsidR="006508E0">
        <w:t xml:space="preserve"> a spectrum license in order to install, own, or manage antennas.  </w:t>
      </w:r>
    </w:p>
    <w:p w:rsidR="006508E0" w:rsidRDefault="006508E0" w:rsidP="006508E0">
      <w:pPr>
        <w:pStyle w:val="standard"/>
      </w:pPr>
      <w:r w:rsidRPr="00766896">
        <w:t xml:space="preserve">Cox </w:t>
      </w:r>
      <w:r>
        <w:t>believes</w:t>
      </w:r>
      <w:r w:rsidRPr="00766896">
        <w:t xml:space="preserve"> that adequate safeguards are in place to ensure that extending the ROW Rules to </w:t>
      </w:r>
      <w:r>
        <w:t xml:space="preserve">all </w:t>
      </w:r>
      <w:r w:rsidRPr="00766896">
        <w:t xml:space="preserve">CLEC wireless </w:t>
      </w:r>
      <w:r>
        <w:t>facilities</w:t>
      </w:r>
      <w:r w:rsidRPr="00766896">
        <w:t xml:space="preserve"> will not lead to CLECs offering unauthorized </w:t>
      </w:r>
      <w:r>
        <w:t xml:space="preserve">wireless </w:t>
      </w:r>
      <w:r w:rsidRPr="00766896">
        <w:t xml:space="preserve">services or </w:t>
      </w:r>
      <w:r w:rsidR="007F296D">
        <w:t xml:space="preserve">to </w:t>
      </w:r>
      <w:r>
        <w:t>degrade</w:t>
      </w:r>
      <w:r w:rsidR="007F296D">
        <w:t>d</w:t>
      </w:r>
      <w:r>
        <w:t xml:space="preserve"> safety.</w:t>
      </w:r>
      <w:r w:rsidRPr="00766896">
        <w:t xml:space="preserve"> </w:t>
      </w:r>
      <w:r>
        <w:t xml:space="preserve"> </w:t>
      </w:r>
      <w:r w:rsidR="00816F7A">
        <w:t>Cox notes that a</w:t>
      </w:r>
      <w:r>
        <w:t xml:space="preserve">t the state level, the </w:t>
      </w:r>
      <w:r w:rsidR="007F296D">
        <w:t>CPUC</w:t>
      </w:r>
      <w:r>
        <w:t xml:space="preserve"> requires CMRS carriers to obtain a WIR in order to provide CMRS in California.  At the federal level, </w:t>
      </w:r>
      <w:r w:rsidRPr="00766896">
        <w:t xml:space="preserve">FCC rules </w:t>
      </w:r>
      <w:r>
        <w:t>specify which</w:t>
      </w:r>
      <w:r w:rsidRPr="00766896">
        <w:t xml:space="preserve"> entities may provide wireless services</w:t>
      </w:r>
      <w:r>
        <w:t>;</w:t>
      </w:r>
      <w:r w:rsidRPr="00766896">
        <w:t xml:space="preserve"> impose limits on </w:t>
      </w:r>
      <w:r>
        <w:t xml:space="preserve">equipment </w:t>
      </w:r>
      <w:r w:rsidRPr="00766896">
        <w:t xml:space="preserve">power levels and </w:t>
      </w:r>
      <w:r>
        <w:t>RF </w:t>
      </w:r>
      <w:r w:rsidRPr="00766896">
        <w:t xml:space="preserve">emissions to </w:t>
      </w:r>
      <w:r>
        <w:t xml:space="preserve">prevent </w:t>
      </w:r>
      <w:r w:rsidRPr="00766896">
        <w:t>interference with other licensed RF transmissions</w:t>
      </w:r>
      <w:r>
        <w:t xml:space="preserve">; </w:t>
      </w:r>
      <w:r w:rsidRPr="00455BED">
        <w:t xml:space="preserve">establish maximum </w:t>
      </w:r>
      <w:r w:rsidR="00AF712B">
        <w:t xml:space="preserve">RF </w:t>
      </w:r>
      <w:r w:rsidRPr="00455BED">
        <w:t xml:space="preserve">exposure limits to </w:t>
      </w:r>
      <w:r>
        <w:t xml:space="preserve">protect </w:t>
      </w:r>
      <w:r w:rsidRPr="00455BED">
        <w:t>workers and the public</w:t>
      </w:r>
      <w:r>
        <w:t xml:space="preserve">; ensure that all RF equipment is appropriately authorized; and impose construction, </w:t>
      </w:r>
      <w:r>
        <w:lastRenderedPageBreak/>
        <w:t>marking, and lighting requirements for antennas.</w:t>
      </w:r>
      <w:r>
        <w:rPr>
          <w:rStyle w:val="FootnoteReference"/>
        </w:rPr>
        <w:footnoteReference w:id="22"/>
      </w:r>
      <w:r>
        <w:t xml:space="preserve">  </w:t>
      </w:r>
      <w:r w:rsidR="00870563">
        <w:t xml:space="preserve">Cox states that if a </w:t>
      </w:r>
      <w:r>
        <w:t xml:space="preserve">CLEC </w:t>
      </w:r>
      <w:r w:rsidR="00870563">
        <w:t xml:space="preserve">were to provide </w:t>
      </w:r>
      <w:r>
        <w:t xml:space="preserve">CMRS </w:t>
      </w:r>
      <w:r w:rsidR="00870563">
        <w:t>without the appropriate federal spectrum license and CPUC</w:t>
      </w:r>
      <w:r w:rsidR="00870563">
        <w:noBreakHyphen/>
        <w:t xml:space="preserve">issued WIR, the </w:t>
      </w:r>
      <w:r w:rsidR="00F6028C">
        <w:t>CLEC</w:t>
      </w:r>
      <w:r w:rsidR="00870563">
        <w:t xml:space="preserve"> would be subject to significant fines and other sanctions at both the federal and state level.</w:t>
      </w:r>
      <w:r w:rsidR="00870563">
        <w:rPr>
          <w:rStyle w:val="FootnoteReference"/>
        </w:rPr>
        <w:footnoteReference w:id="23"/>
      </w:r>
      <w:r w:rsidR="00870563">
        <w:t xml:space="preserve">  </w:t>
      </w:r>
    </w:p>
    <w:p w:rsidR="005968C4" w:rsidRDefault="003B425D" w:rsidP="00D53219">
      <w:pPr>
        <w:pStyle w:val="standard"/>
      </w:pPr>
      <w:r>
        <w:t>ExteNet</w:t>
      </w:r>
      <w:r w:rsidR="00306E7F">
        <w:t xml:space="preserve"> </w:t>
      </w:r>
      <w:r w:rsidR="00F17449">
        <w:t>comment</w:t>
      </w:r>
      <w:r w:rsidR="00932DC2">
        <w:t>s</w:t>
      </w:r>
      <w:r w:rsidR="00F17449">
        <w:t xml:space="preserve"> that amending the ROW</w:t>
      </w:r>
      <w:r w:rsidR="006D3068">
        <w:t> </w:t>
      </w:r>
      <w:r w:rsidR="00F17449">
        <w:t xml:space="preserve">Rules to encompass </w:t>
      </w:r>
      <w:r w:rsidR="005C3568">
        <w:t xml:space="preserve">all </w:t>
      </w:r>
      <w:r w:rsidR="00F17449">
        <w:t xml:space="preserve">CLEC wireless </w:t>
      </w:r>
      <w:r w:rsidR="00085C09">
        <w:t xml:space="preserve">facilities will not affect </w:t>
      </w:r>
      <w:r w:rsidR="00F17449">
        <w:t xml:space="preserve">the Commission’s </w:t>
      </w:r>
      <w:r w:rsidR="007A11C6">
        <w:t xml:space="preserve">responsibilities and </w:t>
      </w:r>
      <w:r w:rsidR="00F17449">
        <w:t xml:space="preserve">procedures for </w:t>
      </w:r>
      <w:r w:rsidR="00546F1C">
        <w:t xml:space="preserve">reviewing CLEC construction activities in accordance with CEQA.  </w:t>
      </w:r>
      <w:r w:rsidR="006D3068">
        <w:t xml:space="preserve">No party </w:t>
      </w:r>
      <w:r w:rsidR="00546F1C">
        <w:t>disagrees</w:t>
      </w:r>
      <w:r w:rsidR="006D3068">
        <w:t xml:space="preserve"> with </w:t>
      </w:r>
      <w:r w:rsidR="00932DC2">
        <w:t>ExteNet’s</w:t>
      </w:r>
      <w:r w:rsidR="006D3068">
        <w:t xml:space="preserve"> position.  </w:t>
      </w:r>
    </w:p>
    <w:p w:rsidR="00511D89" w:rsidRDefault="00511D89" w:rsidP="00A2636A">
      <w:pPr>
        <w:pStyle w:val="Heading3"/>
        <w:ind w:hanging="288"/>
      </w:pPr>
      <w:bookmarkStart w:id="32" w:name="_Toc512317972"/>
      <w:r>
        <w:t>Discussion</w:t>
      </w:r>
      <w:bookmarkEnd w:id="32"/>
    </w:p>
    <w:p w:rsidR="00280184" w:rsidRDefault="00D474AF" w:rsidP="00FF4579">
      <w:pPr>
        <w:pStyle w:val="standard"/>
        <w:keepLines/>
      </w:pPr>
      <w:r>
        <w:t xml:space="preserve">The issue before us is </w:t>
      </w:r>
      <w:r w:rsidR="00085C09">
        <w:t xml:space="preserve">whether </w:t>
      </w:r>
      <w:r w:rsidR="00DB522D">
        <w:t>CLEC</w:t>
      </w:r>
      <w:r w:rsidR="005E5E32">
        <w:t>s</w:t>
      </w:r>
      <w:r w:rsidR="00DB522D">
        <w:t xml:space="preserve"> must possess </w:t>
      </w:r>
      <w:r w:rsidR="00085C09">
        <w:t xml:space="preserve">the following in order </w:t>
      </w:r>
      <w:r w:rsidR="00DB522D">
        <w:t xml:space="preserve">to install wireless </w:t>
      </w:r>
      <w:r w:rsidR="00E225C8">
        <w:t xml:space="preserve">telecommunications </w:t>
      </w:r>
      <w:r w:rsidR="009955BD">
        <w:t>facilities</w:t>
      </w:r>
      <w:r w:rsidR="00024AD8">
        <w:t xml:space="preserve"> under the </w:t>
      </w:r>
      <w:r w:rsidR="00626BE6">
        <w:t xml:space="preserve">amended </w:t>
      </w:r>
      <w:r w:rsidR="00024AD8">
        <w:t>ROW</w:t>
      </w:r>
      <w:r w:rsidR="009955BD">
        <w:t> </w:t>
      </w:r>
      <w:r w:rsidR="00024AD8">
        <w:t>Rules</w:t>
      </w:r>
      <w:r w:rsidR="00626BE6">
        <w:t xml:space="preserve"> adopted by today’s Decision</w:t>
      </w:r>
      <w:r w:rsidR="00085C09">
        <w:t xml:space="preserve">:  </w:t>
      </w:r>
      <w:r w:rsidR="00280184">
        <w:t>(1) a CPCN that provides explicit authorization for wireless facilities</w:t>
      </w:r>
      <w:r w:rsidR="00085C09">
        <w:t>;</w:t>
      </w:r>
      <w:r w:rsidR="00280184">
        <w:t xml:space="preserve"> (2) a WIR to provide facilities-based CMRS; and/or (3) a final environmental impact report, negative declaration, or other documents that may be required by CEQA for the installation </w:t>
      </w:r>
      <w:r w:rsidR="00514DEF">
        <w:t xml:space="preserve">or construction </w:t>
      </w:r>
      <w:r w:rsidR="00280184">
        <w:t xml:space="preserve">of wireless </w:t>
      </w:r>
      <w:r w:rsidR="009955BD">
        <w:t>facilities</w:t>
      </w:r>
      <w:r w:rsidR="00280184">
        <w:t xml:space="preserve">. </w:t>
      </w:r>
      <w:r w:rsidR="00E94AC2">
        <w:t xml:space="preserve"> </w:t>
      </w:r>
      <w:r w:rsidR="006B1566">
        <w:t>We address these matters below</w:t>
      </w:r>
      <w:r w:rsidR="008A5803">
        <w:t>.</w:t>
      </w:r>
      <w:r w:rsidR="00280184">
        <w:t xml:space="preserve"> </w:t>
      </w:r>
    </w:p>
    <w:p w:rsidR="006B1566" w:rsidRDefault="006B1566" w:rsidP="00571B7E">
      <w:pPr>
        <w:pStyle w:val="Heading4"/>
        <w:tabs>
          <w:tab w:val="clear" w:pos="1800"/>
          <w:tab w:val="num" w:pos="3060"/>
        </w:tabs>
        <w:ind w:left="3240"/>
      </w:pPr>
      <w:bookmarkStart w:id="33" w:name="_Toc512317973"/>
      <w:r w:rsidRPr="00D87EBE">
        <w:t>CPCN</w:t>
      </w:r>
      <w:r w:rsidR="0077724E">
        <w:t xml:space="preserve"> Requirement</w:t>
      </w:r>
      <w:bookmarkEnd w:id="33"/>
    </w:p>
    <w:p w:rsidR="00307BE2" w:rsidRDefault="000026BA" w:rsidP="000026BA">
      <w:pPr>
        <w:pStyle w:val="standard"/>
      </w:pPr>
      <w:r>
        <w:t xml:space="preserve">Prior to today’s Decision, the ROW Rules provided CLECs with </w:t>
      </w:r>
      <w:r w:rsidR="006A499A">
        <w:t>nondiscriminatory</w:t>
      </w:r>
      <w:r>
        <w:t xml:space="preserve"> access to public utility infrastructure for the purpose of installing (1) wireline facilities, and (2)</w:t>
      </w:r>
      <w:r w:rsidR="00B31E4B">
        <w:t> </w:t>
      </w:r>
      <w:r>
        <w:t>fixed wireless facilities.</w:t>
      </w:r>
      <w:r>
        <w:rPr>
          <w:rStyle w:val="FootnoteReference"/>
        </w:rPr>
        <w:footnoteReference w:id="24"/>
      </w:r>
      <w:r>
        <w:t xml:space="preserve">  </w:t>
      </w:r>
      <w:r w:rsidR="00307BE2">
        <w:t>While the ROW</w:t>
      </w:r>
      <w:r w:rsidR="006A4AE4">
        <w:t> </w:t>
      </w:r>
      <w:r w:rsidR="00307BE2">
        <w:t>Rules require CLEC</w:t>
      </w:r>
      <w:r w:rsidR="00E86C7D">
        <w:t>s</w:t>
      </w:r>
      <w:r w:rsidR="00307BE2">
        <w:t xml:space="preserve"> to possess a CPCN, there is no requirement </w:t>
      </w:r>
      <w:r w:rsidR="00906D3C">
        <w:t xml:space="preserve">in the </w:t>
      </w:r>
      <w:r w:rsidR="00906D3C">
        <w:lastRenderedPageBreak/>
        <w:t>ROW</w:t>
      </w:r>
      <w:r w:rsidR="00A8606F">
        <w:t> </w:t>
      </w:r>
      <w:r w:rsidR="00906D3C">
        <w:t xml:space="preserve">Rules </w:t>
      </w:r>
      <w:r w:rsidR="00307BE2">
        <w:t xml:space="preserve">that </w:t>
      </w:r>
      <w:r w:rsidR="00A8606F">
        <w:t>a</w:t>
      </w:r>
      <w:r w:rsidR="00906D3C">
        <w:t xml:space="preserve"> </w:t>
      </w:r>
      <w:r w:rsidR="00307BE2">
        <w:t xml:space="preserve">CPCN must </w:t>
      </w:r>
      <w:r w:rsidR="00A8606F">
        <w:t>include</w:t>
      </w:r>
      <w:r w:rsidR="00307BE2">
        <w:t xml:space="preserve"> explicit authorization for </w:t>
      </w:r>
      <w:r w:rsidR="00B351FF">
        <w:t xml:space="preserve">either </w:t>
      </w:r>
      <w:r w:rsidR="00307BE2">
        <w:t>wireline facilities or fixed</w:t>
      </w:r>
      <w:r w:rsidR="001B425B">
        <w:t xml:space="preserve"> </w:t>
      </w:r>
      <w:r w:rsidR="00307BE2">
        <w:t xml:space="preserve">wireless facilities.  </w:t>
      </w:r>
    </w:p>
    <w:p w:rsidR="00F12AEA" w:rsidRDefault="00307BE2" w:rsidP="00F12AEA">
      <w:pPr>
        <w:pStyle w:val="standard"/>
      </w:pPr>
      <w:r>
        <w:t xml:space="preserve">We conclude that </w:t>
      </w:r>
      <w:r w:rsidR="00D75C1E">
        <w:t>amending</w:t>
      </w:r>
      <w:r w:rsidR="00766846">
        <w:t xml:space="preserve"> the ROW</w:t>
      </w:r>
      <w:r w:rsidR="00C21084">
        <w:t> </w:t>
      </w:r>
      <w:r w:rsidR="00766846">
        <w:t xml:space="preserve">Rules to encompass </w:t>
      </w:r>
      <w:r w:rsidR="005E5E32">
        <w:t>all</w:t>
      </w:r>
      <w:r w:rsidR="00766846">
        <w:t xml:space="preserve"> CLEC wireless </w:t>
      </w:r>
      <w:r w:rsidR="005E5E32">
        <w:t xml:space="preserve">telecommunications </w:t>
      </w:r>
      <w:r w:rsidR="00766846">
        <w:t xml:space="preserve">facilities does not </w:t>
      </w:r>
      <w:r w:rsidR="005E5E32">
        <w:t>necessitate</w:t>
      </w:r>
      <w:r w:rsidR="00766846">
        <w:t xml:space="preserve"> a new requirement</w:t>
      </w:r>
      <w:r>
        <w:t xml:space="preserve"> </w:t>
      </w:r>
      <w:r w:rsidR="005401C8">
        <w:t xml:space="preserve">in the ROW Rules </w:t>
      </w:r>
      <w:r w:rsidR="00766846">
        <w:t xml:space="preserve">that </w:t>
      </w:r>
      <w:r>
        <w:t xml:space="preserve">CLECs’ CPCNs </w:t>
      </w:r>
      <w:r w:rsidR="00766846">
        <w:t>must</w:t>
      </w:r>
      <w:r>
        <w:t xml:space="preserve"> include explicit authorization for wireless facilities.  </w:t>
      </w:r>
      <w:r w:rsidR="00F12AEA">
        <w:t xml:space="preserve">The central purpose of the ROW Rules is to provide </w:t>
      </w:r>
      <w:r w:rsidR="006A499A">
        <w:t>nondiscriminatory</w:t>
      </w:r>
      <w:r w:rsidR="00F12AEA">
        <w:t xml:space="preserve"> access to public utility infrastructure.  To achieve this goal, access must be provided in a way that is competitively neutral, technology neutral, and regulatory neutral.  </w:t>
      </w:r>
      <w:r w:rsidR="008A464F">
        <w:t>S</w:t>
      </w:r>
      <w:r w:rsidR="00F12AEA">
        <w:t xml:space="preserve">uch neutrality </w:t>
      </w:r>
      <w:r w:rsidR="008A464F">
        <w:t>is achieved</w:t>
      </w:r>
      <w:r w:rsidR="00F12AEA">
        <w:t xml:space="preserve">, in part, </w:t>
      </w:r>
      <w:r w:rsidR="008A464F">
        <w:t xml:space="preserve">by </w:t>
      </w:r>
      <w:r w:rsidR="00F12AEA">
        <w:t>treating all CLEC facilities</w:t>
      </w:r>
      <w:r w:rsidR="00C2622C">
        <w:t xml:space="preserve"> </w:t>
      </w:r>
      <w:r w:rsidR="00D3291B">
        <w:t>–</w:t>
      </w:r>
      <w:r w:rsidR="00C2622C">
        <w:t xml:space="preserve"> </w:t>
      </w:r>
      <w:r w:rsidR="00F12AEA">
        <w:t>both wireline and wireless</w:t>
      </w:r>
      <w:r w:rsidR="00C2622C">
        <w:t xml:space="preserve"> </w:t>
      </w:r>
      <w:r w:rsidR="00D3291B">
        <w:t>–</w:t>
      </w:r>
      <w:r w:rsidR="00C2622C">
        <w:t xml:space="preserve"> </w:t>
      </w:r>
      <w:r w:rsidR="00BE3139">
        <w:t>uniformly</w:t>
      </w:r>
      <w:r w:rsidR="00F12AEA">
        <w:t xml:space="preserve"> in terms of the CPCN that is required to obtain </w:t>
      </w:r>
      <w:r w:rsidR="006A499A">
        <w:t>nondiscriminatory</w:t>
      </w:r>
      <w:r w:rsidR="00F12AEA">
        <w:t xml:space="preserve"> access.  </w:t>
      </w:r>
    </w:p>
    <w:p w:rsidR="006A7FB4" w:rsidRDefault="00A61615" w:rsidP="00A61615">
      <w:pPr>
        <w:pStyle w:val="standard"/>
      </w:pPr>
      <w:r>
        <w:t xml:space="preserve">Our conclusion is supported by </w:t>
      </w:r>
      <w:r w:rsidR="00D83645">
        <w:t xml:space="preserve">the </w:t>
      </w:r>
      <w:r w:rsidR="00DB236B">
        <w:t xml:space="preserve">Commission decisions </w:t>
      </w:r>
      <w:r w:rsidR="00E473AB">
        <w:t>that</w:t>
      </w:r>
      <w:r w:rsidR="00DB236B">
        <w:t xml:space="preserve"> grant CPCNs to provide </w:t>
      </w:r>
      <w:r w:rsidR="002D546D">
        <w:t xml:space="preserve">limited facilities-based </w:t>
      </w:r>
      <w:r w:rsidR="00F9206B">
        <w:t>CLEC service</w:t>
      </w:r>
      <w:r w:rsidR="002D546D">
        <w:t xml:space="preserve"> or full facilities-based </w:t>
      </w:r>
      <w:r w:rsidR="00F9206B">
        <w:t>CLEC service</w:t>
      </w:r>
      <w:r w:rsidR="002D546D">
        <w:t xml:space="preserve"> (together, “facilities-based </w:t>
      </w:r>
      <w:r w:rsidR="00F9206B">
        <w:t>CLEC service</w:t>
      </w:r>
      <w:r w:rsidR="002D546D">
        <w:t>”)</w:t>
      </w:r>
      <w:r w:rsidR="00A6199B">
        <w:t>.  These decisions</w:t>
      </w:r>
      <w:r w:rsidR="002D546D">
        <w:t xml:space="preserve"> </w:t>
      </w:r>
      <w:r w:rsidR="00DB236B">
        <w:t xml:space="preserve">do not specify the particular types of facilities that a CLEC is authorized to </w:t>
      </w:r>
      <w:r w:rsidR="00D83645">
        <w:t>use</w:t>
      </w:r>
      <w:r w:rsidR="00DB236B">
        <w:t>.</w:t>
      </w:r>
      <w:r w:rsidR="00DB236B" w:rsidRPr="00336E52">
        <w:rPr>
          <w:rStyle w:val="FootnoteReference"/>
        </w:rPr>
        <w:footnoteReference w:id="25"/>
      </w:r>
      <w:r w:rsidR="00DB236B">
        <w:t xml:space="preserve">  Consequently, CLECs have authority under their facilities-based CPCNs to </w:t>
      </w:r>
      <w:r w:rsidR="00FB606D">
        <w:t xml:space="preserve">install </w:t>
      </w:r>
      <w:r w:rsidR="0085507A">
        <w:t>both</w:t>
      </w:r>
      <w:r w:rsidR="00FB606D">
        <w:t xml:space="preserve"> </w:t>
      </w:r>
      <w:r w:rsidR="00DB236B">
        <w:t xml:space="preserve">wireline and wireless </w:t>
      </w:r>
      <w:r w:rsidR="00FB606D">
        <w:t>telecommunications f</w:t>
      </w:r>
      <w:r w:rsidR="00DB236B">
        <w:t>acilities</w:t>
      </w:r>
      <w:r w:rsidR="00C2622C">
        <w:t xml:space="preserve">, including </w:t>
      </w:r>
      <w:r w:rsidR="00FB606D">
        <w:t>antennas, radios, and fiber</w:t>
      </w:r>
      <w:r w:rsidR="00491B85">
        <w:t>-</w:t>
      </w:r>
      <w:r w:rsidR="00FB606D">
        <w:t xml:space="preserve">optic </w:t>
      </w:r>
      <w:r w:rsidR="00C2622C">
        <w:t xml:space="preserve">cables </w:t>
      </w:r>
      <w:r w:rsidR="00FB606D">
        <w:t xml:space="preserve">to transport telecommunications traffic to and from CLEC-installed antennas.  </w:t>
      </w:r>
      <w:r w:rsidR="003E7F4F">
        <w:t xml:space="preserve">This authority makes it unnecessary to </w:t>
      </w:r>
      <w:r w:rsidR="003E7F4F">
        <w:lastRenderedPageBreak/>
        <w:t>include in the ROW Rules a requirement that CLECs’ CPCNs must include explicit authorization for wireless facilities.</w:t>
      </w:r>
      <w:r w:rsidR="006A7FB4">
        <w:rPr>
          <w:rStyle w:val="FootnoteReference"/>
        </w:rPr>
        <w:footnoteReference w:id="26"/>
      </w:r>
      <w:r w:rsidR="003E7F4F">
        <w:t xml:space="preserve">  </w:t>
      </w:r>
    </w:p>
    <w:p w:rsidR="0077724E" w:rsidRDefault="0077724E" w:rsidP="00571B7E">
      <w:pPr>
        <w:pStyle w:val="Heading4"/>
        <w:tabs>
          <w:tab w:val="clear" w:pos="1800"/>
        </w:tabs>
        <w:ind w:left="3060" w:hanging="900"/>
      </w:pPr>
      <w:bookmarkStart w:id="34" w:name="_Toc512317974"/>
      <w:r>
        <w:t>WIR Requirement</w:t>
      </w:r>
      <w:bookmarkEnd w:id="34"/>
    </w:p>
    <w:p w:rsidR="0077724E" w:rsidRDefault="00EC0059" w:rsidP="00CB5579">
      <w:pPr>
        <w:pStyle w:val="standard"/>
      </w:pPr>
      <w:r>
        <w:t xml:space="preserve">The </w:t>
      </w:r>
      <w:r w:rsidR="00BE0702">
        <w:t xml:space="preserve">only entities that are required by the </w:t>
      </w:r>
      <w:r>
        <w:t xml:space="preserve">Commission </w:t>
      </w:r>
      <w:r w:rsidR="00BE0702">
        <w:t>to obtain a WIR are CMRS carriers.</w:t>
      </w:r>
      <w:r w:rsidR="00F858EB">
        <w:rPr>
          <w:rStyle w:val="FootnoteReference"/>
          <w:sz w:val="22"/>
          <w:szCs w:val="22"/>
        </w:rPr>
        <w:footnoteReference w:id="27"/>
      </w:r>
      <w:r w:rsidR="00BE0702">
        <w:t xml:space="preserve">  </w:t>
      </w:r>
      <w:r w:rsidR="00FB2FD4">
        <w:t xml:space="preserve">CMRS is not within the scope of telecommunications services that CLECs may provide pursuant to their </w:t>
      </w:r>
      <w:r w:rsidR="00710E61">
        <w:t xml:space="preserve">Commission-issued </w:t>
      </w:r>
      <w:r w:rsidR="00BB77BC">
        <w:t>CPCN</w:t>
      </w:r>
      <w:r w:rsidR="001459AA">
        <w:t>s</w:t>
      </w:r>
      <w:r w:rsidR="00BB77BC">
        <w:t xml:space="preserve">.  </w:t>
      </w:r>
      <w:r w:rsidR="00B722C1">
        <w:t>Therefore</w:t>
      </w:r>
      <w:r w:rsidR="00BE0702">
        <w:t xml:space="preserve">, we conclude that it is not necessary for CLECs to possess a WIR in order to obtain </w:t>
      </w:r>
      <w:r w:rsidR="006A499A">
        <w:t>nondiscriminatory</w:t>
      </w:r>
      <w:r w:rsidR="00BE0702">
        <w:t xml:space="preserve"> access to public utility infrastructure for the purpose of installing </w:t>
      </w:r>
      <w:r w:rsidR="00B022BD">
        <w:t xml:space="preserve">CLEC </w:t>
      </w:r>
      <w:r w:rsidR="00BE0702">
        <w:t xml:space="preserve">wireless </w:t>
      </w:r>
      <w:r w:rsidR="001C62BB">
        <w:t xml:space="preserve">telecommunications </w:t>
      </w:r>
      <w:r w:rsidR="00BE0702">
        <w:t xml:space="preserve">facilities </w:t>
      </w:r>
      <w:r w:rsidR="00DF5118">
        <w:t xml:space="preserve">under </w:t>
      </w:r>
      <w:r w:rsidR="00BE0702">
        <w:t>the amended ROW Rules adopted by today</w:t>
      </w:r>
      <w:r w:rsidR="00A031CE">
        <w:t>’s D</w:t>
      </w:r>
      <w:r w:rsidR="00BE0702">
        <w:t xml:space="preserve">ecision.  </w:t>
      </w:r>
    </w:p>
    <w:p w:rsidR="001211D8" w:rsidRDefault="00C83507" w:rsidP="00CB5579">
      <w:pPr>
        <w:pStyle w:val="standard"/>
      </w:pPr>
      <w:r>
        <w:t>We note that t</w:t>
      </w:r>
      <w:r w:rsidR="00AD05EC">
        <w:t xml:space="preserve">he record of this proceeding shows that </w:t>
      </w:r>
      <w:r w:rsidR="00D56F94">
        <w:t xml:space="preserve">many </w:t>
      </w:r>
      <w:r w:rsidR="00AD05EC">
        <w:t>CLEC</w:t>
      </w:r>
      <w:r w:rsidR="00D56F94">
        <w:t>s</w:t>
      </w:r>
      <w:r w:rsidR="00AD05EC">
        <w:t xml:space="preserve"> intend to install wireless </w:t>
      </w:r>
      <w:r w:rsidR="00475A4D">
        <w:t xml:space="preserve">telecommunications </w:t>
      </w:r>
      <w:r w:rsidR="00D56F94">
        <w:t>facilities</w:t>
      </w:r>
      <w:r w:rsidR="00AD05EC">
        <w:t xml:space="preserve"> </w:t>
      </w:r>
      <w:r w:rsidR="00DF5118">
        <w:t>to serve</w:t>
      </w:r>
      <w:r w:rsidR="00AD05EC">
        <w:t xml:space="preserve"> CMRS carriers.</w:t>
      </w:r>
      <w:r w:rsidR="00C2238F">
        <w:rPr>
          <w:rStyle w:val="FootnoteReference"/>
        </w:rPr>
        <w:footnoteReference w:id="28"/>
      </w:r>
      <w:r w:rsidR="00AD05EC">
        <w:t xml:space="preserve">  Such facilities include antennas</w:t>
      </w:r>
      <w:r w:rsidR="00DE127C">
        <w:t xml:space="preserve">, </w:t>
      </w:r>
      <w:r w:rsidR="00AD05EC">
        <w:t>radios</w:t>
      </w:r>
      <w:r w:rsidR="00DE127C">
        <w:t>, and fiber</w:t>
      </w:r>
      <w:r w:rsidR="005F0841">
        <w:t>-</w:t>
      </w:r>
      <w:r w:rsidR="00DE127C">
        <w:t xml:space="preserve">optic cable for </w:t>
      </w:r>
      <w:r w:rsidR="005F0841">
        <w:t xml:space="preserve">RF transport and </w:t>
      </w:r>
      <w:r w:rsidR="00445F14">
        <w:t>backhaul</w:t>
      </w:r>
      <w:r w:rsidR="00AD05EC">
        <w:t>.</w:t>
      </w:r>
      <w:r w:rsidR="005C6254">
        <w:rPr>
          <w:rStyle w:val="FootnoteReference"/>
        </w:rPr>
        <w:footnoteReference w:id="29"/>
      </w:r>
      <w:r w:rsidR="00AD05EC">
        <w:t xml:space="preserve">  </w:t>
      </w:r>
      <w:r w:rsidR="00B722C1">
        <w:t xml:space="preserve">We affirm our previous determination </w:t>
      </w:r>
      <w:r w:rsidR="000C64AB">
        <w:t xml:space="preserve">that </w:t>
      </w:r>
      <w:r>
        <w:t xml:space="preserve">facilities-based </w:t>
      </w:r>
      <w:r w:rsidR="000C64AB">
        <w:t xml:space="preserve">CLECs have authority under their CPCNs to install and </w:t>
      </w:r>
      <w:r w:rsidR="002C776D">
        <w:t>manage</w:t>
      </w:r>
      <w:r w:rsidR="000C64AB">
        <w:t xml:space="preserve"> such facilities</w:t>
      </w:r>
      <w:r w:rsidR="00906939">
        <w:t xml:space="preserve"> as a </w:t>
      </w:r>
      <w:r w:rsidR="00475A4D">
        <w:t xml:space="preserve">telecommunications </w:t>
      </w:r>
      <w:r w:rsidR="00906939">
        <w:t>service provided</w:t>
      </w:r>
      <w:r w:rsidR="00A031CE">
        <w:t xml:space="preserve"> to</w:t>
      </w:r>
      <w:r w:rsidR="00671FDC">
        <w:t xml:space="preserve"> </w:t>
      </w:r>
      <w:r w:rsidR="00906939">
        <w:t>CMRS</w:t>
      </w:r>
      <w:r w:rsidR="00B722C1">
        <w:t> </w:t>
      </w:r>
      <w:r w:rsidR="00906939">
        <w:t>carrier</w:t>
      </w:r>
      <w:r w:rsidR="00A031CE">
        <w:t>s</w:t>
      </w:r>
      <w:r w:rsidR="000C64AB">
        <w:t>.</w:t>
      </w:r>
      <w:r w:rsidR="00414A2F">
        <w:rPr>
          <w:rStyle w:val="FootnoteReference"/>
        </w:rPr>
        <w:footnoteReference w:id="30"/>
      </w:r>
      <w:r w:rsidR="000C64AB">
        <w:t xml:space="preserve">  </w:t>
      </w:r>
    </w:p>
    <w:p w:rsidR="00FE6E1C" w:rsidRDefault="00FE6E1C" w:rsidP="00FE6E1C">
      <w:pPr>
        <w:pStyle w:val="standard"/>
      </w:pPr>
      <w:r>
        <w:lastRenderedPageBreak/>
        <w:t xml:space="preserve">CLECs </w:t>
      </w:r>
      <w:r w:rsidR="006A499A">
        <w:t xml:space="preserve">also have authority under their CPCNs to </w:t>
      </w:r>
      <w:r>
        <w:t xml:space="preserve">provide fixed wireless service </w:t>
      </w:r>
      <w:r w:rsidR="006F1CE0">
        <w:t xml:space="preserve">to the public </w:t>
      </w:r>
      <w:r w:rsidR="006A499A">
        <w:t xml:space="preserve">and </w:t>
      </w:r>
      <w:r w:rsidR="00A031CE">
        <w:t xml:space="preserve">to </w:t>
      </w:r>
      <w:r w:rsidR="00543BA4">
        <w:t>install</w:t>
      </w:r>
      <w:r>
        <w:t xml:space="preserve"> wireless facilities</w:t>
      </w:r>
      <w:r w:rsidR="003E72BC">
        <w:t>, in addition to wireline facilities,</w:t>
      </w:r>
      <w:r>
        <w:t xml:space="preserve"> as part of their </w:t>
      </w:r>
      <w:r w:rsidR="00743F1C">
        <w:t xml:space="preserve">telecommunications </w:t>
      </w:r>
      <w:r>
        <w:t>network</w:t>
      </w:r>
      <w:r w:rsidR="006A499A">
        <w:t>s</w:t>
      </w:r>
      <w:r>
        <w:t xml:space="preserve">.  Consistent with our existing regulatory framework for CLECs, there is no need for CLECs to </w:t>
      </w:r>
      <w:r w:rsidR="008E1771">
        <w:t>possess</w:t>
      </w:r>
      <w:r>
        <w:t xml:space="preserve"> a WIR </w:t>
      </w:r>
      <w:r w:rsidR="00D57F46">
        <w:t xml:space="preserve">in order to obtain nondiscriminatory access </w:t>
      </w:r>
      <w:r w:rsidR="001E552E">
        <w:t xml:space="preserve">under the ROW Rules </w:t>
      </w:r>
      <w:r w:rsidR="00D57F46">
        <w:t xml:space="preserve">for the purpose of installing wireless facilities that are </w:t>
      </w:r>
      <w:r w:rsidR="00543BA4">
        <w:t xml:space="preserve">(1) </w:t>
      </w:r>
      <w:r w:rsidR="00D57F46">
        <w:t xml:space="preserve">used to provide fixed wireless service </w:t>
      </w:r>
      <w:r w:rsidR="006F1CE0">
        <w:t>to the public</w:t>
      </w:r>
      <w:r w:rsidR="00543BA4">
        <w:t xml:space="preserve">, </w:t>
      </w:r>
      <w:r w:rsidR="00D57F46">
        <w:t xml:space="preserve">or </w:t>
      </w:r>
      <w:r w:rsidR="00543BA4">
        <w:t>(2)</w:t>
      </w:r>
      <w:r w:rsidR="00756112">
        <w:t xml:space="preserve"> part of the CLECs</w:t>
      </w:r>
      <w:r w:rsidR="006A499A">
        <w:t>’</w:t>
      </w:r>
      <w:r w:rsidR="00756112">
        <w:t xml:space="preserve"> </w:t>
      </w:r>
      <w:r w:rsidR="003E72BC">
        <w:t xml:space="preserve">telecommunications </w:t>
      </w:r>
      <w:r w:rsidR="00756112">
        <w:t>network</w:t>
      </w:r>
      <w:r w:rsidR="006A499A">
        <w:t>s</w:t>
      </w:r>
      <w:r w:rsidR="00756112">
        <w:t xml:space="preserve">.  </w:t>
      </w:r>
    </w:p>
    <w:p w:rsidR="0077724E" w:rsidRDefault="0077724E" w:rsidP="00571B7E">
      <w:pPr>
        <w:pStyle w:val="Heading4"/>
        <w:tabs>
          <w:tab w:val="clear" w:pos="1800"/>
        </w:tabs>
        <w:ind w:left="3060" w:hanging="900"/>
      </w:pPr>
      <w:bookmarkStart w:id="35" w:name="_Toc512317975"/>
      <w:r>
        <w:t>CEQA Requirement</w:t>
      </w:r>
      <w:bookmarkEnd w:id="35"/>
    </w:p>
    <w:p w:rsidR="008C7891" w:rsidRDefault="005238F9" w:rsidP="003F38AE">
      <w:pPr>
        <w:pStyle w:val="standard"/>
      </w:pPr>
      <w:r>
        <w:t xml:space="preserve">Pursuant </w:t>
      </w:r>
      <w:r>
        <w:rPr>
          <w:szCs w:val="26"/>
        </w:rPr>
        <w:t xml:space="preserve">to </w:t>
      </w:r>
      <w:r w:rsidRPr="00A63EE5">
        <w:t>CEQA</w:t>
      </w:r>
      <w:r>
        <w:t xml:space="preserve"> and Rule 2.4 of the Commission’s Rules of Practice and Procedure, the Commission examines projects to determine any potential environmental impacts </w:t>
      </w:r>
      <w:r w:rsidR="006A499A">
        <w:t>so</w:t>
      </w:r>
      <w:r>
        <w:t xml:space="preserve"> that adverse effects are avoided and environmental quality is restored or enhanced to the fullest extent possible.  </w:t>
      </w:r>
    </w:p>
    <w:p w:rsidR="00B04322" w:rsidRDefault="00B04322" w:rsidP="00B04322">
      <w:pPr>
        <w:pStyle w:val="standard"/>
      </w:pPr>
      <w:r>
        <w:t xml:space="preserve">The amended ROW Rules adopted by today’s Decision are not a </w:t>
      </w:r>
      <w:r w:rsidR="00120C7F">
        <w:t>“</w:t>
      </w:r>
      <w:r>
        <w:t>project</w:t>
      </w:r>
      <w:r w:rsidR="00120C7F">
        <w:t>”</w:t>
      </w:r>
      <w:r>
        <w:t xml:space="preserve"> under CEQA because no physical construction activities are involved</w:t>
      </w:r>
      <w:r w:rsidR="002B453D">
        <w:t xml:space="preserve">.  Rather, </w:t>
      </w:r>
      <w:r w:rsidR="00120C7F">
        <w:t>today’s</w:t>
      </w:r>
      <w:r>
        <w:t xml:space="preserve"> </w:t>
      </w:r>
      <w:r w:rsidR="00120C7F">
        <w:t>D</w:t>
      </w:r>
      <w:r>
        <w:t xml:space="preserve">ecision </w:t>
      </w:r>
      <w:r w:rsidR="00FD7BCB">
        <w:t xml:space="preserve">amends the ROW Rules to provide CLECs with nondiscriminatory access to </w:t>
      </w:r>
      <w:r w:rsidR="00120C7F">
        <w:t>public utility infrastructure</w:t>
      </w:r>
      <w:r>
        <w:t xml:space="preserve"> </w:t>
      </w:r>
      <w:r w:rsidR="00FD7BCB">
        <w:t xml:space="preserve">for CLEC wireless facilities.  </w:t>
      </w:r>
      <w:r>
        <w:t>T</w:t>
      </w:r>
      <w:r w:rsidR="00120C7F">
        <w:t>oday’s</w:t>
      </w:r>
      <w:r>
        <w:t xml:space="preserve"> </w:t>
      </w:r>
      <w:r w:rsidR="00120C7F">
        <w:t>D</w:t>
      </w:r>
      <w:r>
        <w:t xml:space="preserve">ecision does not adopt new construction authority for CLECs or affect the Commission’s existing procedures for reviewing CLEC construction activities under CEQA.  All CLECs must comply with applicable CEQA procedures and requirements prior to installing or constructing facilities.  </w:t>
      </w:r>
    </w:p>
    <w:p w:rsidR="008504A4" w:rsidRDefault="00E75FD4" w:rsidP="00214651">
      <w:pPr>
        <w:pStyle w:val="Heading2"/>
      </w:pPr>
      <w:bookmarkStart w:id="36" w:name="_Toc512317976"/>
      <w:r>
        <w:t>Fees and Charges</w:t>
      </w:r>
      <w:bookmarkEnd w:id="36"/>
      <w:r>
        <w:t xml:space="preserve"> </w:t>
      </w:r>
      <w:bookmarkEnd w:id="28"/>
    </w:p>
    <w:p w:rsidR="008E33A0" w:rsidRDefault="008E33A0" w:rsidP="00571B7E">
      <w:pPr>
        <w:pStyle w:val="Heading3"/>
        <w:ind w:hanging="288"/>
      </w:pPr>
      <w:bookmarkStart w:id="37" w:name="_Toc424321895"/>
      <w:bookmarkStart w:id="38" w:name="_Toc512317977"/>
      <w:r>
        <w:t>Background</w:t>
      </w:r>
      <w:bookmarkEnd w:id="37"/>
      <w:bookmarkEnd w:id="38"/>
    </w:p>
    <w:p w:rsidR="007D09D0" w:rsidRDefault="0071121D" w:rsidP="00324D31">
      <w:pPr>
        <w:pStyle w:val="standard"/>
      </w:pPr>
      <w:r>
        <w:t xml:space="preserve">The ROW Rules require </w:t>
      </w:r>
      <w:r w:rsidR="003431A8">
        <w:t xml:space="preserve">public utilities </w:t>
      </w:r>
      <w:r w:rsidR="00632293">
        <w:t xml:space="preserve">to negotiate </w:t>
      </w:r>
      <w:r w:rsidR="003431A8">
        <w:t xml:space="preserve">with </w:t>
      </w:r>
      <w:r>
        <w:t>C</w:t>
      </w:r>
      <w:r w:rsidR="003431A8">
        <w:t>ATV corporations</w:t>
      </w:r>
      <w:r>
        <w:t xml:space="preserve">, </w:t>
      </w:r>
      <w:r w:rsidR="007C5404">
        <w:t xml:space="preserve">CLECs, </w:t>
      </w:r>
      <w:r>
        <w:t>and CMRS carriers</w:t>
      </w:r>
      <w:r w:rsidR="003431A8">
        <w:t xml:space="preserve"> regarding </w:t>
      </w:r>
      <w:r w:rsidR="0046077D">
        <w:t xml:space="preserve">the </w:t>
      </w:r>
      <w:r w:rsidR="00632293">
        <w:t>fees and charges</w:t>
      </w:r>
      <w:r w:rsidR="00D57C9A">
        <w:t xml:space="preserve"> for access to </w:t>
      </w:r>
      <w:r w:rsidR="001419A7">
        <w:t>public utility infrastructure</w:t>
      </w:r>
      <w:r w:rsidR="00632293">
        <w:t xml:space="preserve">.  </w:t>
      </w:r>
      <w:r w:rsidR="001D015A">
        <w:t>I</w:t>
      </w:r>
      <w:r w:rsidR="00632293">
        <w:t xml:space="preserve">f parties </w:t>
      </w:r>
      <w:r w:rsidR="005A49FB">
        <w:t xml:space="preserve">cannot </w:t>
      </w:r>
      <w:r w:rsidR="00632293">
        <w:t xml:space="preserve">agree, </w:t>
      </w:r>
      <w:r>
        <w:t>the ROW</w:t>
      </w:r>
      <w:r w:rsidR="00810D43">
        <w:t> </w:t>
      </w:r>
      <w:r>
        <w:t xml:space="preserve">Rules </w:t>
      </w:r>
      <w:r w:rsidR="009C028B">
        <w:lastRenderedPageBreak/>
        <w:t xml:space="preserve">authorize parties to bring their dispute to the Commission where the Commission </w:t>
      </w:r>
      <w:r w:rsidR="00810D43">
        <w:t>will</w:t>
      </w:r>
      <w:r w:rsidR="009C028B">
        <w:t xml:space="preserve"> apply </w:t>
      </w:r>
      <w:r w:rsidR="00AC7F1C">
        <w:t xml:space="preserve">a </w:t>
      </w:r>
      <w:r w:rsidR="00632293">
        <w:t xml:space="preserve">default </w:t>
      </w:r>
      <w:r w:rsidR="00AC7F1C">
        <w:t xml:space="preserve">pricing </w:t>
      </w:r>
      <w:r w:rsidR="00D72FE7">
        <w:t>rule</w:t>
      </w:r>
      <w:r w:rsidR="00AC7F1C">
        <w:t xml:space="preserve"> consisting of three components.  </w:t>
      </w:r>
    </w:p>
    <w:p w:rsidR="00632293" w:rsidRDefault="00B05C1F" w:rsidP="00632293">
      <w:pPr>
        <w:pStyle w:val="standard"/>
      </w:pPr>
      <w:r>
        <w:t xml:space="preserve">The first component </w:t>
      </w:r>
      <w:r w:rsidR="00CD4E97">
        <w:t>is</w:t>
      </w:r>
      <w:r>
        <w:t xml:space="preserve"> </w:t>
      </w:r>
      <w:r w:rsidR="00AE0F5E">
        <w:t xml:space="preserve">a </w:t>
      </w:r>
      <w:r>
        <w:t>“make-ready charge</w:t>
      </w:r>
      <w:r w:rsidR="003431A8">
        <w:t>”</w:t>
      </w:r>
      <w:r w:rsidR="004F3417">
        <w:t xml:space="preserve"> </w:t>
      </w:r>
      <w:r w:rsidR="00D72FE7">
        <w:t>that</w:t>
      </w:r>
      <w:r w:rsidR="004F3417">
        <w:t xml:space="preserve"> consist</w:t>
      </w:r>
      <w:r w:rsidR="001D015A">
        <w:t>s</w:t>
      </w:r>
      <w:r w:rsidR="004F3417">
        <w:t xml:space="preserve"> of the </w:t>
      </w:r>
      <w:r w:rsidR="00AE0F5E">
        <w:t xml:space="preserve">actual </w:t>
      </w:r>
      <w:r w:rsidR="004F3417">
        <w:t xml:space="preserve">costs incurred by a utility to make its </w:t>
      </w:r>
      <w:r>
        <w:t>support structure</w:t>
      </w:r>
      <w:r w:rsidR="004F3417">
        <w:t>s</w:t>
      </w:r>
      <w:r>
        <w:t xml:space="preserve"> ready for attachments.  </w:t>
      </w:r>
      <w:r w:rsidR="00AE0F5E">
        <w:t xml:space="preserve">The make-ready </w:t>
      </w:r>
      <w:r w:rsidR="004F3417">
        <w:t>charge</w:t>
      </w:r>
      <w:r w:rsidR="00AE0F5E">
        <w:t xml:space="preserve"> may </w:t>
      </w:r>
      <w:r w:rsidR="00F8043D">
        <w:t>include</w:t>
      </w:r>
      <w:r w:rsidR="004F3417">
        <w:t xml:space="preserve"> </w:t>
      </w:r>
      <w:r>
        <w:t xml:space="preserve">the utility’s </w:t>
      </w:r>
      <w:r w:rsidR="004F3417">
        <w:t>costs</w:t>
      </w:r>
      <w:r>
        <w:t xml:space="preserve"> for responding to requests for space availability</w:t>
      </w:r>
      <w:r w:rsidR="004F3417">
        <w:t xml:space="preserve">; </w:t>
      </w:r>
      <w:r>
        <w:t>prepar</w:t>
      </w:r>
      <w:r w:rsidR="009E63C8">
        <w:t>ing</w:t>
      </w:r>
      <w:r>
        <w:t xml:space="preserve"> </w:t>
      </w:r>
      <w:r w:rsidR="004F3417">
        <w:t>engineering studies</w:t>
      </w:r>
      <w:r w:rsidR="005A49FB">
        <w:t xml:space="preserve"> </w:t>
      </w:r>
      <w:r>
        <w:t xml:space="preserve">for </w:t>
      </w:r>
      <w:r w:rsidR="009E63C8">
        <w:t xml:space="preserve">proposed </w:t>
      </w:r>
      <w:r>
        <w:t>attachment</w:t>
      </w:r>
      <w:r w:rsidR="009E63C8">
        <w:t>s</w:t>
      </w:r>
      <w:r w:rsidR="004F3417">
        <w:t>; rearranging existing attachments to make room for new attachment</w:t>
      </w:r>
      <w:r w:rsidR="00CD4E97">
        <w:t>s</w:t>
      </w:r>
      <w:r w:rsidR="001D015A">
        <w:t xml:space="preserve">; and </w:t>
      </w:r>
      <w:r w:rsidR="004F3417">
        <w:t>installing new poles</w:t>
      </w:r>
      <w:r w:rsidR="00DA5448">
        <w:t xml:space="preserve"> </w:t>
      </w:r>
      <w:r w:rsidR="004F3417">
        <w:t>and conduit</w:t>
      </w:r>
      <w:r w:rsidR="003431A8">
        <w:t>s</w:t>
      </w:r>
      <w:r w:rsidR="00B45F3F">
        <w:t>,</w:t>
      </w:r>
      <w:r w:rsidR="004F3417">
        <w:t xml:space="preserve"> if needed</w:t>
      </w:r>
      <w:r w:rsidR="00B45F3F">
        <w:t>,</w:t>
      </w:r>
      <w:r w:rsidR="004F3417">
        <w:t xml:space="preserve"> to accommodate new attachment</w:t>
      </w:r>
      <w:r w:rsidR="00CD4E97">
        <w:t>s</w:t>
      </w:r>
      <w:r w:rsidR="004F3417">
        <w:t xml:space="preserve">. </w:t>
      </w:r>
      <w:r w:rsidR="00AE0F5E">
        <w:t xml:space="preserve"> </w:t>
      </w:r>
    </w:p>
    <w:p w:rsidR="00632293" w:rsidRDefault="00FA1B47" w:rsidP="00324D31">
      <w:pPr>
        <w:pStyle w:val="standard"/>
      </w:pPr>
      <w:r>
        <w:t xml:space="preserve">The second component </w:t>
      </w:r>
      <w:r w:rsidR="00CB5463">
        <w:t xml:space="preserve">is </w:t>
      </w:r>
      <w:r>
        <w:t xml:space="preserve">an annual fee for use </w:t>
      </w:r>
      <w:r w:rsidR="00CB5463">
        <w:t xml:space="preserve">of </w:t>
      </w:r>
      <w:r w:rsidR="0025612C">
        <w:t>support structures other than poles</w:t>
      </w:r>
      <w:r w:rsidR="0053131F">
        <w:t xml:space="preserve"> (e.g., </w:t>
      </w:r>
      <w:r w:rsidR="006B0388">
        <w:t xml:space="preserve">underground </w:t>
      </w:r>
      <w:r w:rsidR="00CB5463">
        <w:t>conduit</w:t>
      </w:r>
      <w:r w:rsidR="00D57C9A">
        <w:t>s</w:t>
      </w:r>
      <w:r w:rsidR="0053131F">
        <w:t>)</w:t>
      </w:r>
      <w:r w:rsidR="00CB5463">
        <w:t>.  Th</w:t>
      </w:r>
      <w:r w:rsidR="00003567">
        <w:t>is</w:t>
      </w:r>
      <w:r w:rsidR="00CB5463">
        <w:t xml:space="preserve"> fee is equal to </w:t>
      </w:r>
      <w:r w:rsidR="009E63C8">
        <w:t>the</w:t>
      </w:r>
      <w:r w:rsidR="00CB5463">
        <w:t xml:space="preserve"> percentage of the </w:t>
      </w:r>
      <w:r w:rsidR="009E63C8">
        <w:t>support structure</w:t>
      </w:r>
      <w:r w:rsidR="00254214">
        <w:t xml:space="preserve">’s usable capacity </w:t>
      </w:r>
      <w:r w:rsidR="009E63C8">
        <w:t xml:space="preserve">that is </w:t>
      </w:r>
      <w:r w:rsidR="00254214">
        <w:t>occupied</w:t>
      </w:r>
      <w:r w:rsidR="009E63C8">
        <w:t xml:space="preserve"> by the attachment multiplied by the </w:t>
      </w:r>
      <w:r w:rsidR="00CB5463">
        <w:t>utility’s annual cost</w:t>
      </w:r>
      <w:r w:rsidR="00F353B7">
        <w:noBreakHyphen/>
      </w:r>
      <w:r w:rsidR="00CB5463">
        <w:t>of</w:t>
      </w:r>
      <w:r w:rsidR="00F353B7">
        <w:noBreakHyphen/>
      </w:r>
      <w:r w:rsidR="00CB5463">
        <w:t xml:space="preserve">ownership for the structure.  </w:t>
      </w:r>
    </w:p>
    <w:p w:rsidR="00414FC2" w:rsidRDefault="006738FB" w:rsidP="00414FC2">
      <w:pPr>
        <w:pStyle w:val="standard"/>
      </w:pPr>
      <w:r>
        <w:t xml:space="preserve">The third component is </w:t>
      </w:r>
      <w:r w:rsidR="00C951D9">
        <w:t xml:space="preserve">an annual </w:t>
      </w:r>
      <w:r w:rsidR="00F46709">
        <w:t xml:space="preserve">fee for </w:t>
      </w:r>
      <w:r w:rsidR="001651F3">
        <w:t>pole</w:t>
      </w:r>
      <w:r w:rsidR="00D72FE7">
        <w:t xml:space="preserve"> </w:t>
      </w:r>
      <w:r w:rsidR="001651F3">
        <w:t>attachment</w:t>
      </w:r>
      <w:r w:rsidR="00F46709">
        <w:t>s</w:t>
      </w:r>
      <w:r w:rsidR="00CB5463">
        <w:t>.  Th</w:t>
      </w:r>
      <w:r w:rsidR="00692B22">
        <w:t xml:space="preserve">ere are two pole-attachment </w:t>
      </w:r>
      <w:r w:rsidR="00CB5463">
        <w:t>fee</w:t>
      </w:r>
      <w:r w:rsidR="00692B22">
        <w:t>s</w:t>
      </w:r>
      <w:r w:rsidR="00926C42">
        <w:t xml:space="preserve">.  These are </w:t>
      </w:r>
      <w:r w:rsidR="00692B22">
        <w:t>(1) the “per</w:t>
      </w:r>
      <w:r w:rsidR="00926C42">
        <w:noBreakHyphen/>
      </w:r>
      <w:r w:rsidR="00692B22">
        <w:t>pole fee</w:t>
      </w:r>
      <w:r w:rsidR="00D50F27">
        <w:t>,</w:t>
      </w:r>
      <w:r w:rsidR="0047346B">
        <w:t>”</w:t>
      </w:r>
      <w:r w:rsidR="00692B22">
        <w:t xml:space="preserve"> and (2)</w:t>
      </w:r>
      <w:r w:rsidR="00926C42">
        <w:t> </w:t>
      </w:r>
      <w:r w:rsidR="00692B22">
        <w:t>the “per</w:t>
      </w:r>
      <w:r w:rsidR="00926C42">
        <w:noBreakHyphen/>
      </w:r>
      <w:r w:rsidR="0047346B">
        <w:t>foot</w:t>
      </w:r>
      <w:r w:rsidR="00692B22">
        <w:t xml:space="preserve"> fee.</w:t>
      </w:r>
      <w:r w:rsidR="0047346B">
        <w:t>”</w:t>
      </w:r>
      <w:r w:rsidR="00692B22">
        <w:t xml:space="preserve">  </w:t>
      </w:r>
      <w:r w:rsidR="00AE014C">
        <w:t xml:space="preserve">The per-pole fee applies to </w:t>
      </w:r>
      <w:r w:rsidR="00B45F3F">
        <w:t xml:space="preserve">(A) </w:t>
      </w:r>
      <w:r w:rsidR="00B82703">
        <w:t xml:space="preserve">wireline </w:t>
      </w:r>
      <w:r w:rsidR="00AE014C">
        <w:t xml:space="preserve">pole attachments installed by CATV corporations and CLECs, </w:t>
      </w:r>
      <w:r w:rsidR="00A3465D">
        <w:t xml:space="preserve">and </w:t>
      </w:r>
      <w:r w:rsidR="00B45F3F">
        <w:t>(B)</w:t>
      </w:r>
      <w:r w:rsidR="00A3465D">
        <w:t xml:space="preserve"> </w:t>
      </w:r>
      <w:r w:rsidR="00B82703">
        <w:t xml:space="preserve">fixed wireless </w:t>
      </w:r>
      <w:r w:rsidR="00C70256">
        <w:t>facilities</w:t>
      </w:r>
      <w:r w:rsidR="00B82703">
        <w:t xml:space="preserve"> installed by CLECs.  </w:t>
      </w:r>
      <w:r w:rsidR="00DF7449">
        <w:t>With</w:t>
      </w:r>
      <w:r w:rsidR="00414FC2">
        <w:t xml:space="preserve"> the per</w:t>
      </w:r>
      <w:r w:rsidR="00DF7449">
        <w:noBreakHyphen/>
      </w:r>
      <w:r w:rsidR="00414FC2">
        <w:t xml:space="preserve">pole fee, </w:t>
      </w:r>
      <w:r w:rsidR="007D6EFC">
        <w:t>the</w:t>
      </w:r>
      <w:r w:rsidR="00414FC2">
        <w:t xml:space="preserve"> attacher pays one annual fee for all of its attachments on a utility pole.  The annual fee is equal to </w:t>
      </w:r>
      <w:r w:rsidR="00414FC2" w:rsidRPr="001C738B">
        <w:t xml:space="preserve">the greater of $2.50 or 7.4% of the </w:t>
      </w:r>
      <w:r w:rsidR="00414FC2">
        <w:t xml:space="preserve">utility’s </w:t>
      </w:r>
      <w:r w:rsidR="00414FC2" w:rsidRPr="001C738B">
        <w:t>annual cost</w:t>
      </w:r>
      <w:r w:rsidR="00414FC2">
        <w:t>-</w:t>
      </w:r>
      <w:r w:rsidR="00414FC2" w:rsidRPr="001C738B">
        <w:t>of</w:t>
      </w:r>
      <w:r w:rsidR="00414FC2">
        <w:t>-</w:t>
      </w:r>
      <w:r w:rsidR="00414FC2" w:rsidRPr="001C738B">
        <w:t xml:space="preserve">ownership for the </w:t>
      </w:r>
      <w:r w:rsidR="00C70256">
        <w:t xml:space="preserve">host </w:t>
      </w:r>
      <w:r w:rsidR="00414FC2" w:rsidRPr="001C738B">
        <w:t xml:space="preserve">pole </w:t>
      </w:r>
      <w:r w:rsidR="00414FC2">
        <w:t>and supporting anchor.</w:t>
      </w:r>
      <w:r w:rsidR="00414FC2">
        <w:rPr>
          <w:rStyle w:val="FootnoteReference"/>
        </w:rPr>
        <w:footnoteReference w:id="31"/>
      </w:r>
      <w:r w:rsidR="00414FC2">
        <w:t xml:space="preserve">  As a practical matter, the 7.4% fee is always greater than $2.50.  The per</w:t>
      </w:r>
      <w:r w:rsidR="00414FC2">
        <w:noBreakHyphen/>
        <w:t xml:space="preserve">pole fee </w:t>
      </w:r>
      <w:r w:rsidR="00414FC2">
        <w:lastRenderedPageBreak/>
        <w:t xml:space="preserve">applies separately to each CATV corporation </w:t>
      </w:r>
      <w:r w:rsidR="005A7B82">
        <w:t xml:space="preserve">and CLEC </w:t>
      </w:r>
      <w:r w:rsidR="00414FC2">
        <w:t>that attaches to a pole.</w:t>
      </w:r>
      <w:r w:rsidR="00414FC2">
        <w:rPr>
          <w:rStyle w:val="FootnoteReference"/>
        </w:rPr>
        <w:footnoteReference w:id="32"/>
      </w:r>
      <w:r w:rsidR="00414FC2">
        <w:t xml:space="preserve">  The per-pole fee is based on the assumption that a CATV corporation </w:t>
      </w:r>
      <w:r w:rsidR="005A7B82">
        <w:t xml:space="preserve">or CLEC </w:t>
      </w:r>
      <w:r w:rsidR="00414FC2">
        <w:t>will typically install one wireline attachment on a pole</w:t>
      </w:r>
      <w:r w:rsidR="004E75F6">
        <w:t xml:space="preserve">, and that </w:t>
      </w:r>
      <w:r w:rsidR="005A7B82">
        <w:t xml:space="preserve">each </w:t>
      </w:r>
      <w:r w:rsidR="00B45F3F">
        <w:t xml:space="preserve">wireline </w:t>
      </w:r>
      <w:r w:rsidR="004E75F6">
        <w:t xml:space="preserve">attachment </w:t>
      </w:r>
      <w:r w:rsidR="00414FC2">
        <w:t>occupies one foot of vertical pole</w:t>
      </w:r>
      <w:r w:rsidR="004E75F6">
        <w:t> </w:t>
      </w:r>
      <w:r w:rsidR="00414FC2">
        <w:t xml:space="preserve">space.  </w:t>
      </w:r>
    </w:p>
    <w:p w:rsidR="00D378FA" w:rsidRDefault="00AE014C" w:rsidP="00324D31">
      <w:pPr>
        <w:pStyle w:val="standard"/>
      </w:pPr>
      <w:r>
        <w:t xml:space="preserve">The per-foot fee applies to </w:t>
      </w:r>
      <w:r w:rsidR="00A3465D">
        <w:t xml:space="preserve">all wireline and </w:t>
      </w:r>
      <w:r w:rsidR="00C70256">
        <w:t xml:space="preserve">all </w:t>
      </w:r>
      <w:r w:rsidR="00A3465D">
        <w:t xml:space="preserve">wireless </w:t>
      </w:r>
      <w:r>
        <w:t>pole attachments installed by CMRS</w:t>
      </w:r>
      <w:r w:rsidR="00A3465D">
        <w:t> </w:t>
      </w:r>
      <w:r>
        <w:t>carriers</w:t>
      </w:r>
      <w:r w:rsidR="00A3465D">
        <w:t xml:space="preserve"> (with certain exceptions and limitations)</w:t>
      </w:r>
      <w:r>
        <w:t xml:space="preserve">.  </w:t>
      </w:r>
      <w:r w:rsidR="00DF7449">
        <w:t>With</w:t>
      </w:r>
      <w:r w:rsidR="00D378FA">
        <w:t xml:space="preserve"> the per</w:t>
      </w:r>
      <w:r w:rsidR="00DF7449">
        <w:noBreakHyphen/>
      </w:r>
      <w:r w:rsidR="00D378FA">
        <w:t xml:space="preserve">foot fee, </w:t>
      </w:r>
      <w:r w:rsidR="008861A6">
        <w:t>the</w:t>
      </w:r>
      <w:r w:rsidR="00E643A6">
        <w:t xml:space="preserve"> CMRS carrier </w:t>
      </w:r>
      <w:r w:rsidR="00D378FA">
        <w:t xml:space="preserve">pays an annual </w:t>
      </w:r>
      <w:r w:rsidR="00A23D1B">
        <w:t xml:space="preserve">attachment </w:t>
      </w:r>
      <w:r w:rsidR="00D378FA">
        <w:t xml:space="preserve">fee for each vertical foot of pole space occupied by the </w:t>
      </w:r>
      <w:r w:rsidR="00E643A6">
        <w:t xml:space="preserve">CMRS carrier’s attachments on a </w:t>
      </w:r>
      <w:r w:rsidR="00D378FA">
        <w:t xml:space="preserve">pole.  The </w:t>
      </w:r>
      <w:r w:rsidR="005967C1">
        <w:t xml:space="preserve">annual </w:t>
      </w:r>
      <w:r w:rsidR="00D378FA">
        <w:t xml:space="preserve">fee for each </w:t>
      </w:r>
      <w:r w:rsidR="005967C1">
        <w:t xml:space="preserve">vertical </w:t>
      </w:r>
      <w:r w:rsidR="00D378FA">
        <w:t xml:space="preserve">foot is 7.4% of the utility’s </w:t>
      </w:r>
      <w:r w:rsidR="00B813CB">
        <w:t xml:space="preserve">annual </w:t>
      </w:r>
      <w:r w:rsidR="00D378FA">
        <w:t>cost</w:t>
      </w:r>
      <w:r w:rsidR="007D6EFC">
        <w:t>-</w:t>
      </w:r>
      <w:r w:rsidR="00D378FA">
        <w:t>of</w:t>
      </w:r>
      <w:r w:rsidR="007D6EFC">
        <w:t>-</w:t>
      </w:r>
      <w:r w:rsidR="00D378FA">
        <w:t>ownership for the host pole</w:t>
      </w:r>
      <w:r w:rsidR="00B813CB">
        <w:t xml:space="preserve">.  </w:t>
      </w:r>
      <w:r w:rsidR="00411E70">
        <w:t>For example</w:t>
      </w:r>
      <w:r w:rsidR="00FE1D6B">
        <w:t>, if a</w:t>
      </w:r>
      <w:r w:rsidR="00E643A6">
        <w:t xml:space="preserve"> CMRS carrier</w:t>
      </w:r>
      <w:r w:rsidR="007D6EFC">
        <w:t xml:space="preserve"> has multiple </w:t>
      </w:r>
      <w:r w:rsidR="00E643A6">
        <w:t xml:space="preserve">attachments </w:t>
      </w:r>
      <w:r w:rsidR="007D6EFC">
        <w:t xml:space="preserve">on a pole that together </w:t>
      </w:r>
      <w:r w:rsidR="00FE1D6B">
        <w:t>occup</w:t>
      </w:r>
      <w:r w:rsidR="00E643A6">
        <w:t xml:space="preserve">y </w:t>
      </w:r>
      <w:r w:rsidR="00FE1D6B">
        <w:t xml:space="preserve">4 feet of vertical space, the </w:t>
      </w:r>
      <w:r w:rsidR="00E643A6">
        <w:t>CMRS carrier</w:t>
      </w:r>
      <w:r w:rsidR="00FE1D6B">
        <w:t xml:space="preserve"> </w:t>
      </w:r>
      <w:r w:rsidR="0098728A">
        <w:t>would</w:t>
      </w:r>
      <w:r w:rsidR="00FE1D6B">
        <w:t xml:space="preserve"> pay an annual pole-attachment fee of 29.6% (i.e., 4 feet x 7.4% =</w:t>
      </w:r>
      <w:r w:rsidR="0098728A">
        <w:t> </w:t>
      </w:r>
      <w:r w:rsidR="00FE1D6B">
        <w:t>29.6%).</w:t>
      </w:r>
      <w:r w:rsidR="00E643A6">
        <w:t xml:space="preserve">  </w:t>
      </w:r>
      <w:r w:rsidR="004F0317">
        <w:t xml:space="preserve"> </w:t>
      </w:r>
    </w:p>
    <w:p w:rsidR="00B22749" w:rsidRDefault="00A02AB3" w:rsidP="00A96902">
      <w:pPr>
        <w:pStyle w:val="standard"/>
      </w:pPr>
      <w:r>
        <w:t>The</w:t>
      </w:r>
      <w:r w:rsidR="00C5113E">
        <w:t xml:space="preserve"> scope of this proceeding includes just and reasonable fees for CLEC wireless </w:t>
      </w:r>
      <w:r w:rsidR="00C70256">
        <w:t>facilities</w:t>
      </w:r>
      <w:r w:rsidR="00C5113E">
        <w:t xml:space="preserve">. </w:t>
      </w:r>
      <w:r w:rsidR="00B22749">
        <w:t xml:space="preserve"> To this end, OIR </w:t>
      </w:r>
      <w:r>
        <w:t xml:space="preserve">17-03-009 </w:t>
      </w:r>
      <w:r w:rsidR="00144298">
        <w:t>invited</w:t>
      </w:r>
      <w:r>
        <w:t xml:space="preserve"> </w:t>
      </w:r>
      <w:r w:rsidR="00B22749">
        <w:t xml:space="preserve">parties to comment </w:t>
      </w:r>
      <w:r w:rsidR="00414FC2">
        <w:t>on</w:t>
      </w:r>
      <w:r w:rsidR="00B22749">
        <w:t xml:space="preserve"> the following matters:  </w:t>
      </w:r>
    </w:p>
    <w:p w:rsidR="00A02AB3" w:rsidRDefault="00A02AB3" w:rsidP="00FF4579">
      <w:pPr>
        <w:pStyle w:val="StandardBullet"/>
        <w:keepLines/>
        <w:tabs>
          <w:tab w:val="clear" w:pos="1332"/>
        </w:tabs>
        <w:spacing w:after="120"/>
        <w:ind w:left="1440" w:hanging="346"/>
      </w:pPr>
      <w:r>
        <w:t xml:space="preserve">Whether the per-foot fee for CMRS pole </w:t>
      </w:r>
      <w:r w:rsidR="00E3526E">
        <w:t>attachments</w:t>
      </w:r>
      <w:r>
        <w:t xml:space="preserve"> should apply identically to CLEC wireless pole installations, including a CLEC’s wireline attachments installed on the same pole as the CLEC’s wireless pole attachments.  </w:t>
      </w:r>
    </w:p>
    <w:p w:rsidR="00A02AB3" w:rsidRDefault="00A02AB3" w:rsidP="00FF4579">
      <w:pPr>
        <w:pStyle w:val="StandardBullet"/>
        <w:tabs>
          <w:tab w:val="clear" w:pos="1332"/>
        </w:tabs>
        <w:spacing w:after="240"/>
        <w:ind w:left="1440" w:hanging="346"/>
      </w:pPr>
      <w:r>
        <w:t>Whether the per-pole fee adopted by D.98-10-058 for CLEC fixed wireless</w:t>
      </w:r>
      <w:r w:rsidR="00E75CA7">
        <w:t xml:space="preserve"> </w:t>
      </w:r>
      <w:r w:rsidR="00F22709">
        <w:t>facilities</w:t>
      </w:r>
      <w:r>
        <w:t xml:space="preserve"> should remain in effect, or whether all CLEC wireless pole attachments</w:t>
      </w:r>
      <w:r w:rsidR="00414FC2">
        <w:t>,</w:t>
      </w:r>
      <w:r>
        <w:t xml:space="preserve"> including fixed wireless</w:t>
      </w:r>
      <w:r w:rsidR="00E75CA7">
        <w:t xml:space="preserve"> </w:t>
      </w:r>
      <w:r w:rsidR="00F22709">
        <w:t>facilities</w:t>
      </w:r>
      <w:r w:rsidR="00414FC2">
        <w:t>,</w:t>
      </w:r>
      <w:r>
        <w:t xml:space="preserve"> should be subject to the per-foot fee adopted by D.16</w:t>
      </w:r>
      <w:r>
        <w:noBreakHyphen/>
        <w:t>01</w:t>
      </w:r>
      <w:r>
        <w:noBreakHyphen/>
        <w:t>046</w:t>
      </w:r>
      <w:r w:rsidR="00451C2B">
        <w:t xml:space="preserve"> for CMRS carrier pole attachments</w:t>
      </w:r>
      <w:r>
        <w:t>.</w:t>
      </w:r>
      <w:r w:rsidR="009C43D9">
        <w:rPr>
          <w:rStyle w:val="FootnoteReference"/>
        </w:rPr>
        <w:footnoteReference w:id="33"/>
      </w:r>
      <w:r>
        <w:t xml:space="preserve">  </w:t>
      </w:r>
    </w:p>
    <w:p w:rsidR="008E33A0" w:rsidRDefault="00C05FC5" w:rsidP="00571B7E">
      <w:pPr>
        <w:pStyle w:val="Heading3"/>
        <w:ind w:hanging="288"/>
      </w:pPr>
      <w:bookmarkStart w:id="39" w:name="_Toc424321896"/>
      <w:bookmarkStart w:id="40" w:name="_Toc512317978"/>
      <w:r>
        <w:lastRenderedPageBreak/>
        <w:t xml:space="preserve">Positions of the </w:t>
      </w:r>
      <w:r w:rsidR="0068308E">
        <w:t>Parties</w:t>
      </w:r>
      <w:bookmarkEnd w:id="39"/>
      <w:bookmarkEnd w:id="40"/>
    </w:p>
    <w:p w:rsidR="008D4D1A" w:rsidRDefault="008D4D1A" w:rsidP="008E33A0">
      <w:pPr>
        <w:pStyle w:val="standard"/>
      </w:pPr>
      <w:r>
        <w:t>Th</w:t>
      </w:r>
      <w:r w:rsidR="00AC22B2">
        <w:t xml:space="preserve">ose </w:t>
      </w:r>
      <w:r w:rsidR="00255D35">
        <w:t xml:space="preserve">parties </w:t>
      </w:r>
      <w:r w:rsidR="008B24BB">
        <w:t xml:space="preserve">that addressed this topic </w:t>
      </w:r>
      <w:r w:rsidR="00255D35">
        <w:t xml:space="preserve">agree </w:t>
      </w:r>
      <w:r w:rsidR="00E25078">
        <w:t xml:space="preserve">that the </w:t>
      </w:r>
      <w:r w:rsidR="00EA1BAB">
        <w:t xml:space="preserve">existing </w:t>
      </w:r>
      <w:r w:rsidR="00E25078">
        <w:t xml:space="preserve">fees and charges set forth in the ROW Rules </w:t>
      </w:r>
      <w:r w:rsidR="008861A6">
        <w:t xml:space="preserve">are reasonable and </w:t>
      </w:r>
      <w:r w:rsidR="00E25078">
        <w:t xml:space="preserve">should apply to CLEC wireless </w:t>
      </w:r>
      <w:r w:rsidR="007F6D3A">
        <w:t>facilities</w:t>
      </w:r>
      <w:r w:rsidR="00E25078">
        <w:t xml:space="preserve">.  The only </w:t>
      </w:r>
      <w:r w:rsidR="00433DF2">
        <w:t>dis</w:t>
      </w:r>
      <w:r w:rsidR="00414FC2">
        <w:t xml:space="preserve">pute </w:t>
      </w:r>
      <w:r w:rsidR="00E25078">
        <w:t xml:space="preserve">is </w:t>
      </w:r>
      <w:r w:rsidR="00131B75">
        <w:t xml:space="preserve">whether </w:t>
      </w:r>
      <w:r w:rsidR="00FE123C">
        <w:t xml:space="preserve">the per-pole fee </w:t>
      </w:r>
      <w:r w:rsidR="00131B75">
        <w:t>or</w:t>
      </w:r>
      <w:r w:rsidR="00FE123C">
        <w:t xml:space="preserve"> the per-foot fee </w:t>
      </w:r>
      <w:r w:rsidR="00414FC2">
        <w:t xml:space="preserve">should apply </w:t>
      </w:r>
      <w:r w:rsidR="00FE123C">
        <w:t xml:space="preserve">to CLEC </w:t>
      </w:r>
      <w:r w:rsidR="00255D35">
        <w:t>wirel</w:t>
      </w:r>
      <w:r w:rsidR="00C363B3">
        <w:t>ess</w:t>
      </w:r>
      <w:r w:rsidR="00255D35">
        <w:t xml:space="preserve"> pole attachments</w:t>
      </w:r>
      <w:r w:rsidR="00FE123C">
        <w:t xml:space="preserve">. </w:t>
      </w:r>
    </w:p>
    <w:p w:rsidR="00142CD2" w:rsidRDefault="00584E67" w:rsidP="00142CD2">
      <w:pPr>
        <w:pStyle w:val="standard"/>
      </w:pPr>
      <w:r>
        <w:t xml:space="preserve">AT&amp;T </w:t>
      </w:r>
      <w:r w:rsidR="00142CD2">
        <w:t xml:space="preserve">and Cox </w:t>
      </w:r>
      <w:r>
        <w:t xml:space="preserve">state that to ensure </w:t>
      </w:r>
      <w:r w:rsidR="006A499A">
        <w:t>nondiscriminatory</w:t>
      </w:r>
      <w:r>
        <w:t xml:space="preserve"> treatment, </w:t>
      </w:r>
      <w:r w:rsidR="00C363B3">
        <w:t>the per</w:t>
      </w:r>
      <w:r w:rsidR="00142CD2">
        <w:noBreakHyphen/>
      </w:r>
      <w:r w:rsidR="00C363B3">
        <w:t xml:space="preserve">foot fee </w:t>
      </w:r>
      <w:r w:rsidR="00142CD2">
        <w:t xml:space="preserve">that the Commission adopted in D.16-01-046 for CMRS carrier pole attachments </w:t>
      </w:r>
      <w:r w:rsidR="00C363B3">
        <w:t>should apply to</w:t>
      </w:r>
      <w:r>
        <w:t xml:space="preserve"> </w:t>
      </w:r>
      <w:r w:rsidR="006A4AE4">
        <w:t xml:space="preserve">all </w:t>
      </w:r>
      <w:r>
        <w:t xml:space="preserve">CLEC </w:t>
      </w:r>
      <w:r w:rsidR="00C363B3">
        <w:t xml:space="preserve">wireless </w:t>
      </w:r>
      <w:r w:rsidR="00433DF2">
        <w:t xml:space="preserve">pole </w:t>
      </w:r>
      <w:r>
        <w:t>attachments</w:t>
      </w:r>
      <w:r w:rsidR="00C363B3">
        <w:t xml:space="preserve">, </w:t>
      </w:r>
      <w:r w:rsidR="00433DF2">
        <w:t xml:space="preserve">including </w:t>
      </w:r>
      <w:r w:rsidR="0046244F">
        <w:t xml:space="preserve">fixed </w:t>
      </w:r>
      <w:r w:rsidR="00C363B3">
        <w:t xml:space="preserve">wireless </w:t>
      </w:r>
      <w:r w:rsidR="0046244F">
        <w:t>facilities</w:t>
      </w:r>
      <w:r>
        <w:t xml:space="preserve">.  </w:t>
      </w:r>
      <w:r w:rsidR="008861A6">
        <w:t xml:space="preserve">On the other hand, </w:t>
      </w:r>
      <w:r w:rsidR="00142CD2">
        <w:t xml:space="preserve">Cox contends that </w:t>
      </w:r>
      <w:r w:rsidR="00142CD2" w:rsidRPr="00105619">
        <w:rPr>
          <w:szCs w:val="22"/>
        </w:rPr>
        <w:t>Pub</w:t>
      </w:r>
      <w:r w:rsidR="00451C2B">
        <w:rPr>
          <w:szCs w:val="22"/>
        </w:rPr>
        <w:t xml:space="preserve">. </w:t>
      </w:r>
      <w:r w:rsidR="00142CD2" w:rsidRPr="00105619">
        <w:rPr>
          <w:szCs w:val="22"/>
        </w:rPr>
        <w:t>Util. Code §</w:t>
      </w:r>
      <w:r w:rsidR="00142CD2">
        <w:rPr>
          <w:szCs w:val="22"/>
        </w:rPr>
        <w:t> </w:t>
      </w:r>
      <w:r w:rsidR="00142CD2" w:rsidRPr="00105619">
        <w:rPr>
          <w:szCs w:val="22"/>
        </w:rPr>
        <w:t>767.5</w:t>
      </w:r>
      <w:r w:rsidR="00142CD2">
        <w:rPr>
          <w:szCs w:val="22"/>
        </w:rPr>
        <w:t xml:space="preserve"> mandates a per</w:t>
      </w:r>
      <w:r w:rsidR="00142CD2">
        <w:rPr>
          <w:szCs w:val="22"/>
        </w:rPr>
        <w:noBreakHyphen/>
        <w:t>pole </w:t>
      </w:r>
      <w:r w:rsidR="00142CD2">
        <w:t>fee for CLEC wireline attachments</w:t>
      </w:r>
      <w:r w:rsidR="00451C2B">
        <w:rPr>
          <w:szCs w:val="22"/>
        </w:rPr>
        <w:t xml:space="preserve">. </w:t>
      </w:r>
    </w:p>
    <w:p w:rsidR="00BD4C6C" w:rsidRPr="00C23A22" w:rsidRDefault="00584E67" w:rsidP="00BD4C6C">
      <w:pPr>
        <w:pStyle w:val="standard"/>
        <w:rPr>
          <w:rFonts w:cs="TimesNewRomanPSMT"/>
        </w:rPr>
      </w:pPr>
      <w:r>
        <w:t xml:space="preserve">CALTEL opines that </w:t>
      </w:r>
      <w:r w:rsidR="00C35BCA">
        <w:t xml:space="preserve">pole-attachment fees should be applied in a </w:t>
      </w:r>
      <w:r w:rsidR="006A499A">
        <w:t>nondiscriminatory</w:t>
      </w:r>
      <w:r w:rsidR="00C35BCA">
        <w:t xml:space="preserve"> manner to all telecommunications carriers.</w:t>
      </w:r>
      <w:r w:rsidR="00E83483">
        <w:t xml:space="preserve">  </w:t>
      </w:r>
      <w:r w:rsidR="00BD4C6C" w:rsidRPr="00C23A22">
        <w:t>Ext</w:t>
      </w:r>
      <w:r w:rsidR="00BD4C6C">
        <w:t>e</w:t>
      </w:r>
      <w:r w:rsidR="00BD4C6C" w:rsidRPr="00C23A22">
        <w:t xml:space="preserve">Net </w:t>
      </w:r>
      <w:r w:rsidR="007A74D7">
        <w:t xml:space="preserve">suggests that </w:t>
      </w:r>
      <w:r w:rsidR="00E83483">
        <w:t>CLEC</w:t>
      </w:r>
      <w:r w:rsidR="007A74D7">
        <w:t>s should be free</w:t>
      </w:r>
      <w:r w:rsidR="00E83483">
        <w:t xml:space="preserve"> to choose either </w:t>
      </w:r>
      <w:r w:rsidR="00866CFD">
        <w:rPr>
          <w:rFonts w:cs="TimesNewRomanPSMT"/>
        </w:rPr>
        <w:t>the</w:t>
      </w:r>
      <w:r w:rsidR="00BD4C6C" w:rsidRPr="00C23A22">
        <w:rPr>
          <w:rFonts w:cs="TimesNewRomanPSMT"/>
        </w:rPr>
        <w:t xml:space="preserve"> per</w:t>
      </w:r>
      <w:r w:rsidR="00CB04A4">
        <w:rPr>
          <w:rFonts w:cs="TimesNewRomanPSMT"/>
        </w:rPr>
        <w:noBreakHyphen/>
      </w:r>
      <w:r w:rsidR="00BD4C6C" w:rsidRPr="00C23A22">
        <w:rPr>
          <w:rFonts w:cs="TimesNewRomanPSMT"/>
        </w:rPr>
        <w:t xml:space="preserve">pole </w:t>
      </w:r>
      <w:r w:rsidR="00BD4C6C">
        <w:rPr>
          <w:rFonts w:cs="TimesNewRomanPSMT"/>
        </w:rPr>
        <w:t>fee or the per</w:t>
      </w:r>
      <w:r w:rsidR="00CB04A4">
        <w:rPr>
          <w:rFonts w:cs="TimesNewRomanPSMT"/>
        </w:rPr>
        <w:noBreakHyphen/>
      </w:r>
      <w:r w:rsidR="00BD4C6C">
        <w:rPr>
          <w:rFonts w:cs="TimesNewRomanPSMT"/>
        </w:rPr>
        <w:t>foot fee</w:t>
      </w:r>
      <w:r w:rsidR="00BD4C6C" w:rsidRPr="00C23A22">
        <w:rPr>
          <w:rFonts w:cs="TimesNewRomanPSMT"/>
        </w:rPr>
        <w:t>.</w:t>
      </w:r>
      <w:r w:rsidR="00BD4C6C">
        <w:rPr>
          <w:rFonts w:cs="TimesNewRomanPSMT"/>
        </w:rPr>
        <w:t xml:space="preserve">  </w:t>
      </w:r>
    </w:p>
    <w:p w:rsidR="00EB1857" w:rsidRDefault="00A7340B" w:rsidP="00A7340B">
      <w:pPr>
        <w:pStyle w:val="standard"/>
      </w:pPr>
      <w:r w:rsidRPr="001A2143">
        <w:t xml:space="preserve">WIA </w:t>
      </w:r>
      <w:r w:rsidR="00105590">
        <w:t xml:space="preserve">recommends </w:t>
      </w:r>
      <w:r w:rsidRPr="001A2143">
        <w:t>that the per</w:t>
      </w:r>
      <w:r w:rsidR="00105590">
        <w:t>-</w:t>
      </w:r>
      <w:r w:rsidRPr="001A2143">
        <w:t xml:space="preserve">foot fee </w:t>
      </w:r>
      <w:r w:rsidR="008001E1">
        <w:t xml:space="preserve">apply </w:t>
      </w:r>
      <w:r w:rsidR="00150FE2">
        <w:t>when</w:t>
      </w:r>
      <w:r w:rsidR="008001E1">
        <w:t xml:space="preserve"> a CLEC has wireless facilities attached to a pole.  In that situation, the per-foot fee would apply </w:t>
      </w:r>
      <w:r w:rsidRPr="001A2143">
        <w:t xml:space="preserve">to </w:t>
      </w:r>
      <w:r w:rsidR="000B5F68">
        <w:t xml:space="preserve">all </w:t>
      </w:r>
      <w:r w:rsidR="008001E1">
        <w:t xml:space="preserve">of the CLEC’s </w:t>
      </w:r>
      <w:r w:rsidR="00277A57">
        <w:t>wireline</w:t>
      </w:r>
      <w:r w:rsidR="008001E1">
        <w:t xml:space="preserve"> and wirel</w:t>
      </w:r>
      <w:r w:rsidR="00277A57">
        <w:t>ess</w:t>
      </w:r>
      <w:r w:rsidR="008001E1">
        <w:t xml:space="preserve"> attachments on the pole, which is identical to how the per-foot fee applies to CMRS carrier </w:t>
      </w:r>
      <w:r w:rsidR="007578E0">
        <w:t xml:space="preserve">pole </w:t>
      </w:r>
      <w:r w:rsidR="008001E1">
        <w:t>attachments.</w:t>
      </w:r>
      <w:r w:rsidR="00B26F9C">
        <w:t xml:space="preserve">  On the other hand, </w:t>
      </w:r>
      <w:r w:rsidR="00150FE2">
        <w:t>when</w:t>
      </w:r>
      <w:r w:rsidR="00B26F9C">
        <w:t xml:space="preserve"> a CLEC has wireline attachments on a pole but no wireless attachments, </w:t>
      </w:r>
      <w:r w:rsidR="00735C72">
        <w:t xml:space="preserve">WIA recommends that the </w:t>
      </w:r>
      <w:r w:rsidR="00283D85">
        <w:t>per</w:t>
      </w:r>
      <w:r w:rsidR="00283D85">
        <w:noBreakHyphen/>
        <w:t xml:space="preserve">pole </w:t>
      </w:r>
      <w:r w:rsidR="00735C72">
        <w:t xml:space="preserve">fee </w:t>
      </w:r>
      <w:r w:rsidR="00283D85">
        <w:t xml:space="preserve">continue to apply to </w:t>
      </w:r>
      <w:r w:rsidR="00B26F9C">
        <w:t>the</w:t>
      </w:r>
      <w:r w:rsidR="00735C72">
        <w:t xml:space="preserve"> CLEC wireline </w:t>
      </w:r>
      <w:r w:rsidR="007578E0">
        <w:t xml:space="preserve">pole </w:t>
      </w:r>
      <w:r w:rsidR="00735C72">
        <w:t>attachments</w:t>
      </w:r>
      <w:r w:rsidR="00283D85">
        <w:t xml:space="preserve">.  </w:t>
      </w:r>
    </w:p>
    <w:p w:rsidR="00C23A22" w:rsidRPr="004E33C8" w:rsidRDefault="004E33C8" w:rsidP="00EB1857">
      <w:pPr>
        <w:pStyle w:val="standard"/>
      </w:pPr>
      <w:r w:rsidRPr="004E33C8">
        <w:t xml:space="preserve">The </w:t>
      </w:r>
      <w:r>
        <w:t xml:space="preserve">Electric IOUs </w:t>
      </w:r>
      <w:r w:rsidR="00B26F9C">
        <w:t xml:space="preserve">propose that </w:t>
      </w:r>
      <w:r>
        <w:t xml:space="preserve">the </w:t>
      </w:r>
      <w:r w:rsidR="00073B9C">
        <w:t xml:space="preserve">per-pole fee apply to all CLEC wireline pole attachments, and that the </w:t>
      </w:r>
      <w:r>
        <w:t xml:space="preserve">per-foot fee </w:t>
      </w:r>
      <w:r w:rsidR="007578E0">
        <w:t xml:space="preserve">apply to </w:t>
      </w:r>
      <w:r w:rsidR="00073B9C">
        <w:t xml:space="preserve">all </w:t>
      </w:r>
      <w:r w:rsidR="007578E0">
        <w:t xml:space="preserve">CLEC wireless </w:t>
      </w:r>
      <w:r w:rsidR="00CD3DA7">
        <w:t xml:space="preserve">pole </w:t>
      </w:r>
      <w:r w:rsidR="007578E0">
        <w:t xml:space="preserve">attachments, </w:t>
      </w:r>
      <w:r w:rsidR="002D13F9">
        <w:t xml:space="preserve">including </w:t>
      </w:r>
      <w:r w:rsidR="0046244F">
        <w:t xml:space="preserve">fixed wireless </w:t>
      </w:r>
      <w:r w:rsidR="00150FE2">
        <w:t>facilities</w:t>
      </w:r>
      <w:r w:rsidR="00073B9C">
        <w:t>.</w:t>
      </w:r>
      <w:r w:rsidR="002D13F9">
        <w:t xml:space="preserve">  </w:t>
      </w:r>
    </w:p>
    <w:p w:rsidR="008E33A0" w:rsidRDefault="008E33A0" w:rsidP="005719C6">
      <w:pPr>
        <w:pStyle w:val="Heading3"/>
      </w:pPr>
      <w:bookmarkStart w:id="41" w:name="_Toc424321897"/>
      <w:bookmarkStart w:id="42" w:name="_Toc512317979"/>
      <w:r>
        <w:t>Discussion</w:t>
      </w:r>
      <w:bookmarkEnd w:id="41"/>
      <w:bookmarkEnd w:id="42"/>
      <w:r>
        <w:t xml:space="preserve"> </w:t>
      </w:r>
    </w:p>
    <w:p w:rsidR="00D5074E" w:rsidRDefault="004973DA" w:rsidP="00F95EDF">
      <w:pPr>
        <w:pStyle w:val="standard"/>
      </w:pPr>
      <w:r>
        <w:rPr>
          <w:rFonts w:eastAsia="Calibri"/>
        </w:rPr>
        <w:t xml:space="preserve">The ROW Rules </w:t>
      </w:r>
      <w:r w:rsidR="00D5074E">
        <w:rPr>
          <w:rFonts w:eastAsia="Calibri"/>
        </w:rPr>
        <w:t xml:space="preserve">authorize </w:t>
      </w:r>
      <w:r>
        <w:rPr>
          <w:rFonts w:eastAsia="Calibri"/>
        </w:rPr>
        <w:t xml:space="preserve">public utilities and attachers to negotiate the </w:t>
      </w:r>
      <w:r w:rsidR="002E191C">
        <w:rPr>
          <w:rFonts w:eastAsia="Calibri"/>
        </w:rPr>
        <w:t>fees</w:t>
      </w:r>
      <w:r>
        <w:rPr>
          <w:rFonts w:eastAsia="Calibri"/>
        </w:rPr>
        <w:t xml:space="preserve"> and c</w:t>
      </w:r>
      <w:r w:rsidR="002E191C">
        <w:rPr>
          <w:rFonts w:eastAsia="Calibri"/>
        </w:rPr>
        <w:t>harges</w:t>
      </w:r>
      <w:r>
        <w:rPr>
          <w:rFonts w:eastAsia="Calibri"/>
        </w:rPr>
        <w:t xml:space="preserve"> for access to public utility infrastructure.  If an agreement </w:t>
      </w:r>
      <w:r>
        <w:rPr>
          <w:rFonts w:eastAsia="Calibri"/>
        </w:rPr>
        <w:lastRenderedPageBreak/>
        <w:t xml:space="preserve">cannot be reached, the ROW Rules establish default </w:t>
      </w:r>
      <w:r w:rsidR="002E191C">
        <w:rPr>
          <w:rFonts w:eastAsia="Calibri"/>
        </w:rPr>
        <w:t>fees and charges</w:t>
      </w:r>
      <w:r w:rsidR="008F2421">
        <w:rPr>
          <w:rFonts w:eastAsia="Calibri"/>
        </w:rPr>
        <w:t xml:space="preserve"> (default</w:t>
      </w:r>
      <w:r w:rsidR="002E191C">
        <w:rPr>
          <w:rFonts w:eastAsia="Calibri"/>
        </w:rPr>
        <w:t> </w:t>
      </w:r>
      <w:r w:rsidR="008F2421">
        <w:rPr>
          <w:rFonts w:eastAsia="Calibri"/>
        </w:rPr>
        <w:t>fees)</w:t>
      </w:r>
      <w:r>
        <w:rPr>
          <w:rFonts w:eastAsia="Calibri"/>
        </w:rPr>
        <w:t xml:space="preserve">.  </w:t>
      </w:r>
      <w:r w:rsidR="00F95EDF">
        <w:t xml:space="preserve">The issue before us is the </w:t>
      </w:r>
      <w:r>
        <w:t xml:space="preserve">default </w:t>
      </w:r>
      <w:r w:rsidR="00054658">
        <w:t xml:space="preserve">fees that </w:t>
      </w:r>
      <w:r>
        <w:t xml:space="preserve">should apply to CLEC wireless facilities. </w:t>
      </w:r>
    </w:p>
    <w:p w:rsidR="00821DAA" w:rsidRDefault="008F2421" w:rsidP="002B3876">
      <w:pPr>
        <w:pStyle w:val="standard"/>
        <w:rPr>
          <w:rFonts w:eastAsia="Calibri"/>
        </w:rPr>
      </w:pPr>
      <w:r>
        <w:t>In D.16-01-046, the Commission adopted just and reasonable default fees for CMRS carrier wireless facilities.</w:t>
      </w:r>
      <w:r>
        <w:rPr>
          <w:rStyle w:val="FootnoteReference"/>
        </w:rPr>
        <w:footnoteReference w:id="34"/>
      </w:r>
      <w:r>
        <w:t xml:space="preserve"> </w:t>
      </w:r>
      <w:r w:rsidR="002B3876">
        <w:t xml:space="preserve"> </w:t>
      </w:r>
      <w:r w:rsidR="00B344BF">
        <w:rPr>
          <w:rFonts w:eastAsia="Calibri"/>
        </w:rPr>
        <w:t xml:space="preserve">The principle of nondiscriminatory access embodied in the ROW Rules </w:t>
      </w:r>
      <w:r w:rsidR="00C734AA">
        <w:rPr>
          <w:rFonts w:eastAsia="Calibri"/>
        </w:rPr>
        <w:t>requires</w:t>
      </w:r>
      <w:r w:rsidR="00B344BF">
        <w:rPr>
          <w:rFonts w:eastAsia="Calibri"/>
        </w:rPr>
        <w:t xml:space="preserve"> that the default fees for CMRS carrier wireless facilities should apply to CLEC wireless facilities</w:t>
      </w:r>
      <w:r w:rsidR="00D50F27">
        <w:rPr>
          <w:rFonts w:eastAsia="Calibri"/>
        </w:rPr>
        <w:t xml:space="preserve"> if</w:t>
      </w:r>
      <w:r w:rsidR="00B344BF">
        <w:rPr>
          <w:rFonts w:eastAsia="Calibri"/>
        </w:rPr>
        <w:t xml:space="preserve"> CMRS carrier </w:t>
      </w:r>
      <w:r w:rsidR="00CB4A07">
        <w:rPr>
          <w:rFonts w:eastAsia="Calibri"/>
        </w:rPr>
        <w:t xml:space="preserve">wireless facilities </w:t>
      </w:r>
      <w:r w:rsidR="00B344BF">
        <w:rPr>
          <w:rFonts w:eastAsia="Calibri"/>
        </w:rPr>
        <w:t xml:space="preserve">are similar to CLEC wireless facilities. </w:t>
      </w:r>
    </w:p>
    <w:p w:rsidR="008404B6" w:rsidRDefault="008F55F3" w:rsidP="002B3876">
      <w:pPr>
        <w:pStyle w:val="standard"/>
        <w:rPr>
          <w:rFonts w:eastAsia="Calibri"/>
        </w:rPr>
      </w:pPr>
      <w:r>
        <w:rPr>
          <w:rFonts w:eastAsia="Calibri"/>
        </w:rPr>
        <w:t xml:space="preserve">The record of this proceeding </w:t>
      </w:r>
      <w:r w:rsidR="007C1917">
        <w:rPr>
          <w:rFonts w:eastAsia="Calibri"/>
        </w:rPr>
        <w:t>shows</w:t>
      </w:r>
      <w:r>
        <w:rPr>
          <w:rFonts w:eastAsia="Calibri"/>
        </w:rPr>
        <w:t xml:space="preserve"> that </w:t>
      </w:r>
      <w:r w:rsidR="00CB4A07">
        <w:rPr>
          <w:rFonts w:eastAsia="Calibri"/>
        </w:rPr>
        <w:t xml:space="preserve">CMRS carrier wireless facilities </w:t>
      </w:r>
      <w:r>
        <w:rPr>
          <w:rFonts w:eastAsia="Calibri"/>
        </w:rPr>
        <w:t xml:space="preserve">are essentially identical to </w:t>
      </w:r>
      <w:r w:rsidR="00CB4A07">
        <w:rPr>
          <w:rFonts w:eastAsia="Calibri"/>
        </w:rPr>
        <w:t>CLEC</w:t>
      </w:r>
      <w:r w:rsidR="00D50F27">
        <w:rPr>
          <w:rFonts w:eastAsia="Calibri"/>
        </w:rPr>
        <w:t xml:space="preserve"> </w:t>
      </w:r>
      <w:r>
        <w:rPr>
          <w:rFonts w:eastAsia="Calibri"/>
        </w:rPr>
        <w:t xml:space="preserve">wireless facilities.  </w:t>
      </w:r>
      <w:r w:rsidR="008404B6">
        <w:rPr>
          <w:rFonts w:eastAsia="Calibri"/>
        </w:rPr>
        <w:t xml:space="preserve">Cox and WIA describe the similarity as follows: </w:t>
      </w:r>
    </w:p>
    <w:p w:rsidR="00821DAA" w:rsidRPr="0011293B" w:rsidRDefault="003C4E42" w:rsidP="008404B6">
      <w:pPr>
        <w:pStyle w:val="StandardQuotation"/>
        <w:rPr>
          <w:rFonts w:eastAsia="Calibri"/>
        </w:rPr>
      </w:pPr>
      <w:r w:rsidRPr="0011293B">
        <w:rPr>
          <w:b/>
          <w:u w:val="single"/>
        </w:rPr>
        <w:t>Cox</w:t>
      </w:r>
      <w:r w:rsidR="00174C0C" w:rsidRPr="0011293B">
        <w:rPr>
          <w:b/>
          <w:u w:val="single"/>
        </w:rPr>
        <w:t>’s</w:t>
      </w:r>
      <w:r w:rsidRPr="0011293B">
        <w:rPr>
          <w:b/>
          <w:u w:val="single"/>
        </w:rPr>
        <w:t xml:space="preserve"> description</w:t>
      </w:r>
      <w:r w:rsidRPr="0011293B">
        <w:t xml:space="preserve">:  </w:t>
      </w:r>
      <w:r w:rsidR="007F6D3A">
        <w:t>“</w:t>
      </w:r>
      <w:r w:rsidR="008404B6" w:rsidRPr="0011293B">
        <w:t>Cox’s wireless pole attachment installations will be identical to those that the Commission considered in D.16</w:t>
      </w:r>
      <w:r w:rsidR="00E96CD4" w:rsidRPr="0011293B">
        <w:noBreakHyphen/>
      </w:r>
      <w:r w:rsidR="008404B6" w:rsidRPr="0011293B">
        <w:t>01</w:t>
      </w:r>
      <w:r w:rsidR="00E96CD4" w:rsidRPr="0011293B">
        <w:noBreakHyphen/>
      </w:r>
      <w:r w:rsidR="008404B6" w:rsidRPr="0011293B">
        <w:t>046</w:t>
      </w:r>
      <w:r w:rsidR="00F74082" w:rsidRPr="0011293B">
        <w:t xml:space="preserve"> [for CMRS carriers]</w:t>
      </w:r>
      <w:r w:rsidR="008404B6" w:rsidRPr="0011293B">
        <w:t>.  Specifically, Cox’s equipment is comprised of an antenna attached to a pole or pole top and the ancillary equipment directly supporting the antenna, including but not limited to a shut-off switch, power meter, battery backup, radio amplifier, power cabinet and risers for communication and power cable to connecting with the antenna.  CLECs and CMRS carriers commonly buy off-the-shelf wireless equipment from the same limited group of small cell equipment manufacturers, including Nokia and Ericsson.</w:t>
      </w:r>
      <w:r w:rsidR="007F6D3A">
        <w:t>”</w:t>
      </w:r>
      <w:r w:rsidR="008404B6" w:rsidRPr="0011293B">
        <w:t xml:space="preserve"> (Cox Comments filed on May 3, 201</w:t>
      </w:r>
      <w:r w:rsidR="0011293B" w:rsidRPr="0011293B">
        <w:t>7</w:t>
      </w:r>
      <w:r w:rsidR="008404B6" w:rsidRPr="0011293B">
        <w:t>, at 11</w:t>
      </w:r>
      <w:r w:rsidR="00E96CD4" w:rsidRPr="0011293B">
        <w:noBreakHyphen/>
      </w:r>
      <w:r w:rsidR="008404B6" w:rsidRPr="0011293B">
        <w:t xml:space="preserve">12.  Footnotes omitted.)  </w:t>
      </w:r>
    </w:p>
    <w:p w:rsidR="008F55F3" w:rsidRPr="0011293B" w:rsidRDefault="003C4E42" w:rsidP="003C4E42">
      <w:pPr>
        <w:pStyle w:val="StandardQuotation"/>
        <w:spacing w:after="240"/>
        <w:rPr>
          <w:rFonts w:eastAsia="Calibri"/>
        </w:rPr>
      </w:pPr>
      <w:r w:rsidRPr="0011293B">
        <w:rPr>
          <w:b/>
          <w:u w:val="single"/>
        </w:rPr>
        <w:t>WIA</w:t>
      </w:r>
      <w:r w:rsidR="00174C0C" w:rsidRPr="0011293B">
        <w:rPr>
          <w:b/>
          <w:u w:val="single"/>
        </w:rPr>
        <w:t>’s</w:t>
      </w:r>
      <w:r w:rsidRPr="0011293B">
        <w:rPr>
          <w:b/>
          <w:u w:val="single"/>
        </w:rPr>
        <w:t xml:space="preserve"> description</w:t>
      </w:r>
      <w:r w:rsidRPr="0011293B">
        <w:t xml:space="preserve">:  </w:t>
      </w:r>
      <w:r w:rsidR="007F6D3A">
        <w:t>“</w:t>
      </w:r>
      <w:r w:rsidRPr="0011293B">
        <w:t>The components of a CLEC wireless pole installation are the same as those identified by the Commission in D.16</w:t>
      </w:r>
      <w:r w:rsidR="00E96CD4" w:rsidRPr="0011293B">
        <w:noBreakHyphen/>
      </w:r>
      <w:r w:rsidRPr="0011293B">
        <w:t>01</w:t>
      </w:r>
      <w:r w:rsidR="00E96CD4" w:rsidRPr="0011293B">
        <w:noBreakHyphen/>
      </w:r>
      <w:r w:rsidRPr="0011293B">
        <w:t xml:space="preserve">046 for CMRS carriers, and consist of:  antenna(s) attached to a pole or pole top; radio amplifier and cabinet; power supply and cabinet; ancillary equipment </w:t>
      </w:r>
      <w:r w:rsidR="00571B7E">
        <w:br/>
      </w:r>
      <w:r w:rsidRPr="0011293B">
        <w:lastRenderedPageBreak/>
        <w:t>(</w:t>
      </w:r>
      <w:r w:rsidRPr="0011293B">
        <w:rPr>
          <w:i/>
        </w:rPr>
        <w:t>e.g.,</w:t>
      </w:r>
      <w:r w:rsidRPr="0011293B">
        <w:t xml:space="preserve"> combiners, splitters, attenuators, mounting brackets, etc.); shut-off switch; power meter; battery backup; risers for communications and power cables; and communication cable for backhaul.</w:t>
      </w:r>
      <w:r w:rsidR="007F6D3A">
        <w:t>”</w:t>
      </w:r>
      <w:r w:rsidRPr="0011293B">
        <w:t xml:space="preserve"> (WIA Comments filed on May 3, 2017, at 11.  Footnote omitted.)   </w:t>
      </w:r>
    </w:p>
    <w:p w:rsidR="00A861D6" w:rsidRDefault="00A861D6" w:rsidP="002B3876">
      <w:pPr>
        <w:pStyle w:val="standard"/>
        <w:rPr>
          <w:rFonts w:eastAsia="Calibri"/>
        </w:rPr>
      </w:pPr>
      <w:r>
        <w:rPr>
          <w:rFonts w:eastAsia="Calibri"/>
        </w:rPr>
        <w:t xml:space="preserve">For the preceding reasons, we conclude that it is reasonable to </w:t>
      </w:r>
      <w:r w:rsidR="006141C3">
        <w:rPr>
          <w:rFonts w:eastAsia="Calibri"/>
        </w:rPr>
        <w:t xml:space="preserve">amend the ROW Rules so that </w:t>
      </w:r>
      <w:r>
        <w:rPr>
          <w:rFonts w:eastAsia="Calibri"/>
        </w:rPr>
        <w:t>the default fees adopted by D.16-01-046 for CMRS</w:t>
      </w:r>
      <w:r w:rsidR="006141C3">
        <w:rPr>
          <w:rFonts w:eastAsia="Calibri"/>
        </w:rPr>
        <w:t> </w:t>
      </w:r>
      <w:r>
        <w:rPr>
          <w:rFonts w:eastAsia="Calibri"/>
        </w:rPr>
        <w:t>carrier</w:t>
      </w:r>
      <w:r w:rsidR="00327ED8">
        <w:rPr>
          <w:rFonts w:eastAsia="Calibri"/>
        </w:rPr>
        <w:t xml:space="preserve"> </w:t>
      </w:r>
      <w:r>
        <w:rPr>
          <w:rFonts w:eastAsia="Calibri"/>
        </w:rPr>
        <w:t xml:space="preserve">facilities apply </w:t>
      </w:r>
      <w:r w:rsidR="006141C3">
        <w:rPr>
          <w:rFonts w:eastAsia="Calibri"/>
        </w:rPr>
        <w:t>to CLEC wireless facilities</w:t>
      </w:r>
      <w:r w:rsidR="00FE7C96">
        <w:rPr>
          <w:rFonts w:eastAsia="Calibri"/>
        </w:rPr>
        <w:t>, including fixed wireless facilities</w:t>
      </w:r>
      <w:r w:rsidR="006141C3">
        <w:rPr>
          <w:rFonts w:eastAsia="Calibri"/>
        </w:rPr>
        <w:t xml:space="preserve">.  </w:t>
      </w:r>
      <w:r w:rsidR="00EF56D7">
        <w:rPr>
          <w:rFonts w:eastAsia="Calibri"/>
        </w:rPr>
        <w:t>T</w:t>
      </w:r>
      <w:r w:rsidR="004A1AF7">
        <w:rPr>
          <w:rFonts w:eastAsia="Calibri"/>
        </w:rPr>
        <w:t xml:space="preserve">he default fees adopted by today’s Decision are just and reasonable because </w:t>
      </w:r>
      <w:r w:rsidR="008835F7">
        <w:rPr>
          <w:rFonts w:eastAsia="Calibri"/>
        </w:rPr>
        <w:t>the</w:t>
      </w:r>
      <w:r w:rsidR="00043FC6">
        <w:rPr>
          <w:rFonts w:eastAsia="Calibri"/>
        </w:rPr>
        <w:t xml:space="preserve">se </w:t>
      </w:r>
      <w:r w:rsidR="004A1AF7">
        <w:rPr>
          <w:rFonts w:eastAsia="Calibri"/>
        </w:rPr>
        <w:t xml:space="preserve">fees </w:t>
      </w:r>
      <w:r w:rsidR="00327ED8">
        <w:rPr>
          <w:rFonts w:eastAsia="Calibri"/>
        </w:rPr>
        <w:t xml:space="preserve">(A) </w:t>
      </w:r>
      <w:r w:rsidR="0086507C">
        <w:rPr>
          <w:rFonts w:eastAsia="Calibri"/>
        </w:rPr>
        <w:t>provide</w:t>
      </w:r>
      <w:r w:rsidR="004A1AF7">
        <w:rPr>
          <w:rFonts w:eastAsia="Calibri"/>
        </w:rPr>
        <w:t xml:space="preserve"> </w:t>
      </w:r>
      <w:r w:rsidR="00CB017B">
        <w:rPr>
          <w:rFonts w:eastAsia="Calibri"/>
        </w:rPr>
        <w:t xml:space="preserve">CLECs </w:t>
      </w:r>
      <w:r w:rsidR="00043FC6">
        <w:rPr>
          <w:rFonts w:eastAsia="Calibri"/>
        </w:rPr>
        <w:t xml:space="preserve">with </w:t>
      </w:r>
      <w:r w:rsidR="006A499A">
        <w:rPr>
          <w:rFonts w:eastAsia="Calibri"/>
        </w:rPr>
        <w:t>nondiscriminatory</w:t>
      </w:r>
      <w:r w:rsidR="004A1AF7">
        <w:rPr>
          <w:rFonts w:eastAsia="Calibri"/>
        </w:rPr>
        <w:t xml:space="preserve"> access to public utility infrastructure</w:t>
      </w:r>
      <w:r w:rsidR="00327ED8">
        <w:rPr>
          <w:rFonts w:eastAsia="Calibri"/>
        </w:rPr>
        <w:t xml:space="preserve">, </w:t>
      </w:r>
      <w:r w:rsidR="00485116">
        <w:rPr>
          <w:rFonts w:eastAsia="Calibri"/>
        </w:rPr>
        <w:t xml:space="preserve">and </w:t>
      </w:r>
      <w:r w:rsidR="00327ED8">
        <w:rPr>
          <w:rFonts w:eastAsia="Calibri"/>
        </w:rPr>
        <w:t xml:space="preserve">(B) compensate </w:t>
      </w:r>
      <w:r w:rsidR="00EF56D7">
        <w:rPr>
          <w:rFonts w:eastAsia="Calibri"/>
        </w:rPr>
        <w:t xml:space="preserve">the owners of public-utility infrastructure </w:t>
      </w:r>
      <w:r w:rsidR="00327ED8">
        <w:rPr>
          <w:rFonts w:eastAsia="Calibri"/>
        </w:rPr>
        <w:t xml:space="preserve">for the costs they incur to provide such access. </w:t>
      </w:r>
    </w:p>
    <w:p w:rsidR="009D02E7" w:rsidRDefault="007C1917" w:rsidP="009D02E7">
      <w:pPr>
        <w:pStyle w:val="standard"/>
        <w:rPr>
          <w:rFonts w:eastAsia="Calibri"/>
        </w:rPr>
      </w:pPr>
      <w:r>
        <w:rPr>
          <w:rFonts w:eastAsia="Calibri"/>
        </w:rPr>
        <w:t>The</w:t>
      </w:r>
      <w:r w:rsidR="009A5B46">
        <w:rPr>
          <w:rFonts w:eastAsia="Calibri"/>
        </w:rPr>
        <w:t xml:space="preserve"> default fees</w:t>
      </w:r>
      <w:r w:rsidR="00640BED">
        <w:rPr>
          <w:rFonts w:eastAsia="Calibri"/>
        </w:rPr>
        <w:t xml:space="preserve"> adopted by today’s Decision</w:t>
      </w:r>
      <w:r>
        <w:rPr>
          <w:rFonts w:eastAsia="Calibri"/>
        </w:rPr>
        <w:t xml:space="preserve"> include </w:t>
      </w:r>
      <w:r w:rsidR="002C7A50">
        <w:rPr>
          <w:rFonts w:eastAsia="Calibri"/>
        </w:rPr>
        <w:t xml:space="preserve">a </w:t>
      </w:r>
      <w:r>
        <w:rPr>
          <w:rFonts w:eastAsia="Calibri"/>
        </w:rPr>
        <w:t>pole-</w:t>
      </w:r>
      <w:r w:rsidR="002C7A50">
        <w:rPr>
          <w:rFonts w:eastAsia="Calibri"/>
        </w:rPr>
        <w:t>attachment</w:t>
      </w:r>
      <w:r>
        <w:rPr>
          <w:rFonts w:eastAsia="Calibri"/>
        </w:rPr>
        <w:t xml:space="preserve"> fee of </w:t>
      </w:r>
      <w:r w:rsidR="00BC344A">
        <w:rPr>
          <w:rFonts w:eastAsia="Calibri"/>
        </w:rPr>
        <w:t>7.4% </w:t>
      </w:r>
      <w:r w:rsidR="004D342E">
        <w:rPr>
          <w:rFonts w:eastAsia="Calibri"/>
        </w:rPr>
        <w:t>per</w:t>
      </w:r>
      <w:r w:rsidR="004D342E">
        <w:rPr>
          <w:rFonts w:eastAsia="Calibri"/>
        </w:rPr>
        <w:noBreakHyphen/>
        <w:t xml:space="preserve">foot </w:t>
      </w:r>
      <w:r>
        <w:rPr>
          <w:rFonts w:eastAsia="Calibri"/>
        </w:rPr>
        <w:t>that</w:t>
      </w:r>
      <w:r w:rsidR="009D02E7">
        <w:rPr>
          <w:rFonts w:eastAsia="Calibri"/>
        </w:rPr>
        <w:t xml:space="preserve"> appl</w:t>
      </w:r>
      <w:r>
        <w:rPr>
          <w:rFonts w:eastAsia="Calibri"/>
        </w:rPr>
        <w:t>ies</w:t>
      </w:r>
      <w:r w:rsidR="009D02E7">
        <w:rPr>
          <w:rFonts w:eastAsia="Calibri"/>
        </w:rPr>
        <w:t xml:space="preserve"> to (1) all </w:t>
      </w:r>
      <w:r w:rsidR="004D342E">
        <w:rPr>
          <w:rFonts w:eastAsia="Calibri"/>
        </w:rPr>
        <w:t>CLEC wireless facilities</w:t>
      </w:r>
      <w:r w:rsidR="009D02E7">
        <w:rPr>
          <w:rFonts w:eastAsia="Calibri"/>
        </w:rPr>
        <w:t>, including fixed wireless facilit</w:t>
      </w:r>
      <w:r w:rsidR="002B00AB">
        <w:rPr>
          <w:rFonts w:eastAsia="Calibri"/>
        </w:rPr>
        <w:t>i</w:t>
      </w:r>
      <w:r w:rsidR="009D02E7">
        <w:rPr>
          <w:rFonts w:eastAsia="Calibri"/>
        </w:rPr>
        <w:t>es</w:t>
      </w:r>
      <w:r w:rsidR="0069416B">
        <w:rPr>
          <w:rFonts w:eastAsia="Calibri"/>
        </w:rPr>
        <w:t>;</w:t>
      </w:r>
      <w:r w:rsidR="004D342E">
        <w:rPr>
          <w:rFonts w:eastAsia="Calibri"/>
        </w:rPr>
        <w:t xml:space="preserve"> and (2) </w:t>
      </w:r>
      <w:r w:rsidR="00327ED8">
        <w:rPr>
          <w:rFonts w:eastAsia="Calibri"/>
        </w:rPr>
        <w:t xml:space="preserve">a CLEC’s </w:t>
      </w:r>
      <w:r w:rsidR="004D342E">
        <w:rPr>
          <w:rFonts w:eastAsia="Calibri"/>
        </w:rPr>
        <w:t xml:space="preserve">wireline facilities </w:t>
      </w:r>
      <w:r w:rsidR="006E6436">
        <w:rPr>
          <w:rFonts w:eastAsia="Calibri"/>
        </w:rPr>
        <w:t>attached to</w:t>
      </w:r>
      <w:r w:rsidR="007D4978">
        <w:rPr>
          <w:rFonts w:eastAsia="Calibri"/>
        </w:rPr>
        <w:t xml:space="preserve"> </w:t>
      </w:r>
      <w:r w:rsidR="004D342E">
        <w:rPr>
          <w:rFonts w:eastAsia="Calibri"/>
        </w:rPr>
        <w:t xml:space="preserve">the same pole as </w:t>
      </w:r>
      <w:r w:rsidR="00327ED8">
        <w:rPr>
          <w:rFonts w:eastAsia="Calibri"/>
        </w:rPr>
        <w:t>the</w:t>
      </w:r>
      <w:r w:rsidR="004D342E">
        <w:rPr>
          <w:rFonts w:eastAsia="Calibri"/>
        </w:rPr>
        <w:t xml:space="preserve"> CLEC’s </w:t>
      </w:r>
      <w:r w:rsidR="007D4978">
        <w:rPr>
          <w:rFonts w:eastAsia="Calibri"/>
        </w:rPr>
        <w:t xml:space="preserve">own </w:t>
      </w:r>
      <w:r w:rsidR="004D342E">
        <w:rPr>
          <w:rFonts w:eastAsia="Calibri"/>
        </w:rPr>
        <w:t xml:space="preserve">wireless facilities.  </w:t>
      </w:r>
      <w:r w:rsidR="000E68C2">
        <w:rPr>
          <w:rFonts w:eastAsia="Calibri"/>
        </w:rPr>
        <w:t>T</w:t>
      </w:r>
      <w:r w:rsidR="000B0DE0">
        <w:rPr>
          <w:rFonts w:eastAsia="Calibri"/>
        </w:rPr>
        <w:t xml:space="preserve">he </w:t>
      </w:r>
      <w:r w:rsidR="002C7A50">
        <w:rPr>
          <w:rFonts w:eastAsia="Calibri"/>
        </w:rPr>
        <w:t xml:space="preserve">7.4% </w:t>
      </w:r>
      <w:r w:rsidR="000B0DE0">
        <w:rPr>
          <w:rFonts w:eastAsia="Calibri"/>
        </w:rPr>
        <w:t>per</w:t>
      </w:r>
      <w:r w:rsidR="007D4978">
        <w:rPr>
          <w:rFonts w:eastAsia="Calibri"/>
        </w:rPr>
        <w:noBreakHyphen/>
      </w:r>
      <w:r w:rsidR="000B0DE0">
        <w:rPr>
          <w:rFonts w:eastAsia="Calibri"/>
        </w:rPr>
        <w:t xml:space="preserve">foot fee </w:t>
      </w:r>
      <w:r w:rsidR="000E68C2">
        <w:rPr>
          <w:rFonts w:eastAsia="Calibri"/>
        </w:rPr>
        <w:t xml:space="preserve">for CLEC pole attachments </w:t>
      </w:r>
      <w:r w:rsidR="000B0DE0">
        <w:rPr>
          <w:rFonts w:eastAsia="Calibri"/>
        </w:rPr>
        <w:t>is subject to the same conditions and limitations that apply to CMRS</w:t>
      </w:r>
      <w:r w:rsidR="006E6436">
        <w:rPr>
          <w:rFonts w:eastAsia="Calibri"/>
        </w:rPr>
        <w:t> </w:t>
      </w:r>
      <w:r w:rsidR="000B0DE0">
        <w:rPr>
          <w:rFonts w:eastAsia="Calibri"/>
        </w:rPr>
        <w:t>carrier pole attachments.</w:t>
      </w:r>
      <w:r w:rsidR="000B0DE0">
        <w:rPr>
          <w:rStyle w:val="FootnoteReference"/>
          <w:rFonts w:eastAsia="Calibri"/>
        </w:rPr>
        <w:footnoteReference w:id="35"/>
      </w:r>
      <w:r w:rsidR="000B0DE0">
        <w:rPr>
          <w:rFonts w:eastAsia="Calibri"/>
        </w:rPr>
        <w:t xml:space="preserve">  </w:t>
      </w:r>
      <w:r w:rsidR="002C7A50">
        <w:rPr>
          <w:rFonts w:eastAsia="Calibri"/>
        </w:rPr>
        <w:t>The</w:t>
      </w:r>
      <w:r w:rsidR="009D02E7">
        <w:rPr>
          <w:rFonts w:eastAsia="Calibri"/>
        </w:rPr>
        <w:t xml:space="preserve"> per</w:t>
      </w:r>
      <w:r w:rsidR="009D02E7">
        <w:rPr>
          <w:rFonts w:eastAsia="Calibri"/>
        </w:rPr>
        <w:noBreakHyphen/>
        <w:t xml:space="preserve">pole fee will continue to apply to </w:t>
      </w:r>
      <w:r w:rsidR="00327ED8">
        <w:rPr>
          <w:rFonts w:eastAsia="Calibri"/>
        </w:rPr>
        <w:t xml:space="preserve">a </w:t>
      </w:r>
      <w:r w:rsidR="009D02E7">
        <w:rPr>
          <w:rFonts w:eastAsia="Calibri"/>
        </w:rPr>
        <w:t>CLEC</w:t>
      </w:r>
      <w:r w:rsidR="00327ED8">
        <w:rPr>
          <w:rFonts w:eastAsia="Calibri"/>
        </w:rPr>
        <w:t>’s</w:t>
      </w:r>
      <w:r w:rsidR="009D02E7">
        <w:rPr>
          <w:rFonts w:eastAsia="Calibri"/>
        </w:rPr>
        <w:t xml:space="preserve"> wireline facilities that are not </w:t>
      </w:r>
      <w:r w:rsidR="006E6436">
        <w:rPr>
          <w:rFonts w:eastAsia="Calibri"/>
        </w:rPr>
        <w:t>attached to</w:t>
      </w:r>
      <w:r w:rsidR="009D02E7">
        <w:rPr>
          <w:rFonts w:eastAsia="Calibri"/>
        </w:rPr>
        <w:t xml:space="preserve"> the same poles as </w:t>
      </w:r>
      <w:r w:rsidR="00327ED8">
        <w:rPr>
          <w:rFonts w:eastAsia="Calibri"/>
        </w:rPr>
        <w:t>the</w:t>
      </w:r>
      <w:r w:rsidR="009D02E7">
        <w:rPr>
          <w:rFonts w:eastAsia="Calibri"/>
        </w:rPr>
        <w:t xml:space="preserve"> CLEC’s own wireless facilities.  Although today’s Decision results in CLEC wireline pole attachments being subject to the per</w:t>
      </w:r>
      <w:r w:rsidR="009D02E7">
        <w:rPr>
          <w:rFonts w:eastAsia="Calibri"/>
        </w:rPr>
        <w:noBreakHyphen/>
        <w:t>foot fee or the per</w:t>
      </w:r>
      <w:r w:rsidR="009D02E7">
        <w:rPr>
          <w:rFonts w:eastAsia="Calibri"/>
        </w:rPr>
        <w:noBreakHyphen/>
        <w:t xml:space="preserve">pole fee, depending on circumstances, </w:t>
      </w:r>
      <w:r w:rsidR="009D02E7">
        <w:t>the per-foot fee and the per-pole fee are identical for wireline pole attachments in most situations.</w:t>
      </w:r>
      <w:r w:rsidR="009D02E7">
        <w:rPr>
          <w:rStyle w:val="FootnoteReference"/>
        </w:rPr>
        <w:footnoteReference w:id="36"/>
      </w:r>
      <w:r w:rsidR="009D02E7">
        <w:t xml:space="preserve">  </w:t>
      </w:r>
    </w:p>
    <w:p w:rsidR="006212E8" w:rsidRDefault="006212E8" w:rsidP="006212E8">
      <w:pPr>
        <w:pStyle w:val="standard"/>
        <w:rPr>
          <w:rFonts w:eastAsia="Calibri"/>
        </w:rPr>
      </w:pPr>
      <w:r>
        <w:rPr>
          <w:rFonts w:eastAsia="Calibri"/>
        </w:rPr>
        <w:lastRenderedPageBreak/>
        <w:t xml:space="preserve">We disagree with Cox’s position that </w:t>
      </w:r>
      <w:r w:rsidR="00621A23" w:rsidRPr="00105619">
        <w:rPr>
          <w:szCs w:val="22"/>
        </w:rPr>
        <w:t>Pub. Util. Code § 767.5</w:t>
      </w:r>
      <w:r w:rsidR="00621A23">
        <w:rPr>
          <w:szCs w:val="22"/>
        </w:rPr>
        <w:t xml:space="preserve"> mandates the </w:t>
      </w:r>
      <w:r>
        <w:rPr>
          <w:rFonts w:eastAsia="Calibri"/>
        </w:rPr>
        <w:t xml:space="preserve">per-pole fee </w:t>
      </w:r>
      <w:r w:rsidR="00621A23">
        <w:rPr>
          <w:rFonts w:eastAsia="Calibri"/>
        </w:rPr>
        <w:t>for</w:t>
      </w:r>
      <w:r>
        <w:rPr>
          <w:rFonts w:eastAsia="Calibri"/>
        </w:rPr>
        <w:t xml:space="preserve"> CLEC wireline </w:t>
      </w:r>
      <w:r w:rsidR="00621A23">
        <w:rPr>
          <w:rFonts w:eastAsia="Calibri"/>
        </w:rPr>
        <w:t xml:space="preserve">pole </w:t>
      </w:r>
      <w:r>
        <w:rPr>
          <w:rFonts w:eastAsia="Calibri"/>
        </w:rPr>
        <w:t>attachments</w:t>
      </w:r>
      <w:r>
        <w:rPr>
          <w:szCs w:val="22"/>
        </w:rPr>
        <w:t xml:space="preserve">.  </w:t>
      </w:r>
      <w:r w:rsidR="00621A23">
        <w:rPr>
          <w:szCs w:val="22"/>
        </w:rPr>
        <w:t>T</w:t>
      </w:r>
      <w:r>
        <w:rPr>
          <w:szCs w:val="22"/>
        </w:rPr>
        <w:t xml:space="preserve">his statute does not mention, let alone </w:t>
      </w:r>
      <w:r w:rsidR="00621A23">
        <w:rPr>
          <w:szCs w:val="22"/>
        </w:rPr>
        <w:t>mandate</w:t>
      </w:r>
      <w:r>
        <w:rPr>
          <w:szCs w:val="22"/>
        </w:rPr>
        <w:t xml:space="preserve">, </w:t>
      </w:r>
      <w:r w:rsidR="00621A23">
        <w:rPr>
          <w:szCs w:val="22"/>
        </w:rPr>
        <w:t xml:space="preserve">any particular </w:t>
      </w:r>
      <w:r>
        <w:rPr>
          <w:szCs w:val="22"/>
        </w:rPr>
        <w:t>pole-attachment fee for CLEC</w:t>
      </w:r>
      <w:r w:rsidR="00C025D8">
        <w:rPr>
          <w:szCs w:val="22"/>
        </w:rPr>
        <w:t>s</w:t>
      </w:r>
      <w:r>
        <w:rPr>
          <w:szCs w:val="22"/>
        </w:rPr>
        <w:t xml:space="preserve">.   </w:t>
      </w:r>
    </w:p>
    <w:p w:rsidR="00E30C51" w:rsidRDefault="00E30C51" w:rsidP="00E30C51">
      <w:pPr>
        <w:pStyle w:val="Heading2"/>
      </w:pPr>
      <w:bookmarkStart w:id="43" w:name="_Toc512317980"/>
      <w:bookmarkStart w:id="44" w:name="_Toc424321907"/>
      <w:r>
        <w:t xml:space="preserve">Safety </w:t>
      </w:r>
      <w:r w:rsidR="00544E84">
        <w:t>and Reliability</w:t>
      </w:r>
      <w:bookmarkEnd w:id="43"/>
    </w:p>
    <w:p w:rsidR="00DD4C8C" w:rsidRDefault="00DD4C8C" w:rsidP="00FE7155">
      <w:pPr>
        <w:pStyle w:val="Heading3"/>
        <w:ind w:hanging="288"/>
      </w:pPr>
      <w:bookmarkStart w:id="45" w:name="_Toc512317981"/>
      <w:r>
        <w:t>Background</w:t>
      </w:r>
      <w:bookmarkEnd w:id="45"/>
    </w:p>
    <w:p w:rsidR="002C4C29" w:rsidRPr="00743B10" w:rsidRDefault="00DE704C" w:rsidP="002C4C29">
      <w:pPr>
        <w:pStyle w:val="standard"/>
      </w:pPr>
      <w:r>
        <w:t xml:space="preserve">To </w:t>
      </w:r>
      <w:r w:rsidR="00F903DF">
        <w:t xml:space="preserve">maintain </w:t>
      </w:r>
      <w:r>
        <w:t xml:space="preserve">safety </w:t>
      </w:r>
      <w:r w:rsidR="00C025D8">
        <w:t xml:space="preserve">and </w:t>
      </w:r>
      <w:r>
        <w:t xml:space="preserve">reliability, </w:t>
      </w:r>
      <w:r w:rsidR="002C4C29">
        <w:t>t</w:t>
      </w:r>
      <w:r w:rsidR="002C4C29" w:rsidRPr="00743B10">
        <w:t>he ROW</w:t>
      </w:r>
      <w:r w:rsidR="002C4C29">
        <w:t xml:space="preserve"> Rules </w:t>
      </w:r>
      <w:r w:rsidR="00C025D8">
        <w:t xml:space="preserve">stipulate that </w:t>
      </w:r>
      <w:r w:rsidR="002C4C29">
        <w:t>a</w:t>
      </w:r>
      <w:r w:rsidR="002C4C29" w:rsidRPr="00ED331B">
        <w:t xml:space="preserve">ccess to </w:t>
      </w:r>
      <w:r w:rsidR="00C025D8">
        <w:t xml:space="preserve">public </w:t>
      </w:r>
      <w:r w:rsidR="002C4C29" w:rsidRPr="00ED331B">
        <w:t xml:space="preserve">utility </w:t>
      </w:r>
      <w:r w:rsidR="00C025D8">
        <w:t xml:space="preserve">infrastructure “shall </w:t>
      </w:r>
      <w:r w:rsidR="002C4C29" w:rsidRPr="00ED331B">
        <w:t>be governed at all times by</w:t>
      </w:r>
      <w:r w:rsidR="002C4C29">
        <w:t xml:space="preserve">… </w:t>
      </w:r>
      <w:r w:rsidR="002C4C29" w:rsidRPr="00ED331B">
        <w:t>General Order Nos.</w:t>
      </w:r>
      <w:r>
        <w:t> </w:t>
      </w:r>
      <w:r w:rsidR="002C4C29" w:rsidRPr="00ED331B">
        <w:t>95 and 128 and by Cal/OSHA Title</w:t>
      </w:r>
      <w:r w:rsidR="002C4C29">
        <w:t> </w:t>
      </w:r>
      <w:r w:rsidR="002C4C29" w:rsidRPr="00ED331B">
        <w:t>8.  Where necessary and appropriate, said General Orders shall be supplemented by the National Electric Safety Code, and any reasonable and justifiable safety and construction standards which are required by the utility.</w:t>
      </w:r>
      <w:r w:rsidR="002C4C29">
        <w:rPr>
          <w:rStyle w:val="FootnoteReference"/>
        </w:rPr>
        <w:footnoteReference w:id="37"/>
      </w:r>
      <w:r w:rsidR="002C4C29">
        <w:t xml:space="preserve">”  </w:t>
      </w:r>
    </w:p>
    <w:p w:rsidR="00360DBF" w:rsidRDefault="000C24E6" w:rsidP="00360DBF">
      <w:pPr>
        <w:pStyle w:val="standard"/>
      </w:pPr>
      <w:r>
        <w:t>T</w:t>
      </w:r>
      <w:r w:rsidR="00360DBF">
        <w:t>he scope of th</w:t>
      </w:r>
      <w:r w:rsidR="004A610A">
        <w:t xml:space="preserve">is </w:t>
      </w:r>
      <w:r w:rsidR="00360DBF">
        <w:t xml:space="preserve">proceeding includes the </w:t>
      </w:r>
      <w:r w:rsidR="00314D29">
        <w:t>topic</w:t>
      </w:r>
      <w:r w:rsidR="00360DBF">
        <w:t xml:space="preserve"> of whether additional regulations are necessary to ensure that CLEC wireless </w:t>
      </w:r>
      <w:r w:rsidR="004A610A">
        <w:t>facilities</w:t>
      </w:r>
      <w:r w:rsidR="00360DBF">
        <w:t xml:space="preserve"> are designed, constructed, operated, and maintained to (i) protect worker safety and public safety, and (ii) preserve the reliability of </w:t>
      </w:r>
      <w:r w:rsidR="001709DD">
        <w:t xml:space="preserve">co-located </w:t>
      </w:r>
      <w:r w:rsidR="00360DBF">
        <w:t xml:space="preserve">utility facilities. </w:t>
      </w:r>
      <w:r w:rsidR="00C12393">
        <w:t xml:space="preserve"> </w:t>
      </w:r>
    </w:p>
    <w:p w:rsidR="00DD4C8C" w:rsidRDefault="00DD4C8C" w:rsidP="00FE7155">
      <w:pPr>
        <w:pStyle w:val="Heading3"/>
        <w:ind w:hanging="288"/>
      </w:pPr>
      <w:bookmarkStart w:id="46" w:name="_Toc512317982"/>
      <w:r>
        <w:t>Positions of the Parties</w:t>
      </w:r>
      <w:bookmarkEnd w:id="46"/>
    </w:p>
    <w:p w:rsidR="00B406DB" w:rsidRDefault="0079196C" w:rsidP="00B62EFC">
      <w:pPr>
        <w:pStyle w:val="standard"/>
      </w:pPr>
      <w:r>
        <w:t xml:space="preserve">Those parties that addressed this topic believe the FCC’s and the Commission’s existing regulations </w:t>
      </w:r>
      <w:r w:rsidR="002E2C0F">
        <w:t xml:space="preserve">together </w:t>
      </w:r>
      <w:r>
        <w:t xml:space="preserve">ensure that CLEC wireless facilities are safe and do not adversely affect </w:t>
      </w:r>
      <w:r w:rsidR="001709DD">
        <w:t>co-located</w:t>
      </w:r>
      <w:r>
        <w:t xml:space="preserve"> </w:t>
      </w:r>
      <w:r w:rsidR="001709DD">
        <w:t>utility facilities</w:t>
      </w:r>
      <w:r>
        <w:t xml:space="preserve"> (e.g., power</w:t>
      </w:r>
      <w:r w:rsidR="001F2247">
        <w:t> </w:t>
      </w:r>
      <w:r>
        <w:t xml:space="preserve">lines).  </w:t>
      </w:r>
      <w:r w:rsidR="00B37E24">
        <w:t>No party asserts that extending the ROW</w:t>
      </w:r>
      <w:r>
        <w:t> </w:t>
      </w:r>
      <w:r w:rsidR="00B37E24">
        <w:t xml:space="preserve">Rules to </w:t>
      </w:r>
      <w:r w:rsidR="002E2C0F">
        <w:t xml:space="preserve">all </w:t>
      </w:r>
      <w:r w:rsidR="00B37E24">
        <w:t xml:space="preserve">CLEC wireless </w:t>
      </w:r>
      <w:r w:rsidR="002E2C0F">
        <w:t xml:space="preserve">telecommunications </w:t>
      </w:r>
      <w:r w:rsidR="004B1C0D">
        <w:t>facilities</w:t>
      </w:r>
      <w:r w:rsidR="00B37E24">
        <w:t xml:space="preserve"> will negatively affect safety </w:t>
      </w:r>
      <w:r w:rsidR="002E2C0F">
        <w:t>or reliability</w:t>
      </w:r>
      <w:r w:rsidR="00B37E24">
        <w:t xml:space="preserve">.  </w:t>
      </w:r>
    </w:p>
    <w:p w:rsidR="00DD4C8C" w:rsidRDefault="007013E6" w:rsidP="00B62EFC">
      <w:pPr>
        <w:pStyle w:val="standard"/>
      </w:pPr>
      <w:r>
        <w:t xml:space="preserve">SED cautions that </w:t>
      </w:r>
      <w:r w:rsidR="0062031E">
        <w:t xml:space="preserve">the Commission’s safety regulations are revised regularly </w:t>
      </w:r>
      <w:r>
        <w:t xml:space="preserve">in response to changing conditions, new technology, legislative </w:t>
      </w:r>
      <w:r>
        <w:lastRenderedPageBreak/>
        <w:t xml:space="preserve">mandates, and experience.  </w:t>
      </w:r>
      <w:r w:rsidR="006C4502">
        <w:t xml:space="preserve">Consequently, CLEC wireless </w:t>
      </w:r>
      <w:r w:rsidR="0062031E">
        <w:t xml:space="preserve">facilities </w:t>
      </w:r>
      <w:r w:rsidR="006C4502">
        <w:t xml:space="preserve">may become subject to new Commission safety regulations as time goes by. </w:t>
      </w:r>
      <w:r>
        <w:t xml:space="preserve"> </w:t>
      </w:r>
    </w:p>
    <w:p w:rsidR="00DD4C8C" w:rsidRDefault="00DD4C8C" w:rsidP="00FE7155">
      <w:pPr>
        <w:pStyle w:val="Heading3"/>
        <w:ind w:hanging="288"/>
      </w:pPr>
      <w:bookmarkStart w:id="47" w:name="_Toc512317983"/>
      <w:r>
        <w:t>Discussion</w:t>
      </w:r>
      <w:bookmarkEnd w:id="47"/>
    </w:p>
    <w:p w:rsidR="00117BB6" w:rsidRDefault="00247152" w:rsidP="006E2CB0">
      <w:pPr>
        <w:pStyle w:val="standard"/>
      </w:pPr>
      <w:r>
        <w:t xml:space="preserve">The FCC and the CPUC have split jurisdiction </w:t>
      </w:r>
      <w:r w:rsidR="00796C7E">
        <w:t xml:space="preserve">regarding the safety </w:t>
      </w:r>
      <w:r w:rsidR="008B67C9">
        <w:t xml:space="preserve">and reliability </w:t>
      </w:r>
      <w:r w:rsidR="00796C7E">
        <w:t xml:space="preserve">of wireless facilities.  In general, the FCC regulates RF power levels, emissions, and exposure limits.  The CPUC regulates the design, </w:t>
      </w:r>
      <w:r w:rsidR="00D35B69">
        <w:t>installation</w:t>
      </w:r>
      <w:r w:rsidR="00796C7E">
        <w:t xml:space="preserve">, operation, and maintenance of pole attachments.  </w:t>
      </w:r>
      <w:r w:rsidR="00EE7FBA">
        <w:t xml:space="preserve">The record of this proceeding establishes that </w:t>
      </w:r>
      <w:r w:rsidR="00D35B69">
        <w:t xml:space="preserve">existing FCC and CPUC </w:t>
      </w:r>
      <w:r w:rsidR="00EE7FBA">
        <w:t xml:space="preserve">regulations together ensure that CLEC wireless facilities </w:t>
      </w:r>
      <w:r>
        <w:t xml:space="preserve">are </w:t>
      </w:r>
      <w:r w:rsidR="004B5180">
        <w:t xml:space="preserve">safe </w:t>
      </w:r>
      <w:r>
        <w:t xml:space="preserve">and </w:t>
      </w:r>
      <w:r w:rsidR="004B5180">
        <w:t>do</w:t>
      </w:r>
      <w:r>
        <w:t xml:space="preserve"> not interfere with the operation and reliability of co-located utility facilities such as communications lines and power lines.   </w:t>
      </w:r>
    </w:p>
    <w:p w:rsidR="00D12714" w:rsidRDefault="0086225C" w:rsidP="006E2CB0">
      <w:pPr>
        <w:pStyle w:val="standard"/>
      </w:pPr>
      <w:r>
        <w:t>Based on the record of this proceeding, we find there is no need for additional regulations at this time to ensure that CLEC wireless facilities are designed, constructed, operated, and maintained to (1) protect worker safety and public safety, and (2) preserve the reliability of co-located utility facilities.  We remind CLECs that they have a statutory duty under Pub. Util. Code </w:t>
      </w:r>
      <w:r>
        <w:rPr>
          <w:rFonts w:ascii="Book Antiqua" w:hAnsi="Book Antiqua"/>
        </w:rPr>
        <w:t>§</w:t>
      </w:r>
      <w:r w:rsidR="001709DD">
        <w:rPr>
          <w:rFonts w:ascii="Book Antiqua" w:hAnsi="Book Antiqua"/>
        </w:rPr>
        <w:t> </w:t>
      </w:r>
      <w:r w:rsidR="002A3DF4">
        <w:t xml:space="preserve">451 to </w:t>
      </w:r>
      <w:r w:rsidR="002568ED">
        <w:t xml:space="preserve">furnish and maintain wireless facilities </w:t>
      </w:r>
      <w:r w:rsidR="00D12714">
        <w:t>that are safe for their employees and the public.</w:t>
      </w:r>
      <w:r w:rsidR="00147110">
        <w:rPr>
          <w:rStyle w:val="FootnoteReference"/>
        </w:rPr>
        <w:footnoteReference w:id="38"/>
      </w:r>
      <w:r w:rsidR="00D12714">
        <w:t xml:space="preserve">  This statutory duty includes compliance with </w:t>
      </w:r>
      <w:r w:rsidR="001709DD">
        <w:t>General Orders 9</w:t>
      </w:r>
      <w:r w:rsidR="00D12714">
        <w:t>5</w:t>
      </w:r>
      <w:r w:rsidR="001709DD">
        <w:t xml:space="preserve"> and 1</w:t>
      </w:r>
      <w:r w:rsidR="000B37B7">
        <w:t xml:space="preserve">28, and </w:t>
      </w:r>
      <w:r w:rsidR="001709DD">
        <w:t xml:space="preserve">with </w:t>
      </w:r>
      <w:r w:rsidR="000B37B7">
        <w:t xml:space="preserve">any reasonable safety and construction standards that may be required by the owners of public utility infrastructure.  </w:t>
      </w:r>
    </w:p>
    <w:p w:rsidR="002413CB" w:rsidRDefault="002413CB" w:rsidP="006E2CB0">
      <w:pPr>
        <w:pStyle w:val="standard"/>
      </w:pPr>
      <w:r>
        <w:t xml:space="preserve">As noted by SED, the Commission’s safety regulations are revised regularly in response to changing conditions, new technology, legislative </w:t>
      </w:r>
      <w:r>
        <w:lastRenderedPageBreak/>
        <w:t xml:space="preserve">mandates, and experience.  </w:t>
      </w:r>
      <w:r w:rsidR="00E90F6F">
        <w:t>T</w:t>
      </w:r>
      <w:r>
        <w:t xml:space="preserve">he Commission can and will adopt new safety regulations for wireless facilities when necessary.  </w:t>
      </w:r>
    </w:p>
    <w:p w:rsidR="00112F3F" w:rsidRDefault="00112F3F" w:rsidP="00214651">
      <w:pPr>
        <w:pStyle w:val="Heading2"/>
      </w:pPr>
      <w:bookmarkStart w:id="48" w:name="_Toc436640213"/>
      <w:bookmarkStart w:id="49" w:name="_Toc436647329"/>
      <w:bookmarkStart w:id="50" w:name="_Toc512317984"/>
      <w:bookmarkEnd w:id="48"/>
      <w:bookmarkEnd w:id="49"/>
      <w:r>
        <w:t xml:space="preserve">Adopted </w:t>
      </w:r>
      <w:r w:rsidR="00C6744C">
        <w:t xml:space="preserve">Amendments </w:t>
      </w:r>
      <w:r>
        <w:t>to the Text of the ROW</w:t>
      </w:r>
      <w:r w:rsidR="00C6744C">
        <w:rPr>
          <w:rFonts w:cs="Helvetica"/>
        </w:rPr>
        <w:t> </w:t>
      </w:r>
      <w:r>
        <w:t>Rules</w:t>
      </w:r>
      <w:bookmarkEnd w:id="44"/>
      <w:bookmarkEnd w:id="50"/>
      <w:r>
        <w:t xml:space="preserve">  </w:t>
      </w:r>
    </w:p>
    <w:p w:rsidR="00112F3F" w:rsidRDefault="00A7052C" w:rsidP="00112F3F">
      <w:pPr>
        <w:pStyle w:val="standard"/>
      </w:pPr>
      <w:r>
        <w:t xml:space="preserve">Today’s Decision adopts the following amendments to the text of the ROW Rules.  </w:t>
      </w:r>
      <w:r w:rsidR="002E3FE8">
        <w:t xml:space="preserve">First, we </w:t>
      </w:r>
      <w:r w:rsidR="007F35CB">
        <w:t xml:space="preserve">amend the definition of “telecommunications carrier” </w:t>
      </w:r>
      <w:r w:rsidR="0001406A">
        <w:t xml:space="preserve">in Section II of the ROW Rules so </w:t>
      </w:r>
      <w:r w:rsidR="001B2552">
        <w:t xml:space="preserve">that </w:t>
      </w:r>
      <w:r w:rsidR="0001406A">
        <w:t xml:space="preserve">the </w:t>
      </w:r>
      <w:r w:rsidR="00C734AA">
        <w:t>definition</w:t>
      </w:r>
      <w:r w:rsidR="001B2552">
        <w:t xml:space="preserve"> explicitly </w:t>
      </w:r>
      <w:r w:rsidR="00B45762">
        <w:t>incorporates</w:t>
      </w:r>
      <w:r w:rsidR="001B2552">
        <w:t xml:space="preserve"> facilities-based </w:t>
      </w:r>
      <w:r w:rsidR="007F35CB">
        <w:t>CLECs</w:t>
      </w:r>
      <w:r w:rsidR="008A39D9">
        <w:t xml:space="preserve">.  The </w:t>
      </w:r>
      <w:r w:rsidR="00261333">
        <w:t>amended</w:t>
      </w:r>
      <w:r w:rsidR="008A39D9">
        <w:t xml:space="preserve"> definition of “telecommunications carrier” </w:t>
      </w:r>
      <w:r w:rsidR="00261333">
        <w:t>is</w:t>
      </w:r>
      <w:r w:rsidR="008A39D9">
        <w:t xml:space="preserve"> shown below in redline </w:t>
      </w:r>
      <w:r w:rsidR="0001406A">
        <w:t>form</w:t>
      </w:r>
      <w:r w:rsidR="008A39D9">
        <w:t xml:space="preserve">:  </w:t>
      </w:r>
    </w:p>
    <w:p w:rsidR="00BA489B" w:rsidRPr="006813CF" w:rsidRDefault="00BA489B" w:rsidP="00BA489B">
      <w:pPr>
        <w:pStyle w:val="standard"/>
        <w:spacing w:after="200" w:line="240" w:lineRule="auto"/>
        <w:ind w:left="1066" w:right="1080" w:hanging="144"/>
      </w:pPr>
      <w:r w:rsidRPr="006813CF">
        <w:t xml:space="preserve">“Telecommunications carrier” generally means any provider of telecommunications services that has been granted a certificate of public convenience and necessity </w:t>
      </w:r>
      <w:r w:rsidR="00F87DA2" w:rsidRPr="002E55BC">
        <w:rPr>
          <w:b/>
          <w:color w:val="FF0000"/>
          <w:u w:val="single"/>
        </w:rPr>
        <w:t>(CPCN)</w:t>
      </w:r>
      <w:r w:rsidR="00F87DA2">
        <w:t xml:space="preserve"> </w:t>
      </w:r>
      <w:r w:rsidRPr="006813CF">
        <w:t>by the California Public Utilities Commission</w:t>
      </w:r>
      <w:r w:rsidR="00F87DA2">
        <w:t xml:space="preserve"> </w:t>
      </w:r>
      <w:r w:rsidR="00F87DA2" w:rsidRPr="002E55BC">
        <w:rPr>
          <w:b/>
          <w:color w:val="FF0000"/>
          <w:u w:val="single"/>
        </w:rPr>
        <w:t>(Commission)</w:t>
      </w:r>
      <w:r w:rsidRPr="006813CF">
        <w:t xml:space="preserve">.  </w:t>
      </w:r>
      <w:r w:rsidRPr="002E55BC">
        <w:rPr>
          <w:b/>
          <w:color w:val="FF0000"/>
          <w:u w:val="single"/>
        </w:rPr>
        <w:t>The definition of “telecommunications carrier” includes Com</w:t>
      </w:r>
      <w:r w:rsidR="00532720" w:rsidRPr="002E55BC">
        <w:rPr>
          <w:b/>
          <w:color w:val="FF0000"/>
          <w:u w:val="single"/>
        </w:rPr>
        <w:t>petitive Local Exchange Carriers (CLEC)</w:t>
      </w:r>
      <w:r w:rsidRPr="002E55BC">
        <w:rPr>
          <w:b/>
          <w:color w:val="FF0000"/>
          <w:u w:val="single"/>
        </w:rPr>
        <w:t xml:space="preserve"> that </w:t>
      </w:r>
      <w:r w:rsidR="00F87DA2" w:rsidRPr="002E55BC">
        <w:rPr>
          <w:b/>
          <w:color w:val="FF0000"/>
          <w:u w:val="single"/>
        </w:rPr>
        <w:t xml:space="preserve">have been granted </w:t>
      </w:r>
      <w:r w:rsidRPr="002E55BC">
        <w:rPr>
          <w:b/>
          <w:color w:val="FF0000"/>
          <w:u w:val="single"/>
        </w:rPr>
        <w:t xml:space="preserve">a </w:t>
      </w:r>
      <w:r w:rsidR="00F87DA2" w:rsidRPr="002E55BC">
        <w:rPr>
          <w:b/>
          <w:color w:val="FF0000"/>
          <w:u w:val="single"/>
        </w:rPr>
        <w:t xml:space="preserve">CPCN </w:t>
      </w:r>
      <w:r w:rsidRPr="002E55BC">
        <w:rPr>
          <w:b/>
          <w:color w:val="FF0000"/>
          <w:u w:val="single"/>
        </w:rPr>
        <w:t>by the Commission to provide facilities-based competitive local exchange service.</w:t>
      </w:r>
      <w:r w:rsidRPr="00BA489B">
        <w:t xml:space="preserve">  </w:t>
      </w:r>
      <w:r w:rsidRPr="006813CF">
        <w:t>These rules, however, exclude interexchange carriers from the definition of “telecommunications carrier.”</w:t>
      </w:r>
      <w:r>
        <w:t xml:space="preserve">  </w:t>
      </w:r>
    </w:p>
    <w:p w:rsidR="000978AB" w:rsidRPr="00446312" w:rsidRDefault="00890542" w:rsidP="00446312">
      <w:pPr>
        <w:pStyle w:val="standard"/>
        <w:rPr>
          <w:rFonts w:eastAsia="Arial"/>
        </w:rPr>
      </w:pPr>
      <w:r>
        <w:t xml:space="preserve">Second, </w:t>
      </w:r>
      <w:r w:rsidR="000978AB">
        <w:rPr>
          <w:rFonts w:eastAsia="Arial"/>
        </w:rPr>
        <w:t xml:space="preserve">we revise Section IV.D.1 of the ROW Rules so that it applies to both wireline and wireless facilities installed by </w:t>
      </w:r>
      <w:r w:rsidR="0078590B">
        <w:rPr>
          <w:rFonts w:eastAsia="Arial"/>
        </w:rPr>
        <w:t>telecommunications carriers</w:t>
      </w:r>
      <w:r w:rsidR="000978AB">
        <w:rPr>
          <w:rFonts w:eastAsia="Arial"/>
        </w:rPr>
        <w:t>.</w:t>
      </w:r>
    </w:p>
    <w:p w:rsidR="008C182E" w:rsidRDefault="00DF4152" w:rsidP="008C182E">
      <w:pPr>
        <w:pStyle w:val="standard"/>
        <w:rPr>
          <w:rFonts w:eastAsia="Arial"/>
        </w:rPr>
      </w:pPr>
      <w:r>
        <w:rPr>
          <w:rFonts w:eastAsia="Arial"/>
        </w:rPr>
        <w:t>Third</w:t>
      </w:r>
      <w:r w:rsidR="009D45F2">
        <w:rPr>
          <w:rFonts w:eastAsia="Arial"/>
        </w:rPr>
        <w:t xml:space="preserve">, </w:t>
      </w:r>
      <w:r w:rsidR="008C182E">
        <w:rPr>
          <w:rFonts w:eastAsia="Arial"/>
        </w:rPr>
        <w:t xml:space="preserve">we </w:t>
      </w:r>
      <w:r w:rsidR="0040403A">
        <w:rPr>
          <w:rFonts w:eastAsia="Arial"/>
        </w:rPr>
        <w:t>make</w:t>
      </w:r>
      <w:r w:rsidR="008C182E">
        <w:rPr>
          <w:rFonts w:eastAsia="Arial"/>
        </w:rPr>
        <w:t xml:space="preserve"> non-substantive revisions to Section VI.B.1 of the ROW</w:t>
      </w:r>
      <w:r w:rsidR="0040403A">
        <w:rPr>
          <w:rFonts w:eastAsia="Arial"/>
        </w:rPr>
        <w:t> </w:t>
      </w:r>
      <w:r w:rsidR="008C182E">
        <w:rPr>
          <w:rFonts w:eastAsia="Arial"/>
        </w:rPr>
        <w:t xml:space="preserve">Rules to </w:t>
      </w:r>
      <w:r w:rsidR="00976A85">
        <w:rPr>
          <w:rFonts w:eastAsia="Arial"/>
        </w:rPr>
        <w:t>better</w:t>
      </w:r>
      <w:r w:rsidR="008C182E">
        <w:rPr>
          <w:rFonts w:eastAsia="Arial"/>
        </w:rPr>
        <w:t xml:space="preserve"> reflect the purpose and intent of </w:t>
      </w:r>
      <w:r w:rsidR="00425C32">
        <w:rPr>
          <w:rFonts w:eastAsia="Arial"/>
        </w:rPr>
        <w:t>this section</w:t>
      </w:r>
      <w:r w:rsidR="008C182E">
        <w:rPr>
          <w:rFonts w:eastAsia="Arial"/>
        </w:rPr>
        <w:t xml:space="preserve">. </w:t>
      </w:r>
    </w:p>
    <w:p w:rsidR="00E97418" w:rsidRDefault="00DF4152" w:rsidP="00B40E62">
      <w:pPr>
        <w:pStyle w:val="standard"/>
      </w:pPr>
      <w:r>
        <w:t>Fourth</w:t>
      </w:r>
      <w:r w:rsidR="00E97418">
        <w:t xml:space="preserve">, we add the term “cable TV company” to Section </w:t>
      </w:r>
      <w:r w:rsidR="00E97418">
        <w:rPr>
          <w:rFonts w:eastAsia="Arial"/>
        </w:rPr>
        <w:t xml:space="preserve">VI.B.1.a </w:t>
      </w:r>
      <w:r w:rsidR="0040403A">
        <w:rPr>
          <w:rFonts w:eastAsia="Arial"/>
        </w:rPr>
        <w:t xml:space="preserve"> </w:t>
      </w:r>
      <w:r w:rsidR="00E97418">
        <w:rPr>
          <w:rFonts w:eastAsia="Arial"/>
        </w:rPr>
        <w:t xml:space="preserve">to correct the </w:t>
      </w:r>
      <w:r w:rsidR="0001406A">
        <w:rPr>
          <w:rFonts w:eastAsia="Arial"/>
        </w:rPr>
        <w:t>erroneous</w:t>
      </w:r>
      <w:r w:rsidR="00E97418">
        <w:rPr>
          <w:rFonts w:eastAsia="Arial"/>
        </w:rPr>
        <w:t xml:space="preserve"> omission of this term.   </w:t>
      </w:r>
    </w:p>
    <w:p w:rsidR="00FA4BE4" w:rsidRDefault="00A7052C" w:rsidP="00B40E62">
      <w:pPr>
        <w:pStyle w:val="standard"/>
      </w:pPr>
      <w:r>
        <w:t>Fifth</w:t>
      </w:r>
      <w:r w:rsidR="0027581C">
        <w:t xml:space="preserve">, </w:t>
      </w:r>
      <w:r w:rsidR="00890542">
        <w:t xml:space="preserve">we add a new </w:t>
      </w:r>
      <w:r w:rsidR="00DF4152">
        <w:t>S</w:t>
      </w:r>
      <w:r w:rsidR="00890542">
        <w:t xml:space="preserve">ection </w:t>
      </w:r>
      <w:r w:rsidR="00DF4152">
        <w:t xml:space="preserve">VI.B.1.b.3 </w:t>
      </w:r>
      <w:r w:rsidR="00890542">
        <w:t xml:space="preserve">that separately lists the </w:t>
      </w:r>
      <w:r w:rsidR="00C26E2D">
        <w:t xml:space="preserve">annual </w:t>
      </w:r>
      <w:r w:rsidR="00DF4152">
        <w:t>pole</w:t>
      </w:r>
      <w:r w:rsidR="00425C32">
        <w:noBreakHyphen/>
      </w:r>
      <w:r w:rsidR="00C26E2D">
        <w:t xml:space="preserve">attachment </w:t>
      </w:r>
      <w:r w:rsidR="00B316AC">
        <w:t xml:space="preserve">fees </w:t>
      </w:r>
      <w:r w:rsidR="00E60D22">
        <w:t>for</w:t>
      </w:r>
      <w:r w:rsidR="00890542">
        <w:t xml:space="preserve"> </w:t>
      </w:r>
      <w:r w:rsidR="00C26E2D">
        <w:t xml:space="preserve">poles that host </w:t>
      </w:r>
      <w:r w:rsidR="00532720">
        <w:t xml:space="preserve">a </w:t>
      </w:r>
      <w:r w:rsidR="00425C32">
        <w:t xml:space="preserve">CLEC’s </w:t>
      </w:r>
      <w:r w:rsidR="00B97C19">
        <w:t xml:space="preserve">wireless </w:t>
      </w:r>
      <w:r w:rsidR="00C26E2D">
        <w:t xml:space="preserve">facilities </w:t>
      </w:r>
      <w:r w:rsidR="00890542">
        <w:t xml:space="preserve">so that it is clear that such </w:t>
      </w:r>
      <w:r w:rsidR="009B3F08">
        <w:t xml:space="preserve">fees </w:t>
      </w:r>
      <w:r w:rsidR="00890542">
        <w:t xml:space="preserve">are </w:t>
      </w:r>
      <w:r w:rsidR="00B32B2D">
        <w:t>distinct</w:t>
      </w:r>
      <w:r w:rsidR="00890542">
        <w:t xml:space="preserve"> from, and do not apply to, </w:t>
      </w:r>
      <w:r w:rsidR="00C26E2D">
        <w:t xml:space="preserve">poles that host only a </w:t>
      </w:r>
      <w:r w:rsidR="00425C32">
        <w:t>CLEC</w:t>
      </w:r>
      <w:r w:rsidR="00975947">
        <w:t xml:space="preserve">’s </w:t>
      </w:r>
      <w:r w:rsidR="00890542">
        <w:t>wi</w:t>
      </w:r>
      <w:r w:rsidR="003D4425">
        <w:t>reline attachments.  The existing sections are renumbered</w:t>
      </w:r>
      <w:r w:rsidR="000834F8">
        <w:t xml:space="preserve">, as </w:t>
      </w:r>
      <w:r w:rsidR="003E4062">
        <w:t>necessary</w:t>
      </w:r>
      <w:r w:rsidR="000834F8">
        <w:t>,</w:t>
      </w:r>
      <w:r w:rsidR="003D4425">
        <w:t xml:space="preserve"> to reflect the addition of the </w:t>
      </w:r>
      <w:r w:rsidR="000834F8">
        <w:t>new Section VI.B.1.b.3</w:t>
      </w:r>
      <w:r w:rsidR="003D4425">
        <w:t xml:space="preserve">.  </w:t>
      </w:r>
    </w:p>
    <w:p w:rsidR="003E4062" w:rsidRDefault="00A7052C" w:rsidP="003E4062">
      <w:pPr>
        <w:pStyle w:val="standard"/>
      </w:pPr>
      <w:r>
        <w:lastRenderedPageBreak/>
        <w:t>Sixth</w:t>
      </w:r>
      <w:r w:rsidR="003E4062">
        <w:t xml:space="preserve">, we amend Sections </w:t>
      </w:r>
      <w:r>
        <w:rPr>
          <w:rFonts w:eastAsia="Arial"/>
        </w:rPr>
        <w:t xml:space="preserve">VI.B.1.b.1, </w:t>
      </w:r>
      <w:r w:rsidR="003E4062">
        <w:t>VI.B.1.c</w:t>
      </w:r>
      <w:r>
        <w:t>,</w:t>
      </w:r>
      <w:r w:rsidR="003E4062">
        <w:t xml:space="preserve"> and VI.B.1.d to incorporate </w:t>
      </w:r>
      <w:r w:rsidR="0005762C">
        <w:t>(i) </w:t>
      </w:r>
      <w:r w:rsidR="003E4062">
        <w:t>cross references to the newly added Section VI.B.1.b.3</w:t>
      </w:r>
      <w:r w:rsidR="0005762C">
        <w:t>,</w:t>
      </w:r>
      <w:r w:rsidR="003E4062">
        <w:t xml:space="preserve"> and </w:t>
      </w:r>
      <w:r w:rsidR="0005762C">
        <w:t xml:space="preserve">(ii) </w:t>
      </w:r>
      <w:r w:rsidR="003E4062">
        <w:t xml:space="preserve">other conforming changes.  </w:t>
      </w:r>
    </w:p>
    <w:p w:rsidR="00BB7596" w:rsidRDefault="00A7052C" w:rsidP="00B40E62">
      <w:pPr>
        <w:pStyle w:val="standard"/>
        <w:rPr>
          <w:rFonts w:eastAsia="Arial"/>
        </w:rPr>
      </w:pPr>
      <w:r>
        <w:rPr>
          <w:rFonts w:eastAsia="Arial"/>
        </w:rPr>
        <w:t>Seventh</w:t>
      </w:r>
      <w:r w:rsidR="00BB7596">
        <w:rPr>
          <w:rFonts w:eastAsia="Arial"/>
        </w:rPr>
        <w:t>, we replace the term “CLC” with “CLEC”</w:t>
      </w:r>
      <w:r w:rsidR="0005762C">
        <w:rPr>
          <w:rFonts w:eastAsia="Arial"/>
        </w:rPr>
        <w:t xml:space="preserve"> in Section VII.C.</w:t>
      </w:r>
    </w:p>
    <w:p w:rsidR="008E5615" w:rsidRDefault="00252A02" w:rsidP="00B40E62">
      <w:pPr>
        <w:pStyle w:val="standard"/>
        <w:rPr>
          <w:rFonts w:eastAsia="Arial"/>
        </w:rPr>
      </w:pPr>
      <w:r>
        <w:rPr>
          <w:rFonts w:eastAsia="Arial"/>
        </w:rPr>
        <w:t xml:space="preserve">Finally, </w:t>
      </w:r>
      <w:r w:rsidR="00976A85">
        <w:rPr>
          <w:rFonts w:eastAsia="Arial"/>
        </w:rPr>
        <w:t xml:space="preserve">we make </w:t>
      </w:r>
      <w:r w:rsidR="008E5615">
        <w:rPr>
          <w:rFonts w:eastAsia="Arial"/>
        </w:rPr>
        <w:t>the following</w:t>
      </w:r>
      <w:r w:rsidR="0005762C">
        <w:rPr>
          <w:rFonts w:eastAsia="Arial"/>
        </w:rPr>
        <w:t xml:space="preserve"> non-substantive revisions</w:t>
      </w:r>
      <w:r w:rsidR="008E5615">
        <w:rPr>
          <w:rFonts w:eastAsia="Arial"/>
        </w:rPr>
        <w:t>:</w:t>
      </w:r>
    </w:p>
    <w:p w:rsidR="00CF612B" w:rsidRDefault="008E5615" w:rsidP="004D7838">
      <w:pPr>
        <w:pStyle w:val="standard"/>
        <w:numPr>
          <w:ilvl w:val="0"/>
          <w:numId w:val="43"/>
        </w:numPr>
        <w:spacing w:after="120" w:line="240" w:lineRule="auto"/>
        <w:ind w:right="1080"/>
        <w:rPr>
          <w:rFonts w:eastAsia="Arial"/>
        </w:rPr>
      </w:pPr>
      <w:r>
        <w:rPr>
          <w:rFonts w:eastAsia="Arial"/>
        </w:rPr>
        <w:t>F</w:t>
      </w:r>
      <w:r w:rsidR="007C12F6">
        <w:rPr>
          <w:rFonts w:eastAsia="Arial"/>
        </w:rPr>
        <w:t>ormatting changes to reduce the amount of</w:t>
      </w:r>
      <w:r w:rsidR="00976A85">
        <w:rPr>
          <w:rFonts w:eastAsia="Arial"/>
        </w:rPr>
        <w:t xml:space="preserve"> paper </w:t>
      </w:r>
      <w:r w:rsidR="00591E39">
        <w:rPr>
          <w:rFonts w:eastAsia="Arial"/>
        </w:rPr>
        <w:t xml:space="preserve">needed to </w:t>
      </w:r>
      <w:r w:rsidR="00976A85">
        <w:rPr>
          <w:rFonts w:eastAsia="Arial"/>
        </w:rPr>
        <w:t>print</w:t>
      </w:r>
      <w:r w:rsidR="00591E39">
        <w:rPr>
          <w:rFonts w:eastAsia="Arial"/>
        </w:rPr>
        <w:t xml:space="preserve"> the </w:t>
      </w:r>
      <w:r w:rsidR="0005762C">
        <w:rPr>
          <w:rFonts w:eastAsia="Arial"/>
        </w:rPr>
        <w:t>ROW Rules</w:t>
      </w:r>
      <w:r w:rsidR="00976A85">
        <w:rPr>
          <w:rFonts w:eastAsia="Arial"/>
        </w:rPr>
        <w:t xml:space="preserve">.  </w:t>
      </w:r>
    </w:p>
    <w:p w:rsidR="008E5615" w:rsidRDefault="008E5615" w:rsidP="004D7838">
      <w:pPr>
        <w:pStyle w:val="standard"/>
        <w:numPr>
          <w:ilvl w:val="0"/>
          <w:numId w:val="43"/>
        </w:numPr>
        <w:spacing w:after="240" w:line="240" w:lineRule="auto"/>
        <w:ind w:right="1080"/>
        <w:rPr>
          <w:rFonts w:eastAsia="Arial"/>
        </w:rPr>
      </w:pPr>
      <w:r w:rsidRPr="002C630B">
        <w:rPr>
          <w:rFonts w:eastAsia="Arial"/>
        </w:rPr>
        <w:t>Adding hyphens to the term</w:t>
      </w:r>
      <w:r w:rsidR="002C630B" w:rsidRPr="002C630B">
        <w:rPr>
          <w:rFonts w:eastAsia="Arial"/>
        </w:rPr>
        <w:t>s</w:t>
      </w:r>
      <w:r w:rsidRPr="002C630B">
        <w:rPr>
          <w:rFonts w:eastAsia="Arial"/>
        </w:rPr>
        <w:t xml:space="preserve"> “cost-of-ownership”</w:t>
      </w:r>
      <w:r w:rsidR="002C630B" w:rsidRPr="002C630B">
        <w:rPr>
          <w:rFonts w:eastAsia="Arial"/>
        </w:rPr>
        <w:t xml:space="preserve"> </w:t>
      </w:r>
      <w:r w:rsidR="002C630B">
        <w:rPr>
          <w:rFonts w:eastAsia="Arial"/>
        </w:rPr>
        <w:t xml:space="preserve">and </w:t>
      </w:r>
      <w:r w:rsidRPr="002C630B">
        <w:rPr>
          <w:rFonts w:eastAsia="Arial"/>
        </w:rPr>
        <w:t>“right-of-way”</w:t>
      </w:r>
      <w:r w:rsidR="002C630B">
        <w:rPr>
          <w:rFonts w:eastAsia="Arial"/>
        </w:rPr>
        <w:t xml:space="preserve"> in cases where hyphens are not included. </w:t>
      </w:r>
    </w:p>
    <w:p w:rsidR="00A7052C" w:rsidRPr="002C630B" w:rsidRDefault="00A7052C" w:rsidP="00A7052C">
      <w:pPr>
        <w:pStyle w:val="standard"/>
        <w:rPr>
          <w:rFonts w:eastAsia="Arial"/>
        </w:rPr>
      </w:pPr>
      <w:r>
        <w:t xml:space="preserve">The adopted amendments to the text of the ROW Rules are shown in redline form in Appendix A of today’s Decision, and in final form (without redline) in Appendix B.  </w:t>
      </w:r>
    </w:p>
    <w:p w:rsidR="00F23EED" w:rsidRDefault="00203454" w:rsidP="002C630B">
      <w:pPr>
        <w:pStyle w:val="Heading2"/>
      </w:pPr>
      <w:bookmarkStart w:id="51" w:name="_Toc512317985"/>
      <w:bookmarkStart w:id="52" w:name="_Toc424321919"/>
      <w:bookmarkStart w:id="53" w:name="_Toc424321908"/>
      <w:r>
        <w:t xml:space="preserve">Regulatory </w:t>
      </w:r>
      <w:r w:rsidR="00F23EED">
        <w:t xml:space="preserve">Accounting </w:t>
      </w:r>
      <w:r>
        <w:t>for Public Utilities</w:t>
      </w:r>
      <w:bookmarkEnd w:id="51"/>
      <w:r>
        <w:t xml:space="preserve"> </w:t>
      </w:r>
      <w:bookmarkEnd w:id="52"/>
    </w:p>
    <w:p w:rsidR="00F23EED" w:rsidRDefault="000F0F38" w:rsidP="00F23EED">
      <w:pPr>
        <w:pStyle w:val="standard"/>
        <w:rPr>
          <w:rStyle w:val="standardChar"/>
        </w:rPr>
      </w:pPr>
      <w:r>
        <w:t xml:space="preserve">The owners of public utility infrastructure will receive revenues from the </w:t>
      </w:r>
      <w:r w:rsidR="000B0B3F">
        <w:t xml:space="preserve">fees and charges </w:t>
      </w:r>
      <w:r w:rsidR="009716D5">
        <w:t xml:space="preserve">that </w:t>
      </w:r>
      <w:r w:rsidR="000B0B3F">
        <w:t>CLEC</w:t>
      </w:r>
      <w:r w:rsidR="009716D5">
        <w:t>s</w:t>
      </w:r>
      <w:r w:rsidR="000B0B3F">
        <w:t xml:space="preserve"> </w:t>
      </w:r>
      <w:r w:rsidR="009716D5">
        <w:t>pay pursuant to</w:t>
      </w:r>
      <w:r w:rsidR="000B0B3F">
        <w:t xml:space="preserve"> the </w:t>
      </w:r>
      <w:r w:rsidR="00BB7041">
        <w:t xml:space="preserve">amended </w:t>
      </w:r>
      <w:r w:rsidR="000B0B3F">
        <w:t>ROW</w:t>
      </w:r>
      <w:r w:rsidR="003E40E5">
        <w:t> </w:t>
      </w:r>
      <w:r w:rsidR="000B0B3F">
        <w:t xml:space="preserve">Rules </w:t>
      </w:r>
      <w:r w:rsidR="00BB7041">
        <w:t>adopted by today’s Decision</w:t>
      </w:r>
      <w:r w:rsidR="000B0B3F">
        <w:t xml:space="preserve">.  </w:t>
      </w:r>
      <w:r w:rsidR="004814C9">
        <w:t xml:space="preserve">Consistent </w:t>
      </w:r>
      <w:r w:rsidR="00F23EED">
        <w:t xml:space="preserve">with </w:t>
      </w:r>
      <w:r w:rsidR="000B0B3F">
        <w:t xml:space="preserve">the </w:t>
      </w:r>
      <w:r w:rsidR="00203454">
        <w:t xml:space="preserve">regulatory </w:t>
      </w:r>
      <w:r w:rsidR="000B0B3F">
        <w:t xml:space="preserve">accounting that we adopted in D.16-01-046, </w:t>
      </w:r>
      <w:r w:rsidR="00F23EED">
        <w:t xml:space="preserve">public </w:t>
      </w:r>
      <w:r w:rsidR="00F23EED" w:rsidRPr="000E76F8">
        <w:rPr>
          <w:rStyle w:val="standardChar"/>
        </w:rPr>
        <w:t xml:space="preserve">utilities </w:t>
      </w:r>
      <w:r w:rsidR="00F23EED">
        <w:rPr>
          <w:rStyle w:val="standardChar"/>
        </w:rPr>
        <w:t xml:space="preserve">shall record </w:t>
      </w:r>
      <w:r w:rsidR="00901C78">
        <w:rPr>
          <w:rStyle w:val="standardChar"/>
        </w:rPr>
        <w:t>the annual attachment fees paid by</w:t>
      </w:r>
      <w:r w:rsidR="00F23EED">
        <w:rPr>
          <w:rStyle w:val="standardChar"/>
        </w:rPr>
        <w:t xml:space="preserve"> </w:t>
      </w:r>
      <w:r w:rsidR="000B0B3F">
        <w:rPr>
          <w:rStyle w:val="standardChar"/>
        </w:rPr>
        <w:t>CLEC</w:t>
      </w:r>
      <w:r w:rsidR="00901C78">
        <w:rPr>
          <w:rStyle w:val="standardChar"/>
        </w:rPr>
        <w:t xml:space="preserve">s </w:t>
      </w:r>
      <w:r w:rsidR="00F23EED" w:rsidRPr="000E76F8">
        <w:rPr>
          <w:rStyle w:val="standardChar"/>
        </w:rPr>
        <w:t>as Other Operating Revenues</w:t>
      </w:r>
      <w:r w:rsidR="00F23EED">
        <w:rPr>
          <w:rStyle w:val="standardChar"/>
        </w:rPr>
        <w:t xml:space="preserve">, and record </w:t>
      </w:r>
      <w:r w:rsidR="00901C78">
        <w:rPr>
          <w:rStyle w:val="standardChar"/>
        </w:rPr>
        <w:t xml:space="preserve">the </w:t>
      </w:r>
      <w:r w:rsidR="00F23EED">
        <w:rPr>
          <w:rStyle w:val="standardChar"/>
        </w:rPr>
        <w:t>make-ready charges</w:t>
      </w:r>
      <w:r w:rsidR="00F23EED" w:rsidRPr="000E76F8">
        <w:rPr>
          <w:rStyle w:val="standardChar"/>
        </w:rPr>
        <w:t xml:space="preserve"> </w:t>
      </w:r>
      <w:r w:rsidR="00901C78">
        <w:rPr>
          <w:rStyle w:val="standardChar"/>
        </w:rPr>
        <w:t xml:space="preserve">paid by CLECs </w:t>
      </w:r>
      <w:r w:rsidR="00F23EED" w:rsidRPr="000E76F8">
        <w:rPr>
          <w:rStyle w:val="standardChar"/>
        </w:rPr>
        <w:t xml:space="preserve">as </w:t>
      </w:r>
      <w:r w:rsidR="00F23EED">
        <w:rPr>
          <w:rStyle w:val="standardChar"/>
        </w:rPr>
        <w:t xml:space="preserve">either Other Operating Revenue or </w:t>
      </w:r>
      <w:r w:rsidR="00F23EED" w:rsidRPr="000E76F8">
        <w:rPr>
          <w:rStyle w:val="standardChar"/>
        </w:rPr>
        <w:t>contributed plant</w:t>
      </w:r>
      <w:r w:rsidR="00F23EED">
        <w:rPr>
          <w:rStyle w:val="standardChar"/>
        </w:rPr>
        <w:t>, depending on whether the utility’s make-ready expenditures are expensed or capitalized</w:t>
      </w:r>
      <w:r w:rsidR="00F23EED" w:rsidRPr="000E76F8">
        <w:rPr>
          <w:rStyle w:val="standardChar"/>
        </w:rPr>
        <w:t xml:space="preserve">.  </w:t>
      </w:r>
      <w:r w:rsidR="00F23EED">
        <w:rPr>
          <w:rStyle w:val="standardChar"/>
        </w:rPr>
        <w:t xml:space="preserve">This accounting treatment benefits </w:t>
      </w:r>
      <w:r w:rsidR="00203454">
        <w:rPr>
          <w:rStyle w:val="standardChar"/>
        </w:rPr>
        <w:t xml:space="preserve">the </w:t>
      </w:r>
      <w:r w:rsidR="00901C78">
        <w:rPr>
          <w:rStyle w:val="standardChar"/>
        </w:rPr>
        <w:t>customers</w:t>
      </w:r>
      <w:r w:rsidR="00006853">
        <w:rPr>
          <w:rStyle w:val="standardChar"/>
        </w:rPr>
        <w:t xml:space="preserve"> </w:t>
      </w:r>
      <w:r w:rsidR="00203454">
        <w:rPr>
          <w:rStyle w:val="standardChar"/>
        </w:rPr>
        <w:t xml:space="preserve">of cost-of-service public utilities </w:t>
      </w:r>
      <w:r w:rsidR="00006853">
        <w:rPr>
          <w:rStyle w:val="standardChar"/>
        </w:rPr>
        <w:t xml:space="preserve">by </w:t>
      </w:r>
      <w:r w:rsidR="00F23EED">
        <w:rPr>
          <w:rStyle w:val="standardChar"/>
        </w:rPr>
        <w:t>reduc</w:t>
      </w:r>
      <w:r w:rsidR="00006853">
        <w:rPr>
          <w:rStyle w:val="standardChar"/>
        </w:rPr>
        <w:t>ing</w:t>
      </w:r>
      <w:r w:rsidR="00F23EED">
        <w:rPr>
          <w:rStyle w:val="standardChar"/>
        </w:rPr>
        <w:t xml:space="preserve"> </w:t>
      </w:r>
      <w:r w:rsidR="0001406A">
        <w:rPr>
          <w:rStyle w:val="standardChar"/>
        </w:rPr>
        <w:t xml:space="preserve">the </w:t>
      </w:r>
      <w:r w:rsidR="00F23EED">
        <w:rPr>
          <w:rStyle w:val="standardChar"/>
        </w:rPr>
        <w:t>revenue requirement</w:t>
      </w:r>
      <w:r w:rsidR="0001406A">
        <w:rPr>
          <w:rStyle w:val="standardChar"/>
        </w:rPr>
        <w:t xml:space="preserve"> for cost of service</w:t>
      </w:r>
      <w:r w:rsidR="00F23EED">
        <w:rPr>
          <w:rStyle w:val="standardChar"/>
        </w:rPr>
        <w:t xml:space="preserve">.  </w:t>
      </w:r>
      <w:r w:rsidR="00F23EED" w:rsidRPr="000E76F8">
        <w:rPr>
          <w:rStyle w:val="standardChar"/>
        </w:rPr>
        <w:t xml:space="preserve">  </w:t>
      </w:r>
    </w:p>
    <w:p w:rsidR="001F4EB3" w:rsidRDefault="001553D2" w:rsidP="00006853">
      <w:pPr>
        <w:pStyle w:val="Heading2"/>
      </w:pPr>
      <w:bookmarkStart w:id="54" w:name="_Toc512317986"/>
      <w:r>
        <w:lastRenderedPageBreak/>
        <w:t xml:space="preserve">Certification </w:t>
      </w:r>
      <w:r w:rsidR="00006853">
        <w:t xml:space="preserve">of Compliance with </w:t>
      </w:r>
      <w:r w:rsidR="00006853" w:rsidRPr="00223548">
        <w:t>47 U.S.C. </w:t>
      </w:r>
      <w:r w:rsidR="00006853">
        <w:t>§</w:t>
      </w:r>
      <w:r w:rsidR="009D7030">
        <w:rPr>
          <w:rFonts w:cs="Helvetica"/>
        </w:rPr>
        <w:t> </w:t>
      </w:r>
      <w:r w:rsidR="00006853">
        <w:t>224(c)</w:t>
      </w:r>
      <w:bookmarkEnd w:id="54"/>
      <w:r w:rsidR="001F4EB3">
        <w:t xml:space="preserve"> </w:t>
      </w:r>
    </w:p>
    <w:p w:rsidR="00244C22" w:rsidRPr="006658D4" w:rsidRDefault="00244C22" w:rsidP="004D7838">
      <w:pPr>
        <w:pStyle w:val="standard"/>
        <w:keepLines/>
      </w:pPr>
      <w:r>
        <w:t xml:space="preserve">Pursuant to </w:t>
      </w:r>
      <w:r w:rsidRPr="00E81B71">
        <w:t>47 U.S.C.</w:t>
      </w:r>
      <w:r>
        <w:t xml:space="preserve"> § 224(c)(1), the FCC does not have “jurisdiction with respect to rates, terms, and conditions, or access to poles, ducts, conduits, and rights-of-way… in any case where such matters are regulated by a State.”  </w:t>
      </w:r>
      <w:r w:rsidR="008A423B">
        <w:t>In D.98</w:t>
      </w:r>
      <w:r w:rsidR="008A423B">
        <w:noBreakHyphen/>
        <w:t>10</w:t>
      </w:r>
      <w:r w:rsidR="008A423B">
        <w:noBreakHyphen/>
        <w:t xml:space="preserve">058, the Commission certified that it </w:t>
      </w:r>
      <w:r w:rsidR="001D6AFA">
        <w:t>regulate</w:t>
      </w:r>
      <w:r w:rsidR="008A423B">
        <w:t>s</w:t>
      </w:r>
      <w:r w:rsidR="001D6AFA">
        <w:t xml:space="preserve"> </w:t>
      </w:r>
      <w:r w:rsidR="00102D22">
        <w:t xml:space="preserve">such matters </w:t>
      </w:r>
      <w:r w:rsidR="001D6AFA">
        <w:t xml:space="preserve">in conformance with </w:t>
      </w:r>
      <w:r w:rsidR="001D6AFA" w:rsidRPr="00CA3655">
        <w:rPr>
          <w:rStyle w:val="standardChar"/>
        </w:rPr>
        <w:t>47</w:t>
      </w:r>
      <w:r w:rsidR="001D6AFA">
        <w:rPr>
          <w:rStyle w:val="standardChar"/>
        </w:rPr>
        <w:t> </w:t>
      </w:r>
      <w:r w:rsidR="001D6AFA" w:rsidRPr="00CA3655">
        <w:rPr>
          <w:rStyle w:val="standardChar"/>
        </w:rPr>
        <w:t>U.S.C.</w:t>
      </w:r>
      <w:r w:rsidR="001D6AFA">
        <w:rPr>
          <w:rStyle w:val="standardChar"/>
        </w:rPr>
        <w:t> </w:t>
      </w:r>
      <w:r w:rsidR="001D6AFA">
        <w:t>§§</w:t>
      </w:r>
      <w:r w:rsidR="007A7FA7">
        <w:t> </w:t>
      </w:r>
      <w:r w:rsidR="001D6AFA">
        <w:t>224(c)(2) and (3).</w:t>
      </w:r>
      <w:r>
        <w:rPr>
          <w:rStyle w:val="FootnoteReference"/>
        </w:rPr>
        <w:footnoteReference w:id="39"/>
      </w:r>
      <w:r>
        <w:t xml:space="preserve">  </w:t>
      </w:r>
      <w:r w:rsidR="008A423B">
        <w:t>The Commission</w:t>
      </w:r>
      <w:r w:rsidR="001D6AFA">
        <w:t xml:space="preserve"> reiterated </w:t>
      </w:r>
      <w:r w:rsidR="008A423B">
        <w:t>its</w:t>
      </w:r>
      <w:r w:rsidR="001D6AFA">
        <w:t xml:space="preserve"> certification in D.</w:t>
      </w:r>
      <w:r>
        <w:t>16</w:t>
      </w:r>
      <w:r w:rsidR="001D6AFA">
        <w:noBreakHyphen/>
      </w:r>
      <w:r>
        <w:t>01</w:t>
      </w:r>
      <w:r w:rsidR="00D37ED4">
        <w:noBreakHyphen/>
      </w:r>
      <w:r>
        <w:t>046</w:t>
      </w:r>
      <w:r w:rsidR="001D6AFA">
        <w:t>.</w:t>
      </w:r>
      <w:r w:rsidR="00D37ED4">
        <w:rPr>
          <w:rStyle w:val="FootnoteReference"/>
        </w:rPr>
        <w:footnoteReference w:id="40"/>
      </w:r>
      <w:r w:rsidR="001D6AFA">
        <w:t xml:space="preserve">  We affirm our certification</w:t>
      </w:r>
      <w:r w:rsidR="00764871">
        <w:t xml:space="preserve"> in today’s Decision</w:t>
      </w:r>
      <w:r w:rsidR="001D6AFA">
        <w:t xml:space="preserve">. </w:t>
      </w:r>
      <w:r>
        <w:t xml:space="preserve"> </w:t>
      </w:r>
    </w:p>
    <w:p w:rsidR="00006853" w:rsidRDefault="00006853" w:rsidP="00006853">
      <w:pPr>
        <w:pStyle w:val="Heading2"/>
      </w:pPr>
      <w:bookmarkStart w:id="55" w:name="_Toc512317987"/>
      <w:r>
        <w:t xml:space="preserve">Implementation of </w:t>
      </w:r>
      <w:r w:rsidR="001A326B">
        <w:t>the Amended</w:t>
      </w:r>
      <w:r>
        <w:t xml:space="preserve"> ROW Rules</w:t>
      </w:r>
      <w:bookmarkEnd w:id="55"/>
      <w:r>
        <w:t xml:space="preserve"> </w:t>
      </w:r>
    </w:p>
    <w:p w:rsidR="00A15805" w:rsidRDefault="00516914" w:rsidP="00A15805">
      <w:pPr>
        <w:pStyle w:val="standard"/>
      </w:pPr>
      <w:r>
        <w:t xml:space="preserve">Pursuant to </w:t>
      </w:r>
      <w:r w:rsidR="00A15805">
        <w:t xml:space="preserve">Rule 6.3(a) of the Commission’s Rules of Practice and Procedure, the </w:t>
      </w:r>
      <w:r w:rsidR="001A326B">
        <w:t xml:space="preserve">amendments </w:t>
      </w:r>
      <w:r w:rsidR="00A15805">
        <w:t xml:space="preserve">to the ROW Rules adopted by today’s </w:t>
      </w:r>
      <w:r w:rsidR="00C13573">
        <w:t>D</w:t>
      </w:r>
      <w:r w:rsidR="00A15805">
        <w:t xml:space="preserve">ecision shall apply prospectively beginning </w:t>
      </w:r>
      <w:r>
        <w:t>120</w:t>
      </w:r>
      <w:r w:rsidR="001A326B">
        <w:t> </w:t>
      </w:r>
      <w:r>
        <w:t xml:space="preserve">days after </w:t>
      </w:r>
      <w:r w:rsidR="00A15805">
        <w:t xml:space="preserve">the </w:t>
      </w:r>
      <w:r w:rsidR="00ED0545">
        <w:t>effective date of today’</w:t>
      </w:r>
      <w:r w:rsidR="00281CD0">
        <w:t xml:space="preserve">s </w:t>
      </w:r>
      <w:r w:rsidR="00C13573">
        <w:t>D</w:t>
      </w:r>
      <w:r w:rsidR="00281CD0">
        <w:t xml:space="preserve">ecision.  </w:t>
      </w:r>
      <w:r w:rsidR="00736C80">
        <w:t xml:space="preserve">The </w:t>
      </w:r>
      <w:r w:rsidR="00841F96">
        <w:t xml:space="preserve">adopted </w:t>
      </w:r>
      <w:r w:rsidR="001A326B">
        <w:t>amendments</w:t>
      </w:r>
      <w:r w:rsidR="008B7B47">
        <w:t xml:space="preserve"> do not apply to </w:t>
      </w:r>
      <w:r w:rsidR="00736C80">
        <w:t xml:space="preserve">the contractual rates, terms, and conditions for existing </w:t>
      </w:r>
      <w:r w:rsidR="001A326B">
        <w:t>CLEC</w:t>
      </w:r>
      <w:r w:rsidR="00736C80">
        <w:t xml:space="preserve"> installations.  </w:t>
      </w:r>
    </w:p>
    <w:p w:rsidR="006E6BA2" w:rsidRDefault="00C52A11" w:rsidP="006E6BA2">
      <w:pPr>
        <w:pStyle w:val="Heading1"/>
      </w:pPr>
      <w:bookmarkStart w:id="56" w:name="_Toc512317988"/>
      <w:r>
        <w:t>Coordination with I.17-06-027 and R.</w:t>
      </w:r>
      <w:r w:rsidR="00267AF8">
        <w:t>17-</w:t>
      </w:r>
      <w:r>
        <w:t>06-028</w:t>
      </w:r>
      <w:bookmarkEnd w:id="56"/>
      <w:r>
        <w:t xml:space="preserve"> </w:t>
      </w:r>
      <w:r w:rsidR="006E6BA2">
        <w:t xml:space="preserve"> </w:t>
      </w:r>
    </w:p>
    <w:p w:rsidR="006E6BA2" w:rsidRDefault="00C52A11" w:rsidP="00A15805">
      <w:pPr>
        <w:pStyle w:val="standard"/>
      </w:pPr>
      <w:r>
        <w:t>Today’s Decision is be</w:t>
      </w:r>
      <w:r w:rsidR="00CC699C">
        <w:t>ing issued in the consolidated d</w:t>
      </w:r>
      <w:r>
        <w:t>ockets of R.17</w:t>
      </w:r>
      <w:r>
        <w:noBreakHyphen/>
        <w:t>03</w:t>
      </w:r>
      <w:r>
        <w:noBreakHyphen/>
        <w:t xml:space="preserve">009, I.17-06-027, and R.17-06-028.  Today’s Decision closes </w:t>
      </w:r>
      <w:r w:rsidR="003D70CB">
        <w:t xml:space="preserve">the docket for </w:t>
      </w:r>
      <w:r>
        <w:t>R.17</w:t>
      </w:r>
      <w:r>
        <w:noBreakHyphen/>
        <w:t>03</w:t>
      </w:r>
      <w:r>
        <w:noBreakHyphen/>
        <w:t>009</w:t>
      </w:r>
      <w:r w:rsidR="003D70CB">
        <w:t xml:space="preserve">.  The dockets for </w:t>
      </w:r>
      <w:r>
        <w:t>I</w:t>
      </w:r>
      <w:r w:rsidR="00D02ED8">
        <w:t>.17-06-027</w:t>
      </w:r>
      <w:r w:rsidR="003D70CB">
        <w:t xml:space="preserve"> and R.17-06-028 remain open</w:t>
      </w:r>
      <w:r>
        <w:t>.</w:t>
      </w:r>
    </w:p>
    <w:p w:rsidR="006E6BA2" w:rsidRDefault="005660D4" w:rsidP="00A15805">
      <w:pPr>
        <w:pStyle w:val="standard"/>
      </w:pPr>
      <w:r>
        <w:t xml:space="preserve">Pursuant to </w:t>
      </w:r>
      <w:r w:rsidR="00ED6053" w:rsidRPr="00EE28D6">
        <w:t>the Scoping Memo</w:t>
      </w:r>
      <w:r w:rsidRPr="005660D4">
        <w:rPr>
          <w:i/>
        </w:rPr>
        <w:t xml:space="preserve"> </w:t>
      </w:r>
      <w:r>
        <w:t>for R.17</w:t>
      </w:r>
      <w:r>
        <w:noBreakHyphen/>
        <w:t>03</w:t>
      </w:r>
      <w:r>
        <w:noBreakHyphen/>
        <w:t>009</w:t>
      </w:r>
      <w:r w:rsidR="00ED6053">
        <w:t>, the amend</w:t>
      </w:r>
      <w:r w:rsidR="00C744BB">
        <w:t>ed</w:t>
      </w:r>
      <w:r w:rsidR="00ED6053">
        <w:t xml:space="preserve"> ROW</w:t>
      </w:r>
      <w:r w:rsidR="00EE28D6">
        <w:t> </w:t>
      </w:r>
      <w:r w:rsidR="00ED6053">
        <w:t xml:space="preserve">Rules adopted by today’s Decision may be superseded by regulations that the Commission </w:t>
      </w:r>
      <w:r w:rsidR="004773E9">
        <w:t xml:space="preserve">may adopt </w:t>
      </w:r>
      <w:r w:rsidR="00ED6053">
        <w:t>in I.17-06-027 and R.17-06-028.</w:t>
      </w:r>
      <w:r w:rsidR="00ED6053">
        <w:rPr>
          <w:rStyle w:val="FootnoteReference"/>
        </w:rPr>
        <w:footnoteReference w:id="41"/>
      </w:r>
    </w:p>
    <w:p w:rsidR="00CB2A83" w:rsidRDefault="00CB2A83" w:rsidP="00A4093B">
      <w:pPr>
        <w:pStyle w:val="Heading1"/>
      </w:pPr>
      <w:bookmarkStart w:id="57" w:name="c_7_A"/>
      <w:bookmarkStart w:id="58" w:name="c_7_B"/>
      <w:bookmarkStart w:id="59" w:name="c_7_B_i"/>
      <w:bookmarkStart w:id="60" w:name="c_7_B_ii"/>
      <w:bookmarkStart w:id="61" w:name="c_7_B_iv"/>
      <w:bookmarkStart w:id="62" w:name="c_7_B_v"/>
      <w:bookmarkStart w:id="63" w:name="c_7_C"/>
      <w:bookmarkStart w:id="64" w:name="_Toc436134575"/>
      <w:bookmarkStart w:id="65" w:name="_Toc436224208"/>
      <w:bookmarkStart w:id="66" w:name="_Toc436227648"/>
      <w:bookmarkStart w:id="67" w:name="_Toc436640243"/>
      <w:bookmarkStart w:id="68" w:name="_Toc436647359"/>
      <w:bookmarkStart w:id="69" w:name="_Toc436134587"/>
      <w:bookmarkStart w:id="70" w:name="_Toc436224220"/>
      <w:bookmarkStart w:id="71" w:name="_Toc436227660"/>
      <w:bookmarkStart w:id="72" w:name="_Toc436640255"/>
      <w:bookmarkStart w:id="73" w:name="_Toc436647371"/>
      <w:bookmarkStart w:id="74" w:name="_Toc512317989"/>
      <w:bookmarkEnd w:id="5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 xml:space="preserve">Comments on the </w:t>
      </w:r>
      <w:r w:rsidR="00214651">
        <w:t xml:space="preserve">Proposed </w:t>
      </w:r>
      <w:r>
        <w:t>Decision</w:t>
      </w:r>
      <w:bookmarkEnd w:id="74"/>
    </w:p>
    <w:p w:rsidR="006A7230" w:rsidRDefault="00326E89" w:rsidP="005D5326">
      <w:pPr>
        <w:pStyle w:val="standard"/>
        <w:keepLines/>
      </w:pPr>
      <w:r>
        <w:t xml:space="preserve">The proposed decision </w:t>
      </w:r>
      <w:r w:rsidR="00F114D3">
        <w:t xml:space="preserve">(PD) </w:t>
      </w:r>
      <w:r>
        <w:t>of the assigned Commissioner in this matter was mailed to the parties in accordance with Section 311 of the Public Utilities Code</w:t>
      </w:r>
      <w:r w:rsidR="00E55406">
        <w:t>,</w:t>
      </w:r>
      <w:r>
        <w:t xml:space="preserve"> and comments were allowed </w:t>
      </w:r>
      <w:r w:rsidR="00E55406">
        <w:t>pursuant to</w:t>
      </w:r>
      <w:r>
        <w:t xml:space="preserve"> Rule</w:t>
      </w:r>
      <w:r w:rsidR="00E55406">
        <w:t> </w:t>
      </w:r>
      <w:r>
        <w:t xml:space="preserve">14.3 of the Commission’s Rules of Practice and Procedure.  Comments were filed on </w:t>
      </w:r>
      <w:r w:rsidR="006A7230">
        <w:t>April 11, 2018</w:t>
      </w:r>
      <w:r w:rsidR="00CE55EA">
        <w:t xml:space="preserve">, by </w:t>
      </w:r>
      <w:r w:rsidR="006A7230">
        <w:t>Cox, ExteNet, and WIA</w:t>
      </w:r>
      <w:r w:rsidR="00CE55EA">
        <w:t xml:space="preserve">.  </w:t>
      </w:r>
      <w:r w:rsidR="007B3791">
        <w:t>R</w:t>
      </w:r>
      <w:r>
        <w:t xml:space="preserve">eply comments were filed on </w:t>
      </w:r>
      <w:r w:rsidR="006A7230">
        <w:t>April</w:t>
      </w:r>
      <w:r w:rsidR="00925395">
        <w:t> </w:t>
      </w:r>
      <w:r w:rsidR="006A7230">
        <w:t>16, 2018</w:t>
      </w:r>
      <w:r w:rsidR="00CE55EA">
        <w:t xml:space="preserve">, </w:t>
      </w:r>
      <w:r>
        <w:t xml:space="preserve">by </w:t>
      </w:r>
      <w:r w:rsidR="006A7230">
        <w:t>AT&amp;T, SCE, and SDG&amp;E</w:t>
      </w:r>
      <w:r w:rsidR="00CE55EA">
        <w:t xml:space="preserve">.  </w:t>
      </w:r>
      <w:r w:rsidR="00F4487F">
        <w:t xml:space="preserve">Cox and WIA each propose separate modifications to the PD, which we address below. </w:t>
      </w:r>
    </w:p>
    <w:p w:rsidR="00326E89" w:rsidRDefault="00F114D3" w:rsidP="005D5326">
      <w:pPr>
        <w:pStyle w:val="standard"/>
        <w:keepLines/>
      </w:pPr>
      <w:r>
        <w:t xml:space="preserve">We decline to adopt Cox’s </w:t>
      </w:r>
      <w:r w:rsidR="000578F3">
        <w:t>proposal</w:t>
      </w:r>
      <w:r>
        <w:t xml:space="preserve"> to make the amendments to the ROW Rules adopted by </w:t>
      </w:r>
      <w:r w:rsidR="005E1F3C">
        <w:t>the PD</w:t>
      </w:r>
      <w:r>
        <w:t xml:space="preserve"> effective immediately instead of 120 days from the date of t</w:t>
      </w:r>
      <w:r w:rsidR="005E1F3C">
        <w:t>he Commission</w:t>
      </w:r>
      <w:r w:rsidR="00283DD3">
        <w:t>’s final</w:t>
      </w:r>
      <w:r w:rsidR="005E1F3C">
        <w:t xml:space="preserve"> decision</w:t>
      </w:r>
      <w:r>
        <w:t xml:space="preserve">.  </w:t>
      </w:r>
      <w:r w:rsidR="00962D26">
        <w:t xml:space="preserve">As preliminary matter, Cox does not cite any factual, legal, or technical error in the PD.  Therefore, we accord no weight to Cox’s </w:t>
      </w:r>
      <w:r w:rsidR="00283DD3">
        <w:t>proposal</w:t>
      </w:r>
      <w:r w:rsidR="00962D26">
        <w:t xml:space="preserve"> pursuant to Rule</w:t>
      </w:r>
      <w:r w:rsidR="005E1F3C">
        <w:t> </w:t>
      </w:r>
      <w:r w:rsidR="00962D26">
        <w:t xml:space="preserve">14.3(c) of the Commission Rules of Practice and Procedure.  Moreover, </w:t>
      </w:r>
      <w:r w:rsidR="00FA2A51">
        <w:t>Cox’s claim that the Commission’s typically makes changes to its rules effective immediately is incorrect.  The Commission may provide utilities with months or years to implement rule changes, depending on circumstances.</w:t>
      </w:r>
      <w:r w:rsidR="00283DD3">
        <w:rPr>
          <w:rStyle w:val="FootnoteReference"/>
        </w:rPr>
        <w:footnoteReference w:id="42"/>
      </w:r>
      <w:r w:rsidR="00FA2A51">
        <w:t xml:space="preserve">  </w:t>
      </w:r>
      <w:r w:rsidR="00962D26">
        <w:t>Here, w</w:t>
      </w:r>
      <w:r w:rsidR="00FA2A51">
        <w:t xml:space="preserve">e agree with SCE’s </w:t>
      </w:r>
      <w:r w:rsidR="00D140B1">
        <w:t>R</w:t>
      </w:r>
      <w:r w:rsidR="00FA2A51">
        <w:t xml:space="preserve">eply </w:t>
      </w:r>
      <w:r w:rsidR="00D140B1">
        <w:t>C</w:t>
      </w:r>
      <w:r w:rsidR="00FA2A51">
        <w:t xml:space="preserve">omments on the PD that </w:t>
      </w:r>
      <w:r w:rsidR="00962D26">
        <w:t xml:space="preserve">utilities should be provided with </w:t>
      </w:r>
      <w:r w:rsidR="00FA2A51">
        <w:t>120</w:t>
      </w:r>
      <w:r w:rsidR="00962D26">
        <w:t> </w:t>
      </w:r>
      <w:r w:rsidR="00FA2A51">
        <w:t xml:space="preserve">days </w:t>
      </w:r>
      <w:r w:rsidR="00962D26">
        <w:t>to revise their internal administrative processes and procedures, as necessary, to implement t</w:t>
      </w:r>
      <w:r w:rsidR="00FA2A51">
        <w:t>he amendments to the ROW</w:t>
      </w:r>
      <w:r w:rsidR="00962D26">
        <w:t> </w:t>
      </w:r>
      <w:r w:rsidR="00FA2A51">
        <w:t>Rules adopted by today’s Decision.</w:t>
      </w:r>
      <w:r w:rsidR="0084518D">
        <w:rPr>
          <w:rStyle w:val="FootnoteReference"/>
        </w:rPr>
        <w:footnoteReference w:id="43"/>
      </w:r>
      <w:r w:rsidR="00FA2A51">
        <w:t xml:space="preserve">  </w:t>
      </w:r>
    </w:p>
    <w:p w:rsidR="004F35E9" w:rsidRDefault="008878FB" w:rsidP="00EC09C6">
      <w:pPr>
        <w:pStyle w:val="standard"/>
      </w:pPr>
      <w:r>
        <w:t xml:space="preserve">We decline to adopt ExteNet’s </w:t>
      </w:r>
      <w:r w:rsidR="000578F3">
        <w:t>proposal</w:t>
      </w:r>
      <w:r>
        <w:t xml:space="preserve"> to </w:t>
      </w:r>
      <w:r w:rsidR="006F3530">
        <w:t>give</w:t>
      </w:r>
      <w:r>
        <w:t xml:space="preserve"> each CLEC </w:t>
      </w:r>
      <w:r w:rsidR="006F3530">
        <w:t xml:space="preserve">the option of paying </w:t>
      </w:r>
      <w:r>
        <w:t xml:space="preserve">either a per-pole fee or per-foot fee for all of its pole attachments, whether </w:t>
      </w:r>
      <w:r>
        <w:lastRenderedPageBreak/>
        <w:t xml:space="preserve">wireline or wireless.  </w:t>
      </w:r>
      <w:r w:rsidR="004F35E9">
        <w:t xml:space="preserve">As noted by AT&amp;T, SCE, and SDG&amp;E in their </w:t>
      </w:r>
      <w:r w:rsidR="00B92F06">
        <w:t>R</w:t>
      </w:r>
      <w:r w:rsidR="004F35E9">
        <w:t xml:space="preserve">eply </w:t>
      </w:r>
      <w:r w:rsidR="00B92F06">
        <w:t>C</w:t>
      </w:r>
      <w:r w:rsidR="004F35E9">
        <w:t xml:space="preserve">omments on the PD, ExteNet’s </w:t>
      </w:r>
      <w:r w:rsidR="00322BC9">
        <w:t>proposal</w:t>
      </w:r>
      <w:r w:rsidR="004F35E9">
        <w:t xml:space="preserve"> </w:t>
      </w:r>
      <w:r w:rsidR="00F6193C">
        <w:t xml:space="preserve">would </w:t>
      </w:r>
      <w:r w:rsidR="0076339A">
        <w:t>not</w:t>
      </w:r>
      <w:r w:rsidR="00F6193C">
        <w:t xml:space="preserve"> provide pole owners with reasonable compensation and </w:t>
      </w:r>
      <w:r w:rsidR="006F3530">
        <w:t xml:space="preserve">would </w:t>
      </w:r>
      <w:r w:rsidR="00F6193C">
        <w:t xml:space="preserve">result in discriminatory treatment that favors CLEC wireless </w:t>
      </w:r>
      <w:r w:rsidR="006F3530">
        <w:t xml:space="preserve">pole </w:t>
      </w:r>
      <w:r w:rsidR="00F6193C">
        <w:t xml:space="preserve">attachments over CMRS carrier </w:t>
      </w:r>
      <w:r w:rsidR="006F3530">
        <w:t xml:space="preserve">pole </w:t>
      </w:r>
      <w:r w:rsidR="00F6193C">
        <w:t>attachments.</w:t>
      </w:r>
      <w:r w:rsidR="00F6193C">
        <w:rPr>
          <w:rStyle w:val="FootnoteReference"/>
        </w:rPr>
        <w:footnoteReference w:id="44"/>
      </w:r>
      <w:r w:rsidR="00F6193C">
        <w:t xml:space="preserve"> </w:t>
      </w:r>
    </w:p>
    <w:p w:rsidR="00C01083" w:rsidRDefault="008878FB" w:rsidP="005D5326">
      <w:pPr>
        <w:pStyle w:val="standard"/>
        <w:keepLines/>
      </w:pPr>
      <w:r>
        <w:t xml:space="preserve">ExteNet’s </w:t>
      </w:r>
      <w:r w:rsidR="00322BC9">
        <w:t>proposal</w:t>
      </w:r>
      <w:r>
        <w:t xml:space="preserve"> is premised</w:t>
      </w:r>
      <w:r w:rsidR="00C57D54">
        <w:t xml:space="preserve"> </w:t>
      </w:r>
      <w:r>
        <w:t>on t</w:t>
      </w:r>
      <w:r w:rsidR="00C57D54">
        <w:t>hree</w:t>
      </w:r>
      <w:r>
        <w:t xml:space="preserve"> alleged errors in the PD.  First, ExteNet states that </w:t>
      </w:r>
      <w:r w:rsidR="00C01C21">
        <w:t>one of the</w:t>
      </w:r>
      <w:r>
        <w:t xml:space="preserve"> </w:t>
      </w:r>
      <w:r w:rsidR="00322BC9">
        <w:t xml:space="preserve">PD’s </w:t>
      </w:r>
      <w:r w:rsidR="005E1F3C">
        <w:t xml:space="preserve">reasons for </w:t>
      </w:r>
      <w:r w:rsidR="00C01C21">
        <w:t xml:space="preserve">the adoption of a </w:t>
      </w:r>
      <w:r>
        <w:t xml:space="preserve">default per-foot fee </w:t>
      </w:r>
      <w:r w:rsidR="00C01C21">
        <w:t>is not supported by the record</w:t>
      </w:r>
      <w:r w:rsidR="00C01083">
        <w:t>:</w:t>
      </w:r>
    </w:p>
    <w:p w:rsidR="00C01083" w:rsidRDefault="00C01083" w:rsidP="00EC09C6">
      <w:pPr>
        <w:pStyle w:val="StandardQuotation"/>
        <w:keepLines/>
      </w:pPr>
      <w:r>
        <w:t xml:space="preserve">The </w:t>
      </w:r>
      <w:r w:rsidR="00D00ECB">
        <w:t xml:space="preserve">[PD’s] </w:t>
      </w:r>
      <w:r>
        <w:t xml:space="preserve">assertion that the two fee structures will lead to identical fees </w:t>
      </w:r>
      <w:r w:rsidR="0096024A">
        <w:t xml:space="preserve">[for CLEC wireline </w:t>
      </w:r>
      <w:r w:rsidR="00A92A8E">
        <w:t xml:space="preserve">pole </w:t>
      </w:r>
      <w:r w:rsidR="0096024A">
        <w:t xml:space="preserve">attachments] </w:t>
      </w:r>
      <w:r>
        <w:t>is not supported by the record.  The Proposed Decision [at page</w:t>
      </w:r>
      <w:r w:rsidR="00D00ECB">
        <w:t> </w:t>
      </w:r>
      <w:r>
        <w:t>25, Footnote</w:t>
      </w:r>
      <w:r w:rsidR="00D00ECB">
        <w:t> </w:t>
      </w:r>
      <w:r>
        <w:t xml:space="preserve">35] cites to reply comments filed by [WIA], but those comments do not state on the identified page that the two fee structures will likely result in identical or even substantially similar fees. (ExteNet Comments on the </w:t>
      </w:r>
      <w:r w:rsidR="00D00ECB">
        <w:t>PD</w:t>
      </w:r>
      <w:r>
        <w:t xml:space="preserve"> at 3.  Footnote omitted.) </w:t>
      </w:r>
    </w:p>
    <w:p w:rsidR="009200D2" w:rsidRDefault="0096024A" w:rsidP="005D5326">
      <w:pPr>
        <w:pStyle w:val="standard"/>
        <w:keepLines/>
      </w:pPr>
      <w:r>
        <w:t xml:space="preserve">We </w:t>
      </w:r>
      <w:r w:rsidR="00322BC9">
        <w:t>acknowledge</w:t>
      </w:r>
      <w:r>
        <w:t xml:space="preserve"> that </w:t>
      </w:r>
      <w:r w:rsidR="00C01083">
        <w:t>Footnote</w:t>
      </w:r>
      <w:r w:rsidR="00322BC9">
        <w:t> </w:t>
      </w:r>
      <w:r w:rsidR="00C01083">
        <w:t xml:space="preserve">35 of the PD </w:t>
      </w:r>
      <w:r>
        <w:t xml:space="preserve">incorrectly cites page 4 of WIA’s Reply Comments dated August </w:t>
      </w:r>
      <w:r w:rsidR="00BD75EA">
        <w:t>18</w:t>
      </w:r>
      <w:r>
        <w:t>, 2017.  The correct citation is page 7.  We have revised Footnote 35 in today’s Decision to correctly cite page 7 of WIA’s Reply Comments dated August </w:t>
      </w:r>
      <w:r w:rsidR="00BD75EA">
        <w:t>18</w:t>
      </w:r>
      <w:r>
        <w:t xml:space="preserve">, 2017.  </w:t>
      </w:r>
    </w:p>
    <w:p w:rsidR="000705A6" w:rsidRDefault="009200D2" w:rsidP="00EC09C6">
      <w:pPr>
        <w:pStyle w:val="standard"/>
      </w:pPr>
      <w:r>
        <w:t xml:space="preserve">Second, ExteNet </w:t>
      </w:r>
      <w:r w:rsidR="005B189D">
        <w:t>states</w:t>
      </w:r>
      <w:r>
        <w:t xml:space="preserve"> that the PD </w:t>
      </w:r>
      <w:r w:rsidR="0035612D">
        <w:t xml:space="preserve">appears to </w:t>
      </w:r>
      <w:r w:rsidR="005B189D">
        <w:t>allow</w:t>
      </w:r>
      <w:r>
        <w:t xml:space="preserve"> </w:t>
      </w:r>
      <w:r w:rsidR="008B76B5">
        <w:t xml:space="preserve">double </w:t>
      </w:r>
      <w:r w:rsidR="00B460A5">
        <w:t>fees</w:t>
      </w:r>
      <w:r w:rsidR="008B76B5">
        <w:t xml:space="preserve"> for </w:t>
      </w:r>
      <w:r>
        <w:t>CLEC</w:t>
      </w:r>
      <w:r w:rsidR="008B76B5">
        <w:t xml:space="preserve"> wireline attachments</w:t>
      </w:r>
      <w:r w:rsidR="00D54DED">
        <w:t xml:space="preserve">, </w:t>
      </w:r>
      <w:r w:rsidR="001636F8" w:rsidRPr="0098509C">
        <w:rPr>
          <w:i/>
        </w:rPr>
        <w:t>i.e</w:t>
      </w:r>
      <w:r w:rsidR="001636F8">
        <w:t>.</w:t>
      </w:r>
      <w:r w:rsidR="00D54DED">
        <w:t>, a</w:t>
      </w:r>
      <w:r>
        <w:t xml:space="preserve"> per-pole fee for fiber that is initially attached to a pole on a stand-alone basis and a per-foot fee for the same fiber that is used in conjunction with wireless facilities that are attached </w:t>
      </w:r>
      <w:r w:rsidR="00B460A5">
        <w:t xml:space="preserve">to the same pole </w:t>
      </w:r>
      <w:r>
        <w:t xml:space="preserve">at a later time.  </w:t>
      </w:r>
      <w:r w:rsidR="004A5626">
        <w:t>We agree with AT&amp;T that ExteNet misapprehends the PD.</w:t>
      </w:r>
      <w:r w:rsidR="004A5626">
        <w:rPr>
          <w:rStyle w:val="FootnoteReference"/>
        </w:rPr>
        <w:footnoteReference w:id="45"/>
      </w:r>
      <w:r w:rsidR="004A5626">
        <w:t xml:space="preserve">  </w:t>
      </w:r>
      <w:r w:rsidR="00E04DA0">
        <w:t xml:space="preserve">Both the PD and today’s Decision provide that when the per-foot fee applies to the CLEC’s </w:t>
      </w:r>
      <w:r w:rsidR="00E04DA0">
        <w:lastRenderedPageBreak/>
        <w:t>wireline attachment on the same pole as the CLEC’s wireless facilities, the per</w:t>
      </w:r>
      <w:r w:rsidR="005C7762">
        <w:noBreakHyphen/>
      </w:r>
      <w:r w:rsidR="00E04DA0">
        <w:t xml:space="preserve">pole fee does not apply to the CLEC’s wireline attachment. </w:t>
      </w:r>
      <w:r>
        <w:t xml:space="preserve"> </w:t>
      </w:r>
    </w:p>
    <w:p w:rsidR="00C01083" w:rsidRDefault="006B6019" w:rsidP="00EC09C6">
      <w:pPr>
        <w:pStyle w:val="standard"/>
      </w:pPr>
      <w:r>
        <w:t xml:space="preserve">Finally, ExteNet asserts that a bi-furcated fee structure will impose administrative burdens on both the CLEC and the pole owner; will allow pole owners to impose </w:t>
      </w:r>
      <w:r w:rsidR="000037F3">
        <w:t xml:space="preserve">unreasonable </w:t>
      </w:r>
      <w:r>
        <w:t xml:space="preserve">document requirements and associated delays in allowing wireless attachments; and </w:t>
      </w:r>
      <w:r w:rsidR="000037F3">
        <w:t>create budget uncertainties for CLECs when b</w:t>
      </w:r>
      <w:r w:rsidR="000A1D86">
        <w:t>i</w:t>
      </w:r>
      <w:r w:rsidR="000037F3">
        <w:t xml:space="preserve">dding for projects.  </w:t>
      </w:r>
      <w:r w:rsidR="00661FC5">
        <w:t xml:space="preserve">In making this assertion, ExteNet does not cite any factual, legal, or technical errors in the PD, or </w:t>
      </w:r>
      <w:r w:rsidR="001C4068">
        <w:t xml:space="preserve">provide </w:t>
      </w:r>
      <w:r w:rsidR="00661FC5">
        <w:t xml:space="preserve">any specific references to the record or applicable law.  </w:t>
      </w:r>
      <w:r w:rsidR="001C4068">
        <w:t>Therefore, w</w:t>
      </w:r>
      <w:r w:rsidR="0094534E">
        <w:t xml:space="preserve">e accord </w:t>
      </w:r>
      <w:r w:rsidR="00664951">
        <w:t xml:space="preserve">no weight to </w:t>
      </w:r>
      <w:r w:rsidR="0094534E">
        <w:t>ExteNet’s assertion pursuant to Rule</w:t>
      </w:r>
      <w:r w:rsidR="00664951">
        <w:t> </w:t>
      </w:r>
      <w:r w:rsidR="0094534E">
        <w:t xml:space="preserve">14.3(c) because the assertion is argumentative.  </w:t>
      </w:r>
      <w:r w:rsidR="00664951">
        <w:t xml:space="preserve"> </w:t>
      </w:r>
    </w:p>
    <w:p w:rsidR="008504A4" w:rsidRDefault="008504A4" w:rsidP="00A4093B">
      <w:pPr>
        <w:pStyle w:val="Heading1"/>
      </w:pPr>
      <w:bookmarkStart w:id="75" w:name="_Toc511984093"/>
      <w:bookmarkStart w:id="76" w:name="_Toc511984172"/>
      <w:bookmarkStart w:id="77" w:name="_Toc512255785"/>
      <w:bookmarkStart w:id="78" w:name="_Toc512317990"/>
      <w:bookmarkStart w:id="79" w:name="_Toc261439206"/>
      <w:bookmarkStart w:id="80" w:name="_Toc261847960"/>
      <w:bookmarkStart w:id="81" w:name="_Toc261928477"/>
      <w:bookmarkStart w:id="82" w:name="_Toc67119028"/>
      <w:bookmarkStart w:id="83" w:name="_Toc194913489"/>
      <w:bookmarkStart w:id="84" w:name="_Toc211146029"/>
      <w:bookmarkStart w:id="85" w:name="_Toc220803782"/>
      <w:bookmarkStart w:id="86" w:name="_Toc424321921"/>
      <w:bookmarkStart w:id="87" w:name="_Toc512317991"/>
      <w:bookmarkEnd w:id="75"/>
      <w:bookmarkEnd w:id="76"/>
      <w:bookmarkEnd w:id="77"/>
      <w:bookmarkEnd w:id="78"/>
      <w:bookmarkEnd w:id="79"/>
      <w:bookmarkEnd w:id="80"/>
      <w:bookmarkEnd w:id="81"/>
      <w:r>
        <w:t>Assignment of the Proceeding</w:t>
      </w:r>
      <w:bookmarkEnd w:id="82"/>
      <w:bookmarkEnd w:id="83"/>
      <w:bookmarkEnd w:id="84"/>
      <w:bookmarkEnd w:id="85"/>
      <w:bookmarkEnd w:id="86"/>
      <w:bookmarkEnd w:id="87"/>
    </w:p>
    <w:p w:rsidR="008504A4" w:rsidRDefault="007C2F11" w:rsidP="008504A4">
      <w:pPr>
        <w:pStyle w:val="standard"/>
      </w:pPr>
      <w:r>
        <w:t xml:space="preserve">Michael Picker </w:t>
      </w:r>
      <w:r w:rsidR="008504A4">
        <w:t xml:space="preserve">is the assigned Commissioner </w:t>
      </w:r>
      <w:r w:rsidR="00BF5AB5">
        <w:t xml:space="preserve">for this proceeding </w:t>
      </w:r>
      <w:r w:rsidR="008504A4">
        <w:t>and Timothy</w:t>
      </w:r>
      <w:r w:rsidR="00BF5AB5">
        <w:t> </w:t>
      </w:r>
      <w:r w:rsidR="008504A4">
        <w:t xml:space="preserve">Kenney is the assigned </w:t>
      </w:r>
      <w:r w:rsidR="00BF5AB5">
        <w:t>Administrative Law Judge</w:t>
      </w:r>
      <w:r w:rsidR="008504A4">
        <w:t xml:space="preserve">. </w:t>
      </w:r>
    </w:p>
    <w:p w:rsidR="008504A4" w:rsidRDefault="008504A4" w:rsidP="00A4093B">
      <w:pPr>
        <w:pStyle w:val="dummy"/>
      </w:pPr>
      <w:bookmarkStart w:id="88" w:name="_Toc194913490"/>
      <w:bookmarkStart w:id="89" w:name="_Toc220803783"/>
      <w:bookmarkStart w:id="90" w:name="_Toc424321922"/>
      <w:bookmarkStart w:id="91" w:name="_Toc512317992"/>
      <w:r>
        <w:t>Findings of Fact</w:t>
      </w:r>
      <w:bookmarkEnd w:id="88"/>
      <w:bookmarkEnd w:id="89"/>
      <w:bookmarkEnd w:id="90"/>
      <w:bookmarkEnd w:id="91"/>
    </w:p>
    <w:p w:rsidR="008504A4" w:rsidRDefault="008504A4" w:rsidP="00100B93">
      <w:pPr>
        <w:pStyle w:val="num1"/>
        <w:keepNext/>
        <w:tabs>
          <w:tab w:val="clear" w:pos="720"/>
          <w:tab w:val="num" w:pos="540"/>
        </w:tabs>
        <w:ind w:firstLine="360"/>
        <w:rPr>
          <w:rStyle w:val="standardChar"/>
        </w:rPr>
      </w:pPr>
      <w:r>
        <w:rPr>
          <w:rStyle w:val="standardChar"/>
        </w:rPr>
        <w:t xml:space="preserve">The </w:t>
      </w:r>
      <w:r w:rsidR="00A10B55">
        <w:rPr>
          <w:rStyle w:val="standardChar"/>
        </w:rPr>
        <w:t xml:space="preserve">purpose of the </w:t>
      </w:r>
      <w:r>
        <w:rPr>
          <w:rStyle w:val="standardChar"/>
        </w:rPr>
        <w:t xml:space="preserve">ROW Rules </w:t>
      </w:r>
      <w:r w:rsidR="00A10B55">
        <w:rPr>
          <w:rStyle w:val="standardChar"/>
        </w:rPr>
        <w:t xml:space="preserve">is to </w:t>
      </w:r>
      <w:r w:rsidR="00F9585D">
        <w:rPr>
          <w:rStyle w:val="standardChar"/>
        </w:rPr>
        <w:t>provide CATV</w:t>
      </w:r>
      <w:r w:rsidR="00A10B55">
        <w:rPr>
          <w:rStyle w:val="standardChar"/>
        </w:rPr>
        <w:t> </w:t>
      </w:r>
      <w:r w:rsidR="00F9585D">
        <w:rPr>
          <w:rStyle w:val="standardChar"/>
        </w:rPr>
        <w:t>corporations</w:t>
      </w:r>
      <w:r w:rsidR="007F2C45">
        <w:rPr>
          <w:rStyle w:val="standardChar"/>
        </w:rPr>
        <w:t>, CMRS carriers, and telecommunications carriers</w:t>
      </w:r>
      <w:r w:rsidR="00F9585D">
        <w:rPr>
          <w:rStyle w:val="standardChar"/>
        </w:rPr>
        <w:t xml:space="preserve"> with nondiscriminatory access to public utility infrastructure at reasonable rates, terms, and </w:t>
      </w:r>
      <w:r w:rsidR="009553B1">
        <w:rPr>
          <w:rStyle w:val="standardChar"/>
        </w:rPr>
        <w:t>conditions</w:t>
      </w:r>
      <w:r w:rsidR="00F9585D">
        <w:rPr>
          <w:rStyle w:val="standardChar"/>
        </w:rPr>
        <w:t xml:space="preserve">. </w:t>
      </w:r>
    </w:p>
    <w:p w:rsidR="00905941" w:rsidRDefault="001E484C" w:rsidP="00100B93">
      <w:pPr>
        <w:pStyle w:val="num1"/>
        <w:tabs>
          <w:tab w:val="clear" w:pos="720"/>
          <w:tab w:val="num" w:pos="540"/>
        </w:tabs>
        <w:ind w:firstLine="360"/>
      </w:pPr>
      <w:r>
        <w:t xml:space="preserve">The ROW Rules </w:t>
      </w:r>
      <w:r w:rsidR="000E2443">
        <w:t xml:space="preserve">currently </w:t>
      </w:r>
      <w:r>
        <w:t xml:space="preserve">apply to CLEC </w:t>
      </w:r>
      <w:r w:rsidR="00905941">
        <w:t xml:space="preserve">wireline facilities and </w:t>
      </w:r>
      <w:r>
        <w:t>fixed wireless facilities</w:t>
      </w:r>
      <w:r w:rsidR="00905941">
        <w:t xml:space="preserve">, but not </w:t>
      </w:r>
      <w:r>
        <w:t xml:space="preserve">to </w:t>
      </w:r>
      <w:r w:rsidR="000E2443">
        <w:t xml:space="preserve">other </w:t>
      </w:r>
      <w:r>
        <w:t>CLEC wireless facilities</w:t>
      </w:r>
      <w:r w:rsidR="00905941">
        <w:t xml:space="preserve">.  </w:t>
      </w:r>
    </w:p>
    <w:p w:rsidR="001E484C" w:rsidRDefault="00905941" w:rsidP="00100B93">
      <w:pPr>
        <w:pStyle w:val="num1"/>
        <w:tabs>
          <w:tab w:val="clear" w:pos="720"/>
          <w:tab w:val="num" w:pos="540"/>
        </w:tabs>
        <w:ind w:firstLine="360"/>
      </w:pPr>
      <w:r>
        <w:t xml:space="preserve">The </w:t>
      </w:r>
      <w:r w:rsidR="001E484C">
        <w:t>ROW</w:t>
      </w:r>
      <w:r w:rsidR="005176B0">
        <w:t> </w:t>
      </w:r>
      <w:r w:rsidR="001E484C">
        <w:t xml:space="preserve">Rules apply to CMRS carrier wireless facilities generally.  </w:t>
      </w:r>
    </w:p>
    <w:p w:rsidR="003B11F8" w:rsidRDefault="003B11F8" w:rsidP="00100B93">
      <w:pPr>
        <w:pStyle w:val="num1"/>
        <w:tabs>
          <w:tab w:val="clear" w:pos="720"/>
          <w:tab w:val="num" w:pos="540"/>
        </w:tabs>
        <w:ind w:firstLine="360"/>
      </w:pPr>
      <w:r>
        <w:t xml:space="preserve">CLEC wireless </w:t>
      </w:r>
      <w:r w:rsidR="005176B0">
        <w:t xml:space="preserve">telecommunications </w:t>
      </w:r>
      <w:r>
        <w:t>facilities are essentially identical to CMRS</w:t>
      </w:r>
      <w:r w:rsidR="00F6393B">
        <w:t> </w:t>
      </w:r>
      <w:r>
        <w:t>carrier wireless facilities.</w:t>
      </w:r>
    </w:p>
    <w:p w:rsidR="00FA7453" w:rsidRDefault="003B11F8" w:rsidP="00100B93">
      <w:pPr>
        <w:pStyle w:val="num1"/>
        <w:tabs>
          <w:tab w:val="clear" w:pos="720"/>
          <w:tab w:val="num" w:pos="540"/>
        </w:tabs>
        <w:ind w:firstLine="360"/>
      </w:pPr>
      <w:r>
        <w:t>Amending the ROW Rules to p</w:t>
      </w:r>
      <w:r w:rsidR="003A6E97">
        <w:t>rovid</w:t>
      </w:r>
      <w:r>
        <w:t>e</w:t>
      </w:r>
      <w:r w:rsidR="003A6E97">
        <w:t xml:space="preserve"> nondiscriminatory access to public utility infrastructure for </w:t>
      </w:r>
      <w:r w:rsidR="00F6393B">
        <w:t xml:space="preserve">all </w:t>
      </w:r>
      <w:r w:rsidR="003A6E97">
        <w:t>CLEC</w:t>
      </w:r>
      <w:r w:rsidR="00F6393B">
        <w:t xml:space="preserve"> </w:t>
      </w:r>
      <w:r w:rsidR="003A6E97">
        <w:t xml:space="preserve">wireless </w:t>
      </w:r>
      <w:r w:rsidR="00F6393B">
        <w:t xml:space="preserve">telecommunications </w:t>
      </w:r>
      <w:r w:rsidR="003A6E97">
        <w:t xml:space="preserve">facilities will </w:t>
      </w:r>
      <w:r w:rsidR="00E13D56">
        <w:t xml:space="preserve">benefit </w:t>
      </w:r>
      <w:r w:rsidR="00EE28D6">
        <w:t>California</w:t>
      </w:r>
      <w:r w:rsidR="00E13D56">
        <w:t xml:space="preserve"> for the reasons stated in Section</w:t>
      </w:r>
      <w:r w:rsidR="000422F9">
        <w:t> </w:t>
      </w:r>
      <w:r w:rsidR="00E13D56">
        <w:t xml:space="preserve">3.1.3 of today’s Decision.  </w:t>
      </w:r>
    </w:p>
    <w:p w:rsidR="00880E35" w:rsidRDefault="00BE57FA" w:rsidP="00100B93">
      <w:pPr>
        <w:pStyle w:val="num1"/>
        <w:tabs>
          <w:tab w:val="clear" w:pos="720"/>
          <w:tab w:val="num" w:pos="540"/>
        </w:tabs>
        <w:ind w:firstLine="360"/>
      </w:pPr>
      <w:r>
        <w:lastRenderedPageBreak/>
        <w:t xml:space="preserve">Existing FCC and CPUC regulations together ensure that CLEC wireless facilities are safe and do not interfere with the operation </w:t>
      </w:r>
      <w:r w:rsidR="007F2C45">
        <w:t>or</w:t>
      </w:r>
      <w:r>
        <w:t xml:space="preserve"> reliability of co</w:t>
      </w:r>
      <w:r w:rsidR="007F2C45">
        <w:noBreakHyphen/>
      </w:r>
      <w:r>
        <w:t>located utility facilities such as communications lines and power lines</w:t>
      </w:r>
      <w:r w:rsidR="00100B93">
        <w:t>.</w:t>
      </w:r>
    </w:p>
    <w:p w:rsidR="00BE57FA" w:rsidRDefault="00BE57FA" w:rsidP="00100B93">
      <w:pPr>
        <w:pStyle w:val="num1"/>
        <w:tabs>
          <w:tab w:val="clear" w:pos="720"/>
          <w:tab w:val="num" w:pos="540"/>
        </w:tabs>
        <w:ind w:firstLine="360"/>
      </w:pPr>
      <w:r>
        <w:t xml:space="preserve">There is no need </w:t>
      </w:r>
      <w:r w:rsidR="00EE28D6">
        <w:t xml:space="preserve">at this time </w:t>
      </w:r>
      <w:r>
        <w:t>for additional regulations to ensure that CLEC</w:t>
      </w:r>
      <w:r w:rsidR="00C744BB">
        <w:t> </w:t>
      </w:r>
      <w:r>
        <w:t xml:space="preserve">wireless facilities </w:t>
      </w:r>
      <w:r w:rsidR="00C744BB">
        <w:t xml:space="preserve">do not adversely affect worker safety, public safety, or </w:t>
      </w:r>
      <w:r>
        <w:t>the reliability of co</w:t>
      </w:r>
      <w:r w:rsidR="000C24E6">
        <w:noBreakHyphen/>
      </w:r>
      <w:r>
        <w:t xml:space="preserve">located utility facilities.  </w:t>
      </w:r>
    </w:p>
    <w:p w:rsidR="00E96167" w:rsidRDefault="00E96167" w:rsidP="00100B93">
      <w:pPr>
        <w:pStyle w:val="num1"/>
        <w:tabs>
          <w:tab w:val="clear" w:pos="720"/>
          <w:tab w:val="num" w:pos="540"/>
        </w:tabs>
        <w:ind w:firstLine="360"/>
        <w:rPr>
          <w:rStyle w:val="standardChar"/>
        </w:rPr>
      </w:pPr>
      <w:r>
        <w:rPr>
          <w:rStyle w:val="standardChar"/>
        </w:rPr>
        <w:t xml:space="preserve">The amended ROW Rules in Appendix A and Appendix B of today’s Decision are </w:t>
      </w:r>
      <w:r w:rsidR="00EE28D6">
        <w:rPr>
          <w:rStyle w:val="standardChar"/>
        </w:rPr>
        <w:t xml:space="preserve">just, reasonable, and </w:t>
      </w:r>
      <w:r>
        <w:rPr>
          <w:rStyle w:val="standardChar"/>
        </w:rPr>
        <w:t xml:space="preserve">in the public interest because they provide </w:t>
      </w:r>
      <w:r w:rsidR="006A499A">
        <w:rPr>
          <w:rStyle w:val="standardChar"/>
        </w:rPr>
        <w:t>nondiscriminatory</w:t>
      </w:r>
      <w:r>
        <w:rPr>
          <w:rStyle w:val="standardChar"/>
        </w:rPr>
        <w:t xml:space="preserve"> access to public utility infrastructure for CLEC wireless </w:t>
      </w:r>
      <w:r w:rsidR="007C508B">
        <w:rPr>
          <w:rStyle w:val="standardChar"/>
        </w:rPr>
        <w:t xml:space="preserve">telecommunications </w:t>
      </w:r>
      <w:r>
        <w:rPr>
          <w:rStyle w:val="standardChar"/>
        </w:rPr>
        <w:t>facilities</w:t>
      </w:r>
      <w:r w:rsidR="000C24E6">
        <w:rPr>
          <w:rStyle w:val="standardChar"/>
        </w:rPr>
        <w:t>;</w:t>
      </w:r>
      <w:r>
        <w:rPr>
          <w:rStyle w:val="standardChar"/>
        </w:rPr>
        <w:t xml:space="preserve"> protect the safety of workers and the public</w:t>
      </w:r>
      <w:r w:rsidR="000C24E6">
        <w:rPr>
          <w:rStyle w:val="standardChar"/>
        </w:rPr>
        <w:t>;</w:t>
      </w:r>
      <w:r>
        <w:rPr>
          <w:rStyle w:val="standardChar"/>
        </w:rPr>
        <w:t xml:space="preserve"> and preserve the reliability of co</w:t>
      </w:r>
      <w:r>
        <w:rPr>
          <w:rStyle w:val="standardChar"/>
        </w:rPr>
        <w:noBreakHyphen/>
        <w:t>located utility facilities</w:t>
      </w:r>
      <w:r w:rsidRPr="00E90F79">
        <w:rPr>
          <w:rStyle w:val="standardChar"/>
        </w:rPr>
        <w:t xml:space="preserve">. </w:t>
      </w:r>
      <w:r>
        <w:rPr>
          <w:rStyle w:val="standardChar"/>
        </w:rPr>
        <w:t xml:space="preserve"> </w:t>
      </w:r>
    </w:p>
    <w:p w:rsidR="00BE57FA" w:rsidRDefault="0081045C" w:rsidP="00100B93">
      <w:pPr>
        <w:pStyle w:val="num1"/>
        <w:tabs>
          <w:tab w:val="clear" w:pos="720"/>
          <w:tab w:val="num" w:pos="540"/>
        </w:tabs>
        <w:ind w:firstLine="360"/>
      </w:pPr>
      <w:r>
        <w:t>The owners of public utility infrastructure will receive revenues from the</w:t>
      </w:r>
      <w:r w:rsidR="00BB7041">
        <w:t xml:space="preserve"> fees and charges </w:t>
      </w:r>
      <w:r w:rsidR="00DD1953">
        <w:t>that CLECs pay pursuant to the amended ROW Rules adopted by today’s Decision.</w:t>
      </w:r>
    </w:p>
    <w:p w:rsidR="008504A4" w:rsidRDefault="008504A4" w:rsidP="00A4093B">
      <w:pPr>
        <w:pStyle w:val="dummy"/>
      </w:pPr>
      <w:bookmarkStart w:id="92" w:name="_Toc194913491"/>
      <w:bookmarkStart w:id="93" w:name="_Toc220803784"/>
      <w:bookmarkStart w:id="94" w:name="_Toc424321923"/>
      <w:bookmarkStart w:id="95" w:name="_Toc512317993"/>
      <w:r>
        <w:t>Conclusions of Law</w:t>
      </w:r>
      <w:bookmarkEnd w:id="92"/>
      <w:bookmarkEnd w:id="93"/>
      <w:bookmarkEnd w:id="94"/>
      <w:bookmarkEnd w:id="95"/>
    </w:p>
    <w:p w:rsidR="00C020FB" w:rsidRDefault="00783B84" w:rsidP="00100B93">
      <w:pPr>
        <w:pStyle w:val="num1"/>
        <w:numPr>
          <w:ilvl w:val="0"/>
          <w:numId w:val="9"/>
        </w:numPr>
        <w:tabs>
          <w:tab w:val="clear" w:pos="720"/>
          <w:tab w:val="num" w:pos="540"/>
        </w:tabs>
        <w:ind w:firstLine="360"/>
        <w:rPr>
          <w:rStyle w:val="standardChar"/>
        </w:rPr>
      </w:pPr>
      <w:r>
        <w:rPr>
          <w:rStyle w:val="standardChar"/>
        </w:rPr>
        <w:t>For the reasons stated in Section 3.1.3 of today’s Decision, i</w:t>
      </w:r>
      <w:r w:rsidR="00A44B6D">
        <w:rPr>
          <w:rStyle w:val="standardChar"/>
        </w:rPr>
        <w:t xml:space="preserve">t is in the public interest to amend the </w:t>
      </w:r>
      <w:r w:rsidR="00C020FB">
        <w:rPr>
          <w:rStyle w:val="standardChar"/>
        </w:rPr>
        <w:t>ROW</w:t>
      </w:r>
      <w:r w:rsidR="00A44B6D">
        <w:rPr>
          <w:rStyle w:val="standardChar"/>
        </w:rPr>
        <w:t> </w:t>
      </w:r>
      <w:r w:rsidR="00C020FB">
        <w:rPr>
          <w:rStyle w:val="standardChar"/>
        </w:rPr>
        <w:t xml:space="preserve">Rules </w:t>
      </w:r>
      <w:r w:rsidR="00A44B6D">
        <w:rPr>
          <w:rStyle w:val="standardChar"/>
        </w:rPr>
        <w:t xml:space="preserve">to </w:t>
      </w:r>
      <w:r w:rsidR="00C020FB">
        <w:rPr>
          <w:rStyle w:val="standardChar"/>
        </w:rPr>
        <w:t xml:space="preserve">apply to </w:t>
      </w:r>
      <w:r>
        <w:rPr>
          <w:rStyle w:val="standardChar"/>
        </w:rPr>
        <w:t xml:space="preserve">all </w:t>
      </w:r>
      <w:r w:rsidR="00A44B6D">
        <w:rPr>
          <w:rStyle w:val="standardChar"/>
        </w:rPr>
        <w:t>CLEC</w:t>
      </w:r>
      <w:r>
        <w:rPr>
          <w:rStyle w:val="standardChar"/>
        </w:rPr>
        <w:t xml:space="preserve"> </w:t>
      </w:r>
      <w:r w:rsidR="00A44B6D">
        <w:rPr>
          <w:rStyle w:val="standardChar"/>
        </w:rPr>
        <w:t>wireless facilities</w:t>
      </w:r>
      <w:r w:rsidR="000422F9">
        <w:rPr>
          <w:rStyle w:val="standardChar"/>
        </w:rPr>
        <w:t xml:space="preserve"> </w:t>
      </w:r>
      <w:r>
        <w:t xml:space="preserve">that </w:t>
      </w:r>
      <w:r w:rsidR="000802EC">
        <w:t>are necessary or useful for the provision of telecommunications services that CLECs may provide pursuant to their Commission-issued CPCNs</w:t>
      </w:r>
      <w:r w:rsidR="00C020FB">
        <w:rPr>
          <w:rStyle w:val="standardChar"/>
        </w:rPr>
        <w:t xml:space="preserve">.   </w:t>
      </w:r>
    </w:p>
    <w:p w:rsidR="00CE7CAD" w:rsidRDefault="00CE7CAD" w:rsidP="00100B93">
      <w:pPr>
        <w:pStyle w:val="num1"/>
        <w:numPr>
          <w:ilvl w:val="0"/>
          <w:numId w:val="9"/>
        </w:numPr>
        <w:tabs>
          <w:tab w:val="clear" w:pos="720"/>
          <w:tab w:val="num" w:pos="540"/>
        </w:tabs>
        <w:ind w:firstLine="360"/>
      </w:pPr>
      <w:r>
        <w:t xml:space="preserve">CLEC wireless telecommunications facilities </w:t>
      </w:r>
      <w:r w:rsidR="00B41FDD">
        <w:t xml:space="preserve">may be used </w:t>
      </w:r>
      <w:r>
        <w:t xml:space="preserve">to </w:t>
      </w:r>
      <w:r w:rsidR="00B41FDD">
        <w:t>provide</w:t>
      </w:r>
      <w:r>
        <w:t xml:space="preserve"> services (e.g., wireless broadband service)</w:t>
      </w:r>
      <w:r w:rsidR="00EF2590">
        <w:t xml:space="preserve"> besides the telecommunications services that CLECs may provide pursuant to their Commission-issued CPCNs</w:t>
      </w:r>
      <w:r>
        <w:t>.</w:t>
      </w:r>
    </w:p>
    <w:p w:rsidR="0022092E" w:rsidRDefault="00FD5FAE" w:rsidP="00100B93">
      <w:pPr>
        <w:pStyle w:val="num1"/>
        <w:numPr>
          <w:ilvl w:val="0"/>
          <w:numId w:val="9"/>
        </w:numPr>
        <w:tabs>
          <w:tab w:val="clear" w:pos="720"/>
          <w:tab w:val="num" w:pos="540"/>
        </w:tabs>
        <w:ind w:firstLine="360"/>
        <w:rPr>
          <w:rStyle w:val="standardChar"/>
        </w:rPr>
      </w:pPr>
      <w:r>
        <w:lastRenderedPageBreak/>
        <w:t xml:space="preserve">CLECs’ nondiscriminatory access to public utility infrastructure under the ROW Rules is limited to facilities that are necessary or useful for the provision of the telecommunications services that CLECs may provide pursuant to their Commission-issued CPCNs.  The ROW Rules do not apply to facilities that are wholly unrelated to the provision of such telecommunications services.  </w:t>
      </w:r>
    </w:p>
    <w:p w:rsidR="00C020FB" w:rsidRDefault="00CF1B37" w:rsidP="00100B93">
      <w:pPr>
        <w:pStyle w:val="num1"/>
        <w:numPr>
          <w:ilvl w:val="0"/>
          <w:numId w:val="9"/>
        </w:numPr>
        <w:tabs>
          <w:tab w:val="clear" w:pos="720"/>
          <w:tab w:val="num" w:pos="540"/>
        </w:tabs>
        <w:ind w:firstLine="360"/>
      </w:pPr>
      <w:r>
        <w:t>T</w:t>
      </w:r>
      <w:r w:rsidRPr="004C23D3">
        <w:t xml:space="preserve">he </w:t>
      </w:r>
      <w:r w:rsidR="002F493D" w:rsidRPr="004C23D3">
        <w:t xml:space="preserve">Commission </w:t>
      </w:r>
      <w:r w:rsidR="002F493D">
        <w:t>may regulate CLEC wireless facilities in accordance with (i</w:t>
      </w:r>
      <w:r w:rsidR="002F0B83">
        <w:t>)</w:t>
      </w:r>
      <w:r w:rsidR="002F493D">
        <w:t> Pub. Util. Code §§ 701, 761, 762, 767, and 768, and (ii) GOs 95 and 128.</w:t>
      </w:r>
    </w:p>
    <w:p w:rsidR="00941288" w:rsidRDefault="00E225C8" w:rsidP="00100B93">
      <w:pPr>
        <w:pStyle w:val="num1"/>
        <w:numPr>
          <w:ilvl w:val="0"/>
          <w:numId w:val="9"/>
        </w:numPr>
        <w:tabs>
          <w:tab w:val="clear" w:pos="720"/>
          <w:tab w:val="num" w:pos="540"/>
        </w:tabs>
        <w:ind w:firstLine="360"/>
      </w:pPr>
      <w:r>
        <w:t xml:space="preserve">Facilities-based </w:t>
      </w:r>
      <w:r w:rsidR="003C32A0">
        <w:t xml:space="preserve">CLECs have authority under their CPCNs to provide </w:t>
      </w:r>
      <w:r w:rsidR="00F9206B">
        <w:t>CLEC service</w:t>
      </w:r>
      <w:r w:rsidR="003C32A0">
        <w:t xml:space="preserve"> using both wireline and wireless </w:t>
      </w:r>
      <w:r w:rsidR="00DF5118">
        <w:t xml:space="preserve">telecommunications </w:t>
      </w:r>
      <w:r w:rsidR="003C32A0">
        <w:t xml:space="preserve">facilities.  </w:t>
      </w:r>
    </w:p>
    <w:p w:rsidR="00127734" w:rsidRDefault="00127734" w:rsidP="00100B93">
      <w:pPr>
        <w:pStyle w:val="num1"/>
        <w:numPr>
          <w:ilvl w:val="0"/>
          <w:numId w:val="9"/>
        </w:numPr>
        <w:tabs>
          <w:tab w:val="clear" w:pos="720"/>
          <w:tab w:val="num" w:pos="540"/>
        </w:tabs>
        <w:ind w:firstLine="360"/>
        <w:rPr>
          <w:rStyle w:val="standardChar"/>
        </w:rPr>
      </w:pPr>
      <w:r>
        <w:t xml:space="preserve">CMRS is not within the scope of telecommunications services that CLECs may provide pursuant to their Commission-issued CPCNs.  </w:t>
      </w:r>
      <w:r>
        <w:rPr>
          <w:rStyle w:val="standardChar"/>
        </w:rPr>
        <w:t xml:space="preserve"> </w:t>
      </w:r>
    </w:p>
    <w:p w:rsidR="003C32A0" w:rsidRDefault="007A0692" w:rsidP="00100B93">
      <w:pPr>
        <w:pStyle w:val="num1"/>
        <w:numPr>
          <w:ilvl w:val="0"/>
          <w:numId w:val="9"/>
        </w:numPr>
        <w:tabs>
          <w:tab w:val="clear" w:pos="720"/>
          <w:tab w:val="num" w:pos="540"/>
        </w:tabs>
        <w:ind w:firstLine="360"/>
        <w:rPr>
          <w:rStyle w:val="standardChar"/>
        </w:rPr>
      </w:pPr>
      <w:r>
        <w:t>The</w:t>
      </w:r>
      <w:r w:rsidR="003C32A0">
        <w:t xml:space="preserve"> ROW Rules </w:t>
      </w:r>
      <w:r>
        <w:t xml:space="preserve">should not include </w:t>
      </w:r>
      <w:r w:rsidR="003C32A0">
        <w:t xml:space="preserve">a </w:t>
      </w:r>
      <w:r w:rsidR="002F0B83">
        <w:t xml:space="preserve">new </w:t>
      </w:r>
      <w:r w:rsidR="003C32A0">
        <w:t xml:space="preserve">requirement that </w:t>
      </w:r>
      <w:r w:rsidR="00E225C8">
        <w:t xml:space="preserve">facilities-based </w:t>
      </w:r>
      <w:r w:rsidR="003C32A0">
        <w:t>CLECs</w:t>
      </w:r>
      <w:r w:rsidR="00AF1A7F">
        <w:t>, in order to access public utility infrastructure under the ROW</w:t>
      </w:r>
      <w:r w:rsidR="005E5E32">
        <w:t> </w:t>
      </w:r>
      <w:r w:rsidR="00AF1A7F">
        <w:t>Rules</w:t>
      </w:r>
      <w:r w:rsidR="007749A2">
        <w:t xml:space="preserve"> for the purpose of installing wireless facilities</w:t>
      </w:r>
      <w:r w:rsidR="00AF1A7F">
        <w:t xml:space="preserve">, must possess </w:t>
      </w:r>
      <w:r w:rsidR="00127734">
        <w:t>(i) </w:t>
      </w:r>
      <w:r w:rsidR="00AF1A7F">
        <w:t xml:space="preserve">a </w:t>
      </w:r>
      <w:r w:rsidR="003C32A0">
        <w:t>CPCN</w:t>
      </w:r>
      <w:r w:rsidR="00AF1A7F">
        <w:t xml:space="preserve"> that includes </w:t>
      </w:r>
      <w:r w:rsidR="003C32A0">
        <w:t xml:space="preserve">explicit </w:t>
      </w:r>
      <w:r w:rsidR="007749A2">
        <w:t>authority</w:t>
      </w:r>
      <w:r w:rsidR="003C32A0">
        <w:t xml:space="preserve"> </w:t>
      </w:r>
      <w:r w:rsidR="00AF1A7F">
        <w:t xml:space="preserve">to provide </w:t>
      </w:r>
      <w:r w:rsidR="00F9206B">
        <w:t>CLEC service</w:t>
      </w:r>
      <w:r w:rsidR="00AF1A7F">
        <w:t xml:space="preserve"> using wireless facilities</w:t>
      </w:r>
      <w:r w:rsidR="00127734">
        <w:t>, or (ii)</w:t>
      </w:r>
      <w:r w:rsidR="00AD6C90">
        <w:t> </w:t>
      </w:r>
      <w:r w:rsidR="00127734">
        <w:t>a</w:t>
      </w:r>
      <w:r w:rsidR="00AD6C90">
        <w:t> </w:t>
      </w:r>
      <w:r w:rsidR="00127734">
        <w:t>WIR</w:t>
      </w:r>
      <w:r w:rsidR="003C32A0">
        <w:t xml:space="preserve">.    </w:t>
      </w:r>
    </w:p>
    <w:p w:rsidR="001D690A" w:rsidRDefault="00BE69B0" w:rsidP="00100B93">
      <w:pPr>
        <w:pStyle w:val="num1"/>
        <w:numPr>
          <w:ilvl w:val="0"/>
          <w:numId w:val="9"/>
        </w:numPr>
        <w:tabs>
          <w:tab w:val="clear" w:pos="720"/>
          <w:tab w:val="num" w:pos="540"/>
        </w:tabs>
        <w:ind w:firstLine="360"/>
      </w:pPr>
      <w:r>
        <w:t xml:space="preserve">The amended ROW Rules adopted by today’s Decision do not affect the Commission’s existing procedures </w:t>
      </w:r>
      <w:r w:rsidR="001D690A">
        <w:t xml:space="preserve">and requirements </w:t>
      </w:r>
      <w:r>
        <w:t xml:space="preserve">for reviewing CLEC construction activities under CEQA.  </w:t>
      </w:r>
    </w:p>
    <w:p w:rsidR="003C32A0" w:rsidRDefault="00BE69B0" w:rsidP="00100B93">
      <w:pPr>
        <w:pStyle w:val="num1"/>
        <w:numPr>
          <w:ilvl w:val="0"/>
          <w:numId w:val="9"/>
        </w:numPr>
        <w:tabs>
          <w:tab w:val="clear" w:pos="720"/>
          <w:tab w:val="num" w:pos="540"/>
        </w:tabs>
        <w:ind w:firstLine="360"/>
        <w:rPr>
          <w:rStyle w:val="standardChar"/>
        </w:rPr>
      </w:pPr>
      <w:r>
        <w:t>All CLECs must comply with applicable CEQA procedures and requirements prior to installing or constructing wireless facilities.</w:t>
      </w:r>
    </w:p>
    <w:p w:rsidR="00BE69B0" w:rsidRDefault="00B344BF" w:rsidP="00100B93">
      <w:pPr>
        <w:pStyle w:val="num1"/>
        <w:numPr>
          <w:ilvl w:val="0"/>
          <w:numId w:val="9"/>
        </w:numPr>
        <w:tabs>
          <w:tab w:val="clear" w:pos="720"/>
          <w:tab w:val="num" w:pos="540"/>
        </w:tabs>
        <w:ind w:firstLine="360"/>
        <w:rPr>
          <w:rStyle w:val="standardChar"/>
        </w:rPr>
      </w:pPr>
      <w:r>
        <w:rPr>
          <w:rFonts w:eastAsia="Calibri"/>
        </w:rPr>
        <w:t>Because CMRS carrier wireless facilities are substantially similar to CLEC wireless facilities, the principle of nondiscriminatory access embodied in the ROW Rules requires that the default fees adopted by D.16-01-046 for CMRS</w:t>
      </w:r>
      <w:r w:rsidR="00072A93">
        <w:rPr>
          <w:rFonts w:eastAsia="Calibri"/>
        </w:rPr>
        <w:t> </w:t>
      </w:r>
      <w:r>
        <w:rPr>
          <w:rFonts w:eastAsia="Calibri"/>
        </w:rPr>
        <w:t xml:space="preserve">carrier wireless facilities should apply to CLEC wireless facilities, including fixed wireless facilities. </w:t>
      </w:r>
      <w:r>
        <w:rPr>
          <w:rStyle w:val="standardChar"/>
        </w:rPr>
        <w:t xml:space="preserve"> </w:t>
      </w:r>
    </w:p>
    <w:p w:rsidR="00BE69B0" w:rsidRPr="00473F1E" w:rsidRDefault="00473F1E" w:rsidP="00100B93">
      <w:pPr>
        <w:pStyle w:val="num1"/>
        <w:numPr>
          <w:ilvl w:val="0"/>
          <w:numId w:val="9"/>
        </w:numPr>
        <w:tabs>
          <w:tab w:val="left" w:pos="540"/>
        </w:tabs>
        <w:ind w:firstLine="450"/>
      </w:pPr>
      <w:r>
        <w:rPr>
          <w:rFonts w:eastAsia="Calibri"/>
        </w:rPr>
        <w:lastRenderedPageBreak/>
        <w:t>The default fees adopted by today’s Decision for CLEC wireless facilities are just and reasonable because the</w:t>
      </w:r>
      <w:r w:rsidR="00043FC6">
        <w:rPr>
          <w:rFonts w:eastAsia="Calibri"/>
        </w:rPr>
        <w:t xml:space="preserve">se </w:t>
      </w:r>
      <w:r>
        <w:rPr>
          <w:rFonts w:eastAsia="Calibri"/>
        </w:rPr>
        <w:t xml:space="preserve">fees provide CLECs </w:t>
      </w:r>
      <w:r w:rsidR="00043FC6">
        <w:rPr>
          <w:rFonts w:eastAsia="Calibri"/>
        </w:rPr>
        <w:t xml:space="preserve">with </w:t>
      </w:r>
      <w:r w:rsidR="006A499A">
        <w:rPr>
          <w:rFonts w:eastAsia="Calibri"/>
        </w:rPr>
        <w:t>non</w:t>
      </w:r>
      <w:r w:rsidR="0074771B">
        <w:rPr>
          <w:rFonts w:eastAsia="Calibri"/>
        </w:rPr>
        <w:t>-</w:t>
      </w:r>
      <w:r w:rsidR="006A499A">
        <w:rPr>
          <w:rFonts w:eastAsia="Calibri"/>
        </w:rPr>
        <w:t>discriminatory</w:t>
      </w:r>
      <w:r>
        <w:rPr>
          <w:rFonts w:eastAsia="Calibri"/>
        </w:rPr>
        <w:t xml:space="preserve"> access to public utility infrastructure </w:t>
      </w:r>
      <w:r w:rsidR="0021630F">
        <w:rPr>
          <w:rFonts w:eastAsia="Calibri"/>
        </w:rPr>
        <w:t xml:space="preserve">and </w:t>
      </w:r>
      <w:r w:rsidR="00D84419">
        <w:rPr>
          <w:rFonts w:eastAsia="Calibri"/>
        </w:rPr>
        <w:t>compensate</w:t>
      </w:r>
      <w:r>
        <w:rPr>
          <w:rFonts w:eastAsia="Calibri"/>
        </w:rPr>
        <w:t xml:space="preserve"> </w:t>
      </w:r>
      <w:r w:rsidR="00EA0E51">
        <w:rPr>
          <w:rFonts w:eastAsia="Calibri"/>
        </w:rPr>
        <w:t xml:space="preserve">the owners of </w:t>
      </w:r>
      <w:r w:rsidR="00D84419">
        <w:rPr>
          <w:rFonts w:eastAsia="Calibri"/>
        </w:rPr>
        <w:t>public utility</w:t>
      </w:r>
      <w:r w:rsidR="00EA0E51">
        <w:rPr>
          <w:rFonts w:eastAsia="Calibri"/>
        </w:rPr>
        <w:t xml:space="preserve"> infrastructure </w:t>
      </w:r>
      <w:r w:rsidR="00D84419">
        <w:rPr>
          <w:rFonts w:eastAsia="Calibri"/>
        </w:rPr>
        <w:t>for their costs to provide such access</w:t>
      </w:r>
      <w:r>
        <w:rPr>
          <w:rFonts w:eastAsia="Calibri"/>
        </w:rPr>
        <w:t xml:space="preserve">.  </w:t>
      </w:r>
    </w:p>
    <w:p w:rsidR="00EB15FF" w:rsidRPr="00EB15FF" w:rsidRDefault="00BC2798" w:rsidP="00100B93">
      <w:pPr>
        <w:pStyle w:val="num1"/>
        <w:numPr>
          <w:ilvl w:val="0"/>
          <w:numId w:val="9"/>
        </w:numPr>
        <w:tabs>
          <w:tab w:val="left" w:pos="540"/>
        </w:tabs>
        <w:ind w:firstLine="450"/>
      </w:pPr>
      <w:r w:rsidRPr="00BC2798">
        <w:rPr>
          <w:rFonts w:eastAsia="Calibri"/>
        </w:rPr>
        <w:t>T</w:t>
      </w:r>
      <w:r w:rsidR="00640BED" w:rsidRPr="00BC2798">
        <w:rPr>
          <w:rFonts w:eastAsia="Calibri"/>
        </w:rPr>
        <w:t>he 7.4% per</w:t>
      </w:r>
      <w:r w:rsidR="00640BED" w:rsidRPr="00BC2798">
        <w:rPr>
          <w:rFonts w:eastAsia="Calibri"/>
        </w:rPr>
        <w:noBreakHyphen/>
        <w:t xml:space="preserve">foot fee </w:t>
      </w:r>
      <w:r w:rsidRPr="00BC2798">
        <w:rPr>
          <w:rFonts w:eastAsia="Calibri"/>
        </w:rPr>
        <w:t>should</w:t>
      </w:r>
      <w:r w:rsidR="00640BED" w:rsidRPr="00BC2798">
        <w:rPr>
          <w:rFonts w:eastAsia="Calibri"/>
        </w:rPr>
        <w:t xml:space="preserve"> apply to (</w:t>
      </w:r>
      <w:r w:rsidRPr="00BC2798">
        <w:rPr>
          <w:rFonts w:eastAsia="Calibri"/>
        </w:rPr>
        <w:t>i</w:t>
      </w:r>
      <w:r w:rsidR="00640BED" w:rsidRPr="00BC2798">
        <w:rPr>
          <w:rFonts w:eastAsia="Calibri"/>
        </w:rPr>
        <w:t>)</w:t>
      </w:r>
      <w:r w:rsidR="00114918">
        <w:rPr>
          <w:rFonts w:eastAsia="Calibri"/>
        </w:rPr>
        <w:t> </w:t>
      </w:r>
      <w:r w:rsidR="00640BED" w:rsidRPr="00BC2798">
        <w:rPr>
          <w:rFonts w:eastAsia="Calibri"/>
        </w:rPr>
        <w:t xml:space="preserve">CLEC wireless </w:t>
      </w:r>
      <w:r w:rsidR="002C79F4">
        <w:rPr>
          <w:rFonts w:eastAsia="Calibri"/>
        </w:rPr>
        <w:t>pole attachments</w:t>
      </w:r>
      <w:r w:rsidR="00114918">
        <w:rPr>
          <w:rFonts w:eastAsia="Calibri"/>
        </w:rPr>
        <w:t xml:space="preserve">, including fixed wireless </w:t>
      </w:r>
      <w:r w:rsidR="00072A93">
        <w:rPr>
          <w:rFonts w:eastAsia="Calibri"/>
        </w:rPr>
        <w:t>faciliti</w:t>
      </w:r>
      <w:r w:rsidR="0021630F">
        <w:rPr>
          <w:rFonts w:eastAsia="Calibri"/>
        </w:rPr>
        <w:t>es</w:t>
      </w:r>
      <w:r w:rsidR="00640BED" w:rsidRPr="00BC2798">
        <w:rPr>
          <w:rFonts w:eastAsia="Calibri"/>
        </w:rPr>
        <w:t>, and (</w:t>
      </w:r>
      <w:r w:rsidRPr="00BC2798">
        <w:rPr>
          <w:rFonts w:eastAsia="Calibri"/>
        </w:rPr>
        <w:t>ii</w:t>
      </w:r>
      <w:r w:rsidR="00640BED" w:rsidRPr="00BC2798">
        <w:rPr>
          <w:rFonts w:eastAsia="Calibri"/>
        </w:rPr>
        <w:t>) </w:t>
      </w:r>
      <w:r w:rsidR="00205956">
        <w:rPr>
          <w:rFonts w:eastAsia="Calibri"/>
        </w:rPr>
        <w:t xml:space="preserve">a </w:t>
      </w:r>
      <w:r w:rsidR="00640BED" w:rsidRPr="00BC2798">
        <w:rPr>
          <w:rFonts w:eastAsia="Calibri"/>
        </w:rPr>
        <w:t>CLEC</w:t>
      </w:r>
      <w:r w:rsidR="00205956">
        <w:rPr>
          <w:rFonts w:eastAsia="Calibri"/>
        </w:rPr>
        <w:t>’s</w:t>
      </w:r>
      <w:r w:rsidR="00640BED" w:rsidRPr="00BC2798">
        <w:rPr>
          <w:rFonts w:eastAsia="Calibri"/>
        </w:rPr>
        <w:t xml:space="preserve"> wireline facilities attached to the same poles as </w:t>
      </w:r>
      <w:r w:rsidR="00205956">
        <w:rPr>
          <w:rFonts w:eastAsia="Calibri"/>
        </w:rPr>
        <w:t xml:space="preserve">the </w:t>
      </w:r>
      <w:r w:rsidR="00640BED" w:rsidRPr="00BC2798">
        <w:rPr>
          <w:rFonts w:eastAsia="Calibri"/>
        </w:rPr>
        <w:t xml:space="preserve">CLEC’s </w:t>
      </w:r>
      <w:r>
        <w:rPr>
          <w:rFonts w:eastAsia="Calibri"/>
        </w:rPr>
        <w:t xml:space="preserve">own </w:t>
      </w:r>
      <w:r w:rsidR="00640BED" w:rsidRPr="00BC2798">
        <w:rPr>
          <w:rFonts w:eastAsia="Calibri"/>
        </w:rPr>
        <w:t xml:space="preserve">wireless facilities. </w:t>
      </w:r>
      <w:r w:rsidR="00EB15FF">
        <w:rPr>
          <w:rFonts w:eastAsia="Calibri"/>
        </w:rPr>
        <w:t xml:space="preserve"> </w:t>
      </w:r>
      <w:r w:rsidR="00EB15FF" w:rsidRPr="00FE175F">
        <w:rPr>
          <w:rFonts w:eastAsia="Calibri"/>
        </w:rPr>
        <w:t>Th</w:t>
      </w:r>
      <w:r w:rsidR="00205956">
        <w:rPr>
          <w:rFonts w:eastAsia="Calibri"/>
        </w:rPr>
        <w:t>e</w:t>
      </w:r>
      <w:r w:rsidR="00EB15FF" w:rsidRPr="00FE175F">
        <w:rPr>
          <w:rFonts w:eastAsia="Calibri"/>
        </w:rPr>
        <w:t xml:space="preserve"> </w:t>
      </w:r>
      <w:r w:rsidR="00EB15FF" w:rsidRPr="00BC2798">
        <w:rPr>
          <w:rFonts w:eastAsia="Calibri"/>
        </w:rPr>
        <w:t>7.4% </w:t>
      </w:r>
      <w:r w:rsidR="00EB15FF" w:rsidRPr="00FE175F">
        <w:rPr>
          <w:rFonts w:eastAsia="Calibri"/>
        </w:rPr>
        <w:t xml:space="preserve">per-foot fee for CLEC </w:t>
      </w:r>
      <w:r w:rsidR="00EB15FF">
        <w:rPr>
          <w:rFonts w:eastAsia="Calibri"/>
        </w:rPr>
        <w:t>pole attachments should</w:t>
      </w:r>
      <w:r w:rsidR="00EB15FF" w:rsidRPr="00FE175F">
        <w:rPr>
          <w:rFonts w:eastAsia="Calibri"/>
        </w:rPr>
        <w:t xml:space="preserve"> be subject to the same conditions and limitations </w:t>
      </w:r>
      <w:r w:rsidR="00EB15FF">
        <w:rPr>
          <w:rFonts w:eastAsia="Calibri"/>
        </w:rPr>
        <w:t xml:space="preserve">adopted by D.16-01-046 for </w:t>
      </w:r>
      <w:r w:rsidR="00EB15FF" w:rsidRPr="00FE175F">
        <w:rPr>
          <w:rFonts w:eastAsia="Calibri"/>
        </w:rPr>
        <w:t>CMRS</w:t>
      </w:r>
      <w:r w:rsidR="00EB15FF">
        <w:rPr>
          <w:rFonts w:eastAsia="Calibri"/>
        </w:rPr>
        <w:t> </w:t>
      </w:r>
      <w:r w:rsidR="00EB15FF" w:rsidRPr="00FE175F">
        <w:rPr>
          <w:rFonts w:eastAsia="Calibri"/>
        </w:rPr>
        <w:t xml:space="preserve">carrier </w:t>
      </w:r>
      <w:r w:rsidR="00EB15FF">
        <w:rPr>
          <w:rFonts w:eastAsia="Calibri"/>
        </w:rPr>
        <w:t>pole attachments</w:t>
      </w:r>
      <w:r w:rsidR="00100B93">
        <w:rPr>
          <w:rFonts w:eastAsia="Calibri"/>
        </w:rPr>
        <w:t>.</w:t>
      </w:r>
    </w:p>
    <w:p w:rsidR="00473F1E" w:rsidRDefault="00640BED" w:rsidP="00100B93">
      <w:pPr>
        <w:pStyle w:val="num1"/>
        <w:numPr>
          <w:ilvl w:val="0"/>
          <w:numId w:val="9"/>
        </w:numPr>
        <w:tabs>
          <w:tab w:val="left" w:pos="540"/>
        </w:tabs>
        <w:ind w:firstLine="450"/>
        <w:rPr>
          <w:rStyle w:val="standardChar"/>
        </w:rPr>
      </w:pPr>
      <w:r w:rsidRPr="00BC2798">
        <w:rPr>
          <w:rFonts w:eastAsia="Calibri"/>
        </w:rPr>
        <w:t>The 7.4% per</w:t>
      </w:r>
      <w:r w:rsidRPr="00BC2798">
        <w:rPr>
          <w:rFonts w:eastAsia="Calibri"/>
        </w:rPr>
        <w:noBreakHyphen/>
        <w:t xml:space="preserve">pole fee </w:t>
      </w:r>
      <w:r w:rsidR="00BC2798" w:rsidRPr="00BC2798">
        <w:rPr>
          <w:rFonts w:eastAsia="Calibri"/>
        </w:rPr>
        <w:t xml:space="preserve">should </w:t>
      </w:r>
      <w:r w:rsidRPr="00BC2798">
        <w:rPr>
          <w:rFonts w:eastAsia="Calibri"/>
        </w:rPr>
        <w:t xml:space="preserve">apply to </w:t>
      </w:r>
      <w:r w:rsidR="004A0093">
        <w:rPr>
          <w:rFonts w:eastAsia="Calibri"/>
        </w:rPr>
        <w:t xml:space="preserve">a </w:t>
      </w:r>
      <w:r w:rsidRPr="00BC2798">
        <w:rPr>
          <w:rFonts w:eastAsia="Calibri"/>
        </w:rPr>
        <w:t>CLEC</w:t>
      </w:r>
      <w:r w:rsidR="004A0093">
        <w:rPr>
          <w:rFonts w:eastAsia="Calibri"/>
        </w:rPr>
        <w:t>’s</w:t>
      </w:r>
      <w:r w:rsidRPr="00BC2798">
        <w:rPr>
          <w:rFonts w:eastAsia="Calibri"/>
        </w:rPr>
        <w:t xml:space="preserve"> wireline facilities that are not attached to </w:t>
      </w:r>
      <w:r w:rsidR="0021630F">
        <w:rPr>
          <w:rFonts w:eastAsia="Calibri"/>
        </w:rPr>
        <w:t xml:space="preserve">the </w:t>
      </w:r>
      <w:r w:rsidRPr="00BC2798">
        <w:rPr>
          <w:rFonts w:eastAsia="Calibri"/>
        </w:rPr>
        <w:t xml:space="preserve">same poles as </w:t>
      </w:r>
      <w:r w:rsidR="004A0093">
        <w:rPr>
          <w:rFonts w:eastAsia="Calibri"/>
        </w:rPr>
        <w:t xml:space="preserve">the </w:t>
      </w:r>
      <w:r w:rsidRPr="00BC2798">
        <w:rPr>
          <w:rFonts w:eastAsia="Calibri"/>
        </w:rPr>
        <w:t xml:space="preserve">CLEC’s own wireless facilities.  </w:t>
      </w:r>
    </w:p>
    <w:p w:rsidR="009A554D" w:rsidRDefault="009A554D" w:rsidP="00100B93">
      <w:pPr>
        <w:pStyle w:val="num1"/>
        <w:keepLines w:val="0"/>
        <w:numPr>
          <w:ilvl w:val="0"/>
          <w:numId w:val="9"/>
        </w:numPr>
        <w:tabs>
          <w:tab w:val="left" w:pos="540"/>
        </w:tabs>
        <w:ind w:firstLine="450"/>
      </w:pPr>
      <w:r>
        <w:t>CLECs have a statutory duty under Pub. Util. Code </w:t>
      </w:r>
      <w:r>
        <w:rPr>
          <w:rFonts w:ascii="Book Antiqua" w:hAnsi="Book Antiqua"/>
        </w:rPr>
        <w:t>§</w:t>
      </w:r>
      <w:r w:rsidR="00BF70C5">
        <w:rPr>
          <w:rFonts w:ascii="Book Antiqua" w:hAnsi="Book Antiqua"/>
        </w:rPr>
        <w:t> </w:t>
      </w:r>
      <w:r>
        <w:t xml:space="preserve">451 to furnish and maintain wireless facilities that are safe for their employees and the public.  This statutory duty includes compliance with </w:t>
      </w:r>
      <w:r w:rsidR="00EB15FF">
        <w:t xml:space="preserve">(i) </w:t>
      </w:r>
      <w:r w:rsidR="002C79F4">
        <w:t>General Orders 9</w:t>
      </w:r>
      <w:r>
        <w:t>5</w:t>
      </w:r>
      <w:r w:rsidR="002C79F4">
        <w:t xml:space="preserve"> and 128</w:t>
      </w:r>
      <w:r>
        <w:t xml:space="preserve">, and </w:t>
      </w:r>
      <w:r w:rsidR="00EB15FF">
        <w:t>(ii) </w:t>
      </w:r>
      <w:r>
        <w:t xml:space="preserve">any reasonable safety and construction standards that may be required by the owners of public utility infrastructure.  </w:t>
      </w:r>
    </w:p>
    <w:p w:rsidR="00F23EED" w:rsidRDefault="00CE2A45" w:rsidP="00100B93">
      <w:pPr>
        <w:pStyle w:val="num1"/>
        <w:keepLines w:val="0"/>
        <w:numPr>
          <w:ilvl w:val="0"/>
          <w:numId w:val="9"/>
        </w:numPr>
        <w:tabs>
          <w:tab w:val="clear" w:pos="720"/>
          <w:tab w:val="left" w:pos="540"/>
        </w:tabs>
        <w:ind w:firstLine="450"/>
        <w:rPr>
          <w:rStyle w:val="standardChar"/>
        </w:rPr>
      </w:pPr>
      <w:r>
        <w:t>P</w:t>
      </w:r>
      <w:r w:rsidR="00F23EED">
        <w:t xml:space="preserve">ublic </w:t>
      </w:r>
      <w:r w:rsidR="00F23EED" w:rsidRPr="000E76F8">
        <w:rPr>
          <w:rStyle w:val="standardChar"/>
        </w:rPr>
        <w:t xml:space="preserve">utilities </w:t>
      </w:r>
      <w:r w:rsidR="00F23EED">
        <w:rPr>
          <w:rStyle w:val="standardChar"/>
        </w:rPr>
        <w:t xml:space="preserve">should record attachment fees for </w:t>
      </w:r>
      <w:r w:rsidR="00184A9B">
        <w:rPr>
          <w:rStyle w:val="standardChar"/>
        </w:rPr>
        <w:t xml:space="preserve">CLEC facilities </w:t>
      </w:r>
      <w:r w:rsidR="00F23EED" w:rsidRPr="000E76F8">
        <w:rPr>
          <w:rStyle w:val="standardChar"/>
        </w:rPr>
        <w:t>as Other Operating Revenues</w:t>
      </w:r>
      <w:r w:rsidR="00F23EED">
        <w:rPr>
          <w:rStyle w:val="standardChar"/>
        </w:rPr>
        <w:t>, and record make-ready charges</w:t>
      </w:r>
      <w:r w:rsidR="00F23EED" w:rsidRPr="000E76F8">
        <w:rPr>
          <w:rStyle w:val="standardChar"/>
        </w:rPr>
        <w:t xml:space="preserve"> </w:t>
      </w:r>
      <w:r w:rsidR="00184A9B">
        <w:rPr>
          <w:rStyle w:val="standardChar"/>
        </w:rPr>
        <w:t xml:space="preserve">for CLEC facilities </w:t>
      </w:r>
      <w:r w:rsidR="00F23EED" w:rsidRPr="000E76F8">
        <w:rPr>
          <w:rStyle w:val="standardChar"/>
        </w:rPr>
        <w:t xml:space="preserve">as </w:t>
      </w:r>
      <w:r w:rsidR="00F23EED">
        <w:rPr>
          <w:rStyle w:val="standardChar"/>
        </w:rPr>
        <w:t xml:space="preserve">either Other Operating Revenue or </w:t>
      </w:r>
      <w:r w:rsidR="00F23EED" w:rsidRPr="000E76F8">
        <w:rPr>
          <w:rStyle w:val="standardChar"/>
        </w:rPr>
        <w:t>contributed plant</w:t>
      </w:r>
      <w:r w:rsidR="00F23EED">
        <w:rPr>
          <w:rStyle w:val="standardChar"/>
        </w:rPr>
        <w:t>, depending on whether the utility’s make-ready expenditures are expensed or capitalized</w:t>
      </w:r>
      <w:r w:rsidR="00F23EED" w:rsidRPr="000E76F8">
        <w:rPr>
          <w:rStyle w:val="standardChar"/>
        </w:rPr>
        <w:t>.</w:t>
      </w:r>
      <w:r w:rsidR="00F23EED">
        <w:rPr>
          <w:rStyle w:val="standardChar"/>
        </w:rPr>
        <w:t xml:space="preserve"> </w:t>
      </w:r>
    </w:p>
    <w:p w:rsidR="000D63E3" w:rsidRDefault="000D63E3" w:rsidP="00100B93">
      <w:pPr>
        <w:pStyle w:val="num1"/>
        <w:numPr>
          <w:ilvl w:val="0"/>
          <w:numId w:val="9"/>
        </w:numPr>
        <w:tabs>
          <w:tab w:val="clear" w:pos="720"/>
          <w:tab w:val="left" w:pos="540"/>
        </w:tabs>
        <w:ind w:firstLine="450"/>
      </w:pPr>
      <w:r>
        <w:t xml:space="preserve">Pursuant to </w:t>
      </w:r>
      <w:r w:rsidRPr="00E81B71">
        <w:t>47 U.S.C.</w:t>
      </w:r>
      <w:r>
        <w:t> § 224(c)(1), the FCC does not have jurisdiction with respect to rates, terms, and conditions</w:t>
      </w:r>
      <w:r w:rsidR="00DD582C">
        <w:t xml:space="preserve"> for access to public utility infrastructure </w:t>
      </w:r>
      <w:r>
        <w:t xml:space="preserve">where such matters are regulated by a State.  The CPUC has affirmatively regulated such matters </w:t>
      </w:r>
      <w:r w:rsidR="00BF70C5">
        <w:t xml:space="preserve">in accordance with </w:t>
      </w:r>
      <w:r w:rsidRPr="00CA3655">
        <w:rPr>
          <w:rStyle w:val="standardChar"/>
        </w:rPr>
        <w:t>47</w:t>
      </w:r>
      <w:r>
        <w:rPr>
          <w:rStyle w:val="standardChar"/>
        </w:rPr>
        <w:t> </w:t>
      </w:r>
      <w:r w:rsidRPr="00CA3655">
        <w:rPr>
          <w:rStyle w:val="standardChar"/>
        </w:rPr>
        <w:t>U.S.C.</w:t>
      </w:r>
      <w:r>
        <w:rPr>
          <w:rStyle w:val="standardChar"/>
        </w:rPr>
        <w:t> </w:t>
      </w:r>
      <w:r>
        <w:t>§§ 224(c)</w:t>
      </w:r>
      <w:r w:rsidR="00BF70C5">
        <w:t xml:space="preserve">(1), </w:t>
      </w:r>
      <w:r>
        <w:t>(2) and (3) since the CPUC’s adoption of the ROW Rules in D.98</w:t>
      </w:r>
      <w:r>
        <w:noBreakHyphen/>
        <w:t>10</w:t>
      </w:r>
      <w:r>
        <w:noBreakHyphen/>
        <w:t>058.</w:t>
      </w:r>
    </w:p>
    <w:p w:rsidR="00DD582C" w:rsidRDefault="00DD582C" w:rsidP="00100B93">
      <w:pPr>
        <w:pStyle w:val="num1"/>
        <w:keepLines w:val="0"/>
        <w:numPr>
          <w:ilvl w:val="0"/>
          <w:numId w:val="9"/>
        </w:numPr>
        <w:tabs>
          <w:tab w:val="num" w:pos="540"/>
          <w:tab w:val="left" w:pos="720"/>
        </w:tabs>
        <w:ind w:firstLine="450"/>
      </w:pPr>
      <w:r>
        <w:lastRenderedPageBreak/>
        <w:t xml:space="preserve">The amended </w:t>
      </w:r>
      <w:r w:rsidR="00EE7743">
        <w:t xml:space="preserve">text of the </w:t>
      </w:r>
      <w:r>
        <w:t>ROW Rules set forth in Appendix A and Appendix</w:t>
      </w:r>
      <w:r w:rsidR="00EE7743">
        <w:t> </w:t>
      </w:r>
      <w:r>
        <w:t xml:space="preserve">B of today’s Decision </w:t>
      </w:r>
      <w:r w:rsidR="00EE7743">
        <w:t>is</w:t>
      </w:r>
      <w:r>
        <w:t xml:space="preserve"> reasonable and should be adopted.  </w:t>
      </w:r>
    </w:p>
    <w:p w:rsidR="009F7A24" w:rsidRDefault="009F7A24" w:rsidP="00100B93">
      <w:pPr>
        <w:pStyle w:val="num1"/>
        <w:keepLines w:val="0"/>
        <w:numPr>
          <w:ilvl w:val="0"/>
          <w:numId w:val="9"/>
        </w:numPr>
        <w:tabs>
          <w:tab w:val="left" w:pos="540"/>
          <w:tab w:val="left" w:pos="720"/>
        </w:tabs>
        <w:ind w:firstLine="450"/>
      </w:pPr>
      <w:r>
        <w:t xml:space="preserve">The amendments to the ROW Rules adopted by today’s decision should apply prospectively beginning 120 days after the effective date of today’s </w:t>
      </w:r>
      <w:r w:rsidR="00BF70C5">
        <w:t>D</w:t>
      </w:r>
      <w:r>
        <w:t>ecision.  T</w:t>
      </w:r>
      <w:r w:rsidR="004A0093">
        <w:t xml:space="preserve">he adopted </w:t>
      </w:r>
      <w:r>
        <w:t xml:space="preserve">amendments </w:t>
      </w:r>
      <w:r w:rsidR="00DD582C">
        <w:t>should</w:t>
      </w:r>
      <w:r>
        <w:t xml:space="preserve"> not apply to the contractual rates, terms, and conditions for existing CLEC installations.   </w:t>
      </w:r>
    </w:p>
    <w:p w:rsidR="007F015E" w:rsidRDefault="007F015E" w:rsidP="00100B93">
      <w:pPr>
        <w:pStyle w:val="num1"/>
        <w:keepLines w:val="0"/>
        <w:numPr>
          <w:ilvl w:val="0"/>
          <w:numId w:val="9"/>
        </w:numPr>
        <w:tabs>
          <w:tab w:val="left" w:pos="540"/>
          <w:tab w:val="left" w:pos="720"/>
        </w:tabs>
        <w:ind w:firstLine="450"/>
      </w:pPr>
      <w:r>
        <w:t>The amend</w:t>
      </w:r>
      <w:r w:rsidR="00EE7743">
        <w:t xml:space="preserve">ed </w:t>
      </w:r>
      <w:r>
        <w:t xml:space="preserve">ROW Rules adopted by today’s Decision may be superseded by regulations that the Commission </w:t>
      </w:r>
      <w:r w:rsidR="003E694A">
        <w:t xml:space="preserve">may adopt </w:t>
      </w:r>
      <w:r>
        <w:t>in I.17</w:t>
      </w:r>
      <w:r w:rsidR="00BF70C5">
        <w:noBreakHyphen/>
      </w:r>
      <w:r>
        <w:t>06</w:t>
      </w:r>
      <w:r w:rsidR="00BF70C5">
        <w:noBreakHyphen/>
      </w:r>
      <w:r>
        <w:t>027 and R.17-06-028.</w:t>
      </w:r>
    </w:p>
    <w:p w:rsidR="008504A4" w:rsidRPr="00E90F79" w:rsidRDefault="00D560C2" w:rsidP="00100B93">
      <w:pPr>
        <w:pStyle w:val="num1"/>
        <w:keepLines w:val="0"/>
        <w:numPr>
          <w:ilvl w:val="0"/>
          <w:numId w:val="9"/>
        </w:numPr>
        <w:tabs>
          <w:tab w:val="clear" w:pos="720"/>
          <w:tab w:val="num" w:pos="540"/>
        </w:tabs>
        <w:ind w:firstLine="360"/>
        <w:rPr>
          <w:rStyle w:val="standardChar"/>
        </w:rPr>
      </w:pPr>
      <w:r>
        <w:rPr>
          <w:rStyle w:val="standardChar"/>
        </w:rPr>
        <w:t>The following O</w:t>
      </w:r>
      <w:r w:rsidR="008504A4" w:rsidRPr="00E90F79">
        <w:rPr>
          <w:rStyle w:val="standardChar"/>
        </w:rPr>
        <w:t xml:space="preserve">rder should be effective immediately so </w:t>
      </w:r>
      <w:r w:rsidR="008504A4">
        <w:rPr>
          <w:rStyle w:val="standardChar"/>
        </w:rPr>
        <w:t xml:space="preserve">that the </w:t>
      </w:r>
      <w:r>
        <w:rPr>
          <w:rStyle w:val="standardChar"/>
        </w:rPr>
        <w:t xml:space="preserve">public may benefit expeditiously from the </w:t>
      </w:r>
      <w:r w:rsidR="001A4832">
        <w:rPr>
          <w:rStyle w:val="standardChar"/>
        </w:rPr>
        <w:t xml:space="preserve">amended ROW Rules </w:t>
      </w:r>
      <w:r>
        <w:rPr>
          <w:rStyle w:val="standardChar"/>
        </w:rPr>
        <w:t>adopted by the O</w:t>
      </w:r>
      <w:r w:rsidR="001A4832">
        <w:rPr>
          <w:rStyle w:val="standardChar"/>
        </w:rPr>
        <w:t>rder</w:t>
      </w:r>
      <w:r w:rsidR="008504A4">
        <w:rPr>
          <w:rStyle w:val="standardChar"/>
        </w:rPr>
        <w:t xml:space="preserve">.  </w:t>
      </w:r>
    </w:p>
    <w:p w:rsidR="008504A4" w:rsidRDefault="008504A4" w:rsidP="008504A4">
      <w:pPr>
        <w:pStyle w:val="standard"/>
      </w:pPr>
    </w:p>
    <w:p w:rsidR="008504A4" w:rsidRDefault="008504A4" w:rsidP="008504A4">
      <w:pPr>
        <w:pStyle w:val="mainex"/>
        <w:keepNext/>
        <w:keepLines/>
      </w:pPr>
      <w:bookmarkStart w:id="96" w:name="_Toc194913492"/>
      <w:bookmarkStart w:id="97" w:name="_Toc220803785"/>
      <w:bookmarkStart w:id="98" w:name="_Toc424321924"/>
      <w:bookmarkStart w:id="99" w:name="_Toc512317994"/>
      <w:r>
        <w:t>ORDER</w:t>
      </w:r>
      <w:bookmarkEnd w:id="96"/>
      <w:bookmarkEnd w:id="97"/>
      <w:bookmarkEnd w:id="98"/>
      <w:bookmarkEnd w:id="99"/>
    </w:p>
    <w:p w:rsidR="008504A4" w:rsidRDefault="008504A4" w:rsidP="008504A4">
      <w:pPr>
        <w:pStyle w:val="standard"/>
        <w:keepNext/>
        <w:keepLines/>
      </w:pPr>
    </w:p>
    <w:p w:rsidR="008504A4" w:rsidRDefault="008504A4" w:rsidP="008504A4">
      <w:pPr>
        <w:pStyle w:val="standard"/>
        <w:keepNext/>
        <w:keepLines/>
      </w:pPr>
      <w:r>
        <w:rPr>
          <w:b/>
        </w:rPr>
        <w:t>IT IS ORDERED</w:t>
      </w:r>
      <w:r>
        <w:t xml:space="preserve"> that:</w:t>
      </w:r>
    </w:p>
    <w:p w:rsidR="00AD6C90" w:rsidRDefault="00450D3E" w:rsidP="00100B93">
      <w:pPr>
        <w:pStyle w:val="num1"/>
        <w:numPr>
          <w:ilvl w:val="0"/>
          <w:numId w:val="10"/>
        </w:numPr>
        <w:tabs>
          <w:tab w:val="left" w:pos="540"/>
        </w:tabs>
        <w:ind w:firstLine="360"/>
      </w:pPr>
      <w:r>
        <w:t xml:space="preserve">The </w:t>
      </w:r>
      <w:r w:rsidR="0019506A">
        <w:t>amended</w:t>
      </w:r>
      <w:r>
        <w:t xml:space="preserve"> Right-of-Way Rules in </w:t>
      </w:r>
      <w:r w:rsidR="0048442E">
        <w:t xml:space="preserve">Appendix A and </w:t>
      </w:r>
      <w:r>
        <w:t>Appendix</w:t>
      </w:r>
      <w:r w:rsidR="004F7D67">
        <w:t> </w:t>
      </w:r>
      <w:r w:rsidR="00DF45AB">
        <w:t>B</w:t>
      </w:r>
      <w:r w:rsidR="008504A4">
        <w:t xml:space="preserve"> </w:t>
      </w:r>
      <w:r>
        <w:t xml:space="preserve">of this </w:t>
      </w:r>
      <w:r w:rsidR="001C6915">
        <w:t>D</w:t>
      </w:r>
      <w:r>
        <w:t>ecision are adopted</w:t>
      </w:r>
      <w:r w:rsidR="00736C80">
        <w:t xml:space="preserve">. </w:t>
      </w:r>
      <w:r>
        <w:t xml:space="preserve"> </w:t>
      </w:r>
      <w:r w:rsidR="00D560C2">
        <w:t>T</w:t>
      </w:r>
      <w:r w:rsidR="008B7B47">
        <w:t xml:space="preserve">he </w:t>
      </w:r>
      <w:r w:rsidR="00995BEA">
        <w:t xml:space="preserve">adopted </w:t>
      </w:r>
      <w:r w:rsidR="0019506A">
        <w:t>amendments</w:t>
      </w:r>
      <w:r w:rsidR="008B7B47">
        <w:t xml:space="preserve"> </w:t>
      </w:r>
      <w:r w:rsidR="006A3E41">
        <w:t xml:space="preserve">apply to all </w:t>
      </w:r>
      <w:r w:rsidR="001B3FA0">
        <w:t>C</w:t>
      </w:r>
      <w:r w:rsidR="006A3E41">
        <w:t xml:space="preserve">ompetitive </w:t>
      </w:r>
      <w:r w:rsidR="001B3FA0">
        <w:t>L</w:t>
      </w:r>
      <w:r w:rsidR="006A3E41">
        <w:t xml:space="preserve">ocal </w:t>
      </w:r>
      <w:r w:rsidR="001B3FA0">
        <w:t>E</w:t>
      </w:r>
      <w:r w:rsidR="006A3E41">
        <w:t xml:space="preserve">xchange </w:t>
      </w:r>
      <w:r w:rsidR="001B3FA0">
        <w:t>C</w:t>
      </w:r>
      <w:r w:rsidR="006A3E41">
        <w:t>arriers’ (CLEC) wireless facilities that are necessary or useful for the provision of telecommunications services authorized by CLECs’ certificates of public convenience and necessity</w:t>
      </w:r>
      <w:r w:rsidR="00AD6C90">
        <w:t>.</w:t>
      </w:r>
    </w:p>
    <w:p w:rsidR="008504A4" w:rsidRDefault="00AD6C90" w:rsidP="00100B93">
      <w:pPr>
        <w:pStyle w:val="num1"/>
        <w:numPr>
          <w:ilvl w:val="0"/>
          <w:numId w:val="10"/>
        </w:numPr>
        <w:tabs>
          <w:tab w:val="left" w:pos="540"/>
        </w:tabs>
        <w:ind w:firstLine="360"/>
      </w:pPr>
      <w:r>
        <w:t xml:space="preserve">The amended </w:t>
      </w:r>
      <w:r w:rsidR="00C744BB">
        <w:t xml:space="preserve">Right-of-Way Rules </w:t>
      </w:r>
      <w:r>
        <w:t xml:space="preserve">adopted by this Decision shall </w:t>
      </w:r>
      <w:r w:rsidR="008B7B47">
        <w:t xml:space="preserve">apply prospectively beginning </w:t>
      </w:r>
      <w:r w:rsidR="00516914">
        <w:t xml:space="preserve">120 days after </w:t>
      </w:r>
      <w:r w:rsidR="008B7B47">
        <w:t xml:space="preserve">the </w:t>
      </w:r>
      <w:r w:rsidR="002106BD">
        <w:t>effective d</w:t>
      </w:r>
      <w:r w:rsidR="008B7B47">
        <w:t xml:space="preserve">ate </w:t>
      </w:r>
      <w:r w:rsidR="00995BEA">
        <w:t>of</w:t>
      </w:r>
      <w:r w:rsidR="008B7B47">
        <w:t xml:space="preserve"> this </w:t>
      </w:r>
      <w:r w:rsidR="001C6915">
        <w:t>O</w:t>
      </w:r>
      <w:r w:rsidR="002106BD">
        <w:t>rder</w:t>
      </w:r>
      <w:r w:rsidR="00995BEA">
        <w:t>, stated below</w:t>
      </w:r>
      <w:r w:rsidR="008B7B47">
        <w:t xml:space="preserve">.  The adopted </w:t>
      </w:r>
      <w:r w:rsidR="0019506A">
        <w:t>amendments</w:t>
      </w:r>
      <w:r w:rsidR="008B7B47">
        <w:t xml:space="preserve"> do not apply to the contractual rates, terms, and conditions for existing </w:t>
      </w:r>
      <w:r w:rsidR="00DF45AB">
        <w:t xml:space="preserve">Competitive Local Exchange Carrier </w:t>
      </w:r>
      <w:r w:rsidR="00995BEA">
        <w:t>installations</w:t>
      </w:r>
      <w:r w:rsidR="008B7B47">
        <w:t xml:space="preserve">.  </w:t>
      </w:r>
    </w:p>
    <w:p w:rsidR="00F23EED" w:rsidRDefault="00274E69" w:rsidP="00100B93">
      <w:pPr>
        <w:pStyle w:val="num1"/>
        <w:tabs>
          <w:tab w:val="left" w:pos="540"/>
        </w:tabs>
        <w:ind w:firstLine="360"/>
      </w:pPr>
      <w:r>
        <w:lastRenderedPageBreak/>
        <w:t>P</w:t>
      </w:r>
      <w:r w:rsidR="00F23EED">
        <w:t xml:space="preserve">ublic </w:t>
      </w:r>
      <w:r w:rsidR="00F23EED" w:rsidRPr="000E76F8">
        <w:rPr>
          <w:rStyle w:val="standardChar"/>
        </w:rPr>
        <w:t xml:space="preserve">utilities </w:t>
      </w:r>
      <w:r w:rsidR="00F23EED">
        <w:rPr>
          <w:rStyle w:val="standardChar"/>
        </w:rPr>
        <w:t xml:space="preserve">shall </w:t>
      </w:r>
      <w:r w:rsidR="00D64F9A">
        <w:rPr>
          <w:rStyle w:val="standardChar"/>
        </w:rPr>
        <w:t xml:space="preserve">record the fees and charges that they receive pursuant to the amended Right-of-Way Rules adopted by this </w:t>
      </w:r>
      <w:r w:rsidR="005B605D">
        <w:rPr>
          <w:rStyle w:val="standardChar"/>
        </w:rPr>
        <w:t xml:space="preserve">Decision </w:t>
      </w:r>
      <w:r w:rsidR="00D64F9A">
        <w:rPr>
          <w:rStyle w:val="standardChar"/>
        </w:rPr>
        <w:t xml:space="preserve">as follows:  </w:t>
      </w:r>
      <w:r w:rsidR="00832441">
        <w:rPr>
          <w:rStyle w:val="standardChar"/>
        </w:rPr>
        <w:t>(i)</w:t>
      </w:r>
      <w:r>
        <w:rPr>
          <w:rStyle w:val="standardChar"/>
        </w:rPr>
        <w:t> </w:t>
      </w:r>
      <w:r w:rsidR="00D64F9A">
        <w:rPr>
          <w:rStyle w:val="standardChar"/>
        </w:rPr>
        <w:t>R</w:t>
      </w:r>
      <w:r w:rsidR="00995BEA">
        <w:rPr>
          <w:rStyle w:val="standardChar"/>
        </w:rPr>
        <w:t xml:space="preserve">ecord </w:t>
      </w:r>
      <w:r w:rsidR="00F23EED">
        <w:rPr>
          <w:rStyle w:val="standardChar"/>
        </w:rPr>
        <w:t xml:space="preserve">attachment fees </w:t>
      </w:r>
      <w:r w:rsidR="00F23EED" w:rsidRPr="000E76F8">
        <w:rPr>
          <w:rStyle w:val="standardChar"/>
        </w:rPr>
        <w:t>as Other Operating Revenues</w:t>
      </w:r>
      <w:r w:rsidR="00995BEA">
        <w:rPr>
          <w:rStyle w:val="standardChar"/>
        </w:rPr>
        <w:t xml:space="preserve">; </w:t>
      </w:r>
      <w:r w:rsidR="00832441">
        <w:rPr>
          <w:rStyle w:val="standardChar"/>
        </w:rPr>
        <w:t>(ii)</w:t>
      </w:r>
      <w:r w:rsidR="00D64F9A">
        <w:rPr>
          <w:rStyle w:val="standardChar"/>
        </w:rPr>
        <w:t> </w:t>
      </w:r>
      <w:r w:rsidR="00F23EED">
        <w:rPr>
          <w:rStyle w:val="standardChar"/>
        </w:rPr>
        <w:t>record make</w:t>
      </w:r>
      <w:r w:rsidR="00F23EED">
        <w:rPr>
          <w:rStyle w:val="standardChar"/>
        </w:rPr>
        <w:noBreakHyphen/>
        <w:t>ready charges</w:t>
      </w:r>
      <w:r w:rsidR="00F23EED" w:rsidRPr="000E76F8">
        <w:rPr>
          <w:rStyle w:val="standardChar"/>
        </w:rPr>
        <w:t xml:space="preserve"> as </w:t>
      </w:r>
      <w:r w:rsidR="00F23EED">
        <w:rPr>
          <w:rStyle w:val="standardChar"/>
        </w:rPr>
        <w:t xml:space="preserve">Other Operating Revenue </w:t>
      </w:r>
      <w:r w:rsidR="00995BEA">
        <w:rPr>
          <w:rStyle w:val="standardChar"/>
        </w:rPr>
        <w:t xml:space="preserve">if the utility’s associated make-ready costs are expensed; and </w:t>
      </w:r>
      <w:r w:rsidR="00832441">
        <w:rPr>
          <w:rStyle w:val="standardChar"/>
        </w:rPr>
        <w:t>(iii) </w:t>
      </w:r>
      <w:r w:rsidR="00995BEA">
        <w:rPr>
          <w:rStyle w:val="standardChar"/>
        </w:rPr>
        <w:t xml:space="preserve">record make-ready charges as </w:t>
      </w:r>
      <w:r w:rsidR="00F23EED" w:rsidRPr="000E76F8">
        <w:rPr>
          <w:rStyle w:val="standardChar"/>
        </w:rPr>
        <w:t>contributed plant</w:t>
      </w:r>
      <w:r w:rsidR="00995BEA">
        <w:rPr>
          <w:rStyle w:val="standardChar"/>
        </w:rPr>
        <w:t xml:space="preserve"> if the utility’s associated </w:t>
      </w:r>
      <w:r w:rsidR="00E41DE5">
        <w:rPr>
          <w:rStyle w:val="standardChar"/>
        </w:rPr>
        <w:t>make</w:t>
      </w:r>
      <w:r w:rsidR="00E41DE5">
        <w:rPr>
          <w:rStyle w:val="standardChar"/>
        </w:rPr>
        <w:noBreakHyphen/>
      </w:r>
      <w:r w:rsidR="00F23EED">
        <w:rPr>
          <w:rStyle w:val="standardChar"/>
        </w:rPr>
        <w:t xml:space="preserve">ready </w:t>
      </w:r>
      <w:r w:rsidR="00995BEA">
        <w:rPr>
          <w:rStyle w:val="standardChar"/>
        </w:rPr>
        <w:t>costs</w:t>
      </w:r>
      <w:r w:rsidR="00F23EED">
        <w:rPr>
          <w:rStyle w:val="standardChar"/>
        </w:rPr>
        <w:t xml:space="preserve"> are capitalized</w:t>
      </w:r>
      <w:r w:rsidR="00F23EED" w:rsidRPr="000E76F8">
        <w:rPr>
          <w:rStyle w:val="standardChar"/>
        </w:rPr>
        <w:t>.</w:t>
      </w:r>
      <w:r w:rsidR="00F23EED">
        <w:t xml:space="preserve"> </w:t>
      </w:r>
    </w:p>
    <w:p w:rsidR="0048442E" w:rsidRDefault="0048442E" w:rsidP="00100B93">
      <w:pPr>
        <w:pStyle w:val="num1"/>
        <w:keepLines w:val="0"/>
        <w:numPr>
          <w:ilvl w:val="0"/>
          <w:numId w:val="9"/>
        </w:numPr>
        <w:tabs>
          <w:tab w:val="left" w:pos="540"/>
          <w:tab w:val="left" w:pos="720"/>
        </w:tabs>
        <w:ind w:firstLine="360"/>
      </w:pPr>
      <w:r>
        <w:t xml:space="preserve">The amendments to the Right-of-Way Rules that are adopted by </w:t>
      </w:r>
      <w:r w:rsidR="00A15587">
        <w:t xml:space="preserve">this </w:t>
      </w:r>
      <w:r w:rsidR="005B605D">
        <w:rPr>
          <w:rStyle w:val="standardChar"/>
        </w:rPr>
        <w:t xml:space="preserve">Decision </w:t>
      </w:r>
      <w:r>
        <w:t xml:space="preserve">may be superseded by regulations that the Commission </w:t>
      </w:r>
      <w:r w:rsidR="00274E69">
        <w:t xml:space="preserve">may adopt </w:t>
      </w:r>
      <w:r>
        <w:t>in the consolidated dockets of Investigation 17-06-027 and Rulemaking 17-06-028.</w:t>
      </w:r>
    </w:p>
    <w:p w:rsidR="008504A4" w:rsidRDefault="00B412C0" w:rsidP="00100B93">
      <w:pPr>
        <w:pStyle w:val="num1"/>
        <w:keepNext/>
        <w:tabs>
          <w:tab w:val="left" w:pos="540"/>
        </w:tabs>
        <w:ind w:firstLine="360"/>
      </w:pPr>
      <w:r>
        <w:t xml:space="preserve">The docket for </w:t>
      </w:r>
      <w:r w:rsidR="008504A4">
        <w:t>Rulemaking 1</w:t>
      </w:r>
      <w:r w:rsidR="008D6D84">
        <w:t>7</w:t>
      </w:r>
      <w:r w:rsidR="008504A4">
        <w:t>-0</w:t>
      </w:r>
      <w:r w:rsidR="008D6D84">
        <w:t>3-009</w:t>
      </w:r>
      <w:r w:rsidR="008504A4">
        <w:t xml:space="preserve"> is closed. </w:t>
      </w:r>
      <w:r w:rsidR="0048442E">
        <w:t xml:space="preserve"> </w:t>
      </w:r>
      <w:r w:rsidR="00A15587">
        <w:t xml:space="preserve">The </w:t>
      </w:r>
      <w:r>
        <w:t xml:space="preserve">consolidated </w:t>
      </w:r>
      <w:r w:rsidR="00A15587">
        <w:t xml:space="preserve">dockets for </w:t>
      </w:r>
      <w:r w:rsidR="001077CF">
        <w:t>Investigation 17-06-027 and Rulemaking 17</w:t>
      </w:r>
      <w:r w:rsidR="001077CF">
        <w:noBreakHyphen/>
        <w:t>06</w:t>
      </w:r>
      <w:r w:rsidR="001077CF">
        <w:noBreakHyphen/>
        <w:t>028 remain open.</w:t>
      </w:r>
      <w:r w:rsidR="0048442E">
        <w:t xml:space="preserve"> </w:t>
      </w:r>
    </w:p>
    <w:p w:rsidR="008504A4" w:rsidRDefault="00A15587" w:rsidP="00442932">
      <w:pPr>
        <w:pStyle w:val="standard"/>
        <w:keepNext/>
        <w:spacing w:before="120"/>
      </w:pPr>
      <w:r>
        <w:t xml:space="preserve">This </w:t>
      </w:r>
      <w:r w:rsidR="00B412C0">
        <w:t>O</w:t>
      </w:r>
      <w:r w:rsidR="008504A4">
        <w:t>rder is effective today.</w:t>
      </w:r>
    </w:p>
    <w:p w:rsidR="00A83655" w:rsidRDefault="00A83655" w:rsidP="003E5445">
      <w:pPr>
        <w:pStyle w:val="standard"/>
        <w:spacing w:after="120" w:line="240" w:lineRule="auto"/>
        <w:ind w:firstLine="0"/>
      </w:pPr>
    </w:p>
    <w:p w:rsidR="00FB0701" w:rsidRDefault="00FB0701" w:rsidP="00FB0701">
      <w:pPr>
        <w:pStyle w:val="standard"/>
        <w:spacing w:after="120" w:line="240" w:lineRule="auto"/>
      </w:pPr>
      <w:r>
        <w:t>Dated __________</w:t>
      </w:r>
      <w:r w:rsidR="00442932">
        <w:t>___</w:t>
      </w:r>
      <w:r>
        <w:t>________, at San Francisco, California</w:t>
      </w:r>
    </w:p>
    <w:p w:rsidR="00E23A16" w:rsidRDefault="00E23A16" w:rsidP="003E5445">
      <w:pPr>
        <w:pStyle w:val="standard"/>
        <w:spacing w:after="120" w:line="240" w:lineRule="auto"/>
        <w:ind w:firstLine="0"/>
      </w:pPr>
    </w:p>
    <w:p w:rsidR="00E23A16" w:rsidRPr="003E5445" w:rsidRDefault="00E23A16" w:rsidP="003E5445">
      <w:pPr>
        <w:pStyle w:val="standard"/>
        <w:spacing w:after="120" w:line="240" w:lineRule="auto"/>
        <w:ind w:firstLine="0"/>
        <w:sectPr w:rsidR="00E23A16" w:rsidRPr="003E5445" w:rsidSect="00DA4908">
          <w:headerReference w:type="default" r:id="rId17"/>
          <w:footerReference w:type="default" r:id="rId18"/>
          <w:pgSz w:w="12240" w:h="15840" w:code="1"/>
          <w:pgMar w:top="1440" w:right="1440" w:bottom="1440" w:left="1440" w:header="720" w:footer="720" w:gutter="0"/>
          <w:pgNumType w:start="2"/>
          <w:cols w:space="720"/>
          <w:docGrid w:linePitch="360"/>
        </w:sectPr>
      </w:pPr>
    </w:p>
    <w:p w:rsidR="008804EF" w:rsidRDefault="008804EF" w:rsidP="008804EF">
      <w:bookmarkStart w:id="100" w:name="_Toc384302404"/>
      <w:bookmarkStart w:id="101" w:name="_Toc424322168"/>
      <w:bookmarkStart w:id="102" w:name="_Toc268621592"/>
    </w:p>
    <w:p w:rsidR="000B0AA5" w:rsidRPr="00E9643A" w:rsidRDefault="00096A5A" w:rsidP="00D87EBE">
      <w:pPr>
        <w:pStyle w:val="Heading9"/>
      </w:pPr>
      <w:r>
        <w:t xml:space="preserve">  </w:t>
      </w:r>
      <w:bookmarkStart w:id="103" w:name="_Toc512317995"/>
      <w:r w:rsidR="00FF568C" w:rsidRPr="00096A5A">
        <w:t>Adopted</w:t>
      </w:r>
      <w:r w:rsidR="00FF568C">
        <w:t xml:space="preserve"> Amendments to </w:t>
      </w:r>
      <w:r w:rsidR="004E4F42">
        <w:t xml:space="preserve">the </w:t>
      </w:r>
      <w:r w:rsidR="00D81B0E">
        <w:t>ROW Rules</w:t>
      </w:r>
      <w:bookmarkEnd w:id="100"/>
      <w:bookmarkEnd w:id="101"/>
      <w:r w:rsidR="004D38E1">
        <w:t xml:space="preserve"> (redline)</w:t>
      </w:r>
      <w:bookmarkEnd w:id="103"/>
    </w:p>
    <w:p w:rsidR="000B0AA5" w:rsidRDefault="000B0AA5">
      <w:pPr>
        <w:pStyle w:val="standard"/>
        <w:spacing w:line="240" w:lineRule="auto"/>
      </w:pPr>
    </w:p>
    <w:p w:rsidR="000B0AA5" w:rsidRDefault="0078351D" w:rsidP="0078351D">
      <w:pPr>
        <w:pStyle w:val="standard"/>
        <w:spacing w:line="240" w:lineRule="auto"/>
        <w:ind w:left="1080" w:right="1080" w:firstLine="0"/>
      </w:pPr>
      <w:r w:rsidRPr="0078351D">
        <w:rPr>
          <w:b/>
          <w:u w:val="single"/>
        </w:rPr>
        <w:t>Note</w:t>
      </w:r>
      <w:r>
        <w:t xml:space="preserve">:  </w:t>
      </w:r>
      <w:r w:rsidR="004B623B">
        <w:t>The</w:t>
      </w:r>
      <w:r w:rsidR="00FF568C">
        <w:t xml:space="preserve"> amendments to the Right-of-Way Rules adopted by today’s </w:t>
      </w:r>
      <w:r w:rsidR="002A569B">
        <w:t>D</w:t>
      </w:r>
      <w:r w:rsidR="00FF568C">
        <w:t xml:space="preserve">ecision </w:t>
      </w:r>
      <w:r w:rsidR="004B623B">
        <w:t>begin on page A-</w:t>
      </w:r>
      <w:r w:rsidR="00E22AB1">
        <w:t>4</w:t>
      </w:r>
      <w:r w:rsidR="004B623B">
        <w:t xml:space="preserve">.  The amendments </w:t>
      </w:r>
      <w:r w:rsidR="000B0AA5">
        <w:t xml:space="preserve">are shown </w:t>
      </w:r>
      <w:r w:rsidR="004D38E1">
        <w:t xml:space="preserve">in redline </w:t>
      </w:r>
      <w:r w:rsidR="004A0093">
        <w:t xml:space="preserve">form </w:t>
      </w:r>
      <w:r w:rsidR="009B19F9">
        <w:t>with</w:t>
      </w:r>
      <w:r w:rsidR="000B0AA5">
        <w:t xml:space="preserve"> </w:t>
      </w:r>
      <w:r w:rsidR="00094215">
        <w:t>bold font</w:t>
      </w:r>
      <w:r w:rsidR="00FF568C">
        <w:t xml:space="preserve"> and </w:t>
      </w:r>
      <w:r w:rsidR="00094215">
        <w:t>underline for new text</w:t>
      </w:r>
      <w:r w:rsidR="009B19F9">
        <w:t>,</w:t>
      </w:r>
      <w:r w:rsidR="00094215">
        <w:t xml:space="preserve"> and </w:t>
      </w:r>
      <w:r w:rsidR="001C5AFC">
        <w:t xml:space="preserve">bold font and </w:t>
      </w:r>
      <w:r w:rsidR="000B0AA5">
        <w:t>strike</w:t>
      </w:r>
      <w:r w:rsidR="00094215">
        <w:t>through for</w:t>
      </w:r>
      <w:r w:rsidR="00FF568C">
        <w:t> </w:t>
      </w:r>
      <w:r w:rsidR="00094215">
        <w:t>deleted text</w:t>
      </w:r>
      <w:r w:rsidR="000B0AA5">
        <w:t>.</w:t>
      </w:r>
      <w:r w:rsidR="004A531C">
        <w:t xml:space="preserve">  </w:t>
      </w:r>
      <w:r>
        <w:t>The following n</w:t>
      </w:r>
      <w:r w:rsidR="004A531C">
        <w:t>on-substantive changes are not shown</w:t>
      </w:r>
      <w:r w:rsidR="008453AB">
        <w:t xml:space="preserve"> </w:t>
      </w:r>
      <w:r w:rsidR="008E5615">
        <w:t>in redline</w:t>
      </w:r>
      <w:r>
        <w:t xml:space="preserve">:  </w:t>
      </w:r>
      <w:r w:rsidR="00D10E93">
        <w:t>(i) </w:t>
      </w:r>
      <w:r>
        <w:t>I</w:t>
      </w:r>
      <w:r w:rsidR="008453AB">
        <w:t>nserting hyphens in</w:t>
      </w:r>
      <w:r>
        <w:t>to</w:t>
      </w:r>
      <w:r w:rsidR="008453AB">
        <w:t xml:space="preserve"> the term</w:t>
      </w:r>
      <w:r>
        <w:t>s</w:t>
      </w:r>
      <w:r w:rsidR="008453AB">
        <w:t> “cost-of-ownership”</w:t>
      </w:r>
      <w:r>
        <w:t xml:space="preserve"> and “right-of-way”</w:t>
      </w:r>
      <w:r w:rsidR="00312266">
        <w:t xml:space="preserve"> in cases where hyphens are not </w:t>
      </w:r>
      <w:r w:rsidR="008804EF">
        <w:t xml:space="preserve">already </w:t>
      </w:r>
      <w:r w:rsidR="00312266">
        <w:t>included</w:t>
      </w:r>
      <w:r>
        <w:t xml:space="preserve">; and </w:t>
      </w:r>
      <w:r w:rsidR="00D10E93">
        <w:t xml:space="preserve">(ii) </w:t>
      </w:r>
      <w:r>
        <w:t xml:space="preserve">formatting changes to reduce the amount of paper needed to print the </w:t>
      </w:r>
      <w:r w:rsidR="008804EF">
        <w:t>Right-of-Way</w:t>
      </w:r>
      <w:r w:rsidR="004A0093">
        <w:t xml:space="preserve"> Rules</w:t>
      </w:r>
      <w:r>
        <w:t xml:space="preserve">.  </w:t>
      </w:r>
    </w:p>
    <w:p w:rsidR="00094215" w:rsidRDefault="00094215" w:rsidP="004E4F42">
      <w:pPr>
        <w:pStyle w:val="standard"/>
        <w:spacing w:line="240" w:lineRule="auto"/>
        <w:ind w:left="540" w:right="540" w:firstLine="0"/>
        <w:jc w:val="center"/>
      </w:pPr>
    </w:p>
    <w:p w:rsidR="00B40EF9" w:rsidRDefault="00B40EF9" w:rsidP="004E4F42">
      <w:pPr>
        <w:pStyle w:val="standard"/>
        <w:spacing w:line="240" w:lineRule="auto"/>
        <w:ind w:left="540" w:right="540" w:firstLine="0"/>
        <w:jc w:val="center"/>
      </w:pPr>
    </w:p>
    <w:p w:rsidR="009E4563" w:rsidRPr="009D1EC6" w:rsidRDefault="009E4563" w:rsidP="009D1EC6"/>
    <w:p w:rsidR="000B0AA5" w:rsidRDefault="000B0AA5">
      <w:pPr>
        <w:pStyle w:val="standard"/>
        <w:spacing w:line="240" w:lineRule="auto"/>
      </w:pPr>
    </w:p>
    <w:p w:rsidR="00094215" w:rsidRDefault="00094215">
      <w:pPr>
        <w:pStyle w:val="standard"/>
        <w:spacing w:line="240" w:lineRule="auto"/>
        <w:sectPr w:rsidR="00094215" w:rsidSect="0035469A">
          <w:headerReference w:type="default" r:id="rId19"/>
          <w:footerReference w:type="default" r:id="rId20"/>
          <w:pgSz w:w="12240" w:h="15840"/>
          <w:pgMar w:top="1440" w:right="1440" w:bottom="1440" w:left="1440" w:header="720" w:footer="720" w:gutter="0"/>
          <w:pgNumType w:start="1" w:chapStyle="9"/>
          <w:cols w:space="720"/>
        </w:sectPr>
      </w:pPr>
    </w:p>
    <w:p w:rsidR="00094215" w:rsidRDefault="00094215" w:rsidP="006A6FF6">
      <w:pPr>
        <w:pStyle w:val="standard"/>
        <w:spacing w:line="240" w:lineRule="auto"/>
        <w:ind w:firstLine="0"/>
      </w:pPr>
    </w:p>
    <w:p w:rsidR="00D313F5" w:rsidRPr="008804EF" w:rsidRDefault="0064591C" w:rsidP="0064591C">
      <w:pPr>
        <w:pStyle w:val="standard"/>
        <w:spacing w:line="240" w:lineRule="auto"/>
        <w:ind w:firstLine="0"/>
        <w:jc w:val="center"/>
        <w:rPr>
          <w:rFonts w:ascii="Helvetica" w:hAnsi="Helvetica"/>
          <w:b/>
        </w:rPr>
      </w:pPr>
      <w:r w:rsidRPr="008804EF">
        <w:rPr>
          <w:rFonts w:ascii="Helvetica" w:hAnsi="Helvetica"/>
          <w:b/>
        </w:rPr>
        <w:t>Adopted Amendments – Redline Form</w:t>
      </w:r>
    </w:p>
    <w:p w:rsidR="0064591C" w:rsidRPr="006A6FF6" w:rsidRDefault="0064591C" w:rsidP="006A6FF6">
      <w:pPr>
        <w:pStyle w:val="standard"/>
        <w:spacing w:line="240" w:lineRule="auto"/>
        <w:ind w:firstLine="0"/>
      </w:pPr>
    </w:p>
    <w:p w:rsidR="00D313F5" w:rsidRPr="006A6FF6" w:rsidRDefault="00D313F5" w:rsidP="006A6FF6">
      <w:pPr>
        <w:pStyle w:val="standard"/>
        <w:spacing w:line="240" w:lineRule="auto"/>
        <w:ind w:firstLine="0"/>
        <w:jc w:val="center"/>
        <w:rPr>
          <w:b/>
          <w:u w:val="single"/>
        </w:rPr>
      </w:pPr>
      <w:r w:rsidRPr="006A6FF6">
        <w:rPr>
          <w:b/>
          <w:u w:val="single"/>
        </w:rPr>
        <w:t xml:space="preserve">COMMISSION-ADOPTED RULES GOVERNING ACCESS </w:t>
      </w:r>
    </w:p>
    <w:p w:rsidR="00D313F5" w:rsidRPr="006A6FF6" w:rsidRDefault="00D313F5" w:rsidP="006A6FF6">
      <w:pPr>
        <w:pStyle w:val="standard"/>
        <w:spacing w:line="240" w:lineRule="auto"/>
        <w:ind w:firstLine="0"/>
        <w:jc w:val="center"/>
        <w:rPr>
          <w:b/>
          <w:u w:val="single"/>
        </w:rPr>
      </w:pPr>
      <w:r w:rsidRPr="006A6FF6">
        <w:rPr>
          <w:b/>
          <w:u w:val="single"/>
        </w:rPr>
        <w:t xml:space="preserve">TO RIGHTS-OF-WAY AND SUPPORT STRUCTURES OF </w:t>
      </w:r>
    </w:p>
    <w:p w:rsidR="00D313F5" w:rsidRPr="006A6FF6" w:rsidRDefault="00D313F5" w:rsidP="006A6FF6">
      <w:pPr>
        <w:pStyle w:val="standard"/>
        <w:spacing w:line="240" w:lineRule="auto"/>
        <w:ind w:firstLine="0"/>
        <w:jc w:val="center"/>
        <w:rPr>
          <w:b/>
          <w:u w:val="single"/>
        </w:rPr>
      </w:pPr>
      <w:r w:rsidRPr="006A6FF6">
        <w:rPr>
          <w:b/>
          <w:u w:val="single"/>
        </w:rPr>
        <w:t>INCUMBENT TELEPHONE AND ELECTRIC UTILITIES</w:t>
      </w:r>
    </w:p>
    <w:p w:rsidR="00D313F5" w:rsidRDefault="00D313F5" w:rsidP="006A6FF6">
      <w:pPr>
        <w:pStyle w:val="standard"/>
        <w:spacing w:line="240" w:lineRule="auto"/>
        <w:ind w:firstLine="0"/>
      </w:pPr>
    </w:p>
    <w:p w:rsidR="00D313F5" w:rsidRPr="006A6FF6" w:rsidRDefault="006A6FF6" w:rsidP="005979F6">
      <w:pPr>
        <w:pStyle w:val="standard"/>
        <w:spacing w:after="60" w:line="240" w:lineRule="auto"/>
        <w:ind w:firstLine="0"/>
      </w:pPr>
      <w:r>
        <w:t xml:space="preserve">I. </w:t>
      </w:r>
      <w:r>
        <w:tab/>
      </w:r>
      <w:r w:rsidRPr="006A6FF6">
        <w:t>PURPOSE AND SCOPE OF RULES</w:t>
      </w:r>
    </w:p>
    <w:p w:rsidR="00D313F5" w:rsidRPr="006A6FF6" w:rsidRDefault="006A6FF6" w:rsidP="005979F6">
      <w:pPr>
        <w:pStyle w:val="standard"/>
        <w:spacing w:after="60" w:line="240" w:lineRule="auto"/>
        <w:ind w:firstLine="0"/>
      </w:pPr>
      <w:r>
        <w:t xml:space="preserve">II. </w:t>
      </w:r>
      <w:r>
        <w:tab/>
      </w:r>
      <w:r w:rsidRPr="006A6FF6">
        <w:t>DEFINITIONS</w:t>
      </w:r>
    </w:p>
    <w:p w:rsidR="00D313F5" w:rsidRPr="002432F5" w:rsidRDefault="002432F5" w:rsidP="005979F6">
      <w:pPr>
        <w:pStyle w:val="standard"/>
        <w:spacing w:after="60" w:line="240" w:lineRule="auto"/>
        <w:ind w:firstLine="0"/>
      </w:pPr>
      <w:r>
        <w:t xml:space="preserve">III. </w:t>
      </w:r>
      <w:r>
        <w:tab/>
      </w:r>
      <w:r w:rsidR="00D313F5" w:rsidRPr="002432F5">
        <w:t>REQUESTS FOR INFORMATION</w:t>
      </w:r>
    </w:p>
    <w:p w:rsidR="00D313F5" w:rsidRPr="002432F5" w:rsidRDefault="002432F5" w:rsidP="002432F5">
      <w:pPr>
        <w:pStyle w:val="standard"/>
        <w:tabs>
          <w:tab w:val="left" w:pos="720"/>
        </w:tabs>
        <w:spacing w:line="240" w:lineRule="auto"/>
        <w:ind w:left="720" w:hanging="720"/>
      </w:pPr>
      <w:r>
        <w:t xml:space="preserve">IV. </w:t>
      </w:r>
      <w:r>
        <w:tab/>
      </w:r>
      <w:r w:rsidR="00D313F5" w:rsidRPr="002432F5">
        <w:t>REQUESTS FOR ACCESS TO RIGHTS</w:t>
      </w:r>
      <w:r w:rsidR="0078351D">
        <w:t>-</w:t>
      </w:r>
      <w:r w:rsidR="00D313F5" w:rsidRPr="002432F5">
        <w:t>OF</w:t>
      </w:r>
      <w:r w:rsidR="0078351D">
        <w:t>-</w:t>
      </w:r>
      <w:r w:rsidR="00D313F5" w:rsidRPr="002432F5">
        <w:t>WAY AND SUPPORT STRUCTURES</w:t>
      </w:r>
    </w:p>
    <w:p w:rsidR="00D313F5" w:rsidRPr="00A02C04" w:rsidRDefault="00A02C04" w:rsidP="00A02C04">
      <w:pPr>
        <w:pStyle w:val="standard"/>
        <w:tabs>
          <w:tab w:val="left" w:pos="1440"/>
        </w:tabs>
        <w:spacing w:line="240" w:lineRule="auto"/>
        <w:ind w:left="1440" w:hanging="540"/>
      </w:pPr>
      <w:r>
        <w:t xml:space="preserve">A. </w:t>
      </w:r>
      <w:r>
        <w:tab/>
      </w:r>
      <w:r w:rsidR="00D313F5" w:rsidRPr="00A02C04">
        <w:t>INFORMATION REQUIREMENTS OF REQUESTS FOR ACCESS</w:t>
      </w:r>
    </w:p>
    <w:p w:rsidR="00D313F5" w:rsidRPr="00A02C04" w:rsidRDefault="00A02C04" w:rsidP="00A02C04">
      <w:pPr>
        <w:pStyle w:val="standard"/>
        <w:tabs>
          <w:tab w:val="left" w:pos="1440"/>
        </w:tabs>
        <w:spacing w:line="240" w:lineRule="auto"/>
        <w:ind w:left="1440" w:hanging="540"/>
      </w:pPr>
      <w:r>
        <w:t xml:space="preserve">B. </w:t>
      </w:r>
      <w:r>
        <w:tab/>
      </w:r>
      <w:r w:rsidR="00D313F5" w:rsidRPr="00A02C04">
        <w:t>RESPONSES TO REQUESTS FOR ACCESS</w:t>
      </w:r>
    </w:p>
    <w:p w:rsidR="00D313F5" w:rsidRPr="00A02C04" w:rsidRDefault="00A02C04" w:rsidP="00A02C04">
      <w:pPr>
        <w:pStyle w:val="standard"/>
        <w:tabs>
          <w:tab w:val="left" w:pos="1440"/>
        </w:tabs>
        <w:spacing w:line="240" w:lineRule="auto"/>
        <w:ind w:left="1440" w:hanging="540"/>
      </w:pPr>
      <w:r>
        <w:t xml:space="preserve">C. </w:t>
      </w:r>
      <w:r>
        <w:tab/>
      </w:r>
      <w:r w:rsidR="00D313F5" w:rsidRPr="00A02C04">
        <w:t>TIME FOR COMPLETION OF MAKE READY WORK</w:t>
      </w:r>
    </w:p>
    <w:p w:rsidR="00D313F5" w:rsidRPr="00A02C04" w:rsidRDefault="00A02C04" w:rsidP="005979F6">
      <w:pPr>
        <w:pStyle w:val="standard"/>
        <w:tabs>
          <w:tab w:val="left" w:pos="1440"/>
        </w:tabs>
        <w:spacing w:after="120" w:line="240" w:lineRule="auto"/>
        <w:ind w:left="1454" w:hanging="547"/>
      </w:pPr>
      <w:r>
        <w:t xml:space="preserve">D. </w:t>
      </w:r>
      <w:r>
        <w:tab/>
      </w:r>
      <w:r w:rsidR="00D313F5" w:rsidRPr="00A02C04">
        <w:t>USE OF THIRD PARTY CONTRACTORS</w:t>
      </w:r>
    </w:p>
    <w:p w:rsidR="00D313F5" w:rsidRPr="002432F5" w:rsidRDefault="002432F5" w:rsidP="002432F5">
      <w:pPr>
        <w:pStyle w:val="standard"/>
        <w:spacing w:line="240" w:lineRule="auto"/>
        <w:ind w:firstLine="0"/>
      </w:pPr>
      <w:r>
        <w:t xml:space="preserve">V. </w:t>
      </w:r>
      <w:r>
        <w:tab/>
      </w:r>
      <w:r w:rsidR="00D313F5" w:rsidRPr="002432F5">
        <w:t>NONDISCLOSURE</w:t>
      </w:r>
    </w:p>
    <w:p w:rsidR="00D313F5" w:rsidRPr="00A02C04" w:rsidRDefault="00A02C04" w:rsidP="00A02C04">
      <w:pPr>
        <w:pStyle w:val="standard"/>
        <w:tabs>
          <w:tab w:val="left" w:pos="1440"/>
        </w:tabs>
        <w:spacing w:line="240" w:lineRule="auto"/>
        <w:ind w:left="1440" w:hanging="540"/>
      </w:pPr>
      <w:r>
        <w:t xml:space="preserve">A. </w:t>
      </w:r>
      <w:r>
        <w:tab/>
      </w:r>
      <w:r w:rsidR="00D313F5" w:rsidRPr="00A02C04">
        <w:t>DUTY NOT A DISCLOSE PROPRIETARY INFORMATION</w:t>
      </w:r>
    </w:p>
    <w:p w:rsidR="00D313F5" w:rsidRPr="00A02C04" w:rsidRDefault="00A02C04" w:rsidP="005979F6">
      <w:pPr>
        <w:pStyle w:val="standard"/>
        <w:tabs>
          <w:tab w:val="left" w:pos="1440"/>
        </w:tabs>
        <w:spacing w:after="120" w:line="240" w:lineRule="auto"/>
        <w:ind w:left="1454" w:hanging="547"/>
      </w:pPr>
      <w:r>
        <w:t xml:space="preserve">B. </w:t>
      </w:r>
      <w:r>
        <w:tab/>
      </w:r>
      <w:r w:rsidR="00D313F5" w:rsidRPr="00A02C04">
        <w:t>SANCTIONS FOR VIOLATIONS OF NONDISCLOSURE AGREEMENTS</w:t>
      </w:r>
    </w:p>
    <w:p w:rsidR="00D313F5" w:rsidRPr="002432F5" w:rsidRDefault="002432F5" w:rsidP="002432F5">
      <w:pPr>
        <w:pStyle w:val="standard"/>
        <w:spacing w:line="240" w:lineRule="auto"/>
        <w:ind w:firstLine="0"/>
      </w:pPr>
      <w:r>
        <w:t xml:space="preserve">VI. </w:t>
      </w:r>
      <w:r>
        <w:tab/>
      </w:r>
      <w:r w:rsidR="00D313F5" w:rsidRPr="002432F5">
        <w:t>PRICING AND TARIFFS GOVERNING ACCESS</w:t>
      </w:r>
    </w:p>
    <w:p w:rsidR="00D313F5" w:rsidRPr="006F462B" w:rsidRDefault="006F462B" w:rsidP="00A02C04">
      <w:pPr>
        <w:pStyle w:val="standard"/>
        <w:tabs>
          <w:tab w:val="left" w:pos="1440"/>
        </w:tabs>
        <w:spacing w:line="240" w:lineRule="auto"/>
        <w:ind w:left="1440" w:hanging="540"/>
      </w:pPr>
      <w:r>
        <w:t xml:space="preserve">A. </w:t>
      </w:r>
      <w:r>
        <w:tab/>
      </w:r>
      <w:r w:rsidR="00D313F5" w:rsidRPr="006F462B">
        <w:t>GENERAL PRINCIPLE OF NONDISCRIMINATION</w:t>
      </w:r>
    </w:p>
    <w:p w:rsidR="00D313F5" w:rsidRPr="006F462B" w:rsidRDefault="006F462B" w:rsidP="00A02C04">
      <w:pPr>
        <w:pStyle w:val="standard"/>
        <w:tabs>
          <w:tab w:val="left" w:pos="1440"/>
        </w:tabs>
        <w:spacing w:line="240" w:lineRule="auto"/>
        <w:ind w:left="1440" w:hanging="540"/>
      </w:pPr>
      <w:r>
        <w:t xml:space="preserve">B. </w:t>
      </w:r>
      <w:r>
        <w:tab/>
      </w:r>
      <w:r w:rsidR="00D313F5" w:rsidRPr="006F462B">
        <w:t>MANNER OF PRICING ACCESS</w:t>
      </w:r>
    </w:p>
    <w:p w:rsidR="00D313F5" w:rsidRPr="006F462B" w:rsidRDefault="006F462B" w:rsidP="00A02C04">
      <w:pPr>
        <w:pStyle w:val="standard"/>
        <w:tabs>
          <w:tab w:val="left" w:pos="1440"/>
        </w:tabs>
        <w:spacing w:line="240" w:lineRule="auto"/>
        <w:ind w:left="1440" w:hanging="540"/>
      </w:pPr>
      <w:r>
        <w:t xml:space="preserve">C. </w:t>
      </w:r>
      <w:r>
        <w:tab/>
      </w:r>
      <w:r w:rsidR="00D313F5" w:rsidRPr="006F462B">
        <w:t>CONTRACTS</w:t>
      </w:r>
    </w:p>
    <w:p w:rsidR="00D313F5" w:rsidRPr="006F462B" w:rsidRDefault="006F462B" w:rsidP="005979F6">
      <w:pPr>
        <w:pStyle w:val="standard"/>
        <w:tabs>
          <w:tab w:val="left" w:pos="1440"/>
        </w:tabs>
        <w:spacing w:after="120" w:line="240" w:lineRule="auto"/>
        <w:ind w:left="1454" w:hanging="547"/>
      </w:pPr>
      <w:r>
        <w:t xml:space="preserve">D. </w:t>
      </w:r>
      <w:r>
        <w:tab/>
      </w:r>
      <w:r w:rsidR="00D313F5" w:rsidRPr="006F462B">
        <w:t>UNAUTHORIZED ATTACHMENTS</w:t>
      </w:r>
    </w:p>
    <w:p w:rsidR="00D313F5" w:rsidRPr="002432F5" w:rsidRDefault="002432F5" w:rsidP="005979F6">
      <w:pPr>
        <w:pStyle w:val="standard"/>
        <w:spacing w:after="60" w:line="240" w:lineRule="auto"/>
        <w:ind w:firstLine="0"/>
      </w:pPr>
      <w:r>
        <w:t xml:space="preserve">VII. </w:t>
      </w:r>
      <w:r>
        <w:tab/>
      </w:r>
      <w:r w:rsidR="00D313F5" w:rsidRPr="002432F5">
        <w:t>RESERVATIONS OF CAPACITY FOR FUTURE USE</w:t>
      </w:r>
    </w:p>
    <w:p w:rsidR="00D313F5" w:rsidRPr="002432F5" w:rsidRDefault="002432F5" w:rsidP="002432F5">
      <w:pPr>
        <w:pStyle w:val="standard"/>
        <w:spacing w:line="240" w:lineRule="auto"/>
        <w:ind w:firstLine="0"/>
      </w:pPr>
      <w:r>
        <w:t xml:space="preserve">VIII. </w:t>
      </w:r>
      <w:r>
        <w:tab/>
      </w:r>
      <w:r w:rsidR="00D313F5" w:rsidRPr="002432F5">
        <w:t>MODIFICATIONS OF EXISTING SUPPORT STRUCTURES</w:t>
      </w:r>
    </w:p>
    <w:p w:rsidR="00D313F5" w:rsidRPr="006F462B" w:rsidRDefault="006F462B" w:rsidP="00A02C04">
      <w:pPr>
        <w:pStyle w:val="standard"/>
        <w:tabs>
          <w:tab w:val="left" w:pos="1440"/>
        </w:tabs>
        <w:spacing w:line="240" w:lineRule="auto"/>
        <w:ind w:left="1440" w:hanging="540"/>
      </w:pPr>
      <w:r>
        <w:t xml:space="preserve">A. </w:t>
      </w:r>
      <w:r>
        <w:tab/>
      </w:r>
      <w:r w:rsidR="00D313F5" w:rsidRPr="006F462B">
        <w:t>NOTIFICATION TO PARTIES ON OR IN SUPPORT STRUCTURES</w:t>
      </w:r>
    </w:p>
    <w:p w:rsidR="00D313F5" w:rsidRPr="006F462B" w:rsidRDefault="006F462B" w:rsidP="00A02C04">
      <w:pPr>
        <w:pStyle w:val="standard"/>
        <w:tabs>
          <w:tab w:val="left" w:pos="1440"/>
        </w:tabs>
        <w:spacing w:line="240" w:lineRule="auto"/>
        <w:ind w:left="1440" w:hanging="540"/>
      </w:pPr>
      <w:r>
        <w:t xml:space="preserve">B. </w:t>
      </w:r>
      <w:r>
        <w:tab/>
      </w:r>
      <w:r w:rsidR="00D313F5" w:rsidRPr="006F462B">
        <w:t>NOTIFICATION GENERALLY</w:t>
      </w:r>
    </w:p>
    <w:p w:rsidR="00D313F5" w:rsidRPr="006F462B" w:rsidRDefault="006F462B" w:rsidP="005979F6">
      <w:pPr>
        <w:pStyle w:val="standard"/>
        <w:tabs>
          <w:tab w:val="left" w:pos="1440"/>
        </w:tabs>
        <w:spacing w:after="120" w:line="240" w:lineRule="auto"/>
        <w:ind w:left="1454" w:hanging="547"/>
      </w:pPr>
      <w:r>
        <w:t xml:space="preserve">C. </w:t>
      </w:r>
      <w:r>
        <w:tab/>
      </w:r>
      <w:r w:rsidR="00D313F5" w:rsidRPr="006F462B">
        <w:t>SHARING THE COST OF MODIFICATIONS</w:t>
      </w:r>
    </w:p>
    <w:p w:rsidR="00D313F5" w:rsidRPr="002432F5" w:rsidRDefault="002432F5" w:rsidP="005979F6">
      <w:pPr>
        <w:pStyle w:val="standard"/>
        <w:spacing w:after="60" w:line="240" w:lineRule="auto"/>
        <w:ind w:firstLine="0"/>
      </w:pPr>
      <w:r>
        <w:t xml:space="preserve">IX. </w:t>
      </w:r>
      <w:r>
        <w:tab/>
      </w:r>
      <w:r w:rsidR="009A5351" w:rsidRPr="002432F5">
        <w:t>EXPEDITED</w:t>
      </w:r>
      <w:r w:rsidR="00D313F5" w:rsidRPr="002432F5">
        <w:t xml:space="preserve"> DISPUTE RESOLUTION PROCEDURES</w:t>
      </w:r>
    </w:p>
    <w:p w:rsidR="00D313F5" w:rsidRPr="002432F5" w:rsidRDefault="002432F5" w:rsidP="005979F6">
      <w:pPr>
        <w:pStyle w:val="standard"/>
        <w:spacing w:after="60" w:line="240" w:lineRule="auto"/>
        <w:ind w:firstLine="0"/>
      </w:pPr>
      <w:r>
        <w:t>X.</w:t>
      </w:r>
      <w:r>
        <w:tab/>
      </w:r>
      <w:r w:rsidR="00D313F5" w:rsidRPr="002432F5">
        <w:t>ACCESS TO CUSTOMER PREMISES</w:t>
      </w:r>
    </w:p>
    <w:p w:rsidR="00D313F5" w:rsidRPr="002432F5" w:rsidRDefault="002432F5" w:rsidP="002432F5">
      <w:pPr>
        <w:pStyle w:val="standard"/>
        <w:spacing w:line="240" w:lineRule="auto"/>
        <w:ind w:firstLine="0"/>
      </w:pPr>
      <w:r>
        <w:t xml:space="preserve">XI. </w:t>
      </w:r>
      <w:r>
        <w:tab/>
      </w:r>
      <w:r w:rsidR="00D313F5" w:rsidRPr="002432F5">
        <w:t>SAFETY</w:t>
      </w:r>
    </w:p>
    <w:p w:rsidR="00D313F5" w:rsidRDefault="00D313F5" w:rsidP="006813CF">
      <w:pPr>
        <w:pStyle w:val="standard"/>
        <w:spacing w:line="240" w:lineRule="auto"/>
        <w:ind w:firstLine="0"/>
      </w:pPr>
    </w:p>
    <w:p w:rsidR="00D313F5" w:rsidRDefault="00D313F5" w:rsidP="006813CF">
      <w:pPr>
        <w:pStyle w:val="standard"/>
        <w:spacing w:line="240" w:lineRule="auto"/>
        <w:ind w:firstLine="0"/>
        <w:sectPr w:rsidR="00D313F5" w:rsidSect="00BC6BFD">
          <w:footerReference w:type="default" r:id="rId21"/>
          <w:pgSz w:w="12240" w:h="15840"/>
          <w:pgMar w:top="1440" w:right="1440" w:bottom="1440" w:left="1440" w:header="720" w:footer="720" w:gutter="0"/>
          <w:pgNumType w:chapStyle="9"/>
          <w:cols w:space="720"/>
        </w:sectPr>
      </w:pPr>
    </w:p>
    <w:p w:rsidR="008338A7" w:rsidRPr="006813CF" w:rsidRDefault="008338A7" w:rsidP="00FC3FC3">
      <w:pPr>
        <w:pStyle w:val="standard"/>
        <w:keepNext/>
        <w:tabs>
          <w:tab w:val="left" w:pos="540"/>
        </w:tabs>
        <w:spacing w:after="120" w:line="240" w:lineRule="auto"/>
        <w:ind w:left="540" w:hanging="540"/>
      </w:pPr>
      <w:r>
        <w:lastRenderedPageBreak/>
        <w:t xml:space="preserve">I. </w:t>
      </w:r>
      <w:r>
        <w:tab/>
      </w:r>
      <w:r w:rsidRPr="006813CF">
        <w:t>PURPOSE AND SCOPE OF RULES</w:t>
      </w:r>
    </w:p>
    <w:p w:rsidR="008338A7" w:rsidRPr="00607FD0" w:rsidRDefault="008338A7" w:rsidP="00B37FC3">
      <w:pPr>
        <w:pStyle w:val="standard"/>
        <w:spacing w:after="240" w:line="240" w:lineRule="auto"/>
        <w:ind w:firstLine="0"/>
        <w:rPr>
          <w:sz w:val="24"/>
          <w:szCs w:val="24"/>
        </w:rPr>
      </w:pPr>
      <w:r w:rsidRPr="00607FD0">
        <w:rPr>
          <w:sz w:val="24"/>
          <w:szCs w:val="24"/>
        </w:rPr>
        <w:t>These rules govern access to public utility rights-of-way and support structures by telecommunications carriers, Commercial Mobile Radio Service (CMRS) carriers, and cable TV companies in California, and are issued pursuant to the Commission’s jurisdiction over access to utility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and support structures under the Federal Communications Act, 47 U.S.C. § 224(c)(1) and subject to California Public Utilities Code §§ 767, 767.5, 767.7, 768, 768.5 and 8001 through 8057.  These rules are to be applied as guidelines by parties in negotiating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8338A7" w:rsidRPr="006813CF" w:rsidRDefault="008338A7" w:rsidP="00FC3FC3">
      <w:pPr>
        <w:pStyle w:val="standard"/>
        <w:keepNext/>
        <w:tabs>
          <w:tab w:val="left" w:pos="540"/>
        </w:tabs>
        <w:spacing w:after="120" w:line="240" w:lineRule="auto"/>
        <w:ind w:left="540" w:hanging="540"/>
      </w:pPr>
      <w:r>
        <w:t xml:space="preserve">II. </w:t>
      </w:r>
      <w:r>
        <w:tab/>
      </w:r>
      <w:r w:rsidRPr="006813CF">
        <w:t>DEFINITIONS</w:t>
      </w:r>
    </w:p>
    <w:p w:rsidR="008338A7" w:rsidRPr="005252F0" w:rsidRDefault="008338A7" w:rsidP="00FC3FC3">
      <w:pPr>
        <w:pStyle w:val="standard"/>
        <w:keepLines/>
        <w:spacing w:after="120" w:line="240" w:lineRule="auto"/>
        <w:ind w:firstLine="0"/>
        <w:rPr>
          <w:sz w:val="24"/>
          <w:szCs w:val="24"/>
        </w:rPr>
      </w:pPr>
      <w:r w:rsidRPr="005252F0">
        <w:rPr>
          <w:sz w:val="24"/>
          <w:szCs w:val="24"/>
        </w:rPr>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8338A7" w:rsidRPr="005252F0" w:rsidRDefault="008338A7" w:rsidP="00FC3FC3">
      <w:pPr>
        <w:pStyle w:val="standard"/>
        <w:keepLines/>
        <w:spacing w:after="120" w:line="240" w:lineRule="auto"/>
        <w:ind w:firstLine="0"/>
        <w:rPr>
          <w:sz w:val="24"/>
          <w:szCs w:val="24"/>
        </w:rPr>
      </w:pPr>
      <w:r w:rsidRPr="005252F0">
        <w:rPr>
          <w:sz w:val="24"/>
          <w:szCs w:val="24"/>
        </w:rPr>
        <w:t>“Support structure” includes, but is not limited to, a utility distribution pole, anchor, duct, conduit, manhole, or handhole.</w:t>
      </w:r>
    </w:p>
    <w:p w:rsidR="008338A7" w:rsidRPr="005252F0" w:rsidRDefault="008338A7" w:rsidP="00FC3FC3">
      <w:pPr>
        <w:pStyle w:val="standard"/>
        <w:keepLines/>
        <w:spacing w:after="120" w:line="240" w:lineRule="auto"/>
        <w:ind w:firstLine="0"/>
        <w:rPr>
          <w:sz w:val="24"/>
          <w:szCs w:val="24"/>
        </w:rPr>
      </w:pPr>
      <w:r w:rsidRPr="005252F0">
        <w:rPr>
          <w:sz w:val="24"/>
          <w:szCs w:val="24"/>
        </w:rPr>
        <w:t>“Pole attachment” means any attachment to surplus space, or use of excess capacity, by a telecommunications carrier or CMRS carrier for a communications system on or in any support structure owned, controlled, or used by a public utility.</w:t>
      </w:r>
    </w:p>
    <w:p w:rsidR="008338A7" w:rsidRPr="005252F0" w:rsidRDefault="008338A7" w:rsidP="00FC3FC3">
      <w:pPr>
        <w:pStyle w:val="standard"/>
        <w:keepLines/>
        <w:spacing w:after="120" w:line="240" w:lineRule="auto"/>
        <w:ind w:firstLine="0"/>
        <w:rPr>
          <w:sz w:val="24"/>
          <w:szCs w:val="24"/>
        </w:rPr>
      </w:pPr>
      <w:r w:rsidRPr="005252F0">
        <w:rPr>
          <w:sz w:val="24"/>
          <w:szCs w:val="24"/>
        </w:rPr>
        <w:t>“Surplus space” means that portion of the usable space on a utility pole which has the necessary clearance from other pole users, as required by the orders and regulations of the Commission, to allow its use by a telecommunications carrier or CMRS carrier for a pole attachment.</w:t>
      </w:r>
    </w:p>
    <w:p w:rsidR="008338A7" w:rsidRPr="005252F0" w:rsidRDefault="008338A7" w:rsidP="00FC3FC3">
      <w:pPr>
        <w:pStyle w:val="standard"/>
        <w:keepLines/>
        <w:spacing w:after="120" w:line="240" w:lineRule="auto"/>
        <w:ind w:firstLine="0"/>
        <w:rPr>
          <w:sz w:val="24"/>
          <w:szCs w:val="24"/>
        </w:rPr>
      </w:pPr>
      <w:r w:rsidRPr="005252F0">
        <w:rPr>
          <w:sz w:val="24"/>
          <w:szCs w:val="24"/>
        </w:rPr>
        <w:t>“Excess capacity” means volume or capacity in a duct, conduit, or support structure other than a utility pole or anchor which can be used, pursuant to the orders and regulations of the Commission, for a pole attachment.</w:t>
      </w:r>
    </w:p>
    <w:p w:rsidR="008338A7" w:rsidRPr="005252F0" w:rsidRDefault="008338A7" w:rsidP="00FC3FC3">
      <w:pPr>
        <w:pStyle w:val="standard"/>
        <w:keepLines/>
        <w:spacing w:after="120" w:line="240" w:lineRule="auto"/>
        <w:ind w:firstLine="0"/>
        <w:rPr>
          <w:sz w:val="24"/>
          <w:szCs w:val="24"/>
        </w:rPr>
      </w:pPr>
      <w:r w:rsidRPr="005252F0">
        <w:rPr>
          <w:sz w:val="24"/>
          <w:szCs w:val="24"/>
        </w:rPr>
        <w:t>“Usable space” means the total distance between the top of the utility pole and the lowest possible attachment point that provides the minimum allowable vertical clearance.</w:t>
      </w:r>
    </w:p>
    <w:p w:rsidR="008338A7" w:rsidRPr="005252F0" w:rsidRDefault="008338A7" w:rsidP="00FC3FC3">
      <w:pPr>
        <w:pStyle w:val="standard"/>
        <w:keepLines/>
        <w:spacing w:after="120" w:line="240" w:lineRule="auto"/>
        <w:ind w:firstLine="0"/>
        <w:rPr>
          <w:sz w:val="24"/>
          <w:szCs w:val="24"/>
        </w:rPr>
      </w:pPr>
      <w:r w:rsidRPr="005252F0">
        <w:rPr>
          <w:sz w:val="24"/>
          <w:szCs w:val="24"/>
        </w:rPr>
        <w:t>“Minimum allowable vertical clearance” means the minimum clearance for communication conductors along rights-of-way or other areas as specified in the orders and regulations of the Commission.</w:t>
      </w:r>
    </w:p>
    <w:p w:rsidR="008338A7" w:rsidRPr="005252F0" w:rsidRDefault="008338A7" w:rsidP="00FC3FC3">
      <w:pPr>
        <w:pStyle w:val="standard"/>
        <w:keepLines/>
        <w:spacing w:after="120" w:line="240" w:lineRule="auto"/>
        <w:ind w:firstLine="0"/>
        <w:rPr>
          <w:sz w:val="24"/>
          <w:szCs w:val="24"/>
        </w:rPr>
      </w:pPr>
      <w:r w:rsidRPr="005252F0">
        <w:rPr>
          <w:sz w:val="24"/>
          <w:szCs w:val="24"/>
        </w:rPr>
        <w:lastRenderedPageBreak/>
        <w:t>“Rearrangements” means work performed, at the request of a telecommunications carrier or CMRS carrier,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 or CMRS carrier, of the support structure in order to provide adequate surplus space or excess capacity.  This definition is not intended to limit the circumstances where a telecommunications carrier or CMRS</w:t>
      </w:r>
      <w:r w:rsidR="00604B40" w:rsidRPr="005252F0">
        <w:rPr>
          <w:sz w:val="24"/>
          <w:szCs w:val="24"/>
        </w:rPr>
        <w:t> </w:t>
      </w:r>
      <w:r w:rsidRPr="005252F0">
        <w:rPr>
          <w:sz w:val="24"/>
          <w:szCs w:val="24"/>
        </w:rPr>
        <w:t>carrier may request replacement of an existing structure with a different or larger support structure.</w:t>
      </w:r>
    </w:p>
    <w:p w:rsidR="008338A7" w:rsidRPr="008E5E68" w:rsidRDefault="008338A7" w:rsidP="00FC3FC3">
      <w:pPr>
        <w:pStyle w:val="standard"/>
        <w:keepLines/>
        <w:spacing w:after="120" w:line="240" w:lineRule="auto"/>
        <w:ind w:firstLine="0"/>
        <w:rPr>
          <w:sz w:val="24"/>
          <w:szCs w:val="24"/>
        </w:rPr>
      </w:pPr>
      <w:r w:rsidRPr="008E5E68">
        <w:rPr>
          <w:sz w:val="24"/>
          <w:szCs w:val="24"/>
        </w:rPr>
        <w:t>“Annual cost</w:t>
      </w:r>
      <w:r w:rsidR="008453AB" w:rsidRPr="008E5E68">
        <w:rPr>
          <w:sz w:val="24"/>
          <w:szCs w:val="24"/>
        </w:rPr>
        <w:t>-</w:t>
      </w:r>
      <w:r w:rsidRPr="008E5E68">
        <w:rPr>
          <w:sz w:val="24"/>
          <w:szCs w:val="24"/>
        </w:rPr>
        <w:t>of</w:t>
      </w:r>
      <w:r w:rsidR="008453AB" w:rsidRPr="008E5E68">
        <w:rPr>
          <w:sz w:val="24"/>
          <w:szCs w:val="24"/>
        </w:rPr>
        <w:t>-</w:t>
      </w:r>
      <w:r w:rsidRPr="008E5E68">
        <w:rPr>
          <w:sz w:val="24"/>
          <w:szCs w:val="24"/>
        </w:rPr>
        <w:t>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w:t>
      </w:r>
      <w:r w:rsidR="008453AB" w:rsidRPr="008E5E68">
        <w:rPr>
          <w:sz w:val="24"/>
          <w:szCs w:val="24"/>
        </w:rPr>
        <w:t>-</w:t>
      </w:r>
      <w:r w:rsidRPr="008E5E68">
        <w:rPr>
          <w:sz w:val="24"/>
          <w:szCs w:val="24"/>
        </w:rPr>
        <w:t>of</w:t>
      </w:r>
      <w:r w:rsidR="008453AB" w:rsidRPr="008E5E68">
        <w:rPr>
          <w:sz w:val="24"/>
          <w:szCs w:val="24"/>
        </w:rPr>
        <w:t>-</w:t>
      </w:r>
      <w:r w:rsidRPr="008E5E68">
        <w:rPr>
          <w:sz w:val="24"/>
          <w:szCs w:val="24"/>
        </w:rPr>
        <w:t>ownership” shall not include costs for any property not necessary for a pole attachment.</w:t>
      </w:r>
    </w:p>
    <w:p w:rsidR="008338A7" w:rsidRPr="006813CF" w:rsidRDefault="008338A7" w:rsidP="00FC3FC3">
      <w:pPr>
        <w:pStyle w:val="standard"/>
        <w:keepLines/>
        <w:spacing w:after="120" w:line="240" w:lineRule="auto"/>
        <w:ind w:firstLine="0"/>
      </w:pPr>
      <w:r w:rsidRPr="006813CF">
        <w:t xml:space="preserve">“Telecommunications carrier” generally means any provider of telecommunications services that has been granted a certificate of public convenience and necessity </w:t>
      </w:r>
      <w:r w:rsidR="00800142" w:rsidRPr="002A569B">
        <w:rPr>
          <w:b/>
          <w:color w:val="FF0000"/>
          <w:u w:val="single"/>
        </w:rPr>
        <w:t>(CPCN)</w:t>
      </w:r>
      <w:r w:rsidR="00800142">
        <w:t xml:space="preserve"> </w:t>
      </w:r>
      <w:r w:rsidRPr="006813CF">
        <w:t>by the California Public Utilities Commission</w:t>
      </w:r>
      <w:r w:rsidR="00236E4D">
        <w:t xml:space="preserve"> </w:t>
      </w:r>
      <w:r w:rsidR="00236E4D" w:rsidRPr="002A569B">
        <w:rPr>
          <w:b/>
          <w:color w:val="FF0000"/>
          <w:u w:val="single"/>
        </w:rPr>
        <w:t>(Commission)</w:t>
      </w:r>
      <w:r w:rsidRPr="006813CF">
        <w:t xml:space="preserve">.  </w:t>
      </w:r>
      <w:r w:rsidR="00237A49" w:rsidRPr="002A569B">
        <w:rPr>
          <w:b/>
          <w:color w:val="FF0000"/>
          <w:u w:val="single"/>
        </w:rPr>
        <w:t>The definition of “telecommunications carrier” includes Competitive Local Exchange Carrier</w:t>
      </w:r>
      <w:r w:rsidR="00236E4D" w:rsidRPr="002A569B">
        <w:rPr>
          <w:b/>
          <w:color w:val="FF0000"/>
          <w:u w:val="single"/>
        </w:rPr>
        <w:t>s</w:t>
      </w:r>
      <w:r w:rsidR="00237A49" w:rsidRPr="002A569B">
        <w:rPr>
          <w:b/>
          <w:color w:val="FF0000"/>
          <w:u w:val="single"/>
        </w:rPr>
        <w:t xml:space="preserve"> </w:t>
      </w:r>
      <w:r w:rsidR="00532720" w:rsidRPr="002A569B">
        <w:rPr>
          <w:b/>
          <w:color w:val="FF0000"/>
          <w:u w:val="single"/>
        </w:rPr>
        <w:t>(CLEC)</w:t>
      </w:r>
      <w:r w:rsidR="00237A49" w:rsidRPr="002A569B">
        <w:rPr>
          <w:b/>
          <w:color w:val="FF0000"/>
          <w:u w:val="single"/>
        </w:rPr>
        <w:t xml:space="preserve"> that h</w:t>
      </w:r>
      <w:r w:rsidR="00236E4D" w:rsidRPr="002A569B">
        <w:rPr>
          <w:b/>
          <w:color w:val="FF0000"/>
          <w:u w:val="single"/>
        </w:rPr>
        <w:t>a</w:t>
      </w:r>
      <w:r w:rsidR="00F87DA2" w:rsidRPr="002A569B">
        <w:rPr>
          <w:b/>
          <w:color w:val="FF0000"/>
          <w:u w:val="single"/>
        </w:rPr>
        <w:t>ve</w:t>
      </w:r>
      <w:r w:rsidR="00236E4D" w:rsidRPr="002A569B">
        <w:rPr>
          <w:b/>
          <w:color w:val="FF0000"/>
          <w:u w:val="single"/>
        </w:rPr>
        <w:t xml:space="preserve"> been granted a CPCN </w:t>
      </w:r>
      <w:r w:rsidR="00237A49" w:rsidRPr="002A569B">
        <w:rPr>
          <w:b/>
          <w:color w:val="FF0000"/>
          <w:u w:val="single"/>
        </w:rPr>
        <w:t xml:space="preserve">by the Commission to provide facilities-based competitive local exchange service.  </w:t>
      </w:r>
      <w:r w:rsidRPr="006813CF">
        <w:t>These rules, however, exclude interexchange carriers from the definition of “telecommunications carrier.”</w:t>
      </w:r>
      <w:r w:rsidR="002942C8">
        <w:t xml:space="preserve">  </w:t>
      </w:r>
    </w:p>
    <w:p w:rsidR="008338A7" w:rsidRPr="008E5E68" w:rsidRDefault="008338A7" w:rsidP="00FC3FC3">
      <w:pPr>
        <w:pStyle w:val="standard"/>
        <w:keepLines/>
        <w:spacing w:after="120" w:line="240" w:lineRule="auto"/>
        <w:ind w:firstLine="0"/>
        <w:rPr>
          <w:sz w:val="24"/>
          <w:szCs w:val="24"/>
        </w:rPr>
      </w:pPr>
      <w:r w:rsidRPr="008E5E68">
        <w:rPr>
          <w:sz w:val="24"/>
          <w:szCs w:val="24"/>
        </w:rPr>
        <w:t>“Commercial Mobile Radio Service (CMRS) carrier” is an entity that holds (1) a current Wireless Identification Registration with the California Public Utilities Commission, or (2) a current Certificate of Public Convenience and Necessity issued by the California Public Utilities Commission that authorizes the holder to provide Commercial Mobile Radio Service.</w:t>
      </w:r>
    </w:p>
    <w:p w:rsidR="008338A7" w:rsidRPr="008E5E68" w:rsidRDefault="00237A49" w:rsidP="00FC3FC3">
      <w:pPr>
        <w:pStyle w:val="standard"/>
        <w:spacing w:after="120" w:line="240" w:lineRule="auto"/>
        <w:ind w:firstLine="0"/>
        <w:rPr>
          <w:sz w:val="24"/>
          <w:szCs w:val="24"/>
        </w:rPr>
      </w:pPr>
      <w:r w:rsidRPr="008E5E68">
        <w:rPr>
          <w:sz w:val="24"/>
          <w:szCs w:val="24"/>
        </w:rPr>
        <w:t xml:space="preserve"> </w:t>
      </w:r>
      <w:r w:rsidR="008338A7" w:rsidRPr="008E5E68">
        <w:rPr>
          <w:sz w:val="24"/>
          <w:szCs w:val="24"/>
        </w:rPr>
        <w:t>“Cable TV company” as used in these rules refers to a privately owned company, that provides cable service as defined in the PU Code and is not certified to provide telecommunications service.</w:t>
      </w:r>
    </w:p>
    <w:p w:rsidR="008338A7" w:rsidRPr="008E5E68" w:rsidRDefault="008338A7" w:rsidP="00FC3FC3">
      <w:pPr>
        <w:pStyle w:val="standard"/>
        <w:spacing w:after="120" w:line="240" w:lineRule="auto"/>
        <w:ind w:firstLine="0"/>
        <w:rPr>
          <w:sz w:val="24"/>
          <w:szCs w:val="24"/>
        </w:rPr>
      </w:pPr>
      <w:r w:rsidRPr="008E5E68">
        <w:rPr>
          <w:sz w:val="24"/>
          <w:szCs w:val="24"/>
        </w:rPr>
        <w:t>“Right</w:t>
      </w:r>
      <w:r w:rsidR="0078351D" w:rsidRPr="008E5E68">
        <w:rPr>
          <w:sz w:val="24"/>
          <w:szCs w:val="24"/>
        </w:rPr>
        <w:t>-</w:t>
      </w:r>
      <w:r w:rsidRPr="008E5E68">
        <w:rPr>
          <w:sz w:val="24"/>
          <w:szCs w:val="24"/>
        </w:rPr>
        <w:t>of</w:t>
      </w:r>
      <w:r w:rsidR="0078351D" w:rsidRPr="008E5E68">
        <w:rPr>
          <w:sz w:val="24"/>
          <w:szCs w:val="24"/>
        </w:rPr>
        <w:t>-</w:t>
      </w:r>
      <w:r w:rsidRPr="008E5E68">
        <w:rPr>
          <w:sz w:val="24"/>
          <w:szCs w:val="24"/>
        </w:rPr>
        <w:t>way” means the right of competing providers to obtain access to the distribution poles, ducts, conduits, and other support structures of a utility which are necessary to reach customers for telecommunications purposes.</w:t>
      </w:r>
    </w:p>
    <w:p w:rsidR="008338A7" w:rsidRPr="005252F0" w:rsidRDefault="008338A7" w:rsidP="00FC3FC3">
      <w:pPr>
        <w:pStyle w:val="standard"/>
        <w:spacing w:after="120" w:line="240" w:lineRule="auto"/>
        <w:ind w:firstLine="0"/>
        <w:rPr>
          <w:sz w:val="24"/>
          <w:szCs w:val="24"/>
        </w:rPr>
      </w:pPr>
      <w:r w:rsidRPr="005252F0">
        <w:rPr>
          <w:sz w:val="24"/>
          <w:szCs w:val="24"/>
        </w:rPr>
        <w:lastRenderedPageBreak/>
        <w:t>“Make ready work” means the process of completing rearrangements on or in a support structure to create such surplus space or excess capacity as is necessary to make it usable for a pole attachment.</w:t>
      </w:r>
    </w:p>
    <w:p w:rsidR="008338A7" w:rsidRPr="005252F0" w:rsidRDefault="008338A7" w:rsidP="00FC3FC3">
      <w:pPr>
        <w:pStyle w:val="standard"/>
        <w:spacing w:after="120" w:line="240" w:lineRule="auto"/>
        <w:ind w:firstLine="0"/>
        <w:rPr>
          <w:sz w:val="24"/>
          <w:szCs w:val="24"/>
        </w:rPr>
      </w:pPr>
      <w:r w:rsidRPr="005252F0">
        <w:rPr>
          <w:sz w:val="24"/>
          <w:szCs w:val="24"/>
        </w:rPr>
        <w:t>“Modifications” means the process of changing or modifying, in whole or in part, support structures or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to accommodate more or different pole attachments.</w:t>
      </w:r>
    </w:p>
    <w:p w:rsidR="008338A7" w:rsidRPr="005252F0" w:rsidRDefault="008338A7" w:rsidP="00FC3FC3">
      <w:pPr>
        <w:pStyle w:val="standard"/>
        <w:spacing w:after="240" w:line="240" w:lineRule="auto"/>
        <w:ind w:firstLine="0"/>
        <w:rPr>
          <w:sz w:val="24"/>
          <w:szCs w:val="24"/>
        </w:rPr>
      </w:pPr>
      <w:r w:rsidRPr="005252F0">
        <w:rPr>
          <w:sz w:val="24"/>
          <w:szCs w:val="24"/>
        </w:rPr>
        <w:t>“Incumbent local exchange carrier” refers to Pacific Bell and GTE California, Inc., Roseville Telephone Company, and Citizens Telecommunications Company of California, for purposes of these rules, unless explicitly indicated otherwise.</w:t>
      </w:r>
    </w:p>
    <w:p w:rsidR="008338A7" w:rsidRPr="00D54868" w:rsidRDefault="008338A7" w:rsidP="00FC3FC3">
      <w:pPr>
        <w:pStyle w:val="standard"/>
        <w:keepNext/>
        <w:tabs>
          <w:tab w:val="left" w:pos="540"/>
        </w:tabs>
        <w:spacing w:after="120" w:line="240" w:lineRule="auto"/>
        <w:ind w:left="540" w:hanging="540"/>
      </w:pPr>
      <w:r>
        <w:t xml:space="preserve">III. </w:t>
      </w:r>
      <w:r>
        <w:tab/>
      </w:r>
      <w:r w:rsidRPr="00D54868">
        <w:t>REQUESTS FOR INFORMATION</w:t>
      </w:r>
    </w:p>
    <w:p w:rsidR="008338A7" w:rsidRPr="005252F0" w:rsidRDefault="008338A7" w:rsidP="008338A7">
      <w:pPr>
        <w:pStyle w:val="standard"/>
        <w:spacing w:after="120" w:line="240" w:lineRule="auto"/>
        <w:ind w:firstLine="0"/>
        <w:rPr>
          <w:sz w:val="24"/>
          <w:szCs w:val="24"/>
        </w:rPr>
      </w:pPr>
      <w:r w:rsidRPr="005252F0">
        <w:rPr>
          <w:sz w:val="24"/>
          <w:szCs w:val="24"/>
        </w:rPr>
        <w:t>A utility shall promptly respond in writing to a written request for information (“request for information”) from a telecommunications carrier, CMRS carrier, or cable TV company regarding the availability of surplus space or excess capacity on or in the utility’s support structures and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8338A7" w:rsidRPr="005252F0" w:rsidRDefault="008338A7" w:rsidP="008338A7">
      <w:pPr>
        <w:pStyle w:val="standard"/>
        <w:spacing w:after="120" w:line="240" w:lineRule="auto"/>
        <w:ind w:firstLine="0"/>
        <w:rPr>
          <w:sz w:val="24"/>
          <w:szCs w:val="24"/>
        </w:rPr>
      </w:pPr>
      <w:r w:rsidRPr="005252F0">
        <w:rPr>
          <w:sz w:val="24"/>
          <w:szCs w:val="24"/>
        </w:rPr>
        <w:t>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identified by the carrier.</w:t>
      </w:r>
    </w:p>
    <w:p w:rsidR="008338A7" w:rsidRPr="005252F0" w:rsidRDefault="008338A7" w:rsidP="008338A7">
      <w:pPr>
        <w:pStyle w:val="standard"/>
        <w:spacing w:after="120" w:line="240" w:lineRule="auto"/>
        <w:ind w:firstLine="0"/>
        <w:rPr>
          <w:sz w:val="24"/>
          <w:szCs w:val="24"/>
        </w:rPr>
      </w:pPr>
      <w:r w:rsidRPr="005252F0">
        <w:rPr>
          <w:sz w:val="24"/>
          <w:szCs w:val="24"/>
        </w:rPr>
        <w:t>The utility may charge for the actual costs incurred for copies and any preparation of maps, drawings or plans necessary for evaluating the availability of surplus space or excess capacity on support structures and for evaluating access to a utility’s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w:t>
      </w:r>
    </w:p>
    <w:p w:rsidR="008338A7" w:rsidRPr="005252F0" w:rsidRDefault="008338A7" w:rsidP="008338A7">
      <w:pPr>
        <w:pStyle w:val="standard"/>
        <w:spacing w:after="120" w:line="240" w:lineRule="auto"/>
        <w:ind w:firstLine="0"/>
        <w:rPr>
          <w:sz w:val="24"/>
          <w:szCs w:val="24"/>
        </w:rPr>
      </w:pPr>
      <w:r w:rsidRPr="005252F0">
        <w:rPr>
          <w:sz w:val="24"/>
          <w:szCs w:val="24"/>
        </w:rPr>
        <w:t>Within 20 business days of a request, anyone who attaches to a utility</w:t>
      </w:r>
      <w:r w:rsidRPr="005252F0">
        <w:rPr>
          <w:sz w:val="24"/>
          <w:szCs w:val="24"/>
        </w:rPr>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8338A7" w:rsidRPr="005252F0" w:rsidRDefault="008338A7" w:rsidP="008338A7">
      <w:pPr>
        <w:pStyle w:val="standard"/>
        <w:spacing w:after="240" w:line="240" w:lineRule="auto"/>
        <w:ind w:firstLine="0"/>
        <w:rPr>
          <w:sz w:val="24"/>
          <w:szCs w:val="24"/>
        </w:rPr>
      </w:pPr>
      <w:r w:rsidRPr="005252F0">
        <w:rPr>
          <w:sz w:val="24"/>
          <w:szCs w:val="24"/>
        </w:rPr>
        <w:t>The utility may request up-front payments of its estimated costs for any of the work contemplated by Rule III.C., Rule IV.A. and Rule IV.B.  The utility’s estimate will be adjusted to reflect actual cost upon completion of the requested tasks.</w:t>
      </w:r>
    </w:p>
    <w:p w:rsidR="008338A7" w:rsidRPr="00B528CC" w:rsidRDefault="008338A7" w:rsidP="00FC3FC3">
      <w:pPr>
        <w:pStyle w:val="standard"/>
        <w:keepNext/>
        <w:tabs>
          <w:tab w:val="left" w:pos="540"/>
        </w:tabs>
        <w:spacing w:after="120" w:line="240" w:lineRule="auto"/>
        <w:ind w:left="540" w:hanging="540"/>
      </w:pPr>
      <w:r>
        <w:lastRenderedPageBreak/>
        <w:t xml:space="preserve">IV. </w:t>
      </w:r>
      <w:r>
        <w:tab/>
      </w:r>
      <w:r w:rsidRPr="00B528CC">
        <w:t>REQUESTS FOR ACCESS TO RIGHTS</w:t>
      </w:r>
      <w:r w:rsidR="0078351D">
        <w:t>-</w:t>
      </w:r>
      <w:r w:rsidRPr="00B528CC">
        <w:t>OF</w:t>
      </w:r>
      <w:r w:rsidR="0078351D">
        <w:t>-</w:t>
      </w:r>
      <w:r w:rsidRPr="00B528CC">
        <w:t>WAY AND SUPPORT STRUCTURES</w:t>
      </w:r>
    </w:p>
    <w:p w:rsidR="008338A7" w:rsidRPr="00B528CC" w:rsidRDefault="008338A7" w:rsidP="004F695A">
      <w:pPr>
        <w:pStyle w:val="standard"/>
        <w:keepNext/>
        <w:tabs>
          <w:tab w:val="left" w:pos="540"/>
        </w:tabs>
        <w:spacing w:after="120" w:line="240" w:lineRule="auto"/>
        <w:ind w:left="547" w:hanging="547"/>
      </w:pPr>
      <w:r>
        <w:t xml:space="preserve">A. </w:t>
      </w:r>
      <w:r>
        <w:tab/>
      </w:r>
      <w:r w:rsidRPr="00B528CC">
        <w:t>INFORMATION REQUIREMENTS OF REQUESTS FOR ACCESS</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The request for access shall contain the following:</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 xml:space="preserve">1. </w:t>
      </w:r>
      <w:r w:rsidRPr="00EB3DFA">
        <w:rPr>
          <w:sz w:val="24"/>
          <w:szCs w:val="24"/>
        </w:rPr>
        <w:tab/>
        <w:t>Information for contacting the telecommunications carrier, CMRS</w:t>
      </w:r>
      <w:r w:rsidR="00C101AA" w:rsidRPr="00EB3DFA">
        <w:rPr>
          <w:sz w:val="24"/>
          <w:szCs w:val="24"/>
        </w:rPr>
        <w:t> </w:t>
      </w:r>
      <w:r w:rsidRPr="00EB3DFA">
        <w:rPr>
          <w:sz w:val="24"/>
          <w:szCs w:val="24"/>
        </w:rPr>
        <w:t>carrier, or cable TV company, including project engineer, and name and address of person to be billed.</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 xml:space="preserve">2. </w:t>
      </w:r>
      <w:r w:rsidRPr="00EB3DFA">
        <w:rPr>
          <w:sz w:val="24"/>
          <w:szCs w:val="24"/>
        </w:rPr>
        <w:tab/>
        <w:t>Loading information, which includes grade and size of attachment, size of cable, average span length, wind loading of their equipment, vertical loading, and bending movement.</w:t>
      </w:r>
    </w:p>
    <w:p w:rsidR="008338A7" w:rsidRPr="00EB3DFA" w:rsidRDefault="008338A7" w:rsidP="00E40680">
      <w:pPr>
        <w:pStyle w:val="standard"/>
        <w:tabs>
          <w:tab w:val="left" w:pos="1080"/>
        </w:tabs>
        <w:spacing w:line="240" w:lineRule="auto"/>
        <w:ind w:left="1080" w:hanging="360"/>
        <w:rPr>
          <w:sz w:val="24"/>
          <w:szCs w:val="24"/>
        </w:rPr>
      </w:pPr>
      <w:r w:rsidRPr="00EB3DFA">
        <w:rPr>
          <w:sz w:val="24"/>
          <w:szCs w:val="24"/>
        </w:rPr>
        <w:t xml:space="preserve">3. </w:t>
      </w:r>
      <w:r w:rsidRPr="00EB3DFA">
        <w:rPr>
          <w:sz w:val="24"/>
          <w:szCs w:val="24"/>
        </w:rPr>
        <w:tab/>
        <w:t>Copy of property lease or right-of-way document.</w:t>
      </w:r>
    </w:p>
    <w:p w:rsidR="008338A7" w:rsidRPr="00146949" w:rsidRDefault="008338A7" w:rsidP="008338A7">
      <w:pPr>
        <w:pStyle w:val="standard"/>
        <w:spacing w:line="240" w:lineRule="auto"/>
      </w:pPr>
    </w:p>
    <w:p w:rsidR="008338A7" w:rsidRPr="005A5BBB" w:rsidRDefault="008338A7" w:rsidP="004F695A">
      <w:pPr>
        <w:pStyle w:val="standard"/>
        <w:keepNext/>
        <w:tabs>
          <w:tab w:val="left" w:pos="540"/>
        </w:tabs>
        <w:spacing w:after="120" w:line="240" w:lineRule="auto"/>
        <w:ind w:left="547" w:hanging="547"/>
      </w:pPr>
      <w:r>
        <w:t xml:space="preserve">B. </w:t>
      </w:r>
      <w:r>
        <w:tab/>
      </w:r>
      <w:r w:rsidRPr="005A5BBB">
        <w:t>RESPONSES TO REQUESTS FOR ACCESS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1. </w:t>
      </w:r>
      <w:r w:rsidRPr="00EB3DFA">
        <w:rPr>
          <w:sz w:val="24"/>
          <w:szCs w:val="24"/>
        </w:rPr>
        <w:tab/>
        <w:t>A utility shall respond in writing to the written request of a telecommunications carrier, CMRS carrier, or cable TV company for access (“request for access”) to its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as quickly as possible, which, in the case of Pacific or GTEC, shall not exceed 45 days.  The response shall affirmatively state whether the utility will grant access or, if it intends to deny access, shall state all of the reasons why it is denying such access.  Failure of Pacific or GTEC to respond within 45 days shall be deemed an acceptance of the request for access.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2. </w:t>
      </w:r>
      <w:r w:rsidRPr="00EB3DFA">
        <w:rPr>
          <w:sz w:val="24"/>
          <w:szCs w:val="24"/>
        </w:rPr>
        <w:tab/>
        <w:t>If, pursuant to a request for access, the utility has notified the telecommunication carrier, CMRS carrier,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3. </w:t>
      </w:r>
      <w:r w:rsidRPr="00EB3DFA">
        <w:rPr>
          <w:sz w:val="24"/>
          <w:szCs w:val="24"/>
        </w:rPr>
        <w:tab/>
        <w:t>If the utility does not own the property on which its support structures are located, the telecommunication carrier, CMRS carrier, or cable TV company must obtain written permission from the owner of that property before attaching or installing its facilities.  The telecommunication carrier, CMRS carrier, or cable TV company by using such facilities shall defend and indemnify the owner of the utility facilities, if its franchise or other rights to use the real property are challenged as a result of the telecommunication carrier’s, CMRS carrier’s, or the cable TV company’s use or attachment.</w:t>
      </w:r>
    </w:p>
    <w:p w:rsidR="008338A7" w:rsidRPr="002A4DE9" w:rsidRDefault="008338A7" w:rsidP="008338A7">
      <w:pPr>
        <w:pStyle w:val="standard"/>
        <w:spacing w:line="240" w:lineRule="auto"/>
      </w:pPr>
    </w:p>
    <w:p w:rsidR="008338A7" w:rsidRPr="002A4DE9" w:rsidRDefault="008338A7" w:rsidP="004F695A">
      <w:pPr>
        <w:pStyle w:val="standard"/>
        <w:keepNext/>
        <w:tabs>
          <w:tab w:val="left" w:pos="540"/>
        </w:tabs>
        <w:spacing w:after="120" w:line="240" w:lineRule="auto"/>
        <w:ind w:left="547" w:hanging="547"/>
      </w:pPr>
      <w:r>
        <w:lastRenderedPageBreak/>
        <w:t xml:space="preserve">C. </w:t>
      </w:r>
      <w:r>
        <w:tab/>
      </w:r>
      <w:r w:rsidRPr="002A4DE9">
        <w:t>TIME FOR COMPLETION OF MAKE READY WORK</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If a utility is required to perform make ready work on its poles, ducts or conduit to accommodate a telecommunications carrier’s, CMRS carrier’s, or a cable 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w:t>
      </w:r>
      <w:r w:rsidR="004F695A" w:rsidRPr="00EB3DFA">
        <w:rPr>
          <w:sz w:val="24"/>
          <w:szCs w:val="24"/>
        </w:rPr>
        <w:t> </w:t>
      </w:r>
      <w:r w:rsidRPr="00EB3DFA">
        <w:rPr>
          <w:sz w:val="24"/>
          <w:szCs w:val="24"/>
        </w:rPr>
        <w:t>poles or 5 miles of conduit, the parties will negotiate a mutually satisfactory longer time frame to complete such make ready work.</w:t>
      </w:r>
    </w:p>
    <w:p w:rsidR="008338A7" w:rsidRPr="00E35516" w:rsidRDefault="008338A7" w:rsidP="008338A7">
      <w:pPr>
        <w:pStyle w:val="standard"/>
        <w:spacing w:line="240" w:lineRule="auto"/>
      </w:pPr>
    </w:p>
    <w:p w:rsidR="008338A7" w:rsidRPr="002A4DE9" w:rsidRDefault="008338A7" w:rsidP="004F695A">
      <w:pPr>
        <w:pStyle w:val="standard"/>
        <w:keepNext/>
        <w:tabs>
          <w:tab w:val="left" w:pos="540"/>
        </w:tabs>
        <w:spacing w:after="120" w:line="240" w:lineRule="auto"/>
        <w:ind w:left="547" w:hanging="547"/>
      </w:pPr>
      <w:r>
        <w:t xml:space="preserve">D. </w:t>
      </w:r>
      <w:r>
        <w:tab/>
      </w:r>
      <w:r w:rsidRPr="002A4DE9">
        <w:t>USE OF THIRD PARTY CONTRACTORS</w:t>
      </w:r>
    </w:p>
    <w:p w:rsidR="008338A7" w:rsidRPr="002A4DE9" w:rsidRDefault="008338A7" w:rsidP="002D61FF">
      <w:pPr>
        <w:pStyle w:val="standard"/>
        <w:tabs>
          <w:tab w:val="left" w:pos="900"/>
        </w:tabs>
        <w:spacing w:after="120" w:line="240" w:lineRule="auto"/>
        <w:ind w:left="900" w:hanging="360"/>
      </w:pPr>
      <w:r w:rsidRPr="002A4DE9">
        <w:t xml:space="preserve">1. </w:t>
      </w:r>
      <w:r w:rsidRPr="002A4DE9">
        <w:tab/>
        <w:t xml:space="preserve">The ILEC shall maintain a list of contractors that are qualified to respond to requests for information and requests for access, as well as to perform make ready work and attachment and installation of </w:t>
      </w:r>
      <w:r w:rsidRPr="002A569B">
        <w:rPr>
          <w:b/>
          <w:strike/>
          <w:color w:val="FF0000"/>
        </w:rPr>
        <w:t xml:space="preserve">wire </w:t>
      </w:r>
      <w:r w:rsidRPr="003827EC">
        <w:t>telecommunications</w:t>
      </w:r>
      <w:r w:rsidRPr="002A4DE9">
        <w:t xml:space="preserve"> </w:t>
      </w:r>
      <w:r w:rsidR="000978AB" w:rsidRPr="002A569B">
        <w:rPr>
          <w:b/>
          <w:color w:val="FF0000"/>
          <w:u w:val="single"/>
        </w:rPr>
        <w:t>carrier facilities</w:t>
      </w:r>
      <w:r w:rsidR="00071621" w:rsidRPr="002A569B">
        <w:rPr>
          <w:b/>
          <w:strike/>
          <w:color w:val="FF0000"/>
        </w:rPr>
        <w:t xml:space="preserve"> </w:t>
      </w:r>
      <w:r w:rsidRPr="002A569B">
        <w:rPr>
          <w:b/>
          <w:strike/>
          <w:color w:val="FF0000"/>
        </w:rPr>
        <w:t>communications</w:t>
      </w:r>
      <w:r w:rsidRPr="002A4DE9">
        <w:t xml:space="preserve">, </w:t>
      </w:r>
      <w:r w:rsidRPr="003827EC">
        <w:t>CMRS</w:t>
      </w:r>
      <w:r w:rsidR="00BF613F">
        <w:t> </w:t>
      </w:r>
      <w:r w:rsidRPr="003827EC">
        <w:t>facilities</w:t>
      </w:r>
      <w:r w:rsidRPr="002A4DE9">
        <w:t>, or cable TV facilities on the utility’s support structures.  This requirement shall not apply to electric utilities.  This requirement shall not affect the discretion of a utility to use its own employees.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2. </w:t>
      </w:r>
      <w:r w:rsidRPr="00EB3DFA">
        <w:rPr>
          <w:sz w:val="24"/>
          <w:szCs w:val="24"/>
        </w:rPr>
        <w:tab/>
        <w:t>A telecommunications carrier, CMRS carrier, or cable TV company may use its own personnel to attach or install the carrier’s communications facilities in or on a utility’s facilities, provided that in the utility’s reasonable judgment, the telecommunications carrier’s, CMRS carrier’s, or cable TV company’s personnel or agents demonstrate that they are trained and qualified to work on or in the utility’s facilities.  To use its own personnel or contractors on electric utility poles, the telecommunications carrier, CMRS carrier, or cable</w:t>
      </w:r>
      <w:r w:rsidR="00071621" w:rsidRPr="00EB3DFA">
        <w:rPr>
          <w:sz w:val="24"/>
          <w:szCs w:val="24"/>
        </w:rPr>
        <w:t> </w:t>
      </w:r>
      <w:r w:rsidRPr="00EB3DFA">
        <w:rPr>
          <w:sz w:val="24"/>
          <w:szCs w:val="24"/>
        </w:rPr>
        <w:t xml:space="preserve">TV company must give 48 hours advance notice to the electric utility, unless an electrical shutdown is required.  If an electrical shutdown is required, the telecommunications carrier, CMRS carrier, or cable TV company must arrange a specific schedule with the electric utility.  The telecommunications carrier, CMRS carrier, or cable TV company is responsible for all costs associated with an electrical shutdown.  The inspection will be paid for by the attaching entity.  The telecommunications carrier, CMRS carrier, or cable TV company must allow the electric utility, in the utility’s discretion to inspect the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 </w:t>
      </w:r>
      <w:r w:rsidRPr="00EB3DFA">
        <w:rPr>
          <w:sz w:val="24"/>
          <w:szCs w:val="24"/>
        </w:rPr>
        <w:lastRenderedPageBreak/>
        <w:t>carrier, CMRS carrier, or cable TV company or their respective contractor, interfere with the electric utility’s equipment or service.</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3. </w:t>
      </w:r>
      <w:r w:rsidRPr="00EB3DFA">
        <w:rPr>
          <w:sz w:val="24"/>
          <w:szCs w:val="24"/>
        </w:rPr>
        <w:tab/>
        <w:t>Incumbent utilities should adopt written guidelines to ensure that telecommunication carriers’, CMRS carrier’s,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8338A7" w:rsidRPr="00E35516" w:rsidRDefault="008338A7" w:rsidP="008338A7">
      <w:pPr>
        <w:pStyle w:val="standard"/>
        <w:spacing w:line="240" w:lineRule="auto"/>
      </w:pPr>
    </w:p>
    <w:p w:rsidR="008338A7" w:rsidRPr="005B0D45" w:rsidRDefault="008338A7" w:rsidP="00FC3FC3">
      <w:pPr>
        <w:pStyle w:val="standard"/>
        <w:keepNext/>
        <w:tabs>
          <w:tab w:val="left" w:pos="540"/>
        </w:tabs>
        <w:spacing w:after="120" w:line="240" w:lineRule="auto"/>
        <w:ind w:left="540" w:hanging="540"/>
      </w:pPr>
      <w:r>
        <w:t xml:space="preserve">V. </w:t>
      </w:r>
      <w:r>
        <w:tab/>
      </w:r>
      <w:r w:rsidRPr="005B0D45">
        <w:t>NONDISCLOSURE</w:t>
      </w:r>
    </w:p>
    <w:p w:rsidR="008338A7" w:rsidRPr="005B0D45" w:rsidRDefault="008338A7" w:rsidP="00CD7B53">
      <w:pPr>
        <w:pStyle w:val="standard"/>
        <w:keepNext/>
        <w:tabs>
          <w:tab w:val="left" w:pos="540"/>
        </w:tabs>
        <w:spacing w:after="120" w:line="240" w:lineRule="auto"/>
        <w:ind w:left="547" w:hanging="547"/>
      </w:pPr>
      <w:r>
        <w:t xml:space="preserve">A. </w:t>
      </w:r>
      <w:r>
        <w:tab/>
      </w:r>
      <w:r w:rsidRPr="005B0D45">
        <w:t>DUTY NOT TO DISCLOSE PROPRIETARY INFORMATION</w:t>
      </w:r>
    </w:p>
    <w:p w:rsidR="008338A7" w:rsidRPr="00EB3DFA" w:rsidRDefault="008338A7" w:rsidP="00601D09">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The utility and entities seeking access to poles or other support structures may provide reciprocal standard nondisclosure agreements that permit either party to designate as proprietary information any 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CMRS carrier’s,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8338A7" w:rsidRPr="00E35516" w:rsidRDefault="008338A7" w:rsidP="008338A7">
      <w:pPr>
        <w:pStyle w:val="standard"/>
        <w:spacing w:line="240" w:lineRule="auto"/>
      </w:pPr>
    </w:p>
    <w:p w:rsidR="008338A7" w:rsidRPr="00405446" w:rsidRDefault="008338A7" w:rsidP="00CD7B53">
      <w:pPr>
        <w:pStyle w:val="standard"/>
        <w:keepNext/>
        <w:tabs>
          <w:tab w:val="left" w:pos="540"/>
        </w:tabs>
        <w:spacing w:after="120" w:line="240" w:lineRule="auto"/>
        <w:ind w:left="547" w:hanging="547"/>
      </w:pPr>
      <w:r>
        <w:t xml:space="preserve">B. </w:t>
      </w:r>
      <w:r>
        <w:tab/>
      </w:r>
      <w:r w:rsidRPr="00405446">
        <w:t>SANCTIONS FOR VIOLATIONS OF NONDISCLOSURE AGREEMENTS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 xml:space="preserve">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judgment, are necessary to deter the party from breaching its duty not to disclose proprietary information in the future.  Any violation of the </w:t>
      </w:r>
      <w:r w:rsidRPr="00EB3DFA">
        <w:rPr>
          <w:sz w:val="24"/>
          <w:szCs w:val="24"/>
        </w:rPr>
        <w:lastRenderedPageBreak/>
        <w:t>duty not to disclose proprietary information will be accompanied by findings of fact that permit a party whose proprietary information has improperly been disclosed to seek further remedies in a civil action.</w:t>
      </w:r>
    </w:p>
    <w:p w:rsidR="008338A7" w:rsidRPr="00E35516" w:rsidRDefault="008338A7" w:rsidP="008338A7">
      <w:pPr>
        <w:pStyle w:val="standard"/>
        <w:spacing w:line="240" w:lineRule="auto"/>
      </w:pPr>
    </w:p>
    <w:p w:rsidR="008338A7" w:rsidRPr="00CB0E8D" w:rsidRDefault="008338A7" w:rsidP="00FC3FC3">
      <w:pPr>
        <w:pStyle w:val="standard"/>
        <w:keepNext/>
        <w:tabs>
          <w:tab w:val="left" w:pos="540"/>
        </w:tabs>
        <w:spacing w:after="120" w:line="240" w:lineRule="auto"/>
        <w:ind w:left="540" w:hanging="540"/>
      </w:pPr>
      <w:r>
        <w:t xml:space="preserve">VI. </w:t>
      </w:r>
      <w:r>
        <w:tab/>
      </w:r>
      <w:r w:rsidRPr="00CB0E8D">
        <w:t>PRICING AND TARIFFS GOVERNING ACCESS</w:t>
      </w:r>
    </w:p>
    <w:p w:rsidR="008338A7" w:rsidRPr="00CB0E8D" w:rsidRDefault="008338A7" w:rsidP="0086209D">
      <w:pPr>
        <w:pStyle w:val="standard"/>
        <w:keepNext/>
        <w:tabs>
          <w:tab w:val="left" w:pos="540"/>
        </w:tabs>
        <w:spacing w:after="120" w:line="240" w:lineRule="auto"/>
        <w:ind w:left="547" w:hanging="547"/>
      </w:pPr>
      <w:r>
        <w:t xml:space="preserve">A. </w:t>
      </w:r>
      <w:r>
        <w:tab/>
      </w:r>
      <w:r w:rsidRPr="00CB0E8D">
        <w:t>GENERAL PRINCIPLE OF NONDISCRIMINATION</w:t>
      </w:r>
    </w:p>
    <w:p w:rsidR="008338A7" w:rsidRPr="00EB3DFA" w:rsidRDefault="008338A7" w:rsidP="006268B0">
      <w:pPr>
        <w:pStyle w:val="standard"/>
        <w:tabs>
          <w:tab w:val="left" w:pos="900"/>
        </w:tabs>
        <w:spacing w:after="120" w:line="240" w:lineRule="auto"/>
        <w:ind w:left="900" w:hanging="360"/>
        <w:rPr>
          <w:sz w:val="24"/>
          <w:szCs w:val="24"/>
        </w:rPr>
      </w:pPr>
      <w:r w:rsidRPr="00EB3DFA">
        <w:rPr>
          <w:sz w:val="24"/>
          <w:szCs w:val="24"/>
        </w:rPr>
        <w:t xml:space="preserve">1. </w:t>
      </w:r>
      <w:r w:rsidRPr="00EB3DFA">
        <w:rPr>
          <w:sz w:val="24"/>
          <w:szCs w:val="24"/>
        </w:rPr>
        <w:tab/>
        <w:t>A utility shall grant access to its rights-of-way and support structures to telecommunications carriers, CMRS carriers, and cable TV companies on a nondiscriminatory basis.  Nondiscriminatory access is access on a first-come, first</w:t>
      </w:r>
      <w:r w:rsidRPr="00EB3DFA">
        <w:rPr>
          <w:sz w:val="24"/>
          <w:szCs w:val="24"/>
        </w:rPr>
        <w:noBreakHyphen/>
        <w:t>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not be considered to establish a comparison for nondiscriminatory access.  A utility shall have the ability to negotiate with a telecommunications carrier, CMRS carrier, or cable TV company the price for access to its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2. </w:t>
      </w:r>
      <w:r w:rsidRPr="00EB3DFA">
        <w:rPr>
          <w:sz w:val="24"/>
          <w:szCs w:val="24"/>
        </w:rPr>
        <w:tab/>
        <w:t>A utility shall grant access to its rights-of-way and support structures to telecommunications carriers, CMRS carriers,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CMRS carrier, or cable TV company the price for access to its rights</w:t>
      </w:r>
      <w:r w:rsidRPr="00EB3DFA">
        <w:rPr>
          <w:sz w:val="24"/>
          <w:szCs w:val="24"/>
        </w:rPr>
        <w:noBreakHyphen/>
        <w:t>of</w:t>
      </w:r>
      <w:r w:rsidRPr="00EB3DFA">
        <w:rPr>
          <w:sz w:val="24"/>
          <w:szCs w:val="24"/>
        </w:rPr>
        <w:noBreakHyphen/>
        <w:t>way and support structures.</w:t>
      </w:r>
    </w:p>
    <w:p w:rsidR="008338A7" w:rsidRPr="00055850" w:rsidRDefault="008338A7" w:rsidP="008338A7">
      <w:pPr>
        <w:pStyle w:val="standard"/>
        <w:spacing w:line="240" w:lineRule="auto"/>
      </w:pPr>
    </w:p>
    <w:p w:rsidR="008338A7" w:rsidRPr="00585DE0" w:rsidRDefault="008338A7" w:rsidP="0086209D">
      <w:pPr>
        <w:pStyle w:val="standard"/>
        <w:keepNext/>
        <w:tabs>
          <w:tab w:val="left" w:pos="540"/>
        </w:tabs>
        <w:spacing w:after="120" w:line="240" w:lineRule="auto"/>
        <w:ind w:left="547" w:hanging="547"/>
      </w:pPr>
      <w:r>
        <w:t xml:space="preserve">B. </w:t>
      </w:r>
      <w:r>
        <w:tab/>
      </w:r>
      <w:r w:rsidRPr="00585DE0">
        <w:t>MANNER OF PRICING ACCESS</w:t>
      </w:r>
    </w:p>
    <w:p w:rsidR="008338A7" w:rsidRPr="00585DE0" w:rsidRDefault="008338A7" w:rsidP="006268B0">
      <w:pPr>
        <w:pStyle w:val="standard"/>
        <w:tabs>
          <w:tab w:val="left" w:pos="900"/>
        </w:tabs>
        <w:spacing w:after="120" w:line="240" w:lineRule="auto"/>
        <w:ind w:left="900" w:hanging="360"/>
      </w:pPr>
      <w:r>
        <w:t xml:space="preserve">1. </w:t>
      </w:r>
      <w:r>
        <w:tab/>
      </w:r>
      <w:r w:rsidRPr="00585DE0">
        <w:t xml:space="preserve">Whenever a public utility </w:t>
      </w:r>
      <w:r w:rsidR="008C182E" w:rsidRPr="002A569B">
        <w:rPr>
          <w:b/>
          <w:color w:val="FF0000"/>
          <w:u w:val="single"/>
        </w:rPr>
        <w:t xml:space="preserve">cannot reach an agreement with </w:t>
      </w:r>
      <w:r w:rsidRPr="002A569B">
        <w:rPr>
          <w:b/>
          <w:strike/>
          <w:color w:val="FF0000"/>
        </w:rPr>
        <w:t>and</w:t>
      </w:r>
      <w:r w:rsidRPr="00585DE0">
        <w:t xml:space="preserve"> a telecommunications carrier, </w:t>
      </w:r>
      <w:r w:rsidRPr="003827EC">
        <w:t>CMRS carrier</w:t>
      </w:r>
      <w:r w:rsidRPr="00585DE0">
        <w:t>, or cable TV company, or associations</w:t>
      </w:r>
      <w:r w:rsidR="009D45F2">
        <w:t xml:space="preserve"> </w:t>
      </w:r>
      <w:r w:rsidR="009D45F2" w:rsidRPr="002A569B">
        <w:rPr>
          <w:b/>
          <w:color w:val="FF0000"/>
          <w:u w:val="single"/>
        </w:rPr>
        <w:t>thereof</w:t>
      </w:r>
      <w:r w:rsidRPr="00585DE0">
        <w:t xml:space="preserve">, </w:t>
      </w:r>
      <w:r w:rsidRPr="002A569B">
        <w:rPr>
          <w:b/>
          <w:strike/>
          <w:color w:val="FF0000"/>
        </w:rPr>
        <w:t>therefore, are unable to agree upon</w:t>
      </w:r>
      <w:r w:rsidRPr="00585DE0">
        <w:t xml:space="preserve"> </w:t>
      </w:r>
      <w:r w:rsidR="009D45F2" w:rsidRPr="002A569B">
        <w:rPr>
          <w:b/>
          <w:color w:val="FF0000"/>
          <w:u w:val="single"/>
        </w:rPr>
        <w:t>regarding</w:t>
      </w:r>
      <w:r w:rsidR="009D45F2">
        <w:t xml:space="preserve"> </w:t>
      </w:r>
      <w:r w:rsidRPr="00585DE0">
        <w:t>the terms, conditions, or annual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8338A7" w:rsidRPr="00585DE0" w:rsidRDefault="008338A7" w:rsidP="005F4782">
      <w:pPr>
        <w:pStyle w:val="standard"/>
        <w:tabs>
          <w:tab w:val="left" w:pos="1710"/>
        </w:tabs>
        <w:spacing w:after="120" w:line="240" w:lineRule="auto"/>
        <w:ind w:left="1713" w:hanging="446"/>
      </w:pPr>
      <w:r>
        <w:lastRenderedPageBreak/>
        <w:t xml:space="preserve">a. </w:t>
      </w:r>
      <w:r>
        <w:tab/>
      </w:r>
      <w:r w:rsidRPr="00585DE0">
        <w:t>A one-time reimbursement for actual costs incurred by the public utility for rearrangements performed at the request of the telecommunications carrier</w:t>
      </w:r>
      <w:r w:rsidR="009D45F2" w:rsidRPr="002A569B">
        <w:rPr>
          <w:b/>
          <w:color w:val="FF0000"/>
          <w:u w:val="single"/>
        </w:rPr>
        <w:t>, cable TV company,</w:t>
      </w:r>
      <w:r>
        <w:t xml:space="preserve"> </w:t>
      </w:r>
      <w:r w:rsidRPr="003827EC">
        <w:t>or CMRS</w:t>
      </w:r>
      <w:r w:rsidR="009D45F2">
        <w:t> </w:t>
      </w:r>
      <w:r w:rsidRPr="003827EC">
        <w:t>carrier</w:t>
      </w:r>
      <w:r w:rsidRPr="00585DE0">
        <w:t>.</w:t>
      </w:r>
    </w:p>
    <w:p w:rsidR="008338A7" w:rsidRPr="00585DE0" w:rsidRDefault="008338A7" w:rsidP="0086209D">
      <w:pPr>
        <w:pStyle w:val="standard"/>
        <w:keepNext/>
        <w:tabs>
          <w:tab w:val="left" w:pos="1710"/>
        </w:tabs>
        <w:spacing w:after="120" w:line="240" w:lineRule="auto"/>
        <w:ind w:left="1713" w:hanging="446"/>
      </w:pPr>
      <w:r>
        <w:t xml:space="preserve">b. </w:t>
      </w:r>
      <w:r>
        <w:tab/>
      </w:r>
      <w:r w:rsidRPr="00585DE0">
        <w:t>An annual recurring fee computed as follows:</w:t>
      </w:r>
    </w:p>
    <w:p w:rsidR="008338A7" w:rsidRDefault="008338A7" w:rsidP="0086209D">
      <w:pPr>
        <w:pStyle w:val="standard"/>
        <w:tabs>
          <w:tab w:val="left" w:pos="2250"/>
        </w:tabs>
        <w:spacing w:after="120" w:line="240" w:lineRule="auto"/>
        <w:ind w:left="2250" w:hanging="450"/>
      </w:pPr>
      <w:r w:rsidRPr="000E4EA8">
        <w:t xml:space="preserve">(1) </w:t>
      </w:r>
      <w:r w:rsidRPr="000E4EA8">
        <w:tab/>
      </w:r>
      <w:r w:rsidR="000E4EA8" w:rsidRPr="002A569B">
        <w:rPr>
          <w:rFonts w:cs="Book Antiqua"/>
          <w:b/>
          <w:color w:val="FF0000"/>
          <w:szCs w:val="26"/>
          <w:u w:val="single"/>
        </w:rPr>
        <w:t xml:space="preserve">Except as provided in </w:t>
      </w:r>
      <w:r w:rsidR="0009142B">
        <w:rPr>
          <w:rFonts w:cs="Book Antiqua"/>
          <w:b/>
          <w:color w:val="FF0000"/>
          <w:szCs w:val="26"/>
          <w:u w:val="single"/>
        </w:rPr>
        <w:t>S</w:t>
      </w:r>
      <w:r w:rsidR="000E4EA8" w:rsidRPr="002A569B">
        <w:rPr>
          <w:rFonts w:cs="Book Antiqua"/>
          <w:b/>
          <w:color w:val="FF0000"/>
          <w:szCs w:val="26"/>
          <w:u w:val="single"/>
        </w:rPr>
        <w:t>ection 3 below, f</w:t>
      </w:r>
      <w:r w:rsidR="000E4EA8" w:rsidRPr="000E4EA8">
        <w:rPr>
          <w:rFonts w:cs="Book Antiqua"/>
          <w:dstrike/>
          <w:szCs w:val="26"/>
        </w:rPr>
        <w:t>F</w:t>
      </w:r>
      <w:r w:rsidR="000E4EA8" w:rsidRPr="000E4EA8">
        <w:rPr>
          <w:rFonts w:cs="Book Antiqua"/>
          <w:szCs w:val="26"/>
        </w:rPr>
        <w:t xml:space="preserve">or </w:t>
      </w:r>
      <w:r w:rsidRPr="000E4EA8">
        <w:t>each pole</w:t>
      </w:r>
      <w:r w:rsidRPr="00585DE0">
        <w:t xml:space="preserve"> and supporting anchor actually used by the telecommunications carrier</w:t>
      </w:r>
      <w:r>
        <w:t xml:space="preserve"> </w:t>
      </w:r>
      <w:r w:rsidRPr="00585DE0">
        <w:t>or cable TV company, the annual fee shall be two dollars and fifty cents ($2.50) or 7.4</w:t>
      </w:r>
      <w:r w:rsidR="000E4EA8">
        <w:t> </w:t>
      </w:r>
      <w:r w:rsidRPr="00585DE0">
        <w:t>percent of the public utility’s annual cost</w:t>
      </w:r>
      <w:r w:rsidR="008453AB">
        <w:t>-</w:t>
      </w:r>
      <w:r w:rsidRPr="00585DE0">
        <w:t>of</w:t>
      </w:r>
      <w:r w:rsidR="008453AB">
        <w:t>-</w:t>
      </w:r>
      <w:r w:rsidRPr="00585DE0">
        <w:t>ownership for the pole and supporting anchor, whichever is greater, except that if a public utility applies for establishment of a fee in excess of two dollars and fifty cents ($2.50) under this rule, the annual fee shall be 7.4</w:t>
      </w:r>
      <w:r w:rsidR="00E23D12">
        <w:t> </w:t>
      </w:r>
      <w:r w:rsidRPr="00585DE0">
        <w:t>percent of the public utility’s annual cost</w:t>
      </w:r>
      <w:r w:rsidR="008453AB">
        <w:t>-</w:t>
      </w:r>
      <w:r w:rsidRPr="00585DE0">
        <w:t>of</w:t>
      </w:r>
      <w:r w:rsidR="008453AB">
        <w:t>-</w:t>
      </w:r>
      <w:r w:rsidRPr="00585DE0">
        <w:t>ownership for the pole and supporting anchor.</w:t>
      </w:r>
      <w:r>
        <w:t xml:space="preserve"> </w:t>
      </w:r>
    </w:p>
    <w:p w:rsidR="008338A7" w:rsidRPr="00607FD0" w:rsidRDefault="008338A7" w:rsidP="0086209D">
      <w:pPr>
        <w:pStyle w:val="standard"/>
        <w:tabs>
          <w:tab w:val="left" w:pos="2250"/>
        </w:tabs>
        <w:spacing w:after="120" w:line="240" w:lineRule="auto"/>
        <w:ind w:left="2250" w:hanging="450"/>
        <w:rPr>
          <w:sz w:val="24"/>
          <w:szCs w:val="24"/>
        </w:rPr>
      </w:pPr>
      <w:r w:rsidRPr="00607FD0">
        <w:rPr>
          <w:sz w:val="24"/>
          <w:szCs w:val="24"/>
        </w:rPr>
        <w:t xml:space="preserve">(2) </w:t>
      </w:r>
      <w:r w:rsidRPr="00607FD0">
        <w:rPr>
          <w:sz w:val="24"/>
          <w:szCs w:val="24"/>
        </w:rPr>
        <w:tab/>
        <w:t>For each pole and supporting anchor actually used by a CMRS carrier, the annual fee for each foot of vertical pole space occupied by the CMRS installation shall be two dollars and fifty cents ($2.50) or 7.4 percent of the public utility’s annual cost</w:t>
      </w:r>
      <w:r w:rsidR="008453AB" w:rsidRPr="00607FD0">
        <w:rPr>
          <w:sz w:val="24"/>
          <w:szCs w:val="24"/>
        </w:rPr>
        <w:t>-</w:t>
      </w:r>
      <w:r w:rsidRPr="00607FD0">
        <w:rPr>
          <w:sz w:val="24"/>
          <w:szCs w:val="24"/>
        </w:rPr>
        <w:t>of</w:t>
      </w:r>
      <w:r w:rsidR="008453AB" w:rsidRPr="00607FD0">
        <w:rPr>
          <w:sz w:val="24"/>
          <w:szCs w:val="24"/>
        </w:rPr>
        <w:t>-</w:t>
      </w:r>
      <w:r w:rsidRPr="00607FD0">
        <w:rPr>
          <w:sz w:val="24"/>
          <w:szCs w:val="24"/>
        </w:rPr>
        <w:t>ownership for the pole and supporting anchor, whichever is greater.  The per-foot fee for CMRS installations is subject to the following conditions and limitations:</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 </w:t>
      </w:r>
      <w:r w:rsidRPr="00607FD0">
        <w:rPr>
          <w:sz w:val="24"/>
          <w:szCs w:val="24"/>
        </w:rPr>
        <w:tab/>
        <w:t xml:space="preserve">The vertical pole space occupied by each CMRS attachment shall be rounded to the nearest whole foot, with a 1-foot minimum.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(ii) </w:t>
      </w:r>
      <w:r w:rsidRPr="00607FD0">
        <w:rPr>
          <w:sz w:val="24"/>
          <w:szCs w:val="24"/>
        </w:rPr>
        <w:tab/>
        <w:t>The 7.4% per-foot fee applies to the pole space that a CMRS attachment renders unusable for non</w:t>
      </w:r>
      <w:r w:rsidRPr="00607FD0">
        <w:rPr>
          <w:sz w:val="24"/>
          <w:szCs w:val="24"/>
        </w:rPr>
        <w:noBreakHyphen/>
        <w:t xml:space="preserve">CMRS attachments, including (A) the pole space that is physically occupied by the CMRS attachment; and (B) any pole space that cannot be used by communication and/or supply conductors due solely to the installation of the CMRS attachment.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(iii)</w:t>
      </w:r>
      <w:r w:rsidRPr="00607FD0">
        <w:rPr>
          <w:sz w:val="24"/>
          <w:szCs w:val="24"/>
        </w:rPr>
        <w:tab/>
        <w:t xml:space="preserve">The 7.4% per-foot fee applies to CMRS attachments anywhere on the pole.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(iv) </w:t>
      </w:r>
      <w:r w:rsidRPr="00607FD0">
        <w:rPr>
          <w:sz w:val="24"/>
          <w:szCs w:val="24"/>
        </w:rPr>
        <w:tab/>
        <w:t xml:space="preserve">The 7.4% per-foot fee applies once to each foot of pole height.  If multiple CMRS pole attachments are placed on different sides of a pole in the same horizontal plane, the 7.4% per-foot attachment fee shall be allocated to each CMRS attachment in the same horizontal plane based on the total number of attachments in the horizontal plane.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lastRenderedPageBreak/>
        <w:t xml:space="preserve">(v) </w:t>
      </w:r>
      <w:r w:rsidRPr="00607FD0">
        <w:rPr>
          <w:sz w:val="24"/>
          <w:szCs w:val="24"/>
        </w:rPr>
        <w:tab/>
        <w:t>The total pole</w:t>
      </w:r>
      <w:r w:rsidRPr="00607FD0">
        <w:rPr>
          <w:sz w:val="24"/>
          <w:szCs w:val="24"/>
        </w:rPr>
        <w:noBreakHyphen/>
        <w:t xml:space="preserve">attachment fees for all CMRS attachments on a particular pole shall not exceed 100% of the pole’s cost-of-ownership, less the proportion of the pole’s cost-of-ownership that is allocable to the pole space occupied by all other pole attachments.  </w:t>
      </w:r>
    </w:p>
    <w:p w:rsidR="008338A7" w:rsidRPr="00607FD0" w:rsidRDefault="008338A7" w:rsidP="0086209D">
      <w:pPr>
        <w:pStyle w:val="standard"/>
        <w:tabs>
          <w:tab w:val="left" w:pos="2880"/>
        </w:tabs>
        <w:spacing w:after="240" w:line="240" w:lineRule="auto"/>
        <w:ind w:left="2894" w:hanging="547"/>
        <w:rPr>
          <w:sz w:val="24"/>
          <w:szCs w:val="24"/>
        </w:rPr>
      </w:pPr>
      <w:r w:rsidRPr="00607FD0">
        <w:rPr>
          <w:sz w:val="24"/>
          <w:szCs w:val="24"/>
        </w:rPr>
        <w:t xml:space="preserve">(vi) </w:t>
      </w:r>
      <w:r w:rsidRPr="00607FD0">
        <w:rPr>
          <w:sz w:val="24"/>
          <w:szCs w:val="24"/>
        </w:rPr>
        <w:tab/>
        <w:t xml:space="preserve">The 7.4% per-foot fee does not apply to electric meters, risers, and conduit associated with CMRS installations.  </w:t>
      </w:r>
    </w:p>
    <w:p w:rsidR="000E4EA8" w:rsidRPr="00112F41" w:rsidRDefault="008338A7" w:rsidP="0086209D">
      <w:pPr>
        <w:pStyle w:val="standard"/>
        <w:tabs>
          <w:tab w:val="left" w:pos="2250"/>
        </w:tabs>
        <w:spacing w:after="120" w:line="240" w:lineRule="auto"/>
        <w:ind w:left="2250" w:hanging="450"/>
      </w:pPr>
      <w:r w:rsidRPr="000E4EA8">
        <w:t xml:space="preserve">(3) </w:t>
      </w:r>
      <w:r w:rsidRPr="000E4EA8">
        <w:tab/>
      </w:r>
      <w:r w:rsidR="00592DAD" w:rsidRPr="002A569B">
        <w:rPr>
          <w:b/>
          <w:color w:val="FF0000"/>
          <w:u w:val="single"/>
        </w:rPr>
        <w:t>For e</w:t>
      </w:r>
      <w:r w:rsidR="00BF3C8F" w:rsidRPr="002A569B">
        <w:rPr>
          <w:b/>
          <w:color w:val="FF0000"/>
          <w:u w:val="single"/>
        </w:rPr>
        <w:t xml:space="preserve">ach pole and supporting anchor actually used by a </w:t>
      </w:r>
      <w:r w:rsidR="006E085A" w:rsidRPr="002A569B">
        <w:rPr>
          <w:b/>
          <w:color w:val="FF0000"/>
          <w:u w:val="single"/>
        </w:rPr>
        <w:t>telecommunications carrier</w:t>
      </w:r>
      <w:r w:rsidR="00BF3C8F" w:rsidRPr="002A569B">
        <w:rPr>
          <w:b/>
          <w:color w:val="FF0000"/>
          <w:u w:val="single"/>
        </w:rPr>
        <w:t xml:space="preserve"> </w:t>
      </w:r>
      <w:r w:rsidR="000E4EA8" w:rsidRPr="002A569B">
        <w:rPr>
          <w:b/>
          <w:color w:val="FF0000"/>
          <w:u w:val="single"/>
        </w:rPr>
        <w:t>for wireless attachments</w:t>
      </w:r>
      <w:r w:rsidR="00234D1D" w:rsidRPr="002A569B">
        <w:rPr>
          <w:b/>
          <w:color w:val="FF0000"/>
          <w:u w:val="single"/>
        </w:rPr>
        <w:t xml:space="preserve">, the annual fee for each foot of vertical pole space occupied by the </w:t>
      </w:r>
      <w:r w:rsidR="006E085A" w:rsidRPr="002A569B">
        <w:rPr>
          <w:b/>
          <w:color w:val="FF0000"/>
          <w:u w:val="single"/>
        </w:rPr>
        <w:t>telecommunications carrier</w:t>
      </w:r>
      <w:r w:rsidR="00E715B5" w:rsidRPr="002A569B">
        <w:rPr>
          <w:b/>
          <w:color w:val="FF0000"/>
          <w:u w:val="single"/>
        </w:rPr>
        <w:t>’</w:t>
      </w:r>
      <w:r w:rsidR="00234D1D" w:rsidRPr="002A569B">
        <w:rPr>
          <w:b/>
          <w:color w:val="FF0000"/>
          <w:u w:val="single"/>
        </w:rPr>
        <w:t>s wireless and wireline attachments shall be two dollars and fifty cents ($2.50) or 7.4</w:t>
      </w:r>
      <w:r w:rsidR="002F71F8" w:rsidRPr="002A569B">
        <w:rPr>
          <w:b/>
          <w:color w:val="FF0000"/>
          <w:u w:val="single"/>
        </w:rPr>
        <w:t> </w:t>
      </w:r>
      <w:r w:rsidR="00234D1D" w:rsidRPr="002A569B">
        <w:rPr>
          <w:b/>
          <w:color w:val="FF0000"/>
          <w:u w:val="single"/>
        </w:rPr>
        <w:t>percent of the public utility’s annual cost</w:t>
      </w:r>
      <w:r w:rsidR="00A63459" w:rsidRPr="002A569B">
        <w:rPr>
          <w:b/>
          <w:color w:val="FF0000"/>
          <w:u w:val="single"/>
        </w:rPr>
        <w:t>-</w:t>
      </w:r>
      <w:r w:rsidR="00234D1D" w:rsidRPr="002A569B">
        <w:rPr>
          <w:b/>
          <w:color w:val="FF0000"/>
          <w:u w:val="single"/>
        </w:rPr>
        <w:t>of</w:t>
      </w:r>
      <w:r w:rsidR="00A63459" w:rsidRPr="002A569B">
        <w:rPr>
          <w:b/>
          <w:color w:val="FF0000"/>
          <w:u w:val="single"/>
        </w:rPr>
        <w:t>-</w:t>
      </w:r>
      <w:r w:rsidR="00234D1D" w:rsidRPr="002A569B">
        <w:rPr>
          <w:b/>
          <w:color w:val="FF0000"/>
          <w:u w:val="single"/>
        </w:rPr>
        <w:t>ownership for the pole and supporting anchor, whichever is greater.  The per</w:t>
      </w:r>
      <w:r w:rsidR="00CA7B04" w:rsidRPr="002A569B">
        <w:rPr>
          <w:b/>
          <w:color w:val="FF0000"/>
          <w:u w:val="single"/>
        </w:rPr>
        <w:noBreakHyphen/>
      </w:r>
      <w:r w:rsidR="00234D1D" w:rsidRPr="002A569B">
        <w:rPr>
          <w:b/>
          <w:color w:val="FF0000"/>
          <w:u w:val="single"/>
        </w:rPr>
        <w:t xml:space="preserve">foot fee for </w:t>
      </w:r>
      <w:r w:rsidR="00E715B5" w:rsidRPr="002A569B">
        <w:rPr>
          <w:b/>
          <w:color w:val="FF0000"/>
          <w:u w:val="single"/>
        </w:rPr>
        <w:t xml:space="preserve">the </w:t>
      </w:r>
      <w:r w:rsidR="006E085A" w:rsidRPr="002A569B">
        <w:rPr>
          <w:b/>
          <w:color w:val="FF0000"/>
          <w:u w:val="single"/>
        </w:rPr>
        <w:t>telecommunications carrier</w:t>
      </w:r>
      <w:r w:rsidR="00E715B5" w:rsidRPr="002A569B">
        <w:rPr>
          <w:b/>
          <w:color w:val="FF0000"/>
          <w:u w:val="single"/>
        </w:rPr>
        <w:t xml:space="preserve">’s </w:t>
      </w:r>
      <w:r w:rsidR="00592DAD" w:rsidRPr="002A569B">
        <w:rPr>
          <w:b/>
          <w:color w:val="FF0000"/>
          <w:u w:val="single"/>
        </w:rPr>
        <w:t xml:space="preserve">wireless and wireline attachments </w:t>
      </w:r>
      <w:r w:rsidR="00234D1D" w:rsidRPr="002A569B">
        <w:rPr>
          <w:b/>
          <w:color w:val="FF0000"/>
          <w:u w:val="single"/>
        </w:rPr>
        <w:t>is subject to the following conditions and limitations:</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 </w:t>
      </w:r>
      <w:r w:rsidRPr="002A569B">
        <w:rPr>
          <w:b/>
          <w:color w:val="FF0000"/>
          <w:u w:val="single"/>
        </w:rPr>
        <w:tab/>
      </w:r>
      <w:r w:rsidR="000E4EA8" w:rsidRPr="002A569B">
        <w:rPr>
          <w:b/>
          <w:color w:val="FF0000"/>
          <w:u w:val="single"/>
        </w:rPr>
        <w:t xml:space="preserve">The vertical pole space occupied by each </w:t>
      </w:r>
      <w:r w:rsidR="00234D1D" w:rsidRPr="002A569B">
        <w:rPr>
          <w:b/>
          <w:color w:val="FF0000"/>
          <w:u w:val="single"/>
        </w:rPr>
        <w:t xml:space="preserve">of the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w:t>
      </w:r>
      <w:r w:rsidR="00592DAD" w:rsidRPr="002A569B">
        <w:rPr>
          <w:b/>
          <w:color w:val="FF0000"/>
          <w:u w:val="single"/>
        </w:rPr>
        <w:t xml:space="preserve">wireless and wireline </w:t>
      </w:r>
      <w:r w:rsidR="000E4EA8" w:rsidRPr="002A569B">
        <w:rPr>
          <w:b/>
          <w:color w:val="FF0000"/>
          <w:u w:val="single"/>
        </w:rPr>
        <w:t>attachment</w:t>
      </w:r>
      <w:r w:rsidR="00592DAD" w:rsidRPr="002A569B">
        <w:rPr>
          <w:b/>
          <w:color w:val="FF0000"/>
          <w:u w:val="single"/>
        </w:rPr>
        <w:t>s</w:t>
      </w:r>
      <w:r w:rsidR="000E4EA8" w:rsidRPr="002A569B">
        <w:rPr>
          <w:b/>
          <w:color w:val="FF0000"/>
          <w:u w:val="single"/>
        </w:rPr>
        <w:t xml:space="preserve"> shall be rounded to the nearest whole foot, with a 1</w:t>
      </w:r>
      <w:r w:rsidR="00A8247C" w:rsidRPr="002A569B">
        <w:rPr>
          <w:b/>
          <w:color w:val="FF0000"/>
          <w:u w:val="single"/>
        </w:rPr>
        <w:noBreakHyphen/>
      </w:r>
      <w:r w:rsidR="000E4EA8" w:rsidRPr="002A569B">
        <w:rPr>
          <w:b/>
          <w:color w:val="FF0000"/>
          <w:u w:val="single"/>
        </w:rPr>
        <w:t>foot minimum.</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(ii) </w:t>
      </w:r>
      <w:r w:rsidRPr="002A569B">
        <w:rPr>
          <w:b/>
          <w:color w:val="FF0000"/>
          <w:u w:val="single"/>
        </w:rPr>
        <w:tab/>
      </w:r>
      <w:r w:rsidR="000E4EA8" w:rsidRPr="002A569B">
        <w:rPr>
          <w:b/>
          <w:color w:val="FF0000"/>
          <w:u w:val="single"/>
        </w:rPr>
        <w:t xml:space="preserve">The 7.4% per-foot fee applies to the pole space that </w:t>
      </w:r>
      <w:r w:rsidR="00234D1D" w:rsidRPr="002A569B">
        <w:rPr>
          <w:b/>
          <w:color w:val="FF0000"/>
          <w:u w:val="single"/>
        </w:rPr>
        <w:t>the</w:t>
      </w:r>
      <w:r w:rsidR="000E4EA8" w:rsidRPr="002A569B">
        <w:rPr>
          <w:b/>
          <w:color w:val="FF0000"/>
          <w:u w:val="single"/>
        </w:rPr>
        <w:t xml:space="preserv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attachment renders unusable for </w:t>
      </w:r>
      <w:r w:rsidR="00234D1D" w:rsidRPr="002A569B">
        <w:rPr>
          <w:b/>
          <w:color w:val="FF0000"/>
          <w:u w:val="single"/>
        </w:rPr>
        <w:t xml:space="preserve">other </w:t>
      </w:r>
      <w:r w:rsidR="000E4EA8" w:rsidRPr="002A569B">
        <w:rPr>
          <w:b/>
          <w:color w:val="FF0000"/>
          <w:u w:val="single"/>
        </w:rPr>
        <w:t>pole attachments, including (A)</w:t>
      </w:r>
      <w:r w:rsidR="00234D1D" w:rsidRPr="002A569B">
        <w:rPr>
          <w:b/>
          <w:color w:val="FF0000"/>
          <w:u w:val="single"/>
        </w:rPr>
        <w:t> </w:t>
      </w:r>
      <w:r w:rsidR="000E4EA8" w:rsidRPr="002A569B">
        <w:rPr>
          <w:b/>
          <w:color w:val="FF0000"/>
          <w:u w:val="single"/>
        </w:rPr>
        <w:t xml:space="preserve">the pole space that is physically occupied by the </w:t>
      </w:r>
      <w:r w:rsidR="006E085A" w:rsidRPr="002A569B">
        <w:rPr>
          <w:b/>
          <w:color w:val="FF0000"/>
          <w:u w:val="single"/>
        </w:rPr>
        <w:t>telecommunications carrier</w:t>
      </w:r>
      <w:r w:rsidR="00592DAD" w:rsidRPr="002A569B">
        <w:rPr>
          <w:b/>
          <w:color w:val="FF0000"/>
          <w:u w:val="single"/>
        </w:rPr>
        <w:t>’s</w:t>
      </w:r>
      <w:r w:rsidR="000E4EA8" w:rsidRPr="002A569B">
        <w:rPr>
          <w:b/>
          <w:color w:val="FF0000"/>
          <w:u w:val="single"/>
        </w:rPr>
        <w:t xml:space="preserve"> attachment; and (B)</w:t>
      </w:r>
      <w:r w:rsidR="002F71F8" w:rsidRPr="002A569B">
        <w:rPr>
          <w:b/>
          <w:color w:val="FF0000"/>
          <w:u w:val="single"/>
        </w:rPr>
        <w:t> </w:t>
      </w:r>
      <w:r w:rsidR="000E4EA8" w:rsidRPr="002A569B">
        <w:rPr>
          <w:b/>
          <w:color w:val="FF0000"/>
          <w:u w:val="single"/>
        </w:rPr>
        <w:t xml:space="preserve">any pole space that cannot be used by communication and/or supply conductors due solely to the installation of the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pole attachment.</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(iii) </w:t>
      </w:r>
      <w:r w:rsidRPr="002A569B">
        <w:rPr>
          <w:b/>
          <w:color w:val="FF0000"/>
          <w:u w:val="single"/>
        </w:rPr>
        <w:tab/>
      </w:r>
      <w:r w:rsidR="000E4EA8" w:rsidRPr="002A569B">
        <w:rPr>
          <w:b/>
          <w:color w:val="FF0000"/>
          <w:u w:val="single"/>
        </w:rPr>
        <w:t xml:space="preserve">The 7.4% per-foot fee applies to </w:t>
      </w:r>
      <w:r w:rsidR="00BF3C8F" w:rsidRPr="002A569B">
        <w:rPr>
          <w:b/>
          <w:color w:val="FF0000"/>
          <w:u w:val="single"/>
        </w:rPr>
        <w:t xml:space="preserve">the </w:t>
      </w:r>
      <w:r w:rsidR="006E085A" w:rsidRPr="002A569B">
        <w:rPr>
          <w:b/>
          <w:color w:val="FF0000"/>
          <w:u w:val="single"/>
        </w:rPr>
        <w:t>telecommunications carrier</w:t>
      </w:r>
      <w:r w:rsidR="00BF3C8F" w:rsidRPr="002A569B">
        <w:rPr>
          <w:b/>
          <w:color w:val="FF0000"/>
          <w:u w:val="single"/>
        </w:rPr>
        <w:t>’s</w:t>
      </w:r>
      <w:r w:rsidR="000E4EA8" w:rsidRPr="002A569B">
        <w:rPr>
          <w:b/>
          <w:color w:val="FF0000"/>
          <w:u w:val="single"/>
        </w:rPr>
        <w:t xml:space="preserve"> </w:t>
      </w:r>
      <w:r w:rsidR="00BF3C8F" w:rsidRPr="002A569B">
        <w:rPr>
          <w:b/>
          <w:color w:val="FF0000"/>
          <w:u w:val="single"/>
        </w:rPr>
        <w:t>wirel</w:t>
      </w:r>
      <w:r w:rsidR="00592DAD" w:rsidRPr="002A569B">
        <w:rPr>
          <w:b/>
          <w:color w:val="FF0000"/>
          <w:u w:val="single"/>
        </w:rPr>
        <w:t xml:space="preserve">ess and </w:t>
      </w:r>
      <w:r w:rsidR="000E4EA8" w:rsidRPr="002A569B">
        <w:rPr>
          <w:b/>
          <w:color w:val="FF0000"/>
          <w:u w:val="single"/>
        </w:rPr>
        <w:t>wirel</w:t>
      </w:r>
      <w:r w:rsidR="00592DAD" w:rsidRPr="002A569B">
        <w:rPr>
          <w:b/>
          <w:color w:val="FF0000"/>
          <w:u w:val="single"/>
        </w:rPr>
        <w:t xml:space="preserve">ine </w:t>
      </w:r>
      <w:r w:rsidR="000E4EA8" w:rsidRPr="002A569B">
        <w:rPr>
          <w:b/>
          <w:color w:val="FF0000"/>
          <w:u w:val="single"/>
        </w:rPr>
        <w:t>attachments anywhere on the pole.</w:t>
      </w:r>
    </w:p>
    <w:p w:rsidR="000E4EA8" w:rsidRPr="002A569B" w:rsidRDefault="00DE5548"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(iv) </w:t>
      </w:r>
      <w:r w:rsidRPr="002A569B">
        <w:rPr>
          <w:b/>
          <w:color w:val="FF0000"/>
          <w:u w:val="single"/>
        </w:rPr>
        <w:tab/>
      </w:r>
      <w:r w:rsidR="000E4EA8" w:rsidRPr="002A569B">
        <w:rPr>
          <w:b/>
          <w:color w:val="FF0000"/>
          <w:u w:val="single"/>
        </w:rPr>
        <w:t xml:space="preserve">The 7.4% per-foot fee applies once to each foot of pole height.  If multiple pole attachments are placed on different sides of a pole in the same horizontal plane, the 7.4% per-foot attachment fee shall be allocated to each </w:t>
      </w:r>
      <w:r w:rsidR="006E085A" w:rsidRPr="002A569B">
        <w:rPr>
          <w:b/>
          <w:color w:val="FF0000"/>
          <w:u w:val="single"/>
        </w:rPr>
        <w:t>telecommunications carrier</w:t>
      </w:r>
      <w:r w:rsidR="000E4EA8" w:rsidRPr="002A569B">
        <w:rPr>
          <w:b/>
          <w:color w:val="FF0000"/>
          <w:u w:val="single"/>
        </w:rPr>
        <w:t xml:space="preserve"> pole attachment in </w:t>
      </w:r>
      <w:r w:rsidR="000E4EA8" w:rsidRPr="002A569B">
        <w:rPr>
          <w:b/>
          <w:color w:val="FF0000"/>
          <w:u w:val="single"/>
        </w:rPr>
        <w:lastRenderedPageBreak/>
        <w:t>the same horizontal plane based on the total number of attachments in the horizontal plane.</w:t>
      </w:r>
    </w:p>
    <w:p w:rsidR="000E4EA8" w:rsidRPr="002A569B" w:rsidRDefault="00A579A9"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(v) </w:t>
      </w:r>
      <w:r w:rsidRPr="002A569B">
        <w:rPr>
          <w:b/>
          <w:color w:val="FF0000"/>
          <w:u w:val="single"/>
        </w:rPr>
        <w:tab/>
      </w:r>
      <w:r w:rsidR="000E4EA8" w:rsidRPr="002A569B">
        <w:rPr>
          <w:b/>
          <w:color w:val="FF0000"/>
          <w:u w:val="single"/>
        </w:rPr>
        <w:t xml:space="preserve">The total pole-attachment fees for all </w:t>
      </w:r>
      <w:r w:rsidR="006E085A" w:rsidRPr="002A569B">
        <w:rPr>
          <w:b/>
          <w:color w:val="FF0000"/>
          <w:u w:val="single"/>
        </w:rPr>
        <w:t>telecommunications carrier</w:t>
      </w:r>
      <w:r w:rsidR="00BF3C8F" w:rsidRPr="002A569B">
        <w:rPr>
          <w:b/>
          <w:color w:val="FF0000"/>
          <w:u w:val="single"/>
        </w:rPr>
        <w:t xml:space="preserve"> </w:t>
      </w:r>
      <w:r w:rsidR="000E4EA8" w:rsidRPr="002A569B">
        <w:rPr>
          <w:b/>
          <w:color w:val="FF0000"/>
          <w:u w:val="single"/>
        </w:rPr>
        <w:t>attachments on a particular pole shall not exceed 100% of the pole’s cost-of-ownership, less the proportion of the pole’s cost-of-ownership that is allocable to the pole space occupied by all other pole attachments.</w:t>
      </w:r>
    </w:p>
    <w:p w:rsidR="000E4EA8" w:rsidRPr="002A569B" w:rsidRDefault="00D755FC"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(vi) </w:t>
      </w:r>
      <w:r w:rsidRPr="002A569B">
        <w:rPr>
          <w:b/>
          <w:color w:val="FF0000"/>
          <w:u w:val="single"/>
        </w:rPr>
        <w:tab/>
      </w:r>
      <w:r w:rsidR="000E4EA8" w:rsidRPr="002A569B">
        <w:rPr>
          <w:b/>
          <w:color w:val="FF0000"/>
          <w:u w:val="single"/>
        </w:rPr>
        <w:t xml:space="preserve">The 7.4% per-foot fee does not apply to electric meters, risers, and conduit associated with </w:t>
      </w:r>
      <w:r w:rsidR="006E085A" w:rsidRPr="002A569B">
        <w:rPr>
          <w:b/>
          <w:color w:val="FF0000"/>
          <w:u w:val="single"/>
        </w:rPr>
        <w:t>telecommunications carrier</w:t>
      </w:r>
      <w:r w:rsidR="000E4EA8" w:rsidRPr="002A569B">
        <w:rPr>
          <w:b/>
          <w:color w:val="FF0000"/>
          <w:u w:val="single"/>
        </w:rPr>
        <w:t xml:space="preserve"> wireless pole installations.</w:t>
      </w:r>
    </w:p>
    <w:p w:rsidR="00E715B5" w:rsidRPr="002A569B" w:rsidRDefault="00D755FC" w:rsidP="00831A86">
      <w:pPr>
        <w:pStyle w:val="standard"/>
        <w:tabs>
          <w:tab w:val="left" w:pos="2970"/>
        </w:tabs>
        <w:spacing w:after="180" w:line="240" w:lineRule="auto"/>
        <w:ind w:left="2981" w:hanging="634"/>
        <w:rPr>
          <w:b/>
          <w:color w:val="FF0000"/>
          <w:u w:val="single"/>
        </w:rPr>
      </w:pPr>
      <w:r w:rsidRPr="002A569B">
        <w:rPr>
          <w:b/>
          <w:color w:val="FF0000"/>
          <w:u w:val="single"/>
        </w:rPr>
        <w:t xml:space="preserve">(vii) </w:t>
      </w:r>
      <w:r w:rsidRPr="002A569B">
        <w:rPr>
          <w:b/>
          <w:color w:val="FF0000"/>
          <w:u w:val="single"/>
        </w:rPr>
        <w:tab/>
      </w:r>
      <w:r w:rsidR="008453AB" w:rsidRPr="002A569B">
        <w:rPr>
          <w:b/>
          <w:color w:val="FF0000"/>
          <w:u w:val="single"/>
        </w:rPr>
        <w:t>The</w:t>
      </w:r>
      <w:r w:rsidR="00E715B5" w:rsidRPr="002A569B">
        <w:rPr>
          <w:b/>
          <w:color w:val="FF0000"/>
          <w:u w:val="single"/>
        </w:rPr>
        <w:t xml:space="preserve"> annual fee in </w:t>
      </w:r>
      <w:r w:rsidR="00930BE1" w:rsidRPr="002A569B">
        <w:rPr>
          <w:b/>
          <w:color w:val="FF0000"/>
          <w:u w:val="single"/>
        </w:rPr>
        <w:t>Section VI.B.1</w:t>
      </w:r>
      <w:r w:rsidR="00820FB7" w:rsidRPr="002A569B">
        <w:rPr>
          <w:b/>
          <w:color w:val="FF0000"/>
          <w:u w:val="single"/>
        </w:rPr>
        <w:t>.</w:t>
      </w:r>
      <w:r w:rsidR="00930BE1" w:rsidRPr="002A569B">
        <w:rPr>
          <w:b/>
          <w:color w:val="FF0000"/>
          <w:u w:val="single"/>
        </w:rPr>
        <w:t>b</w:t>
      </w:r>
      <w:r w:rsidR="00820FB7" w:rsidRPr="002A569B">
        <w:rPr>
          <w:b/>
          <w:color w:val="FF0000"/>
          <w:u w:val="single"/>
        </w:rPr>
        <w:t>.</w:t>
      </w:r>
      <w:r w:rsidR="00930BE1" w:rsidRPr="002A569B">
        <w:rPr>
          <w:b/>
          <w:color w:val="FF0000"/>
          <w:u w:val="single"/>
        </w:rPr>
        <w:t>1</w:t>
      </w:r>
      <w:r w:rsidR="00E715B5" w:rsidRPr="002A569B">
        <w:rPr>
          <w:b/>
          <w:color w:val="FF0000"/>
          <w:u w:val="single"/>
        </w:rPr>
        <w:t xml:space="preserve">, above, shall apply to </w:t>
      </w:r>
      <w:r w:rsidR="004110B0" w:rsidRPr="002A569B">
        <w:rPr>
          <w:b/>
          <w:color w:val="FF0000"/>
          <w:u w:val="single"/>
        </w:rPr>
        <w:t xml:space="preserve">a </w:t>
      </w:r>
      <w:r w:rsidR="006E085A" w:rsidRPr="002A569B">
        <w:rPr>
          <w:b/>
          <w:color w:val="FF0000"/>
          <w:u w:val="single"/>
        </w:rPr>
        <w:t>telecommunications carrier</w:t>
      </w:r>
      <w:r w:rsidR="004110B0" w:rsidRPr="002A569B">
        <w:rPr>
          <w:b/>
          <w:color w:val="FF0000"/>
          <w:u w:val="single"/>
        </w:rPr>
        <w:t xml:space="preserve"> that has only wireline facilities attached to a pole, even if another</w:t>
      </w:r>
      <w:r w:rsidR="00137EB4" w:rsidRPr="002A569B">
        <w:rPr>
          <w:b/>
          <w:color w:val="FF0000"/>
          <w:u w:val="single"/>
        </w:rPr>
        <w:t xml:space="preserve"> </w:t>
      </w:r>
      <w:r w:rsidR="006E085A" w:rsidRPr="002A569B">
        <w:rPr>
          <w:b/>
          <w:color w:val="FF0000"/>
          <w:u w:val="single"/>
        </w:rPr>
        <w:t>telecommunications carrier</w:t>
      </w:r>
      <w:r w:rsidR="00E715B5" w:rsidRPr="002A569B">
        <w:rPr>
          <w:b/>
          <w:color w:val="FF0000"/>
          <w:u w:val="single"/>
        </w:rPr>
        <w:t xml:space="preserve"> </w:t>
      </w:r>
      <w:r w:rsidR="004110B0" w:rsidRPr="002A569B">
        <w:rPr>
          <w:b/>
          <w:color w:val="FF0000"/>
          <w:u w:val="single"/>
        </w:rPr>
        <w:t>has wireless facilities attached to the same pole</w:t>
      </w:r>
      <w:r w:rsidR="00CA7B04" w:rsidRPr="002A569B">
        <w:rPr>
          <w:b/>
          <w:color w:val="FF0000"/>
          <w:u w:val="single"/>
        </w:rPr>
        <w:t xml:space="preserve">.   </w:t>
      </w:r>
    </w:p>
    <w:p w:rsidR="008338A7" w:rsidRPr="00585DE0" w:rsidRDefault="00DA468D" w:rsidP="00831A86">
      <w:pPr>
        <w:pStyle w:val="standard"/>
        <w:tabs>
          <w:tab w:val="left" w:pos="2250"/>
        </w:tabs>
        <w:spacing w:after="120" w:line="240" w:lineRule="auto"/>
        <w:ind w:left="2250" w:hanging="450"/>
      </w:pPr>
      <w:r w:rsidRPr="002A569B">
        <w:rPr>
          <w:b/>
          <w:color w:val="FF0000"/>
          <w:u w:val="single"/>
        </w:rPr>
        <w:t>(4)</w:t>
      </w:r>
      <w:r>
        <w:t xml:space="preserve"> </w:t>
      </w:r>
      <w:r>
        <w:tab/>
      </w:r>
      <w:r w:rsidR="008338A7" w:rsidRPr="00585DE0">
        <w:t>For support structures used by the telecommunications carrier</w:t>
      </w:r>
      <w:r w:rsidR="008338A7">
        <w:t>,</w:t>
      </w:r>
      <w:r w:rsidR="008338A7" w:rsidRPr="00585DE0">
        <w:t xml:space="preserve"> </w:t>
      </w:r>
      <w:r w:rsidR="008338A7" w:rsidRPr="003827EC">
        <w:t>CMRS carrier,</w:t>
      </w:r>
      <w:r w:rsidR="008338A7" w:rsidRPr="00585DE0">
        <w:t xml:space="preserve"> or cable TV company, other than poles or anchors, a percentage of the annual cost</w:t>
      </w:r>
      <w:r w:rsidR="00C26A49">
        <w:t>-</w:t>
      </w:r>
      <w:r w:rsidR="008338A7" w:rsidRPr="00585DE0">
        <w:t>of</w:t>
      </w:r>
      <w:r w:rsidR="00C26A49">
        <w:t>-</w:t>
      </w:r>
      <w:r w:rsidR="008338A7" w:rsidRPr="00585DE0">
        <w:t>ownership for the support structure, computed by dividing the volume or capacity rendered unusable by the telecommunications carrier’s</w:t>
      </w:r>
      <w:r w:rsidR="008338A7">
        <w:t xml:space="preserve">, </w:t>
      </w:r>
      <w:r w:rsidR="008338A7" w:rsidRPr="003827EC">
        <w:t>CMRS carrier’s,</w:t>
      </w:r>
      <w:r w:rsidR="008338A7" w:rsidRPr="00585DE0">
        <w:t xml:space="preserve"> or cable</w:t>
      </w:r>
      <w:r w:rsidR="008338A7">
        <w:t> </w:t>
      </w:r>
      <w:r w:rsidR="008338A7" w:rsidRPr="00585DE0">
        <w:t>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w:t>
      </w:r>
      <w:r w:rsidR="008338A7">
        <w:t xml:space="preserve">, </w:t>
      </w:r>
      <w:r w:rsidR="008338A7" w:rsidRPr="003827EC">
        <w:t>CMRS carrier’s,</w:t>
      </w:r>
      <w:r w:rsidR="008338A7" w:rsidRPr="00585DE0">
        <w:t xml:space="preserve"> or cable</w:t>
      </w:r>
      <w:r w:rsidR="008338A7">
        <w:t> </w:t>
      </w:r>
      <w:r w:rsidR="008338A7" w:rsidRPr="00585DE0">
        <w:t>TV company’s equipment.</w:t>
      </w:r>
    </w:p>
    <w:p w:rsidR="008338A7" w:rsidRDefault="008338A7" w:rsidP="005F4782">
      <w:pPr>
        <w:pStyle w:val="standard"/>
        <w:tabs>
          <w:tab w:val="left" w:pos="1710"/>
        </w:tabs>
        <w:spacing w:after="120" w:line="240" w:lineRule="auto"/>
        <w:ind w:left="1713" w:hanging="446"/>
      </w:pPr>
      <w:r w:rsidRPr="00585DE0">
        <w:t>c.</w:t>
      </w:r>
      <w:r w:rsidRPr="00585DE0">
        <w:tab/>
      </w:r>
      <w:r w:rsidRPr="003827EC">
        <w:t>Except as allowed by Section</w:t>
      </w:r>
      <w:r w:rsidR="00D047C7" w:rsidRPr="002A569B">
        <w:rPr>
          <w:b/>
          <w:color w:val="FF0000"/>
          <w:u w:val="single"/>
        </w:rPr>
        <w:t>s</w:t>
      </w:r>
      <w:r w:rsidRPr="003827EC">
        <w:t xml:space="preserve"> VI.B.1.b.2</w:t>
      </w:r>
      <w:r w:rsidR="009E49A7">
        <w:t xml:space="preserve"> </w:t>
      </w:r>
      <w:r w:rsidR="009E49A7" w:rsidRPr="002A569B">
        <w:rPr>
          <w:b/>
          <w:color w:val="FF0000"/>
          <w:u w:val="single"/>
        </w:rPr>
        <w:t>and 3</w:t>
      </w:r>
      <w:r w:rsidRPr="003827EC">
        <w:t>, above,</w:t>
      </w:r>
      <w:r>
        <w:t xml:space="preserve"> </w:t>
      </w:r>
      <w:r w:rsidRPr="003827EC">
        <w:t>a</w:t>
      </w:r>
      <w:r w:rsidRPr="00585DE0">
        <w:t xml:space="preserve"> utility may not charge a telecommunications carrier</w:t>
      </w:r>
      <w:r w:rsidRPr="003827EC">
        <w:t xml:space="preserve">, CMRS carrier, </w:t>
      </w:r>
      <w:r w:rsidRPr="00585DE0">
        <w:t>or cable</w:t>
      </w:r>
      <w:r>
        <w:t> </w:t>
      </w:r>
      <w:r w:rsidRPr="00585DE0">
        <w:t>TV company a higher rate for access to its rights</w:t>
      </w:r>
      <w:r w:rsidR="00005D48">
        <w:t>-</w:t>
      </w:r>
      <w:r w:rsidRPr="00585DE0">
        <w:t>of</w:t>
      </w:r>
      <w:r w:rsidR="00005D48">
        <w:t>-</w:t>
      </w:r>
      <w:r w:rsidRPr="00585DE0">
        <w:t>way and support structures than it would charge a similarly situated cable television corporation for access to the same rights</w:t>
      </w:r>
      <w:r w:rsidR="00005D48">
        <w:t>-</w:t>
      </w:r>
      <w:r w:rsidRPr="00585DE0">
        <w:t>of</w:t>
      </w:r>
      <w:r w:rsidR="00005D48">
        <w:t>-</w:t>
      </w:r>
      <w:r w:rsidRPr="00585DE0">
        <w:t>way and support structures.</w:t>
      </w:r>
      <w:r>
        <w:t xml:space="preserve">  </w:t>
      </w:r>
    </w:p>
    <w:p w:rsidR="008338A7" w:rsidRDefault="008338A7" w:rsidP="00AC14B3">
      <w:pPr>
        <w:pStyle w:val="standard"/>
        <w:tabs>
          <w:tab w:val="left" w:pos="1710"/>
        </w:tabs>
        <w:spacing w:after="240" w:line="240" w:lineRule="auto"/>
        <w:ind w:left="1713" w:hanging="446"/>
      </w:pPr>
      <w:r>
        <w:t xml:space="preserve">d. </w:t>
      </w:r>
      <w:r>
        <w:tab/>
      </w:r>
      <w:r w:rsidR="00F41C65" w:rsidRPr="002A569B">
        <w:rPr>
          <w:b/>
          <w:color w:val="FF0000"/>
          <w:u w:val="single"/>
        </w:rPr>
        <w:t>Except as allowed by Sections VI.B.1.b.2 and 3</w:t>
      </w:r>
      <w:r w:rsidR="00F41C65" w:rsidRPr="003827EC">
        <w:t xml:space="preserve">, </w:t>
      </w:r>
      <w:r w:rsidR="0027570C">
        <w:t xml:space="preserve">above, </w:t>
      </w:r>
      <w:r w:rsidRPr="002A569B">
        <w:rPr>
          <w:b/>
          <w:strike/>
          <w:color w:val="FF0000"/>
        </w:rPr>
        <w:t>A</w:t>
      </w:r>
      <w:r w:rsidRPr="003827EC">
        <w:t xml:space="preserve"> </w:t>
      </w:r>
      <w:r w:rsidR="00F41C65" w:rsidRPr="002A569B">
        <w:rPr>
          <w:b/>
          <w:color w:val="FF0000"/>
          <w:u w:val="single"/>
        </w:rPr>
        <w:t>a</w:t>
      </w:r>
      <w:r w:rsidR="00F41C65">
        <w:t xml:space="preserve"> </w:t>
      </w:r>
      <w:r w:rsidRPr="003827EC">
        <w:t xml:space="preserve">utility may not charge a </w:t>
      </w:r>
      <w:r w:rsidR="00F41C65" w:rsidRPr="002A569B">
        <w:rPr>
          <w:b/>
          <w:color w:val="FF0000"/>
          <w:u w:val="single"/>
        </w:rPr>
        <w:t>telecommunications carrier or</w:t>
      </w:r>
      <w:r w:rsidR="00F41C65">
        <w:t xml:space="preserve"> </w:t>
      </w:r>
      <w:r w:rsidRPr="003827EC">
        <w:t>CMRS carrier a higher rate for access to its rights</w:t>
      </w:r>
      <w:r w:rsidR="00005D48">
        <w:t>-</w:t>
      </w:r>
      <w:r w:rsidRPr="003827EC">
        <w:t>o</w:t>
      </w:r>
      <w:r w:rsidR="00005D48">
        <w:t>f-</w:t>
      </w:r>
      <w:r w:rsidRPr="003827EC">
        <w:t xml:space="preserve">way and support structures </w:t>
      </w:r>
      <w:r w:rsidRPr="003827EC">
        <w:lastRenderedPageBreak/>
        <w:t xml:space="preserve">than it would charge a similarly situated </w:t>
      </w:r>
      <w:r w:rsidR="00F41C65" w:rsidRPr="002A569B">
        <w:rPr>
          <w:b/>
          <w:color w:val="FF0000"/>
          <w:u w:val="single"/>
        </w:rPr>
        <w:t>telecommunications carrier or</w:t>
      </w:r>
      <w:r w:rsidR="00F41C65">
        <w:t xml:space="preserve"> </w:t>
      </w:r>
      <w:r w:rsidRPr="003827EC">
        <w:t>CMRS carrier for access to the same rights</w:t>
      </w:r>
      <w:r w:rsidR="00005D48">
        <w:t>-</w:t>
      </w:r>
      <w:r w:rsidRPr="003827EC">
        <w:t>of</w:t>
      </w:r>
      <w:r w:rsidR="00005D48">
        <w:t>-</w:t>
      </w:r>
      <w:r w:rsidRPr="003827EC">
        <w:t>way and support structures.</w:t>
      </w:r>
      <w:r w:rsidR="000E5482">
        <w:t xml:space="preserve"> </w:t>
      </w:r>
    </w:p>
    <w:p w:rsidR="008338A7" w:rsidRPr="00E0456D" w:rsidRDefault="008338A7" w:rsidP="00182D9E">
      <w:pPr>
        <w:pStyle w:val="standard"/>
        <w:keepNext/>
        <w:tabs>
          <w:tab w:val="left" w:pos="540"/>
        </w:tabs>
        <w:spacing w:after="120" w:line="240" w:lineRule="auto"/>
        <w:ind w:left="547" w:hanging="547"/>
      </w:pPr>
      <w:r w:rsidRPr="00E0456D">
        <w:t>C.</w:t>
      </w:r>
      <w:r w:rsidRPr="00E0456D">
        <w:tab/>
        <w:t>CONTRACTS</w:t>
      </w:r>
    </w:p>
    <w:p w:rsidR="008338A7" w:rsidRPr="00607FD0" w:rsidRDefault="008338A7" w:rsidP="006268B0">
      <w:pPr>
        <w:pStyle w:val="standard"/>
        <w:tabs>
          <w:tab w:val="left" w:pos="900"/>
        </w:tabs>
        <w:spacing w:after="120" w:line="240" w:lineRule="auto"/>
        <w:ind w:left="900" w:hanging="360"/>
        <w:rPr>
          <w:sz w:val="24"/>
          <w:szCs w:val="24"/>
        </w:rPr>
      </w:pPr>
      <w:r w:rsidRPr="00607FD0">
        <w:rPr>
          <w:sz w:val="24"/>
          <w:szCs w:val="24"/>
        </w:rPr>
        <w:t>1.</w:t>
      </w:r>
      <w:r w:rsidRPr="00607FD0">
        <w:rPr>
          <w:sz w:val="24"/>
          <w:szCs w:val="24"/>
        </w:rPr>
        <w:tab/>
        <w:t>A utility that provides or has negotiated an agreement with a telecommunications carrier, CMRS carrier, or cable TV company to provide access to its support structures shall file with the Commission the executed contract showing:</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a.</w:t>
      </w:r>
      <w:r w:rsidRPr="00607FD0">
        <w:rPr>
          <w:sz w:val="24"/>
          <w:szCs w:val="24"/>
        </w:rPr>
        <w:tab/>
        <w:t>The annual fee for attaching to a pole and supporting anchor.</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b.</w:t>
      </w:r>
      <w:r w:rsidRPr="00607FD0">
        <w:rPr>
          <w:sz w:val="24"/>
          <w:szCs w:val="24"/>
        </w:rPr>
        <w:tab/>
        <w:t>The annual fee per linear foot for use of conduit.</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c.</w:t>
      </w:r>
      <w:r w:rsidRPr="00607FD0">
        <w:rPr>
          <w:sz w:val="24"/>
          <w:szCs w:val="24"/>
        </w:rPr>
        <w:tab/>
        <w:t>Unit costs for all make ready and rearrangements work.</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d.</w:t>
      </w:r>
      <w:r w:rsidRPr="00607FD0">
        <w:rPr>
          <w:sz w:val="24"/>
          <w:szCs w:val="24"/>
        </w:rPr>
        <w:tab/>
        <w:t>All terms and conditions governing access to its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and support structures.</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e.</w:t>
      </w:r>
      <w:r w:rsidRPr="00607FD0">
        <w:rPr>
          <w:sz w:val="24"/>
          <w:szCs w:val="24"/>
        </w:rPr>
        <w:tab/>
        <w:t>The fee for copies or preparation of maps, drawings and plans for attachment to or use of support structures.</w:t>
      </w:r>
    </w:p>
    <w:p w:rsidR="008338A7" w:rsidRPr="00607FD0" w:rsidRDefault="008338A7" w:rsidP="006268B0">
      <w:pPr>
        <w:pStyle w:val="standard"/>
        <w:tabs>
          <w:tab w:val="left" w:pos="900"/>
        </w:tabs>
        <w:spacing w:after="240" w:line="240" w:lineRule="auto"/>
        <w:ind w:left="907" w:hanging="360"/>
        <w:rPr>
          <w:sz w:val="24"/>
          <w:szCs w:val="24"/>
        </w:rPr>
      </w:pPr>
      <w:r w:rsidRPr="00607FD0">
        <w:rPr>
          <w:sz w:val="24"/>
          <w:szCs w:val="24"/>
        </w:rPr>
        <w:t>2.</w:t>
      </w:r>
      <w:r w:rsidRPr="00607FD0">
        <w:rPr>
          <w:sz w:val="24"/>
          <w:szCs w:val="24"/>
        </w:rPr>
        <w:tab/>
        <w:t>A utility entering into contracts with telecommunications carriers, CMRS carriers, or cable TV companies or cable TV company for access to its support structures, shall file such contracts with the Commission pursuant to General Order 96, available for full public inspection, and extended on a nondiscriminatory basis to all other similarly situated telecommunications carriers, CMRS carriers, or cable TV companies.  If the contracts are mutually negotiated and submitted as being pursuant to the terms of 251 and 252 of TA 96, they shall be reviewed consistent with the provisions of Resolution ALJ</w:t>
      </w:r>
      <w:r w:rsidRPr="00607FD0">
        <w:rPr>
          <w:sz w:val="24"/>
          <w:szCs w:val="24"/>
        </w:rPr>
        <w:noBreakHyphen/>
        <w:t>174.</w:t>
      </w:r>
    </w:p>
    <w:p w:rsidR="008338A7" w:rsidRPr="00025926" w:rsidRDefault="008338A7" w:rsidP="00182D9E">
      <w:pPr>
        <w:pStyle w:val="standard"/>
        <w:keepNext/>
        <w:tabs>
          <w:tab w:val="left" w:pos="540"/>
        </w:tabs>
        <w:spacing w:after="120" w:line="240" w:lineRule="auto"/>
        <w:ind w:left="547" w:hanging="547"/>
      </w:pPr>
      <w:r w:rsidRPr="00025926">
        <w:t>D.</w:t>
      </w:r>
      <w:r w:rsidRPr="00025926">
        <w:tab/>
        <w:t>UNAUTHORIZED ATTACHMENTS</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1.</w:t>
      </w:r>
      <w:r w:rsidRPr="00EB3DFA">
        <w:rPr>
          <w:sz w:val="24"/>
          <w:szCs w:val="24"/>
        </w:rPr>
        <w:tab/>
        <w:t>No party may attach to the right</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or support structure of another utility without the express written authorization from the utility.</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2.</w:t>
      </w:r>
      <w:r w:rsidRPr="00EB3DFA">
        <w:rPr>
          <w:sz w:val="24"/>
          <w:szCs w:val="24"/>
        </w:rPr>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3.</w:t>
      </w:r>
      <w:r w:rsidRPr="00EB3DFA">
        <w:rPr>
          <w:sz w:val="24"/>
          <w:szCs w:val="24"/>
        </w:rPr>
        <w:tab/>
        <w:t xml:space="preserve">Any violation of the duty to obtain permission before attaching shall be cause for imposition of sanctions as, in the Commissioner’s judgment, are necessary to deter the party from in the future breaching its duty to obtain permission </w:t>
      </w:r>
      <w:r w:rsidRPr="00EB3DFA">
        <w:rPr>
          <w:sz w:val="24"/>
          <w:szCs w:val="24"/>
        </w:rPr>
        <w:lastRenderedPageBreak/>
        <w:t>before attaching will be accompanied by findings of fact that permit the pole owner to seek further remedies in a civil action.</w:t>
      </w:r>
    </w:p>
    <w:p w:rsidR="008338A7" w:rsidRPr="00EB3DFA" w:rsidRDefault="008338A7" w:rsidP="004433A8">
      <w:pPr>
        <w:pStyle w:val="standard"/>
        <w:tabs>
          <w:tab w:val="left" w:pos="900"/>
        </w:tabs>
        <w:spacing w:after="240" w:line="240" w:lineRule="auto"/>
        <w:ind w:left="907" w:hanging="360"/>
        <w:rPr>
          <w:sz w:val="24"/>
          <w:szCs w:val="24"/>
        </w:rPr>
      </w:pPr>
      <w:r w:rsidRPr="00EB3DFA">
        <w:rPr>
          <w:sz w:val="24"/>
          <w:szCs w:val="24"/>
        </w:rPr>
        <w:t>4.</w:t>
      </w:r>
      <w:r w:rsidRPr="00EB3DFA">
        <w:rPr>
          <w:sz w:val="24"/>
          <w:szCs w:val="24"/>
        </w:rPr>
        <w:tab/>
        <w:t>This Section D applies to existing attachments as of the effective date of these rules.</w:t>
      </w:r>
    </w:p>
    <w:p w:rsidR="008338A7" w:rsidRPr="00E55005" w:rsidRDefault="008338A7" w:rsidP="00FC3FC3">
      <w:pPr>
        <w:pStyle w:val="standard"/>
        <w:keepNext/>
        <w:tabs>
          <w:tab w:val="left" w:pos="540"/>
        </w:tabs>
        <w:spacing w:after="120" w:line="240" w:lineRule="auto"/>
        <w:ind w:left="540" w:hanging="540"/>
      </w:pPr>
      <w:r w:rsidRPr="00E55005">
        <w:t>VII.</w:t>
      </w:r>
      <w:r w:rsidRPr="00E55005">
        <w:tab/>
        <w:t>RESERVATIONS OF CAPACITY FOR FUTURE USE</w:t>
      </w:r>
    </w:p>
    <w:p w:rsidR="008338A7" w:rsidRPr="000E067B" w:rsidRDefault="008338A7" w:rsidP="005252F0">
      <w:pPr>
        <w:pStyle w:val="standard"/>
        <w:tabs>
          <w:tab w:val="left" w:pos="540"/>
        </w:tabs>
        <w:spacing w:after="120" w:line="240" w:lineRule="auto"/>
        <w:ind w:left="547" w:hanging="547"/>
        <w:rPr>
          <w:sz w:val="24"/>
          <w:szCs w:val="24"/>
        </w:rPr>
      </w:pPr>
      <w:r w:rsidRPr="000E067B">
        <w:rPr>
          <w:sz w:val="24"/>
          <w:szCs w:val="24"/>
        </w:rPr>
        <w:t xml:space="preserve">A. </w:t>
      </w:r>
      <w:r w:rsidRPr="000E067B">
        <w:rPr>
          <w:sz w:val="24"/>
          <w:szCs w:val="24"/>
        </w:rPr>
        <w:tab/>
        <w:t>No utility shall adopt, enforce or purport to enforce against a telecommunications carrier, CMRS carrier, or cable TV company any “hold off,” moratorium, reservation of rights or other policy by which it refuses to make currently unused space or capacity on or in its support structures available to telecommunications carriers, CMRS carriers, or cable</w:t>
      </w:r>
      <w:r w:rsidR="004A2448" w:rsidRPr="000E067B">
        <w:rPr>
          <w:sz w:val="24"/>
          <w:szCs w:val="24"/>
        </w:rPr>
        <w:t> </w:t>
      </w:r>
      <w:r w:rsidRPr="000E067B">
        <w:rPr>
          <w:sz w:val="24"/>
          <w:szCs w:val="24"/>
        </w:rPr>
        <w:t>TV companies requesting access to such support structures, except as provided for in Part</w:t>
      </w:r>
      <w:r w:rsidR="00E40680" w:rsidRPr="000E067B">
        <w:rPr>
          <w:sz w:val="24"/>
          <w:szCs w:val="24"/>
        </w:rPr>
        <w:t> </w:t>
      </w:r>
      <w:r w:rsidRPr="000E067B">
        <w:rPr>
          <w:sz w:val="24"/>
          <w:szCs w:val="24"/>
        </w:rPr>
        <w:t>C below.</w:t>
      </w:r>
    </w:p>
    <w:p w:rsidR="008338A7" w:rsidRPr="000E067B" w:rsidRDefault="008338A7" w:rsidP="005252F0">
      <w:pPr>
        <w:pStyle w:val="standard"/>
        <w:keepLines/>
        <w:tabs>
          <w:tab w:val="left" w:pos="540"/>
        </w:tabs>
        <w:spacing w:after="120" w:line="240" w:lineRule="auto"/>
        <w:ind w:left="547" w:hanging="547"/>
        <w:rPr>
          <w:sz w:val="24"/>
          <w:szCs w:val="24"/>
        </w:rPr>
      </w:pPr>
      <w:r w:rsidRPr="000E067B">
        <w:rPr>
          <w:sz w:val="24"/>
          <w:szCs w:val="24"/>
        </w:rPr>
        <w:t xml:space="preserve">B. </w:t>
      </w:r>
      <w:r w:rsidRPr="000E067B">
        <w:rPr>
          <w:sz w:val="24"/>
          <w:szCs w:val="24"/>
        </w:rPr>
        <w:tab/>
        <w:t>All access to a utility’s support structures and rights</w:t>
      </w:r>
      <w:r w:rsidR="0078351D" w:rsidRPr="000E067B">
        <w:rPr>
          <w:sz w:val="24"/>
          <w:szCs w:val="24"/>
        </w:rPr>
        <w:t>-</w:t>
      </w:r>
      <w:r w:rsidRPr="000E067B">
        <w:rPr>
          <w:sz w:val="24"/>
          <w:szCs w:val="24"/>
        </w:rPr>
        <w:t>of</w:t>
      </w:r>
      <w:r w:rsidR="0078351D" w:rsidRPr="000E067B">
        <w:rPr>
          <w:sz w:val="24"/>
          <w:szCs w:val="24"/>
        </w:rPr>
        <w:t>-</w:t>
      </w:r>
      <w:r w:rsidRPr="000E067B">
        <w:rPr>
          <w:sz w:val="24"/>
          <w:szCs w:val="24"/>
        </w:rPr>
        <w:t>way shall be subject to the requirements of Public Utilities Code § 851 and General Order 69C.  Instead of capacity reclamation, our preferred outcome is for the expansion of existing support structures to accommodate the need for additional attachments.</w:t>
      </w:r>
    </w:p>
    <w:p w:rsidR="008338A7" w:rsidRPr="000E067B" w:rsidRDefault="008338A7" w:rsidP="00E40680">
      <w:pPr>
        <w:pStyle w:val="standard"/>
        <w:keepNext/>
        <w:tabs>
          <w:tab w:val="left" w:pos="540"/>
        </w:tabs>
        <w:spacing w:line="240" w:lineRule="auto"/>
        <w:ind w:left="547" w:hanging="547"/>
        <w:rPr>
          <w:sz w:val="24"/>
          <w:szCs w:val="24"/>
        </w:rPr>
      </w:pPr>
      <w:r w:rsidRPr="002E09BB">
        <w:t xml:space="preserve">C. </w:t>
      </w:r>
      <w:r w:rsidRPr="002E09BB">
        <w:tab/>
      </w:r>
      <w:r w:rsidRPr="000E067B">
        <w:rPr>
          <w:sz w:val="24"/>
          <w:szCs w:val="24"/>
        </w:rPr>
        <w:t>Notwithstanding the provisions of Paragraphs VII.A and VII.B, an electric utility may reserve space for up to 12 months on its support structures required to serve core utility customers where it demonstrates that:  (i) 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w:t>
      </w:r>
      <w:r w:rsidR="0060156A" w:rsidRPr="000E067B">
        <w:rPr>
          <w:sz w:val="24"/>
          <w:szCs w:val="24"/>
        </w:rPr>
        <w:t> </w:t>
      </w:r>
      <w:r w:rsidRPr="000E067B">
        <w:rPr>
          <w:sz w:val="24"/>
          <w:szCs w:val="24"/>
        </w:rPr>
        <w:t>there is no available technological means of increasing the capacity of the support structure for additional attachments, and (iv) it has attempted to negotiate a cooperative solution to the capacity problem in good faith with the party seeking the attachment.  An ILEC may earmark space for imminent use where construction is planned to begin within nine months of a request for access.  A</w:t>
      </w:r>
      <w:r w:rsidRPr="002E09BB">
        <w:t xml:space="preserve"> CL</w:t>
      </w:r>
      <w:r w:rsidR="00397AFC" w:rsidRPr="002A569B">
        <w:rPr>
          <w:b/>
          <w:color w:val="FF0000"/>
          <w:u w:val="single"/>
        </w:rPr>
        <w:t>E</w:t>
      </w:r>
      <w:r w:rsidRPr="002E09BB">
        <w:t xml:space="preserve">C, </w:t>
      </w:r>
      <w:r w:rsidRPr="000E067B">
        <w:rPr>
          <w:sz w:val="24"/>
          <w:szCs w:val="24"/>
        </w:rPr>
        <w:t>CMRS carrier, or cable TV company must likewise use space within nine months of the date when a request for access is granted, or else will become subject to reversion of its access.</w:t>
      </w:r>
    </w:p>
    <w:p w:rsidR="008338A7" w:rsidRPr="00E55005" w:rsidRDefault="008338A7" w:rsidP="008338A7">
      <w:pPr>
        <w:pStyle w:val="standard"/>
        <w:spacing w:line="240" w:lineRule="auto"/>
      </w:pPr>
    </w:p>
    <w:p w:rsidR="008338A7" w:rsidRPr="00E55005" w:rsidRDefault="008338A7" w:rsidP="00FC3FC3">
      <w:pPr>
        <w:pStyle w:val="standard"/>
        <w:keepNext/>
        <w:tabs>
          <w:tab w:val="left" w:pos="540"/>
        </w:tabs>
        <w:spacing w:after="120" w:line="240" w:lineRule="auto"/>
        <w:ind w:left="540" w:hanging="540"/>
      </w:pPr>
      <w:r>
        <w:t xml:space="preserve">VIII. </w:t>
      </w:r>
      <w:r>
        <w:tab/>
      </w:r>
      <w:r w:rsidRPr="00E55005">
        <w:t>MODIFICATIONS OF EXISTING SUPPORT STRUCTURES</w:t>
      </w:r>
    </w:p>
    <w:p w:rsidR="008338A7" w:rsidRPr="00E55005" w:rsidRDefault="008338A7" w:rsidP="00A8350F">
      <w:pPr>
        <w:pStyle w:val="standard"/>
        <w:keepNext/>
        <w:tabs>
          <w:tab w:val="left" w:pos="540"/>
        </w:tabs>
        <w:spacing w:after="120" w:line="240" w:lineRule="auto"/>
        <w:ind w:left="547" w:hanging="547"/>
      </w:pPr>
      <w:r>
        <w:t xml:space="preserve">A. </w:t>
      </w:r>
      <w:r>
        <w:tab/>
      </w:r>
      <w:r w:rsidRPr="00E55005">
        <w:t>NOTIFICATION TO PARTIES ON OR IN SUPPORT STRUCTURES</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8338A7" w:rsidRPr="00E55005" w:rsidRDefault="008338A7" w:rsidP="008338A7">
      <w:pPr>
        <w:pStyle w:val="standard"/>
        <w:spacing w:line="240" w:lineRule="auto"/>
      </w:pPr>
    </w:p>
    <w:p w:rsidR="008338A7" w:rsidRPr="00E55005" w:rsidRDefault="008338A7" w:rsidP="00A8350F">
      <w:pPr>
        <w:pStyle w:val="standard"/>
        <w:keepNext/>
        <w:tabs>
          <w:tab w:val="left" w:pos="540"/>
        </w:tabs>
        <w:spacing w:after="120" w:line="240" w:lineRule="auto"/>
        <w:ind w:left="547" w:hanging="547"/>
      </w:pPr>
      <w:r>
        <w:t xml:space="preserve">B. </w:t>
      </w:r>
      <w:r>
        <w:tab/>
      </w:r>
      <w:r w:rsidRPr="00E55005">
        <w:t>NOTIFICATION GENERALLY</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Utilities and telecommunications carriers shall cooperate to develop a means by which notice of planned modifications to utility support structures may be published in a centralized, uniformly accessible location (e.g., a “web page” on the Internet).</w:t>
      </w:r>
    </w:p>
    <w:p w:rsidR="008338A7" w:rsidRPr="00E55005" w:rsidRDefault="008338A7" w:rsidP="008338A7">
      <w:pPr>
        <w:pStyle w:val="standard"/>
        <w:spacing w:line="240" w:lineRule="auto"/>
      </w:pPr>
    </w:p>
    <w:p w:rsidR="008338A7" w:rsidRPr="00E55005" w:rsidRDefault="008338A7" w:rsidP="00A8350F">
      <w:pPr>
        <w:pStyle w:val="standard"/>
        <w:keepNext/>
        <w:tabs>
          <w:tab w:val="left" w:pos="540"/>
        </w:tabs>
        <w:spacing w:after="120" w:line="240" w:lineRule="auto"/>
        <w:ind w:left="547" w:hanging="547"/>
      </w:pPr>
      <w:r>
        <w:t xml:space="preserve">A. </w:t>
      </w:r>
      <w:r>
        <w:tab/>
      </w:r>
      <w:r w:rsidRPr="00E55005">
        <w:t>SHARING THE COST OF MODIFICATIONS</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8338A7" w:rsidRPr="00E35516" w:rsidRDefault="008338A7" w:rsidP="008338A7">
      <w:pPr>
        <w:pStyle w:val="standard"/>
        <w:spacing w:line="240" w:lineRule="auto"/>
      </w:pPr>
    </w:p>
    <w:p w:rsidR="008338A7" w:rsidRPr="0045598C" w:rsidRDefault="008338A7" w:rsidP="00FC3FC3">
      <w:pPr>
        <w:pStyle w:val="standard"/>
        <w:keepNext/>
        <w:tabs>
          <w:tab w:val="left" w:pos="540"/>
        </w:tabs>
        <w:spacing w:after="120" w:line="240" w:lineRule="auto"/>
        <w:ind w:left="540" w:hanging="540"/>
      </w:pPr>
      <w:r>
        <w:t xml:space="preserve">IX. </w:t>
      </w:r>
      <w:r>
        <w:tab/>
      </w:r>
      <w:r w:rsidRPr="0045598C">
        <w:t>EXPEDITED DISPUTE RESOLUTION PROCEDURES</w:t>
      </w:r>
    </w:p>
    <w:p w:rsidR="008338A7" w:rsidRPr="00EB3DFA" w:rsidRDefault="008338A7" w:rsidP="005C4AF9">
      <w:pPr>
        <w:pStyle w:val="standard"/>
        <w:keepNext/>
        <w:tabs>
          <w:tab w:val="left" w:pos="540"/>
        </w:tabs>
        <w:spacing w:after="120" w:line="240" w:lineRule="auto"/>
        <w:ind w:left="547" w:hanging="547"/>
        <w:rPr>
          <w:sz w:val="24"/>
          <w:szCs w:val="24"/>
        </w:rPr>
      </w:pPr>
      <w:r w:rsidRPr="00EB3DFA">
        <w:rPr>
          <w:sz w:val="24"/>
          <w:szCs w:val="24"/>
        </w:rPr>
        <w:t xml:space="preserve">A. </w:t>
      </w:r>
      <w:r w:rsidRPr="00EB3DFA">
        <w:rPr>
          <w:sz w:val="24"/>
          <w:szCs w:val="24"/>
        </w:rPr>
        <w:tab/>
        <w:t>Parties to a dispute involving access to utility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may invoke the Commission’s dispute resolution procedures, but must first attempt in good faith to resolve the dispute.  Disputes involving initial access to utility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shall be heard and resolved through the following expedited dispute resolution procedure.</w:t>
      </w:r>
    </w:p>
    <w:p w:rsidR="008338A7" w:rsidRPr="00EB3DFA" w:rsidRDefault="008338A7" w:rsidP="0096284D">
      <w:pPr>
        <w:pStyle w:val="standard"/>
        <w:tabs>
          <w:tab w:val="left" w:pos="900"/>
        </w:tabs>
        <w:spacing w:after="120" w:line="240" w:lineRule="auto"/>
        <w:ind w:left="907" w:hanging="360"/>
        <w:rPr>
          <w:sz w:val="24"/>
          <w:szCs w:val="24"/>
        </w:rPr>
      </w:pPr>
      <w:r w:rsidRPr="00EB3DFA">
        <w:rPr>
          <w:sz w:val="24"/>
          <w:szCs w:val="24"/>
        </w:rPr>
        <w:t xml:space="preserve">1. </w:t>
      </w:r>
      <w:r w:rsidRPr="00EB3DFA">
        <w:rPr>
          <w:sz w:val="24"/>
          <w:szCs w:val="24"/>
        </w:rPr>
        <w:tab/>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2. </w:t>
      </w:r>
      <w:r w:rsidRPr="00EB3DFA">
        <w:rPr>
          <w:sz w:val="24"/>
          <w:szCs w:val="24"/>
        </w:rPr>
        <w:tab/>
      </w:r>
      <w:r w:rsidRPr="00EB3DFA">
        <w:rPr>
          <w:b/>
          <w:sz w:val="24"/>
          <w:szCs w:val="24"/>
        </w:rPr>
        <w:t>Content</w:t>
      </w:r>
      <w:r w:rsidR="006F6DCB" w:rsidRPr="00EB3DFA">
        <w:rPr>
          <w:b/>
          <w:sz w:val="24"/>
          <w:szCs w:val="24"/>
        </w:rPr>
        <w:t xml:space="preserve">.  </w:t>
      </w:r>
      <w:r w:rsidRPr="00EB3DFA">
        <w:rPr>
          <w:sz w:val="24"/>
          <w:szCs w:val="24"/>
        </w:rPr>
        <w:t>A request for arbitration must contain:</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a. </w:t>
      </w:r>
      <w:r w:rsidRPr="00EB3DFA">
        <w:rPr>
          <w:sz w:val="24"/>
          <w:szCs w:val="24"/>
        </w:rPr>
        <w:tab/>
        <w:t>A statement of all unresolved issues.</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b. </w:t>
      </w:r>
      <w:r w:rsidRPr="00EB3DFA">
        <w:rPr>
          <w:sz w:val="24"/>
          <w:szCs w:val="24"/>
        </w:rPr>
        <w:tab/>
        <w:t>A description of each party’s position on the unresolved issues.</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lastRenderedPageBreak/>
        <w:t xml:space="preserve">c. </w:t>
      </w:r>
      <w:r w:rsidRPr="00EB3DFA">
        <w:rPr>
          <w:sz w:val="24"/>
          <w:szCs w:val="24"/>
        </w:rPr>
        <w:tab/>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d. </w:t>
      </w:r>
      <w:r w:rsidRPr="00EB3DFA">
        <w:rPr>
          <w:sz w:val="24"/>
          <w:szCs w:val="24"/>
        </w:rPr>
        <w:tab/>
        <w:t>Direct testimony supporting the requester’s position on factual predicates underlying disputed issues.</w:t>
      </w:r>
    </w:p>
    <w:p w:rsidR="008338A7" w:rsidRPr="00EB3DFA" w:rsidRDefault="008338A7" w:rsidP="005E3A2D">
      <w:pPr>
        <w:pStyle w:val="standard"/>
        <w:tabs>
          <w:tab w:val="left" w:pos="1530"/>
        </w:tabs>
        <w:spacing w:after="200" w:line="240" w:lineRule="auto"/>
        <w:ind w:left="1530" w:hanging="446"/>
        <w:rPr>
          <w:sz w:val="24"/>
          <w:szCs w:val="24"/>
        </w:rPr>
      </w:pPr>
      <w:r w:rsidRPr="00EB3DFA">
        <w:rPr>
          <w:sz w:val="24"/>
          <w:szCs w:val="24"/>
        </w:rPr>
        <w:t xml:space="preserve">e. </w:t>
      </w:r>
      <w:r w:rsidRPr="00EB3DFA">
        <w:rPr>
          <w:sz w:val="24"/>
          <w:szCs w:val="24"/>
        </w:rPr>
        <w:tab/>
        <w:t>Documentation that the request complies with the time requirements in the preceding rule.</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3. </w:t>
      </w:r>
      <w:r w:rsidRPr="00EB3DFA">
        <w:rPr>
          <w:sz w:val="24"/>
          <w:szCs w:val="24"/>
        </w:rPr>
        <w:tab/>
      </w:r>
      <w:r w:rsidRPr="00EB3DFA">
        <w:rPr>
          <w:b/>
          <w:sz w:val="24"/>
          <w:szCs w:val="24"/>
        </w:rPr>
        <w:t>Appointment of Arbitrator</w:t>
      </w:r>
      <w:r w:rsidR="006F6DCB" w:rsidRPr="00EB3DFA">
        <w:rPr>
          <w:b/>
          <w:sz w:val="24"/>
          <w:szCs w:val="24"/>
        </w:rPr>
        <w:t xml:space="preserve">.  </w:t>
      </w:r>
      <w:r w:rsidRPr="00EB3DFA">
        <w:rPr>
          <w:sz w:val="24"/>
          <w:szCs w:val="24"/>
        </w:rPr>
        <w:t>Upon receipt of a request for arbitration, the Commission’s President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4. </w:t>
      </w:r>
      <w:r w:rsidRPr="00EB3DFA">
        <w:rPr>
          <w:sz w:val="24"/>
          <w:szCs w:val="24"/>
        </w:rPr>
        <w:tab/>
      </w:r>
      <w:r w:rsidRPr="00EB3DFA">
        <w:rPr>
          <w:b/>
          <w:sz w:val="24"/>
          <w:szCs w:val="24"/>
        </w:rPr>
        <w:t>Discovery</w:t>
      </w:r>
      <w:r w:rsidR="006F6DCB" w:rsidRPr="00EB3DFA">
        <w:rPr>
          <w:b/>
          <w:sz w:val="24"/>
          <w:szCs w:val="24"/>
        </w:rPr>
        <w:t xml:space="preserve">.  </w:t>
      </w:r>
      <w:r w:rsidRPr="00EB3DFA">
        <w:rPr>
          <w:sz w:val="24"/>
          <w:szCs w:val="24"/>
        </w:rPr>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5. </w:t>
      </w:r>
      <w:r w:rsidRPr="00EB3DFA">
        <w:rPr>
          <w:sz w:val="24"/>
          <w:szCs w:val="24"/>
        </w:rPr>
        <w:tab/>
      </w:r>
      <w:r w:rsidRPr="00EB3DFA">
        <w:rPr>
          <w:b/>
          <w:sz w:val="24"/>
          <w:szCs w:val="24"/>
        </w:rPr>
        <w:t>Opportunity to Respond</w:t>
      </w:r>
      <w:r w:rsidR="00043AA5" w:rsidRPr="00EB3DFA">
        <w:rPr>
          <w:b/>
          <w:sz w:val="24"/>
          <w:szCs w:val="24"/>
        </w:rPr>
        <w:t xml:space="preserve">.  </w:t>
      </w:r>
      <w:r w:rsidRPr="00EB3DFA">
        <w:rPr>
          <w:sz w:val="24"/>
          <w:szCs w:val="24"/>
        </w:rPr>
        <w:t>Pursuant to Subsection 252(b)(3), any party to a negotiation which did not make the request for arbitration (“respondent”) may file a response with the Commission within 15</w:t>
      </w:r>
      <w:r w:rsidR="005252F0" w:rsidRPr="00EB3DFA">
        <w:rPr>
          <w:sz w:val="24"/>
          <w:szCs w:val="24"/>
        </w:rPr>
        <w:t> </w:t>
      </w:r>
      <w:r w:rsidRPr="00EB3DFA">
        <w:rPr>
          <w:sz w:val="24"/>
          <w:szCs w:val="24"/>
        </w:rPr>
        <w:t>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6. </w:t>
      </w:r>
      <w:r w:rsidRPr="00EB3DFA">
        <w:rPr>
          <w:sz w:val="24"/>
          <w:szCs w:val="24"/>
        </w:rPr>
        <w:tab/>
      </w:r>
      <w:r w:rsidRPr="00EB3DFA">
        <w:rPr>
          <w:b/>
          <w:sz w:val="24"/>
          <w:szCs w:val="24"/>
        </w:rPr>
        <w:t>Revised Statement of Unresolved Issues</w:t>
      </w:r>
      <w:r w:rsidR="00043AA5" w:rsidRPr="00EB3DFA">
        <w:rPr>
          <w:b/>
          <w:sz w:val="24"/>
          <w:szCs w:val="24"/>
        </w:rPr>
        <w:t xml:space="preserve">.  </w:t>
      </w:r>
      <w:r w:rsidRPr="00EB3DFA">
        <w:rPr>
          <w:sz w:val="24"/>
          <w:szCs w:val="24"/>
        </w:rPr>
        <w:t xml:space="preserve">Within 3 days of receiving the response, the applicant and respondent shall jointly file a revised statement of </w:t>
      </w:r>
      <w:r w:rsidRPr="00EB3DFA">
        <w:rPr>
          <w:sz w:val="24"/>
          <w:szCs w:val="24"/>
        </w:rPr>
        <w:lastRenderedPageBreak/>
        <w:t>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7. </w:t>
      </w:r>
      <w:r w:rsidRPr="00EB3DFA">
        <w:rPr>
          <w:sz w:val="24"/>
          <w:szCs w:val="24"/>
        </w:rPr>
        <w:tab/>
      </w:r>
      <w:r w:rsidRPr="00EB3DFA">
        <w:rPr>
          <w:b/>
          <w:sz w:val="24"/>
          <w:szCs w:val="24"/>
        </w:rPr>
        <w:t>Initial Arbitration Meeting</w:t>
      </w:r>
      <w:r w:rsidR="00043AA5" w:rsidRPr="00EB3DFA">
        <w:rPr>
          <w:b/>
          <w:sz w:val="24"/>
          <w:szCs w:val="24"/>
        </w:rPr>
        <w:t xml:space="preserve">.  </w:t>
      </w:r>
      <w:r w:rsidRPr="00EB3DFA">
        <w:rPr>
          <w:sz w:val="24"/>
          <w:szCs w:val="24"/>
        </w:rPr>
        <w:t>An Arbitrator may call an initial meeting for purposes such as setting a schedule, simplifying issues, or resolving the scope and timing of discovery.</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8. </w:t>
      </w:r>
      <w:r w:rsidRPr="00EB3DFA">
        <w:rPr>
          <w:sz w:val="24"/>
          <w:szCs w:val="24"/>
        </w:rPr>
        <w:tab/>
      </w:r>
      <w:r w:rsidRPr="00EB3DFA">
        <w:rPr>
          <w:b/>
          <w:sz w:val="24"/>
          <w:szCs w:val="24"/>
        </w:rPr>
        <w:t>Arbitration Conference and Hearing</w:t>
      </w:r>
      <w:r w:rsidR="00043AA5" w:rsidRPr="00EB3DFA">
        <w:rPr>
          <w:b/>
          <w:sz w:val="24"/>
          <w:szCs w:val="24"/>
        </w:rPr>
        <w:t xml:space="preserve">.  </w:t>
      </w:r>
      <w:r w:rsidRPr="00EB3DFA">
        <w:rPr>
          <w:sz w:val="24"/>
          <w:szCs w:val="24"/>
        </w:rPr>
        <w:t>Within 7 days after the filing of a response to the request for arbitration, the arbitration conference and hearing shall begin.  The conduct of the conference and hearing shall be noticed on the Commission calendar and notice shall be provided to all parties on the service list.</w:t>
      </w:r>
    </w:p>
    <w:p w:rsidR="008338A7" w:rsidRPr="00EB3DFA" w:rsidRDefault="008338A7" w:rsidP="0096284D">
      <w:pPr>
        <w:pStyle w:val="standard"/>
        <w:tabs>
          <w:tab w:val="left" w:pos="900"/>
        </w:tabs>
        <w:spacing w:after="100" w:line="240" w:lineRule="auto"/>
        <w:ind w:left="907" w:hanging="360"/>
        <w:rPr>
          <w:sz w:val="24"/>
          <w:szCs w:val="24"/>
        </w:rPr>
      </w:pPr>
      <w:r w:rsidRPr="00EB3DFA">
        <w:rPr>
          <w:i/>
          <w:sz w:val="24"/>
          <w:szCs w:val="24"/>
        </w:rPr>
        <w:t>9.</w:t>
      </w:r>
      <w:r w:rsidRPr="00EB3DFA">
        <w:rPr>
          <w:b/>
          <w:sz w:val="24"/>
          <w:szCs w:val="24"/>
        </w:rPr>
        <w:t xml:space="preserve"> </w:t>
      </w:r>
      <w:r w:rsidRPr="00EB3DFA">
        <w:rPr>
          <w:b/>
          <w:sz w:val="24"/>
          <w:szCs w:val="24"/>
        </w:rPr>
        <w:tab/>
        <w:t>Limitation of Issues</w:t>
      </w:r>
      <w:r w:rsidR="00043AA5" w:rsidRPr="00EB3DFA">
        <w:rPr>
          <w:b/>
          <w:sz w:val="24"/>
          <w:szCs w:val="24"/>
        </w:rPr>
        <w:t xml:space="preserve">.  </w:t>
      </w:r>
      <w:r w:rsidRPr="00EB3DFA">
        <w:rPr>
          <w:sz w:val="24"/>
          <w:szCs w:val="24"/>
        </w:rPr>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10. </w:t>
      </w:r>
      <w:r w:rsidRPr="00EB3DFA">
        <w:rPr>
          <w:sz w:val="24"/>
          <w:szCs w:val="24"/>
        </w:rPr>
        <w:tab/>
      </w:r>
      <w:r w:rsidRPr="00EB3DFA">
        <w:rPr>
          <w:b/>
          <w:sz w:val="24"/>
          <w:szCs w:val="24"/>
        </w:rPr>
        <w:t>Arbitrator’s Reliance on Experts</w:t>
      </w:r>
      <w:r w:rsidR="00043AA5" w:rsidRPr="00EB3DFA">
        <w:rPr>
          <w:b/>
          <w:sz w:val="24"/>
          <w:szCs w:val="24"/>
        </w:rPr>
        <w:t xml:space="preserve">.  </w:t>
      </w:r>
      <w:r w:rsidRPr="00EB3DFA">
        <w:rPr>
          <w:sz w:val="24"/>
          <w:szCs w:val="24"/>
        </w:rPr>
        <w:t>The Arbitrator may rely on experts retained by, or on the Staff of the Commission.  Such expert(s) may assist the Arbitrator throughout the arbitration process.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11. </w:t>
      </w:r>
      <w:r w:rsidRPr="00EB3DFA">
        <w:rPr>
          <w:sz w:val="24"/>
          <w:szCs w:val="24"/>
        </w:rPr>
        <w:tab/>
      </w:r>
      <w:r w:rsidRPr="00EB3DFA">
        <w:rPr>
          <w:b/>
          <w:sz w:val="24"/>
          <w:szCs w:val="24"/>
        </w:rPr>
        <w:t>Close of Arbitration</w:t>
      </w:r>
      <w:r w:rsidR="00043AA5" w:rsidRPr="00EB3DFA">
        <w:rPr>
          <w:b/>
          <w:sz w:val="24"/>
          <w:szCs w:val="24"/>
        </w:rPr>
        <w:t xml:space="preserve">.  </w:t>
      </w:r>
      <w:r w:rsidRPr="00EB3DFA">
        <w:rPr>
          <w:sz w:val="24"/>
          <w:szCs w:val="24"/>
        </w:rPr>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12. </w:t>
      </w:r>
      <w:r w:rsidRPr="00EB3DFA">
        <w:rPr>
          <w:sz w:val="24"/>
          <w:szCs w:val="24"/>
        </w:rPr>
        <w:tab/>
      </w:r>
      <w:r w:rsidRPr="00EB3DFA">
        <w:rPr>
          <w:b/>
          <w:sz w:val="24"/>
          <w:szCs w:val="24"/>
        </w:rPr>
        <w:t>Expedited Stenographic Record</w:t>
      </w:r>
      <w:r w:rsidR="00043AA5" w:rsidRPr="00EB3DFA">
        <w:rPr>
          <w:b/>
          <w:sz w:val="24"/>
          <w:szCs w:val="24"/>
        </w:rPr>
        <w:t xml:space="preserve">.  </w:t>
      </w:r>
      <w:r w:rsidRPr="00EB3DFA">
        <w:rPr>
          <w:sz w:val="24"/>
          <w:szCs w:val="24"/>
        </w:rPr>
        <w:t>An expedited stenographic record of each evidentiary hearing shall be made.  The cost of preparation of the expedited transcript shall be borne in equal shares by the parties.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13. </w:t>
      </w:r>
      <w:r w:rsidRPr="00EB3DFA">
        <w:rPr>
          <w:sz w:val="24"/>
          <w:szCs w:val="24"/>
        </w:rPr>
        <w:tab/>
      </w:r>
      <w:r w:rsidRPr="00EB3DFA">
        <w:rPr>
          <w:b/>
          <w:sz w:val="24"/>
          <w:szCs w:val="24"/>
        </w:rPr>
        <w:t>Authority of the Arbitrator</w:t>
      </w:r>
      <w:r w:rsidR="00043AA5" w:rsidRPr="00EB3DFA">
        <w:rPr>
          <w:b/>
          <w:sz w:val="24"/>
          <w:szCs w:val="24"/>
        </w:rPr>
        <w:t xml:space="preserve">.  </w:t>
      </w:r>
      <w:r w:rsidRPr="00EB3DFA">
        <w:rPr>
          <w:sz w:val="24"/>
          <w:szCs w:val="24"/>
        </w:rPr>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8338A7" w:rsidRPr="00EB3DFA" w:rsidRDefault="008338A7" w:rsidP="0096284D">
      <w:pPr>
        <w:pStyle w:val="standard"/>
        <w:spacing w:after="120" w:line="240" w:lineRule="auto"/>
        <w:ind w:left="990" w:firstLine="0"/>
        <w:rPr>
          <w:sz w:val="24"/>
          <w:szCs w:val="24"/>
        </w:rPr>
      </w:pPr>
      <w:r w:rsidRPr="00EB3DFA">
        <w:rPr>
          <w:b/>
          <w:sz w:val="24"/>
          <w:szCs w:val="24"/>
        </w:rPr>
        <w:lastRenderedPageBreak/>
        <w:t>Participation Open to the Public Participation</w:t>
      </w:r>
      <w:r w:rsidRPr="00EB3DFA">
        <w:rPr>
          <w:sz w:val="24"/>
          <w:szCs w:val="24"/>
        </w:rPr>
        <w:t xml:space="preserve"> in the arbitration conferences and hearings is strictly limited to the parties negotiating a ROW agreement pursuant to the terms of these adopted rules.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14. </w:t>
      </w:r>
      <w:r w:rsidRPr="00EB3DFA">
        <w:rPr>
          <w:sz w:val="24"/>
          <w:szCs w:val="24"/>
        </w:rPr>
        <w:tab/>
      </w:r>
      <w:r w:rsidRPr="00EB3DFA">
        <w:rPr>
          <w:b/>
          <w:sz w:val="24"/>
          <w:szCs w:val="24"/>
        </w:rPr>
        <w:t>Arbitration Open to the Public</w:t>
      </w:r>
      <w:r w:rsidR="00043AA5" w:rsidRPr="00EB3DFA">
        <w:rPr>
          <w:b/>
          <w:sz w:val="24"/>
          <w:szCs w:val="24"/>
        </w:rPr>
        <w:t xml:space="preserve">.  </w:t>
      </w:r>
      <w:r w:rsidRPr="00EB3DFA">
        <w:rPr>
          <w:sz w:val="24"/>
          <w:szCs w:val="24"/>
        </w:rPr>
        <w:t>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15. </w:t>
      </w:r>
      <w:r w:rsidRPr="00EB3DFA">
        <w:rPr>
          <w:sz w:val="24"/>
          <w:szCs w:val="24"/>
        </w:rPr>
        <w:tab/>
      </w:r>
      <w:r w:rsidRPr="00EB3DFA">
        <w:rPr>
          <w:b/>
          <w:sz w:val="24"/>
          <w:szCs w:val="24"/>
        </w:rPr>
        <w:t>Filing of Draft Arbitrator’s Report</w:t>
      </w:r>
      <w:r w:rsidR="00C154A5" w:rsidRPr="00EB3DFA">
        <w:rPr>
          <w:b/>
          <w:sz w:val="24"/>
          <w:szCs w:val="24"/>
        </w:rPr>
        <w:t xml:space="preserve">.  </w:t>
      </w:r>
      <w:r w:rsidRPr="00EB3DFA">
        <w:rPr>
          <w:sz w:val="24"/>
          <w:szCs w:val="24"/>
        </w:rPr>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16. </w:t>
      </w:r>
      <w:r w:rsidRPr="00EB3DFA">
        <w:rPr>
          <w:sz w:val="24"/>
          <w:szCs w:val="24"/>
        </w:rPr>
        <w:tab/>
      </w:r>
      <w:r w:rsidRPr="00EB3DFA">
        <w:rPr>
          <w:b/>
          <w:sz w:val="24"/>
          <w:szCs w:val="24"/>
        </w:rPr>
        <w:t>Filing of Post-Hearing Briefs and Comments on the Draft Arbitrator’s Report</w:t>
      </w:r>
      <w:r w:rsidR="00C154A5" w:rsidRPr="00EB3DFA">
        <w:rPr>
          <w:b/>
          <w:sz w:val="24"/>
          <w:szCs w:val="24"/>
        </w:rPr>
        <w:t xml:space="preserve">.  </w:t>
      </w:r>
      <w:r w:rsidRPr="00EB3DFA">
        <w:rPr>
          <w:sz w:val="24"/>
          <w:szCs w:val="24"/>
        </w:rPr>
        <w:t>Each party to the arbitration may file a post-hearing brief within 7 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 pages.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17. </w:t>
      </w:r>
      <w:r w:rsidRPr="00EB3DFA">
        <w:rPr>
          <w:sz w:val="24"/>
          <w:szCs w:val="24"/>
        </w:rPr>
        <w:tab/>
      </w:r>
      <w:r w:rsidRPr="00EB3DFA">
        <w:rPr>
          <w:b/>
          <w:sz w:val="24"/>
          <w:szCs w:val="24"/>
        </w:rPr>
        <w:t>Filing of the Final Arbitrator’s Report</w:t>
      </w:r>
      <w:r w:rsidR="00C154A5" w:rsidRPr="00EB3DFA">
        <w:rPr>
          <w:b/>
          <w:sz w:val="24"/>
          <w:szCs w:val="24"/>
        </w:rPr>
        <w:t xml:space="preserve">.  </w:t>
      </w:r>
      <w:r w:rsidRPr="00EB3DFA">
        <w:rPr>
          <w:sz w:val="24"/>
          <w:szCs w:val="24"/>
        </w:rPr>
        <w:t>The arbitrator shall file the Final Arbitrator’s Report no later than 15 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18. </w:t>
      </w:r>
      <w:r w:rsidRPr="00EB3DFA">
        <w:rPr>
          <w:sz w:val="24"/>
          <w:szCs w:val="24"/>
        </w:rPr>
        <w:tab/>
      </w:r>
      <w:r w:rsidRPr="00EB3DFA">
        <w:rPr>
          <w:b/>
          <w:sz w:val="24"/>
          <w:szCs w:val="24"/>
        </w:rPr>
        <w:t>Filing of Arbitrated Agreement</w:t>
      </w:r>
      <w:r w:rsidR="00C154A5" w:rsidRPr="00EB3DFA">
        <w:rPr>
          <w:b/>
          <w:sz w:val="24"/>
          <w:szCs w:val="24"/>
        </w:rPr>
        <w:t xml:space="preserve">.  </w:t>
      </w:r>
      <w:r w:rsidRPr="00EB3DFA">
        <w:rPr>
          <w:sz w:val="24"/>
          <w:szCs w:val="24"/>
        </w:rPr>
        <w:t>Within 7 days of the filing of the Final Arbitrator’s Report, the parties shall file the entire agreement for approval.</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19. </w:t>
      </w:r>
      <w:r w:rsidRPr="00EB3DFA">
        <w:rPr>
          <w:sz w:val="24"/>
          <w:szCs w:val="24"/>
        </w:rPr>
        <w:tab/>
      </w:r>
      <w:r w:rsidRPr="00EB3DFA">
        <w:rPr>
          <w:b/>
          <w:sz w:val="24"/>
          <w:szCs w:val="24"/>
        </w:rPr>
        <w:t>Commission Review of Arbitrated Agreement</w:t>
      </w:r>
      <w:r w:rsidR="00C154A5" w:rsidRPr="00EB3DFA">
        <w:rPr>
          <w:b/>
          <w:sz w:val="24"/>
          <w:szCs w:val="24"/>
        </w:rPr>
        <w:t xml:space="preserve">.  </w:t>
      </w:r>
      <w:r w:rsidRPr="00EB3DFA">
        <w:rPr>
          <w:sz w:val="24"/>
          <w:szCs w:val="24"/>
        </w:rPr>
        <w:t xml:space="preserve">Within 30 days following filing of the arbitrated agreement, the Commission shall issue a decision </w:t>
      </w:r>
      <w:r w:rsidRPr="00EB3DFA">
        <w:rPr>
          <w:sz w:val="24"/>
          <w:szCs w:val="24"/>
        </w:rPr>
        <w:lastRenderedPageBreak/>
        <w:t>approving or rejecting the arbitrated agreement (including those parts arrived at through negotiations) pursuant to Subsection 252(e) and all its subparts.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20.</w:t>
      </w:r>
      <w:r w:rsidRPr="00EB3DFA">
        <w:rPr>
          <w:b/>
          <w:sz w:val="24"/>
          <w:szCs w:val="24"/>
        </w:rPr>
        <w:t xml:space="preserve"> </w:t>
      </w:r>
      <w:r w:rsidRPr="00EB3DFA">
        <w:rPr>
          <w:b/>
          <w:sz w:val="24"/>
          <w:szCs w:val="24"/>
        </w:rPr>
        <w:tab/>
        <w:t>Standards for Review</w:t>
      </w:r>
      <w:r w:rsidR="00C154A5" w:rsidRPr="00EB3DFA">
        <w:rPr>
          <w:b/>
          <w:sz w:val="24"/>
          <w:szCs w:val="24"/>
        </w:rPr>
        <w:t xml:space="preserve">.  </w:t>
      </w:r>
      <w:r w:rsidRPr="00EB3DFA">
        <w:rPr>
          <w:sz w:val="24"/>
          <w:szCs w:val="24"/>
        </w:rPr>
        <w:t>The Commission may reject arbitrated agreements or portions thereof that do not meet the requirements of the Commission, including, but not limited to, quality of service standards adopted by the Commission.</w:t>
      </w:r>
    </w:p>
    <w:p w:rsidR="008338A7" w:rsidRPr="00EB3DFA" w:rsidRDefault="008338A7" w:rsidP="0084209F">
      <w:pPr>
        <w:pStyle w:val="standard"/>
        <w:keepLines/>
        <w:tabs>
          <w:tab w:val="left" w:pos="990"/>
        </w:tabs>
        <w:spacing w:after="100" w:line="240" w:lineRule="auto"/>
        <w:ind w:left="993" w:hanging="446"/>
        <w:rPr>
          <w:sz w:val="24"/>
          <w:szCs w:val="24"/>
        </w:rPr>
      </w:pPr>
      <w:r w:rsidRPr="00EB3DFA">
        <w:rPr>
          <w:sz w:val="24"/>
          <w:szCs w:val="24"/>
        </w:rPr>
        <w:t xml:space="preserve">21. </w:t>
      </w:r>
      <w:r w:rsidRPr="00EB3DFA">
        <w:rPr>
          <w:b/>
          <w:sz w:val="24"/>
          <w:szCs w:val="24"/>
        </w:rPr>
        <w:tab/>
        <w:t>Written Findings</w:t>
      </w:r>
      <w:r w:rsidR="00C154A5" w:rsidRPr="00EB3DFA">
        <w:rPr>
          <w:b/>
          <w:sz w:val="24"/>
          <w:szCs w:val="24"/>
        </w:rPr>
        <w:t xml:space="preserve">.  </w:t>
      </w:r>
      <w:r w:rsidRPr="00EB3DFA">
        <w:rPr>
          <w:sz w:val="24"/>
          <w:szCs w:val="24"/>
        </w:rPr>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8338A7" w:rsidRPr="00EB3DFA" w:rsidRDefault="008338A7" w:rsidP="0084209F">
      <w:pPr>
        <w:pStyle w:val="standard"/>
        <w:keepLines/>
        <w:tabs>
          <w:tab w:val="left" w:pos="990"/>
        </w:tabs>
        <w:spacing w:after="100" w:line="240" w:lineRule="auto"/>
        <w:ind w:left="993" w:hanging="446"/>
        <w:rPr>
          <w:sz w:val="24"/>
          <w:szCs w:val="24"/>
        </w:rPr>
      </w:pPr>
      <w:r w:rsidRPr="00EB3DFA">
        <w:rPr>
          <w:sz w:val="24"/>
          <w:szCs w:val="24"/>
        </w:rPr>
        <w:t xml:space="preserve">22. </w:t>
      </w:r>
      <w:r w:rsidRPr="00EB3DFA">
        <w:rPr>
          <w:sz w:val="24"/>
          <w:szCs w:val="24"/>
        </w:rPr>
        <w:tab/>
      </w:r>
      <w:r w:rsidRPr="00EB3DFA">
        <w:rPr>
          <w:b/>
          <w:sz w:val="24"/>
          <w:szCs w:val="24"/>
        </w:rPr>
        <w:t>Application for Rehearing</w:t>
      </w:r>
      <w:r w:rsidR="0037616B" w:rsidRPr="00EB3DFA">
        <w:rPr>
          <w:b/>
          <w:sz w:val="24"/>
          <w:szCs w:val="24"/>
        </w:rPr>
        <w:t xml:space="preserve">.  </w:t>
      </w:r>
      <w:r w:rsidRPr="00EB3DFA">
        <w:rPr>
          <w:sz w:val="24"/>
          <w:szCs w:val="24"/>
        </w:rPr>
        <w:t>A party wishing to appeal a Commission decision approving an arbitration must first seek administrative review pursuant to the Commission’s Rules of Practice and Procedure.</w:t>
      </w:r>
    </w:p>
    <w:p w:rsidR="008338A7" w:rsidRPr="00EB3DFA" w:rsidRDefault="008338A7" w:rsidP="0084209F">
      <w:pPr>
        <w:pStyle w:val="standard"/>
        <w:keepLines/>
        <w:tabs>
          <w:tab w:val="left" w:pos="990"/>
        </w:tabs>
        <w:spacing w:line="240" w:lineRule="auto"/>
        <w:ind w:left="993" w:hanging="446"/>
        <w:rPr>
          <w:sz w:val="24"/>
          <w:szCs w:val="24"/>
        </w:rPr>
      </w:pPr>
      <w:r w:rsidRPr="00EB3DFA">
        <w:rPr>
          <w:sz w:val="24"/>
          <w:szCs w:val="24"/>
        </w:rPr>
        <w:t xml:space="preserve">23. </w:t>
      </w:r>
      <w:r w:rsidRPr="00EB3DFA">
        <w:rPr>
          <w:sz w:val="24"/>
          <w:szCs w:val="24"/>
        </w:rPr>
        <w:tab/>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8338A7" w:rsidRPr="00FA0C4B" w:rsidRDefault="008338A7" w:rsidP="008338A7">
      <w:pPr>
        <w:pStyle w:val="standard"/>
        <w:ind w:firstLine="0"/>
      </w:pPr>
    </w:p>
    <w:p w:rsidR="008338A7" w:rsidRPr="00752DB1" w:rsidRDefault="008338A7" w:rsidP="00FC3FC3">
      <w:pPr>
        <w:pStyle w:val="standard"/>
        <w:keepNext/>
        <w:tabs>
          <w:tab w:val="left" w:pos="540"/>
        </w:tabs>
        <w:spacing w:after="120" w:line="240" w:lineRule="auto"/>
        <w:ind w:left="540" w:hanging="540"/>
      </w:pPr>
      <w:r>
        <w:t xml:space="preserve">X. </w:t>
      </w:r>
      <w:r>
        <w:tab/>
      </w:r>
      <w:r w:rsidRPr="00752DB1">
        <w:t>ACCESS TO CUSTOMER PREMISES</w:t>
      </w:r>
    </w:p>
    <w:p w:rsidR="008338A7" w:rsidRPr="00EB3DFA" w:rsidRDefault="008338A7" w:rsidP="00377AC8">
      <w:pPr>
        <w:pStyle w:val="standard"/>
        <w:tabs>
          <w:tab w:val="left" w:pos="540"/>
        </w:tabs>
        <w:spacing w:after="120" w:line="240" w:lineRule="auto"/>
        <w:ind w:left="547" w:hanging="547"/>
        <w:rPr>
          <w:sz w:val="24"/>
          <w:szCs w:val="24"/>
        </w:rPr>
      </w:pPr>
      <w:r w:rsidRPr="00EB3DFA">
        <w:rPr>
          <w:sz w:val="24"/>
          <w:szCs w:val="24"/>
        </w:rPr>
        <w:t xml:space="preserve">A. </w:t>
      </w:r>
      <w:r w:rsidRPr="00EB3DFA">
        <w:rPr>
          <w:sz w:val="24"/>
          <w:szCs w:val="24"/>
        </w:rPr>
        <w:tab/>
        <w:t>No carrier may use its ownership or control of any right</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or support structure to impede the access of a telecommunications carrier, CMRS carrier, or cable TV company to a customer’s premises.</w:t>
      </w:r>
    </w:p>
    <w:p w:rsidR="008338A7" w:rsidRPr="00EB3DFA" w:rsidRDefault="008338A7" w:rsidP="00377AC8">
      <w:pPr>
        <w:pStyle w:val="standard"/>
        <w:tabs>
          <w:tab w:val="left" w:pos="540"/>
        </w:tabs>
        <w:spacing w:after="120" w:line="240" w:lineRule="auto"/>
        <w:ind w:left="547" w:hanging="547"/>
        <w:rPr>
          <w:sz w:val="24"/>
          <w:szCs w:val="24"/>
        </w:rPr>
      </w:pPr>
      <w:r w:rsidRPr="00EB3DFA">
        <w:rPr>
          <w:sz w:val="24"/>
          <w:szCs w:val="24"/>
        </w:rPr>
        <w:t xml:space="preserve">B. </w:t>
      </w:r>
      <w:r w:rsidRPr="00EB3DFA">
        <w:rPr>
          <w:sz w:val="24"/>
          <w:szCs w:val="24"/>
        </w:rPr>
        <w:tab/>
        <w:t>A carrier shall provide access, when technically feasible, to building entrance facilities it owns or controls, up to the applicable minimum point of entry (MPOE) for that property, on a nondiscriminatory, first</w:t>
      </w:r>
      <w:r w:rsidRPr="00EB3DFA">
        <w:rPr>
          <w:sz w:val="24"/>
          <w:szCs w:val="24"/>
        </w:rPr>
        <w:noBreakHyphen/>
        <w:t>come, first</w:t>
      </w:r>
      <w:r w:rsidRPr="00EB3DFA">
        <w:rPr>
          <w:sz w:val="24"/>
          <w:szCs w:val="24"/>
        </w:rPr>
        <w:noBreakHyphen/>
        <w:t>served basis, provided that the requesting telecommunications carrier, CMRS carrier, or cable TV provider has first obtained all necessary access and/or use rights from the underlying property owners(s).</w:t>
      </w:r>
    </w:p>
    <w:p w:rsidR="008338A7" w:rsidRPr="00EB3DFA" w:rsidRDefault="008338A7" w:rsidP="00377AC8">
      <w:pPr>
        <w:pStyle w:val="standard"/>
        <w:tabs>
          <w:tab w:val="left" w:pos="540"/>
        </w:tabs>
        <w:spacing w:line="240" w:lineRule="auto"/>
        <w:ind w:left="547" w:hanging="547"/>
        <w:rPr>
          <w:sz w:val="24"/>
          <w:szCs w:val="24"/>
        </w:rPr>
      </w:pPr>
      <w:r w:rsidRPr="00EB3DFA">
        <w:rPr>
          <w:sz w:val="24"/>
          <w:szCs w:val="24"/>
        </w:rPr>
        <w:t xml:space="preserve">C. </w:t>
      </w:r>
      <w:r w:rsidRPr="00EB3DFA">
        <w:rPr>
          <w:sz w:val="24"/>
          <w:szCs w:val="24"/>
        </w:rPr>
        <w:tab/>
        <w:t>A carrier will have 60 days to renegotiate a contract deemed discriminatory by the Commission in response to a formal complaint.  Failing to do so, this carrier will become subject to a fine ranging from $500 to $20,000 per day beyond the 60-day limit for renegotiation until the discriminatory provisions of the arrangement have been eliminated.</w:t>
      </w:r>
    </w:p>
    <w:p w:rsidR="008338A7" w:rsidRPr="00752DB1" w:rsidRDefault="008338A7" w:rsidP="008338A7">
      <w:pPr>
        <w:pStyle w:val="standard"/>
        <w:ind w:firstLine="0"/>
      </w:pPr>
    </w:p>
    <w:p w:rsidR="008338A7" w:rsidRPr="00ED331B" w:rsidRDefault="008338A7" w:rsidP="00FC3FC3">
      <w:pPr>
        <w:pStyle w:val="standard"/>
        <w:keepNext/>
        <w:tabs>
          <w:tab w:val="left" w:pos="540"/>
        </w:tabs>
        <w:spacing w:after="120" w:line="240" w:lineRule="auto"/>
        <w:ind w:left="540" w:hanging="540"/>
      </w:pPr>
      <w:r>
        <w:t xml:space="preserve">XI. </w:t>
      </w:r>
      <w:r>
        <w:tab/>
      </w:r>
      <w:r w:rsidRPr="00ED331B">
        <w:t>SAFETY</w:t>
      </w:r>
    </w:p>
    <w:p w:rsidR="008338A7" w:rsidRPr="00EB3DFA" w:rsidRDefault="008338A7" w:rsidP="005252F0">
      <w:pPr>
        <w:pStyle w:val="standard"/>
        <w:keepNext/>
        <w:spacing w:after="120" w:line="240" w:lineRule="auto"/>
        <w:ind w:firstLine="0"/>
        <w:rPr>
          <w:sz w:val="24"/>
          <w:szCs w:val="24"/>
        </w:rPr>
      </w:pPr>
      <w:r w:rsidRPr="00EB3DFA">
        <w:rPr>
          <w:sz w:val="24"/>
          <w:szCs w:val="24"/>
        </w:rPr>
        <w:t>Access to utility rights</w:t>
      </w:r>
      <w:r w:rsidR="002C630B" w:rsidRPr="00EB3DFA">
        <w:rPr>
          <w:sz w:val="24"/>
          <w:szCs w:val="24"/>
        </w:rPr>
        <w:t>-</w:t>
      </w:r>
      <w:r w:rsidRPr="00EB3DFA">
        <w:rPr>
          <w:sz w:val="24"/>
          <w:szCs w:val="24"/>
        </w:rPr>
        <w:t>of</w:t>
      </w:r>
      <w:r w:rsidR="002C630B" w:rsidRPr="00EB3DFA">
        <w:rPr>
          <w:sz w:val="24"/>
          <w:szCs w:val="24"/>
        </w:rPr>
        <w:t>-</w:t>
      </w:r>
      <w:r w:rsidRPr="00EB3DFA">
        <w:rPr>
          <w:sz w:val="24"/>
          <w:szCs w:val="24"/>
        </w:rPr>
        <w:t xml:space="preserve">way and support structures shall be governed at all times by the provisions of Commission General Order Nos. 95 and 128 and by Cal/OSHA Title 8.  </w:t>
      </w:r>
      <w:r w:rsidRPr="00EB3DFA">
        <w:rPr>
          <w:sz w:val="24"/>
          <w:szCs w:val="24"/>
        </w:rPr>
        <w:lastRenderedPageBreak/>
        <w:t>Where necessary and appropriate, said General Orders shall be supplemented by the National Electric Safety Code, and any reasonable and justifiable safety and construction standards which are required by the utility.</w:t>
      </w:r>
    </w:p>
    <w:p w:rsidR="008338A7" w:rsidRPr="00EB3DFA" w:rsidRDefault="008338A7" w:rsidP="005252F0">
      <w:pPr>
        <w:pStyle w:val="standard"/>
        <w:keepNext/>
        <w:tabs>
          <w:tab w:val="left" w:pos="540"/>
        </w:tabs>
        <w:spacing w:after="120" w:line="240" w:lineRule="auto"/>
        <w:ind w:left="547" w:hanging="547"/>
        <w:rPr>
          <w:sz w:val="24"/>
          <w:szCs w:val="24"/>
        </w:rPr>
      </w:pPr>
      <w:r w:rsidRPr="00EB3DFA">
        <w:rPr>
          <w:sz w:val="24"/>
          <w:szCs w:val="24"/>
        </w:rPr>
        <w:t>A.</w:t>
      </w:r>
      <w:r w:rsidRPr="00EB3DFA">
        <w:rPr>
          <w:sz w:val="24"/>
          <w:szCs w:val="24"/>
        </w:rPr>
        <w:tab/>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r w:rsidR="001F5826" w:rsidRPr="00EB3DFA">
        <w:rPr>
          <w:sz w:val="24"/>
          <w:szCs w:val="24"/>
        </w:rPr>
        <w:t xml:space="preserve"> </w:t>
      </w:r>
    </w:p>
    <w:p w:rsidR="001F5826" w:rsidRPr="00E35516" w:rsidRDefault="001F5826" w:rsidP="005252F0">
      <w:pPr>
        <w:pStyle w:val="standard"/>
        <w:keepNext/>
        <w:ind w:firstLine="0"/>
      </w:pPr>
    </w:p>
    <w:p w:rsidR="001F5826" w:rsidRPr="00E35516" w:rsidRDefault="001F5826" w:rsidP="005252F0">
      <w:pPr>
        <w:pStyle w:val="standard"/>
        <w:keepNext/>
        <w:ind w:firstLine="0"/>
      </w:pPr>
    </w:p>
    <w:p w:rsidR="001F5826" w:rsidRPr="00C43369" w:rsidRDefault="001F5826" w:rsidP="001F5826">
      <w:pPr>
        <w:pStyle w:val="standard"/>
        <w:spacing w:line="240" w:lineRule="auto"/>
        <w:ind w:firstLine="0"/>
        <w:jc w:val="center"/>
        <w:rPr>
          <w:b/>
        </w:rPr>
      </w:pPr>
      <w:r w:rsidRPr="00C43369">
        <w:rPr>
          <w:b/>
        </w:rPr>
        <w:t xml:space="preserve">(END OF APPENDIX </w:t>
      </w:r>
      <w:r>
        <w:rPr>
          <w:b/>
        </w:rPr>
        <w:t>A</w:t>
      </w:r>
      <w:r w:rsidRPr="00C43369">
        <w:rPr>
          <w:b/>
        </w:rPr>
        <w:t>)</w:t>
      </w:r>
    </w:p>
    <w:p w:rsidR="008338A7" w:rsidRPr="00E35516" w:rsidRDefault="008338A7" w:rsidP="008338A7">
      <w:pPr>
        <w:pStyle w:val="standard"/>
        <w:ind w:firstLine="0"/>
      </w:pPr>
    </w:p>
    <w:p w:rsidR="009A57FA" w:rsidRDefault="009A57FA" w:rsidP="008338A7">
      <w:pPr>
        <w:pStyle w:val="standard"/>
        <w:ind w:firstLine="0"/>
        <w:sectPr w:rsidR="009A57FA" w:rsidSect="00BC6BFD">
          <w:footerReference w:type="default" r:id="rId22"/>
          <w:pgSz w:w="12240" w:h="15840"/>
          <w:pgMar w:top="1440" w:right="1440" w:bottom="1440" w:left="1440" w:header="720" w:footer="720" w:gutter="0"/>
          <w:pgNumType w:chapStyle="9"/>
          <w:cols w:space="720"/>
        </w:sectPr>
      </w:pPr>
    </w:p>
    <w:p w:rsidR="008338A7" w:rsidRDefault="008338A7" w:rsidP="008338A7">
      <w:pPr>
        <w:pStyle w:val="standard"/>
        <w:ind w:firstLine="0"/>
      </w:pPr>
    </w:p>
    <w:p w:rsidR="009A57FA" w:rsidRPr="00E9643A" w:rsidRDefault="009A57FA" w:rsidP="009A57FA">
      <w:pPr>
        <w:pStyle w:val="Heading9"/>
      </w:pPr>
      <w:r>
        <w:t xml:space="preserve">  </w:t>
      </w:r>
      <w:bookmarkStart w:id="104" w:name="_Toc512317996"/>
      <w:r w:rsidRPr="00096A5A">
        <w:t>Adopted</w:t>
      </w:r>
      <w:r>
        <w:t xml:space="preserve"> Amendments to the ROW Rules (</w:t>
      </w:r>
      <w:r w:rsidR="00BA3F24">
        <w:t>final</w:t>
      </w:r>
      <w:r>
        <w:t>)</w:t>
      </w:r>
      <w:bookmarkEnd w:id="104"/>
    </w:p>
    <w:p w:rsidR="009A57FA" w:rsidRDefault="009A57FA" w:rsidP="009A57FA">
      <w:pPr>
        <w:pStyle w:val="standard"/>
        <w:spacing w:line="240" w:lineRule="auto"/>
      </w:pPr>
    </w:p>
    <w:p w:rsidR="009A57FA" w:rsidRDefault="00BA3F24" w:rsidP="009A57FA">
      <w:pPr>
        <w:pStyle w:val="standard"/>
        <w:spacing w:line="240" w:lineRule="auto"/>
        <w:ind w:left="540" w:right="540" w:firstLine="0"/>
        <w:jc w:val="center"/>
      </w:pPr>
      <w:r>
        <w:t xml:space="preserve">Appendix B shows the </w:t>
      </w:r>
      <w:r w:rsidR="005D12BA">
        <w:t xml:space="preserve">amended </w:t>
      </w:r>
      <w:r>
        <w:t>ROW Rules</w:t>
      </w:r>
      <w:r w:rsidR="005D12BA">
        <w:t xml:space="preserve"> adopted </w:t>
      </w:r>
      <w:r>
        <w:t>by today’s</w:t>
      </w:r>
      <w:r w:rsidR="005D12BA">
        <w:t> </w:t>
      </w:r>
      <w:r>
        <w:t xml:space="preserve">Decision in final form (i.e., without redline).  </w:t>
      </w:r>
      <w:r w:rsidR="009A57FA">
        <w:t xml:space="preserve"> </w:t>
      </w:r>
    </w:p>
    <w:p w:rsidR="009A57FA" w:rsidRDefault="009A57FA" w:rsidP="009A57FA">
      <w:pPr>
        <w:pStyle w:val="standard"/>
        <w:spacing w:line="240" w:lineRule="auto"/>
        <w:ind w:left="540" w:right="540" w:firstLine="0"/>
        <w:jc w:val="center"/>
      </w:pPr>
    </w:p>
    <w:p w:rsidR="009A57FA" w:rsidRDefault="009A57FA" w:rsidP="009A57FA">
      <w:pPr>
        <w:pStyle w:val="standard"/>
        <w:spacing w:line="240" w:lineRule="auto"/>
        <w:ind w:left="540" w:right="540" w:firstLine="0"/>
        <w:jc w:val="center"/>
      </w:pPr>
    </w:p>
    <w:p w:rsidR="009A57FA" w:rsidRPr="009D1EC6" w:rsidRDefault="009A57FA" w:rsidP="009A57FA"/>
    <w:p w:rsidR="009A57FA" w:rsidRDefault="009A57FA" w:rsidP="009A57FA">
      <w:pPr>
        <w:pStyle w:val="standard"/>
        <w:spacing w:line="240" w:lineRule="auto"/>
      </w:pPr>
    </w:p>
    <w:p w:rsidR="009A57FA" w:rsidRDefault="009A57FA" w:rsidP="009A57FA">
      <w:pPr>
        <w:pStyle w:val="standard"/>
        <w:spacing w:line="240" w:lineRule="auto"/>
        <w:sectPr w:rsidR="009A57FA" w:rsidSect="0035469A">
          <w:headerReference w:type="default" r:id="rId23"/>
          <w:footerReference w:type="default" r:id="rId24"/>
          <w:pgSz w:w="12240" w:h="15840"/>
          <w:pgMar w:top="1440" w:right="1440" w:bottom="1440" w:left="1440" w:header="720" w:footer="720" w:gutter="0"/>
          <w:pgNumType w:start="1" w:chapStyle="9"/>
          <w:cols w:space="720"/>
        </w:sectPr>
      </w:pPr>
    </w:p>
    <w:p w:rsidR="0064591C" w:rsidRDefault="0064591C" w:rsidP="0064591C">
      <w:pPr>
        <w:pStyle w:val="standard"/>
        <w:spacing w:line="240" w:lineRule="auto"/>
        <w:ind w:firstLine="0"/>
      </w:pPr>
    </w:p>
    <w:p w:rsidR="0064591C" w:rsidRPr="006A6FF6" w:rsidRDefault="0064591C" w:rsidP="0064591C">
      <w:pPr>
        <w:pStyle w:val="standard"/>
        <w:spacing w:line="240" w:lineRule="auto"/>
        <w:ind w:firstLine="0"/>
        <w:jc w:val="center"/>
        <w:rPr>
          <w:b/>
          <w:u w:val="single"/>
        </w:rPr>
      </w:pPr>
      <w:r w:rsidRPr="006A6FF6">
        <w:rPr>
          <w:b/>
          <w:u w:val="single"/>
        </w:rPr>
        <w:t xml:space="preserve">COMMISSION-ADOPTED RULES GOVERNING ACCESS </w:t>
      </w:r>
    </w:p>
    <w:p w:rsidR="0064591C" w:rsidRPr="006A6FF6" w:rsidRDefault="0064591C" w:rsidP="0064591C">
      <w:pPr>
        <w:pStyle w:val="standard"/>
        <w:spacing w:line="240" w:lineRule="auto"/>
        <w:ind w:firstLine="0"/>
        <w:jc w:val="center"/>
        <w:rPr>
          <w:b/>
          <w:u w:val="single"/>
        </w:rPr>
      </w:pPr>
      <w:r w:rsidRPr="006A6FF6">
        <w:rPr>
          <w:b/>
          <w:u w:val="single"/>
        </w:rPr>
        <w:t xml:space="preserve">TO RIGHTS-OF-WAY AND SUPPORT STRUCTURES OF </w:t>
      </w:r>
    </w:p>
    <w:p w:rsidR="0064591C" w:rsidRPr="006A6FF6" w:rsidRDefault="0064591C" w:rsidP="0064591C">
      <w:pPr>
        <w:pStyle w:val="standard"/>
        <w:spacing w:line="240" w:lineRule="auto"/>
        <w:ind w:firstLine="0"/>
        <w:jc w:val="center"/>
        <w:rPr>
          <w:b/>
          <w:u w:val="single"/>
        </w:rPr>
      </w:pPr>
      <w:r w:rsidRPr="006A6FF6">
        <w:rPr>
          <w:b/>
          <w:u w:val="single"/>
        </w:rPr>
        <w:t>INCUMBENT TELEPHONE AND ELECTRIC UTILITIES</w:t>
      </w:r>
    </w:p>
    <w:p w:rsidR="0064591C" w:rsidRDefault="0064591C" w:rsidP="0064591C">
      <w:pPr>
        <w:pStyle w:val="standard"/>
        <w:spacing w:line="240" w:lineRule="auto"/>
        <w:ind w:firstLine="0"/>
      </w:pPr>
    </w:p>
    <w:p w:rsidR="0064591C" w:rsidRPr="006A6FF6" w:rsidRDefault="0064591C" w:rsidP="004A0093">
      <w:pPr>
        <w:pStyle w:val="standard"/>
        <w:spacing w:after="80" w:line="240" w:lineRule="auto"/>
        <w:ind w:firstLine="0"/>
      </w:pPr>
      <w:r>
        <w:t xml:space="preserve">I. </w:t>
      </w:r>
      <w:r>
        <w:tab/>
      </w:r>
      <w:r w:rsidRPr="006A6FF6">
        <w:t>PURPOSE AND SCOPE OF RULES</w:t>
      </w:r>
    </w:p>
    <w:p w:rsidR="0064591C" w:rsidRPr="006A6FF6" w:rsidRDefault="0064591C" w:rsidP="004A0093">
      <w:pPr>
        <w:pStyle w:val="standard"/>
        <w:spacing w:after="80" w:line="240" w:lineRule="auto"/>
        <w:ind w:firstLine="0"/>
      </w:pPr>
      <w:r>
        <w:t xml:space="preserve">II. </w:t>
      </w:r>
      <w:r>
        <w:tab/>
      </w:r>
      <w:r w:rsidRPr="006A6FF6">
        <w:t>DEFINITIONS</w:t>
      </w:r>
    </w:p>
    <w:p w:rsidR="0064591C" w:rsidRPr="002432F5" w:rsidRDefault="0064591C" w:rsidP="004A0093">
      <w:pPr>
        <w:pStyle w:val="standard"/>
        <w:spacing w:after="80" w:line="240" w:lineRule="auto"/>
        <w:ind w:firstLine="0"/>
      </w:pPr>
      <w:r>
        <w:t xml:space="preserve">III. </w:t>
      </w:r>
      <w:r>
        <w:tab/>
      </w:r>
      <w:r w:rsidRPr="002432F5">
        <w:t>REQUESTS FOR INFORMATION</w:t>
      </w:r>
    </w:p>
    <w:p w:rsidR="0064591C" w:rsidRPr="002432F5" w:rsidRDefault="0064591C" w:rsidP="004A0093">
      <w:pPr>
        <w:pStyle w:val="standard"/>
        <w:tabs>
          <w:tab w:val="left" w:pos="720"/>
        </w:tabs>
        <w:spacing w:after="80" w:line="240" w:lineRule="auto"/>
        <w:ind w:left="720" w:hanging="720"/>
      </w:pPr>
      <w:r>
        <w:t xml:space="preserve">IV. </w:t>
      </w:r>
      <w:r>
        <w:tab/>
      </w:r>
      <w:r w:rsidRPr="002432F5">
        <w:t>REQUESTS FOR ACCESS TO RIGHTS</w:t>
      </w:r>
      <w:r w:rsidR="002C630B">
        <w:t>-</w:t>
      </w:r>
      <w:r w:rsidRPr="002432F5">
        <w:t>OF</w:t>
      </w:r>
      <w:r w:rsidR="002C630B">
        <w:t>-</w:t>
      </w:r>
      <w:r w:rsidRPr="002432F5">
        <w:t>WAY AND SUPPORT STRUCTURES</w:t>
      </w:r>
    </w:p>
    <w:p w:rsidR="0064591C" w:rsidRPr="00A02C04" w:rsidRDefault="0064591C" w:rsidP="004A0093">
      <w:pPr>
        <w:pStyle w:val="standard"/>
        <w:tabs>
          <w:tab w:val="left" w:pos="1440"/>
        </w:tabs>
        <w:spacing w:after="80" w:line="240" w:lineRule="auto"/>
        <w:ind w:left="1440" w:hanging="540"/>
      </w:pPr>
      <w:r>
        <w:t xml:space="preserve">A. </w:t>
      </w:r>
      <w:r>
        <w:tab/>
      </w:r>
      <w:r w:rsidRPr="00A02C04">
        <w:t>INFORMATION REQUIREMENTS OF REQUESTS FOR ACCESS</w:t>
      </w:r>
    </w:p>
    <w:p w:rsidR="0064591C" w:rsidRPr="00A02C04" w:rsidRDefault="0064591C" w:rsidP="004A0093">
      <w:pPr>
        <w:pStyle w:val="standard"/>
        <w:tabs>
          <w:tab w:val="left" w:pos="1440"/>
        </w:tabs>
        <w:spacing w:after="80" w:line="240" w:lineRule="auto"/>
        <w:ind w:left="1440" w:hanging="540"/>
      </w:pPr>
      <w:r>
        <w:t xml:space="preserve">B. </w:t>
      </w:r>
      <w:r>
        <w:tab/>
      </w:r>
      <w:r w:rsidRPr="00A02C04">
        <w:t>RESPONSES TO REQUESTS FOR ACCESS</w:t>
      </w:r>
    </w:p>
    <w:p w:rsidR="0064591C" w:rsidRPr="00A02C04" w:rsidRDefault="0064591C" w:rsidP="004A0093">
      <w:pPr>
        <w:pStyle w:val="standard"/>
        <w:tabs>
          <w:tab w:val="left" w:pos="1440"/>
        </w:tabs>
        <w:spacing w:after="80" w:line="240" w:lineRule="auto"/>
        <w:ind w:left="1440" w:hanging="540"/>
      </w:pPr>
      <w:r>
        <w:t xml:space="preserve">C. </w:t>
      </w:r>
      <w:r>
        <w:tab/>
      </w:r>
      <w:r w:rsidRPr="00A02C04">
        <w:t>TIME FOR COMPLETION OF MAKE READY WORK</w:t>
      </w:r>
    </w:p>
    <w:p w:rsidR="0064591C" w:rsidRPr="00A02C04" w:rsidRDefault="0064591C" w:rsidP="004A0093">
      <w:pPr>
        <w:pStyle w:val="standard"/>
        <w:tabs>
          <w:tab w:val="left" w:pos="1440"/>
        </w:tabs>
        <w:spacing w:after="120" w:line="240" w:lineRule="auto"/>
        <w:ind w:left="1454" w:hanging="547"/>
      </w:pPr>
      <w:r>
        <w:t xml:space="preserve">D. </w:t>
      </w:r>
      <w:r>
        <w:tab/>
      </w:r>
      <w:r w:rsidRPr="00A02C04">
        <w:t>USE OF THIRD PARTY CONTRACTORS</w:t>
      </w:r>
    </w:p>
    <w:p w:rsidR="0064591C" w:rsidRPr="002432F5" w:rsidRDefault="0064591C" w:rsidP="004A0093">
      <w:pPr>
        <w:pStyle w:val="standard"/>
        <w:spacing w:after="80" w:line="240" w:lineRule="auto"/>
        <w:ind w:firstLine="0"/>
      </w:pPr>
      <w:r>
        <w:t xml:space="preserve">V. </w:t>
      </w:r>
      <w:r>
        <w:tab/>
      </w:r>
      <w:r w:rsidRPr="002432F5">
        <w:t>NONDISCLOSURE</w:t>
      </w:r>
    </w:p>
    <w:p w:rsidR="0064591C" w:rsidRPr="00A02C04" w:rsidRDefault="0064591C" w:rsidP="004A0093">
      <w:pPr>
        <w:pStyle w:val="standard"/>
        <w:tabs>
          <w:tab w:val="left" w:pos="1440"/>
        </w:tabs>
        <w:spacing w:after="80" w:line="240" w:lineRule="auto"/>
        <w:ind w:left="1440" w:hanging="540"/>
      </w:pPr>
      <w:r>
        <w:t xml:space="preserve">A. </w:t>
      </w:r>
      <w:r>
        <w:tab/>
      </w:r>
      <w:r w:rsidRPr="00A02C04">
        <w:t>DUTY NOT A DISCLOSE PROPRIETARY INFORMATION</w:t>
      </w:r>
    </w:p>
    <w:p w:rsidR="0064591C" w:rsidRPr="00A02C04" w:rsidRDefault="0064591C" w:rsidP="004A0093">
      <w:pPr>
        <w:pStyle w:val="standard"/>
        <w:tabs>
          <w:tab w:val="left" w:pos="1440"/>
        </w:tabs>
        <w:spacing w:after="120" w:line="240" w:lineRule="auto"/>
        <w:ind w:left="1454" w:hanging="547"/>
      </w:pPr>
      <w:r>
        <w:t xml:space="preserve">B. </w:t>
      </w:r>
      <w:r>
        <w:tab/>
      </w:r>
      <w:r w:rsidRPr="00A02C04">
        <w:t>SANCTIONS FOR VIOLATIONS OF NONDISCLOSURE AGREEMENTS</w:t>
      </w:r>
    </w:p>
    <w:p w:rsidR="0064591C" w:rsidRPr="002432F5" w:rsidRDefault="0064591C" w:rsidP="004A0093">
      <w:pPr>
        <w:pStyle w:val="standard"/>
        <w:spacing w:after="80" w:line="240" w:lineRule="auto"/>
        <w:ind w:firstLine="0"/>
      </w:pPr>
      <w:r>
        <w:t xml:space="preserve">VI. </w:t>
      </w:r>
      <w:r>
        <w:tab/>
      </w:r>
      <w:r w:rsidRPr="002432F5">
        <w:t>PRICING AND TARIFFS GOVERNING ACCESS</w:t>
      </w:r>
    </w:p>
    <w:p w:rsidR="0064591C" w:rsidRPr="006F462B" w:rsidRDefault="0064591C" w:rsidP="004A0093">
      <w:pPr>
        <w:pStyle w:val="standard"/>
        <w:tabs>
          <w:tab w:val="left" w:pos="1440"/>
        </w:tabs>
        <w:spacing w:after="80" w:line="240" w:lineRule="auto"/>
        <w:ind w:left="1440" w:hanging="540"/>
      </w:pPr>
      <w:r>
        <w:t xml:space="preserve">A. </w:t>
      </w:r>
      <w:r>
        <w:tab/>
      </w:r>
      <w:r w:rsidRPr="006F462B">
        <w:t>GENERAL PRINCIPLE OF NONDISCRIMINATION</w:t>
      </w:r>
    </w:p>
    <w:p w:rsidR="0064591C" w:rsidRPr="006F462B" w:rsidRDefault="0064591C" w:rsidP="004A0093">
      <w:pPr>
        <w:pStyle w:val="standard"/>
        <w:tabs>
          <w:tab w:val="left" w:pos="1440"/>
        </w:tabs>
        <w:spacing w:after="80" w:line="240" w:lineRule="auto"/>
        <w:ind w:left="1440" w:hanging="540"/>
      </w:pPr>
      <w:r>
        <w:t xml:space="preserve">B. </w:t>
      </w:r>
      <w:r>
        <w:tab/>
      </w:r>
      <w:r w:rsidRPr="006F462B">
        <w:t>MANNER OF PRICING ACCESS</w:t>
      </w:r>
    </w:p>
    <w:p w:rsidR="0064591C" w:rsidRPr="006F462B" w:rsidRDefault="0064591C" w:rsidP="004A0093">
      <w:pPr>
        <w:pStyle w:val="standard"/>
        <w:tabs>
          <w:tab w:val="left" w:pos="1440"/>
        </w:tabs>
        <w:spacing w:after="80" w:line="240" w:lineRule="auto"/>
        <w:ind w:left="1440" w:hanging="540"/>
      </w:pPr>
      <w:r>
        <w:t xml:space="preserve">C. </w:t>
      </w:r>
      <w:r>
        <w:tab/>
      </w:r>
      <w:r w:rsidRPr="006F462B">
        <w:t>CONTRACTS</w:t>
      </w:r>
    </w:p>
    <w:p w:rsidR="0064591C" w:rsidRPr="006F462B" w:rsidRDefault="0064591C" w:rsidP="004A0093">
      <w:pPr>
        <w:pStyle w:val="standard"/>
        <w:tabs>
          <w:tab w:val="left" w:pos="1440"/>
        </w:tabs>
        <w:spacing w:after="120" w:line="240" w:lineRule="auto"/>
        <w:ind w:left="1454" w:hanging="547"/>
      </w:pPr>
      <w:r>
        <w:t xml:space="preserve">D. </w:t>
      </w:r>
      <w:r>
        <w:tab/>
      </w:r>
      <w:r w:rsidRPr="006F462B">
        <w:t>UNAUTHORIZED ATTACHMENTS</w:t>
      </w:r>
    </w:p>
    <w:p w:rsidR="0064591C" w:rsidRPr="002432F5" w:rsidRDefault="0064591C" w:rsidP="004A0093">
      <w:pPr>
        <w:pStyle w:val="standard"/>
        <w:spacing w:after="80" w:line="240" w:lineRule="auto"/>
        <w:ind w:firstLine="0"/>
      </w:pPr>
      <w:r>
        <w:t xml:space="preserve">VII. </w:t>
      </w:r>
      <w:r>
        <w:tab/>
      </w:r>
      <w:r w:rsidRPr="002432F5">
        <w:t>RESERVATIONS OF CAPACITY FOR FUTURE USE</w:t>
      </w:r>
    </w:p>
    <w:p w:rsidR="0064591C" w:rsidRPr="002432F5" w:rsidRDefault="0064591C" w:rsidP="004A0093">
      <w:pPr>
        <w:pStyle w:val="standard"/>
        <w:spacing w:after="80" w:line="240" w:lineRule="auto"/>
        <w:ind w:firstLine="0"/>
      </w:pPr>
      <w:r>
        <w:t xml:space="preserve">VIII. </w:t>
      </w:r>
      <w:r>
        <w:tab/>
      </w:r>
      <w:r w:rsidRPr="002432F5">
        <w:t>MODIFICATIONS OF EXISTING SUPPORT STRUCTURES</w:t>
      </w:r>
    </w:p>
    <w:p w:rsidR="0064591C" w:rsidRPr="006F462B" w:rsidRDefault="0064591C" w:rsidP="004A0093">
      <w:pPr>
        <w:pStyle w:val="standard"/>
        <w:tabs>
          <w:tab w:val="left" w:pos="1440"/>
        </w:tabs>
        <w:spacing w:after="80" w:line="240" w:lineRule="auto"/>
        <w:ind w:left="1440" w:hanging="540"/>
      </w:pPr>
      <w:r>
        <w:t xml:space="preserve">A. </w:t>
      </w:r>
      <w:r>
        <w:tab/>
      </w:r>
      <w:r w:rsidRPr="006F462B">
        <w:t>NOTIFICATION TO PARTIES ON OR IN SUPPORT STRUCTURES</w:t>
      </w:r>
    </w:p>
    <w:p w:rsidR="0064591C" w:rsidRPr="006F462B" w:rsidRDefault="0064591C" w:rsidP="004A0093">
      <w:pPr>
        <w:pStyle w:val="standard"/>
        <w:tabs>
          <w:tab w:val="left" w:pos="1440"/>
        </w:tabs>
        <w:spacing w:after="80" w:line="240" w:lineRule="auto"/>
        <w:ind w:left="1440" w:hanging="540"/>
      </w:pPr>
      <w:r>
        <w:t xml:space="preserve">B. </w:t>
      </w:r>
      <w:r>
        <w:tab/>
      </w:r>
      <w:r w:rsidRPr="006F462B">
        <w:t>NOTIFICATION GENERALLY</w:t>
      </w:r>
    </w:p>
    <w:p w:rsidR="0064591C" w:rsidRPr="006F462B" w:rsidRDefault="0064591C" w:rsidP="004A0093">
      <w:pPr>
        <w:pStyle w:val="standard"/>
        <w:tabs>
          <w:tab w:val="left" w:pos="1440"/>
        </w:tabs>
        <w:spacing w:after="120" w:line="240" w:lineRule="auto"/>
        <w:ind w:left="1454" w:hanging="547"/>
      </w:pPr>
      <w:r>
        <w:t xml:space="preserve">C. </w:t>
      </w:r>
      <w:r>
        <w:tab/>
      </w:r>
      <w:r w:rsidRPr="006F462B">
        <w:t>SHARING THE COST OF MODIFICATIONS</w:t>
      </w:r>
    </w:p>
    <w:p w:rsidR="0064591C" w:rsidRPr="002432F5" w:rsidRDefault="0064591C" w:rsidP="004A0093">
      <w:pPr>
        <w:pStyle w:val="standard"/>
        <w:spacing w:after="80" w:line="240" w:lineRule="auto"/>
        <w:ind w:firstLine="0"/>
      </w:pPr>
      <w:r>
        <w:t xml:space="preserve">IX. </w:t>
      </w:r>
      <w:r>
        <w:tab/>
      </w:r>
      <w:r w:rsidRPr="002432F5">
        <w:t>EXPEDITED DISPUTE RESOLUTION PROCEDURES</w:t>
      </w:r>
    </w:p>
    <w:p w:rsidR="0064591C" w:rsidRPr="002432F5" w:rsidRDefault="0064591C" w:rsidP="004A0093">
      <w:pPr>
        <w:pStyle w:val="standard"/>
        <w:spacing w:after="80" w:line="240" w:lineRule="auto"/>
        <w:ind w:firstLine="0"/>
      </w:pPr>
      <w:r>
        <w:t>X.</w:t>
      </w:r>
      <w:r>
        <w:tab/>
      </w:r>
      <w:r w:rsidRPr="002432F5">
        <w:t>ACCESS TO CUSTOMER PREMISES</w:t>
      </w:r>
    </w:p>
    <w:p w:rsidR="0064591C" w:rsidRPr="002432F5" w:rsidRDefault="0064591C" w:rsidP="004A0093">
      <w:pPr>
        <w:pStyle w:val="standard"/>
        <w:spacing w:after="80" w:line="240" w:lineRule="auto"/>
        <w:ind w:firstLine="0"/>
      </w:pPr>
      <w:r>
        <w:t xml:space="preserve">XI. </w:t>
      </w:r>
      <w:r>
        <w:tab/>
      </w:r>
      <w:r w:rsidRPr="002432F5">
        <w:t>SAFETY</w:t>
      </w:r>
    </w:p>
    <w:p w:rsidR="0064591C" w:rsidRDefault="0064591C" w:rsidP="0064591C">
      <w:pPr>
        <w:pStyle w:val="standard"/>
        <w:spacing w:line="240" w:lineRule="auto"/>
        <w:ind w:firstLine="0"/>
      </w:pPr>
    </w:p>
    <w:p w:rsidR="0064591C" w:rsidRDefault="0064591C" w:rsidP="0064591C">
      <w:pPr>
        <w:pStyle w:val="standard"/>
        <w:spacing w:line="240" w:lineRule="auto"/>
        <w:ind w:firstLine="0"/>
        <w:sectPr w:rsidR="0064591C" w:rsidSect="00BC6BFD">
          <w:pgSz w:w="12240" w:h="15840"/>
          <w:pgMar w:top="1440" w:right="1440" w:bottom="1440" w:left="1440" w:header="720" w:footer="720" w:gutter="0"/>
          <w:pgNumType w:chapStyle="9"/>
          <w:cols w:space="720"/>
        </w:sectPr>
      </w:pPr>
    </w:p>
    <w:p w:rsidR="0064591C" w:rsidRPr="006813CF" w:rsidRDefault="0064591C" w:rsidP="00FC3FC3">
      <w:pPr>
        <w:pStyle w:val="standard"/>
        <w:keepNext/>
        <w:tabs>
          <w:tab w:val="left" w:pos="720"/>
        </w:tabs>
        <w:spacing w:after="120" w:line="240" w:lineRule="auto"/>
        <w:ind w:left="720" w:hanging="720"/>
      </w:pPr>
      <w:r>
        <w:lastRenderedPageBreak/>
        <w:t xml:space="preserve">I. </w:t>
      </w:r>
      <w:r>
        <w:tab/>
      </w:r>
      <w:r w:rsidRPr="006813CF">
        <w:t>PURPOSE AND SCOPE OF RULES</w:t>
      </w:r>
    </w:p>
    <w:p w:rsidR="0064591C" w:rsidRPr="006813CF" w:rsidRDefault="0064591C" w:rsidP="00976A85">
      <w:pPr>
        <w:pStyle w:val="standard"/>
        <w:keepLines/>
        <w:spacing w:after="240" w:line="240" w:lineRule="auto"/>
        <w:ind w:firstLine="0"/>
      </w:pPr>
      <w:r w:rsidRPr="006813CF">
        <w:t xml:space="preserve">These rules govern access to public utility rights-of-way and support structures by telecommunications carriers, </w:t>
      </w:r>
      <w:r w:rsidRPr="0064591C">
        <w:t>Commercial Mobile Radio Service (CMRS) carriers</w:t>
      </w:r>
      <w:r w:rsidRPr="006813CF">
        <w:t>, and cable TV companies in California, and are issued pursuant to the Commission’s jurisdiction over access to utility rights</w:t>
      </w:r>
      <w:r w:rsidR="002C630B">
        <w:t>-</w:t>
      </w:r>
      <w:r w:rsidRPr="006813CF">
        <w:t>of</w:t>
      </w:r>
      <w:r w:rsidR="002C630B">
        <w:t>-</w:t>
      </w:r>
      <w:r w:rsidRPr="006813CF">
        <w:t>way and support structures under the Federal Communications Act, 47 U.S.C. § 224(c)(1) and subject to California Public Utilities Code §§ 767, 767.5, 767.7, 768, 768.5 and 8001 through 8057.  These rules are to be applied as guidelines by parties in negotiating rights</w:t>
      </w:r>
      <w:r w:rsidR="002C630B">
        <w:t>-</w:t>
      </w:r>
      <w:r w:rsidRPr="006813CF">
        <w:t>of</w:t>
      </w:r>
      <w:r w:rsidR="002C630B">
        <w:t>-</w:t>
      </w:r>
      <w:r w:rsidRPr="006813CF">
        <w:t>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64591C" w:rsidRPr="006813CF" w:rsidRDefault="0064591C" w:rsidP="00E746F9">
      <w:pPr>
        <w:pStyle w:val="standard"/>
        <w:keepNext/>
        <w:tabs>
          <w:tab w:val="left" w:pos="540"/>
        </w:tabs>
        <w:spacing w:after="120" w:line="240" w:lineRule="auto"/>
        <w:ind w:left="540" w:hanging="540"/>
      </w:pPr>
      <w:r>
        <w:t xml:space="preserve">II. </w:t>
      </w:r>
      <w:r>
        <w:tab/>
      </w:r>
      <w:r w:rsidRPr="006813CF">
        <w:t>DEFINITIONS</w:t>
      </w:r>
    </w:p>
    <w:p w:rsidR="0064591C" w:rsidRPr="006813CF" w:rsidRDefault="0064591C" w:rsidP="00976A85">
      <w:pPr>
        <w:pStyle w:val="standard"/>
        <w:keepLines/>
        <w:spacing w:after="120" w:line="240" w:lineRule="auto"/>
        <w:ind w:firstLine="0"/>
      </w:pPr>
      <w:r w:rsidRPr="006813CF">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64591C" w:rsidRPr="006813CF" w:rsidRDefault="0064591C" w:rsidP="00976A85">
      <w:pPr>
        <w:pStyle w:val="standard"/>
        <w:keepLines/>
        <w:spacing w:after="120" w:line="240" w:lineRule="auto"/>
        <w:ind w:firstLine="0"/>
      </w:pPr>
      <w:r w:rsidRPr="006813CF">
        <w:t>“Support structure” includes, but is not limited to, a utility distribution pole, anchor, duct, conduit, manhole, or handhole.</w:t>
      </w:r>
    </w:p>
    <w:p w:rsidR="0064591C" w:rsidRPr="006813CF" w:rsidRDefault="0064591C" w:rsidP="00976A85">
      <w:pPr>
        <w:pStyle w:val="standard"/>
        <w:keepLines/>
        <w:spacing w:after="120" w:line="240" w:lineRule="auto"/>
        <w:ind w:firstLine="0"/>
      </w:pPr>
      <w:r w:rsidRPr="006813CF">
        <w:t xml:space="preserve">“Pole attachment” means any attachment to surplus space, or use of excess capacity, by a telecommunications carrier </w:t>
      </w:r>
      <w:r w:rsidRPr="0064591C">
        <w:t>or CMRS carrier</w:t>
      </w:r>
      <w:r>
        <w:t xml:space="preserve"> </w:t>
      </w:r>
      <w:r w:rsidRPr="006813CF">
        <w:t>for a communications system on or in any support structure owned, controlled, or used by a public utility.</w:t>
      </w:r>
    </w:p>
    <w:p w:rsidR="0064591C" w:rsidRPr="006813CF" w:rsidRDefault="0064591C" w:rsidP="00976A85">
      <w:pPr>
        <w:pStyle w:val="standard"/>
        <w:keepLines/>
        <w:spacing w:after="120" w:line="240" w:lineRule="auto"/>
        <w:ind w:firstLine="0"/>
      </w:pPr>
      <w:r w:rsidRPr="006813CF">
        <w:t xml:space="preserve">“Surplus space” means that portion of the usable space on a utility pole which has the necessary clearance from other pole users, as required by the orders and regulations of the Commission, to allow its use by a telecommunications carrier </w:t>
      </w:r>
      <w:r w:rsidRPr="0064591C">
        <w:t>or CMRS carrier</w:t>
      </w:r>
      <w:r w:rsidRPr="006813CF">
        <w:t xml:space="preserve"> for a pole attachment.</w:t>
      </w:r>
    </w:p>
    <w:p w:rsidR="0064591C" w:rsidRPr="006813CF" w:rsidRDefault="0064591C" w:rsidP="00976A85">
      <w:pPr>
        <w:pStyle w:val="standard"/>
        <w:keepLines/>
        <w:spacing w:after="120" w:line="240" w:lineRule="auto"/>
        <w:ind w:firstLine="0"/>
      </w:pPr>
      <w:r w:rsidRPr="006813CF">
        <w:t>“Excess capacity” means volume or capacity in a duct, conduit, or support structure other than a utility pole or anchor which can be used, pursuant to the orders and regulations of the Commission, for a pole attachment.</w:t>
      </w:r>
    </w:p>
    <w:p w:rsidR="0064591C" w:rsidRPr="006813CF" w:rsidRDefault="0064591C" w:rsidP="00976A85">
      <w:pPr>
        <w:pStyle w:val="standard"/>
        <w:keepLines/>
        <w:spacing w:after="120" w:line="240" w:lineRule="auto"/>
        <w:ind w:firstLine="0"/>
      </w:pPr>
      <w:r w:rsidRPr="006813CF">
        <w:t>“Usable space” means the total distance between the top of the utility pole and the lowest possible attachment point that provides the minimum allowable vertical clearance.</w:t>
      </w:r>
    </w:p>
    <w:p w:rsidR="0064591C" w:rsidRPr="006813CF" w:rsidRDefault="0064591C" w:rsidP="00976A85">
      <w:pPr>
        <w:pStyle w:val="standard"/>
        <w:keepLines/>
        <w:spacing w:after="120" w:line="240" w:lineRule="auto"/>
        <w:ind w:firstLine="0"/>
      </w:pPr>
      <w:r w:rsidRPr="006813CF">
        <w:lastRenderedPageBreak/>
        <w:t>“Minimum allowable vertical clearance” means the minimum clearance for communication conductors along rights-of-way or other areas as specified in the orders and regulations of the Commission.</w:t>
      </w:r>
    </w:p>
    <w:p w:rsidR="0064591C" w:rsidRPr="006813CF" w:rsidRDefault="0064591C" w:rsidP="00976A85">
      <w:pPr>
        <w:pStyle w:val="standard"/>
        <w:keepLines/>
        <w:spacing w:after="120" w:line="240" w:lineRule="auto"/>
        <w:ind w:firstLine="0"/>
      </w:pPr>
      <w:r w:rsidRPr="006813CF">
        <w:t>“Rearrangements” means work performed, at the request of a telecommunications carrier</w:t>
      </w:r>
      <w:r>
        <w:t xml:space="preserve"> </w:t>
      </w:r>
      <w:r w:rsidRPr="0064591C">
        <w:t>or CMRS carrier</w:t>
      </w:r>
      <w:r w:rsidRPr="006813CF">
        <w:t>,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w:t>
      </w:r>
      <w:r>
        <w:t xml:space="preserve"> </w:t>
      </w:r>
      <w:r w:rsidRPr="0064591C">
        <w:t>or CMRS carrier</w:t>
      </w:r>
      <w:r w:rsidRPr="006813CF">
        <w:t xml:space="preserve">, of the support structure in order to provide adequate surplus space or excess capacity.  This definition is not intended to limit the circumstances where a telecommunications carrier </w:t>
      </w:r>
      <w:r w:rsidRPr="0064591C">
        <w:t>or CMRS carrier</w:t>
      </w:r>
      <w:r w:rsidRPr="006813CF">
        <w:t xml:space="preserve"> may request replacement of an existing structure with a different or larger support structure.</w:t>
      </w:r>
    </w:p>
    <w:p w:rsidR="0064591C" w:rsidRPr="006813CF" w:rsidRDefault="0064591C" w:rsidP="00591E39">
      <w:pPr>
        <w:pStyle w:val="standard"/>
        <w:keepLines/>
        <w:spacing w:after="120" w:line="240" w:lineRule="auto"/>
        <w:ind w:firstLine="0"/>
      </w:pPr>
      <w:r w:rsidRPr="006813CF">
        <w:t>“Annual cost</w:t>
      </w:r>
      <w:r w:rsidR="00C26A49">
        <w:t>-</w:t>
      </w:r>
      <w:r w:rsidRPr="006813CF">
        <w:t>of</w:t>
      </w:r>
      <w:r w:rsidR="00C26A49">
        <w:t>-</w:t>
      </w:r>
      <w:r w:rsidRPr="006813CF">
        <w:t>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w:t>
      </w:r>
      <w:r w:rsidR="00C26A49">
        <w:t>-</w:t>
      </w:r>
      <w:r w:rsidRPr="006813CF">
        <w:t>of</w:t>
      </w:r>
      <w:r w:rsidR="00C26A49">
        <w:t>-</w:t>
      </w:r>
      <w:r w:rsidRPr="006813CF">
        <w:t>ownership” shall not include costs for any property not necessary for a pole attachment.</w:t>
      </w:r>
    </w:p>
    <w:p w:rsidR="00BA489B" w:rsidRPr="006813CF" w:rsidRDefault="00BA489B" w:rsidP="00BA489B">
      <w:pPr>
        <w:pStyle w:val="standard"/>
        <w:keepLines/>
        <w:spacing w:after="120" w:line="240" w:lineRule="auto"/>
        <w:ind w:firstLine="0"/>
      </w:pPr>
      <w:r w:rsidRPr="006813CF">
        <w:t xml:space="preserve">“Telecommunications carrier” generally means any provider of telecommunications services that has been granted a certificate of public convenience and necessity </w:t>
      </w:r>
      <w:r w:rsidR="00604B40">
        <w:t xml:space="preserve">(CPCN) </w:t>
      </w:r>
      <w:r w:rsidRPr="006813CF">
        <w:t>by the California Public Utilities Commission</w:t>
      </w:r>
      <w:r w:rsidR="00604B40">
        <w:t xml:space="preserve"> (Commission)</w:t>
      </w:r>
      <w:r w:rsidRPr="006813CF">
        <w:t xml:space="preserve">.  </w:t>
      </w:r>
      <w:r w:rsidRPr="00BA489B">
        <w:t xml:space="preserve">The definition of “telecommunications carrier” includes Competitive Local Exchange Carriers </w:t>
      </w:r>
      <w:r w:rsidR="006E085A">
        <w:t xml:space="preserve">(CLEC) </w:t>
      </w:r>
      <w:r w:rsidRPr="00BA489B">
        <w:t xml:space="preserve">that </w:t>
      </w:r>
      <w:r w:rsidR="00604B40">
        <w:t xml:space="preserve">have been granted a CPCN by the Commission </w:t>
      </w:r>
      <w:r w:rsidRPr="00BA489B">
        <w:t xml:space="preserve">to provide facilities-based competitive local exchange service.  </w:t>
      </w:r>
      <w:r w:rsidRPr="006813CF">
        <w:t>These rules, however, exclude interexchange carriers from the definition of “telecommunications carrier.”</w:t>
      </w:r>
      <w:r>
        <w:t xml:space="preserve">  </w:t>
      </w:r>
    </w:p>
    <w:p w:rsidR="0064591C" w:rsidRPr="006813CF" w:rsidRDefault="0064591C" w:rsidP="00591E39">
      <w:pPr>
        <w:pStyle w:val="standard"/>
        <w:keepLines/>
        <w:spacing w:after="120" w:line="240" w:lineRule="auto"/>
        <w:ind w:firstLine="0"/>
      </w:pPr>
      <w:r w:rsidRPr="006813CF">
        <w:t>“</w:t>
      </w:r>
      <w:r w:rsidRPr="0064591C">
        <w:t xml:space="preserve">Commercial Mobile Radio Service (CMRS) carrier” is an entity that holds </w:t>
      </w:r>
      <w:r w:rsidR="007F192C">
        <w:t>(1) </w:t>
      </w:r>
      <w:r w:rsidRPr="0064591C">
        <w:t>a current Wireless Identification Registration with the California Public Utilities Commission</w:t>
      </w:r>
      <w:r w:rsidR="007F192C">
        <w:t xml:space="preserve">, or (2) a current Certificate of Public Convenience and Necessity issued by the </w:t>
      </w:r>
      <w:r w:rsidR="007F192C" w:rsidRPr="0064591C">
        <w:t>California Public Utilities Commission</w:t>
      </w:r>
      <w:r w:rsidR="007F192C">
        <w:t xml:space="preserve"> that authorizes the holder to provide </w:t>
      </w:r>
      <w:r w:rsidR="007F192C" w:rsidRPr="0064591C">
        <w:t>Commercial Mobile Radio Service</w:t>
      </w:r>
      <w:r w:rsidRPr="0064591C">
        <w:t>.</w:t>
      </w:r>
    </w:p>
    <w:p w:rsidR="0064591C" w:rsidRPr="00D54868" w:rsidRDefault="0064591C" w:rsidP="00591E39">
      <w:pPr>
        <w:pStyle w:val="standard"/>
        <w:keepLines/>
        <w:spacing w:after="120" w:line="240" w:lineRule="auto"/>
        <w:ind w:firstLine="0"/>
      </w:pPr>
      <w:r w:rsidRPr="00D54868">
        <w:lastRenderedPageBreak/>
        <w:t>“Cable TV company” as used in these rules refers to a privately owned company, that provides cable service as defined in the PU Code and is not certified to provide telecommunications service.</w:t>
      </w:r>
    </w:p>
    <w:p w:rsidR="0064591C" w:rsidRPr="00D54868" w:rsidRDefault="0064591C" w:rsidP="00591E39">
      <w:pPr>
        <w:pStyle w:val="standard"/>
        <w:keepLines/>
        <w:spacing w:after="120" w:line="240" w:lineRule="auto"/>
        <w:ind w:firstLine="0"/>
      </w:pPr>
      <w:r w:rsidRPr="00D54868">
        <w:t>“Right</w:t>
      </w:r>
      <w:r w:rsidR="002C630B">
        <w:t>-</w:t>
      </w:r>
      <w:r w:rsidRPr="00D54868">
        <w:t>of</w:t>
      </w:r>
      <w:r w:rsidR="002C630B">
        <w:t>-</w:t>
      </w:r>
      <w:r w:rsidRPr="00D54868">
        <w:t>way” means the right of competing providers to obtain access to the distribution poles, ducts, conduits, and other support structures of a utility which are necessary to reach customers for telecommunications purposes.</w:t>
      </w:r>
    </w:p>
    <w:p w:rsidR="0064591C" w:rsidRPr="00D54868" w:rsidRDefault="0064591C" w:rsidP="00591E39">
      <w:pPr>
        <w:pStyle w:val="standard"/>
        <w:keepLines/>
        <w:spacing w:after="120" w:line="240" w:lineRule="auto"/>
        <w:ind w:firstLine="0"/>
      </w:pPr>
      <w:r w:rsidRPr="00D54868">
        <w:t>“Make ready work” means the process of completing rearrangements on or in a support structure to create such surplus space or excess capacity as is necessary to make it usable for a pole attachment.</w:t>
      </w:r>
    </w:p>
    <w:p w:rsidR="0064591C" w:rsidRPr="00D54868" w:rsidRDefault="0064591C" w:rsidP="00591E39">
      <w:pPr>
        <w:pStyle w:val="standard"/>
        <w:keepLines/>
        <w:spacing w:after="120" w:line="240" w:lineRule="auto"/>
        <w:ind w:firstLine="0"/>
      </w:pPr>
      <w:r w:rsidRPr="00D54868">
        <w:t>“Modifications” means the process of changing or modifying, in whole or in part, support structures or rights</w:t>
      </w:r>
      <w:r w:rsidR="002C630B">
        <w:t>-</w:t>
      </w:r>
      <w:r w:rsidRPr="00D54868">
        <w:t>of</w:t>
      </w:r>
      <w:r w:rsidR="002C630B">
        <w:t>-</w:t>
      </w:r>
      <w:r w:rsidRPr="00D54868">
        <w:t>way to accommodate more or different pole attachments.</w:t>
      </w:r>
    </w:p>
    <w:p w:rsidR="0064591C" w:rsidRPr="00D54868" w:rsidRDefault="0064591C" w:rsidP="00591E39">
      <w:pPr>
        <w:pStyle w:val="standard"/>
        <w:keepLines/>
        <w:spacing w:after="240" w:line="240" w:lineRule="auto"/>
        <w:ind w:firstLine="0"/>
      </w:pPr>
      <w:r w:rsidRPr="00D54868">
        <w:t>“Incumbent local exchange carrier” refers to Pacific Bell and GTE California, Inc., Roseville Telephone Company, and Citizens Telecommunications Company of California, for purposes of these rules, unless explicitly indicated otherwise.</w:t>
      </w:r>
    </w:p>
    <w:p w:rsidR="0064591C" w:rsidRPr="00D54868" w:rsidRDefault="0064591C" w:rsidP="00E746F9">
      <w:pPr>
        <w:pStyle w:val="standard"/>
        <w:keepNext/>
        <w:tabs>
          <w:tab w:val="left" w:pos="540"/>
        </w:tabs>
        <w:spacing w:after="120" w:line="240" w:lineRule="auto"/>
        <w:ind w:left="540" w:hanging="540"/>
      </w:pPr>
      <w:r>
        <w:t xml:space="preserve">III. </w:t>
      </w:r>
      <w:r>
        <w:tab/>
      </w:r>
      <w:r w:rsidRPr="00D54868">
        <w:t>REQUESTS FOR INFORMATION</w:t>
      </w:r>
    </w:p>
    <w:p w:rsidR="0064591C" w:rsidRPr="00D54868" w:rsidRDefault="0064591C" w:rsidP="0064591C">
      <w:pPr>
        <w:pStyle w:val="standard"/>
        <w:spacing w:after="120" w:line="240" w:lineRule="auto"/>
        <w:ind w:firstLine="0"/>
      </w:pPr>
      <w:r w:rsidRPr="00D54868">
        <w:t xml:space="preserve">A utility shall promptly respond in writing to a written request for information (“request for information”) from a telecommunications carrier, </w:t>
      </w:r>
      <w:r w:rsidRPr="0064591C">
        <w:t>CMRS carrier</w:t>
      </w:r>
      <w:r w:rsidRPr="00D54868">
        <w:t>, or cable</w:t>
      </w:r>
      <w:r>
        <w:t> </w:t>
      </w:r>
      <w:r w:rsidRPr="00D54868">
        <w:t>TV company regarding the availability of surplus space or excess capacity on or in the utility’s support structures and rights</w:t>
      </w:r>
      <w:r w:rsidR="002C630B">
        <w:t>-</w:t>
      </w:r>
      <w:r w:rsidRPr="00D54868">
        <w:t>of</w:t>
      </w:r>
      <w:r w:rsidR="002C630B">
        <w:t>-</w:t>
      </w:r>
      <w:r w:rsidRPr="00D54868">
        <w:t>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64591C" w:rsidRPr="00D54868" w:rsidRDefault="0064591C" w:rsidP="0064591C">
      <w:pPr>
        <w:pStyle w:val="standard"/>
        <w:spacing w:after="120" w:line="240" w:lineRule="auto"/>
        <w:ind w:firstLine="0"/>
      </w:pPr>
      <w:r w:rsidRPr="00D54868">
        <w:t>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w:t>
      </w:r>
      <w:r w:rsidR="002C630B">
        <w:t>-</w:t>
      </w:r>
      <w:r w:rsidRPr="00D54868">
        <w:t>of</w:t>
      </w:r>
      <w:r w:rsidR="002C630B">
        <w:t>-</w:t>
      </w:r>
      <w:r w:rsidRPr="00D54868">
        <w:t>way identified by the carrier.</w:t>
      </w:r>
    </w:p>
    <w:p w:rsidR="0064591C" w:rsidRPr="00D54868" w:rsidRDefault="0064591C" w:rsidP="0064591C">
      <w:pPr>
        <w:pStyle w:val="standard"/>
        <w:spacing w:after="120" w:line="240" w:lineRule="auto"/>
        <w:ind w:firstLine="0"/>
      </w:pPr>
      <w:r w:rsidRPr="00D54868">
        <w:t xml:space="preserve">The utility may charge for the actual costs incurred for copies and any preparation of maps, drawings or plans necessary for evaluating the availability </w:t>
      </w:r>
      <w:r w:rsidRPr="00D54868">
        <w:lastRenderedPageBreak/>
        <w:t>of surplus space or excess capacity on support structures and for evaluating access to a utility’s rights</w:t>
      </w:r>
      <w:r w:rsidR="002C630B">
        <w:t>-</w:t>
      </w:r>
      <w:r w:rsidRPr="00D54868">
        <w:t>of</w:t>
      </w:r>
      <w:r w:rsidR="002C630B">
        <w:t>-</w:t>
      </w:r>
      <w:r w:rsidRPr="00D54868">
        <w:t>way.</w:t>
      </w:r>
    </w:p>
    <w:p w:rsidR="0064591C" w:rsidRPr="00D54868" w:rsidRDefault="0064591C" w:rsidP="0064591C">
      <w:pPr>
        <w:pStyle w:val="standard"/>
        <w:spacing w:after="120" w:line="240" w:lineRule="auto"/>
        <w:ind w:firstLine="0"/>
      </w:pPr>
      <w:r w:rsidRPr="00D54868">
        <w:t>Within 20 business days of a request, anyone who attaches to a utility</w:t>
      </w:r>
      <w:r w:rsidRPr="00D54868">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64591C" w:rsidRPr="00D54868" w:rsidRDefault="0064591C" w:rsidP="0064591C">
      <w:pPr>
        <w:pStyle w:val="standard"/>
        <w:spacing w:after="240" w:line="240" w:lineRule="auto"/>
        <w:ind w:firstLine="0"/>
      </w:pPr>
      <w:r w:rsidRPr="00D54868">
        <w:t>The utility may request up-front payments of its estimated costs for any of the work contemplated by Rule III.C., Rule IV.A. and Rule IV.B.  The utility’s estimate will be adjusted to reflect actual cost upon completion of the requested tasks.</w:t>
      </w:r>
    </w:p>
    <w:p w:rsidR="0064591C" w:rsidRPr="00B528CC" w:rsidRDefault="0064591C" w:rsidP="00E746F9">
      <w:pPr>
        <w:pStyle w:val="standard"/>
        <w:keepNext/>
        <w:tabs>
          <w:tab w:val="left" w:pos="540"/>
        </w:tabs>
        <w:spacing w:after="120" w:line="240" w:lineRule="auto"/>
        <w:ind w:left="540" w:hanging="540"/>
      </w:pPr>
      <w:r>
        <w:t xml:space="preserve">IV. </w:t>
      </w:r>
      <w:r>
        <w:tab/>
      </w:r>
      <w:r w:rsidRPr="00B528CC">
        <w:t>REQUESTS FOR ACCESS TO RIGHTS</w:t>
      </w:r>
      <w:r w:rsidR="002C630B">
        <w:t>-</w:t>
      </w:r>
      <w:r w:rsidRPr="00B528CC">
        <w:t>OF</w:t>
      </w:r>
      <w:r w:rsidR="002C630B">
        <w:t>-</w:t>
      </w:r>
      <w:r w:rsidRPr="00B528CC">
        <w:t>WAY AND SUPPORT STRUCTURES</w:t>
      </w:r>
    </w:p>
    <w:p w:rsidR="0064591C" w:rsidRPr="00B528CC" w:rsidRDefault="0064591C" w:rsidP="00591E39">
      <w:pPr>
        <w:pStyle w:val="standard"/>
        <w:keepNext/>
        <w:tabs>
          <w:tab w:val="left" w:pos="540"/>
        </w:tabs>
        <w:spacing w:after="120" w:line="240" w:lineRule="auto"/>
        <w:ind w:left="547" w:hanging="547"/>
      </w:pPr>
      <w:r>
        <w:t xml:space="preserve">A. </w:t>
      </w:r>
      <w:r>
        <w:tab/>
      </w:r>
      <w:r w:rsidRPr="00B528CC">
        <w:t>INFORMATION REQUIREMENTS OF REQUESTS FOR ACCESS</w:t>
      </w:r>
    </w:p>
    <w:p w:rsidR="0064591C" w:rsidRPr="00B528CC" w:rsidRDefault="0064591C" w:rsidP="00FE27A9">
      <w:pPr>
        <w:pStyle w:val="standard"/>
        <w:tabs>
          <w:tab w:val="left" w:pos="1080"/>
        </w:tabs>
        <w:spacing w:after="120" w:line="240" w:lineRule="auto"/>
        <w:ind w:left="1080" w:hanging="540"/>
      </w:pPr>
      <w:r w:rsidRPr="00B528CC">
        <w:t>The request for access shall contain the following:</w:t>
      </w:r>
    </w:p>
    <w:p w:rsidR="0064591C" w:rsidRPr="00B528CC" w:rsidRDefault="0064591C" w:rsidP="00FE27A9">
      <w:pPr>
        <w:pStyle w:val="standard"/>
        <w:tabs>
          <w:tab w:val="left" w:pos="1080"/>
        </w:tabs>
        <w:spacing w:after="120" w:line="240" w:lineRule="auto"/>
        <w:ind w:left="1080" w:hanging="360"/>
      </w:pPr>
      <w:r>
        <w:t xml:space="preserve">1. </w:t>
      </w:r>
      <w:r>
        <w:tab/>
      </w:r>
      <w:r w:rsidRPr="00B528CC">
        <w:t xml:space="preserve">Information for contacting the </w:t>
      </w:r>
      <w:r w:rsidRPr="0064591C">
        <w:t>telecommunications</w:t>
      </w:r>
      <w:r w:rsidRPr="00B528CC">
        <w:t xml:space="preserve"> carrier, </w:t>
      </w:r>
      <w:r w:rsidRPr="0064591C">
        <w:t>CMRS carrier</w:t>
      </w:r>
      <w:r w:rsidRPr="00B528CC">
        <w:t>, or cable TV company, including project engineer, and name and address of person to be billed.</w:t>
      </w:r>
    </w:p>
    <w:p w:rsidR="0064591C" w:rsidRPr="00B528CC" w:rsidRDefault="0064591C" w:rsidP="00FE27A9">
      <w:pPr>
        <w:pStyle w:val="standard"/>
        <w:tabs>
          <w:tab w:val="left" w:pos="1080"/>
        </w:tabs>
        <w:spacing w:after="120" w:line="240" w:lineRule="auto"/>
        <w:ind w:left="1080" w:hanging="360"/>
      </w:pPr>
      <w:r>
        <w:t xml:space="preserve">2. </w:t>
      </w:r>
      <w:r>
        <w:tab/>
      </w:r>
      <w:r w:rsidRPr="00B528CC">
        <w:t>Loading information, which includes grade and size of attachment, size of cable, average span length, wind loading of their equipment, vertical loading, and bending movement.</w:t>
      </w:r>
    </w:p>
    <w:p w:rsidR="0064591C" w:rsidRPr="00B528CC" w:rsidRDefault="0064591C" w:rsidP="00FE27A9">
      <w:pPr>
        <w:pStyle w:val="standard"/>
        <w:tabs>
          <w:tab w:val="left" w:pos="1080"/>
        </w:tabs>
        <w:spacing w:after="120" w:line="240" w:lineRule="auto"/>
        <w:ind w:left="1080" w:hanging="360"/>
      </w:pPr>
      <w:r>
        <w:t xml:space="preserve">3. </w:t>
      </w:r>
      <w:r>
        <w:tab/>
      </w:r>
      <w:r w:rsidRPr="00B528CC">
        <w:t>Copy of property lease or right-of-way document.</w:t>
      </w:r>
    </w:p>
    <w:p w:rsidR="0064591C" w:rsidRPr="00146949" w:rsidRDefault="0064591C" w:rsidP="0064591C">
      <w:pPr>
        <w:pStyle w:val="standard"/>
        <w:spacing w:line="240" w:lineRule="auto"/>
      </w:pPr>
    </w:p>
    <w:p w:rsidR="0064591C" w:rsidRPr="005A5BBB" w:rsidRDefault="0064591C" w:rsidP="00FE27A9">
      <w:pPr>
        <w:pStyle w:val="standard"/>
        <w:keepNext/>
        <w:tabs>
          <w:tab w:val="left" w:pos="540"/>
        </w:tabs>
        <w:spacing w:after="120" w:line="240" w:lineRule="auto"/>
        <w:ind w:left="547" w:hanging="547"/>
      </w:pPr>
      <w:r>
        <w:t xml:space="preserve">B. </w:t>
      </w:r>
      <w:r>
        <w:tab/>
      </w:r>
      <w:r w:rsidRPr="005A5BBB">
        <w:t>RESPONSES TO REQUESTS FOR ACCESS</w:t>
      </w:r>
    </w:p>
    <w:p w:rsidR="0064591C" w:rsidRPr="005A5BBB" w:rsidRDefault="0064591C" w:rsidP="00FE27A9">
      <w:pPr>
        <w:pStyle w:val="standard"/>
        <w:tabs>
          <w:tab w:val="left" w:pos="1080"/>
        </w:tabs>
        <w:spacing w:after="120" w:line="240" w:lineRule="auto"/>
        <w:ind w:left="1080" w:hanging="360"/>
      </w:pPr>
      <w:r>
        <w:t xml:space="preserve">1. </w:t>
      </w:r>
      <w:r>
        <w:tab/>
      </w:r>
      <w:r w:rsidRPr="005A5BBB">
        <w:t xml:space="preserve">A utility shall respond in writing to the written request of a telecommunications carrier, </w:t>
      </w:r>
      <w:r w:rsidRPr="0064591C">
        <w:t>CMRS carrier</w:t>
      </w:r>
      <w:r w:rsidRPr="005A5BBB">
        <w:t>, or cable TV company for access (“request for access”) to its rights</w:t>
      </w:r>
      <w:r w:rsidR="002C630B">
        <w:t>-</w:t>
      </w:r>
      <w:r w:rsidRPr="005A5BBB">
        <w:t>of</w:t>
      </w:r>
      <w:r w:rsidR="002C630B">
        <w:t>-</w:t>
      </w:r>
      <w:r w:rsidRPr="005A5BBB">
        <w:t>way and support structures as quickly as possible, which, in the case of Pacific or GTEC, shall not exceed 45 days.  The response shall affirmatively state whether the utility will grant access or, if it intends to deny access, shall state all of the reasons why it is denying such access.  Failure of Pacific or GTEC to respond within 45 days shall be deemed an acceptance of the request for access.</w:t>
      </w:r>
    </w:p>
    <w:p w:rsidR="0064591C" w:rsidRPr="005A5BBB" w:rsidRDefault="0064591C" w:rsidP="00FE27A9">
      <w:pPr>
        <w:pStyle w:val="standard"/>
        <w:tabs>
          <w:tab w:val="left" w:pos="1080"/>
        </w:tabs>
        <w:spacing w:after="120" w:line="240" w:lineRule="auto"/>
        <w:ind w:left="1080" w:hanging="360"/>
      </w:pPr>
      <w:r>
        <w:t xml:space="preserve">2. </w:t>
      </w:r>
      <w:r>
        <w:tab/>
      </w:r>
      <w:r w:rsidRPr="005A5BBB">
        <w:t xml:space="preserve">If, pursuant to a request for access, the utility has notified the telecommunication carrier, </w:t>
      </w:r>
      <w:r w:rsidRPr="0064591C">
        <w:t>CMRS carrier</w:t>
      </w:r>
      <w:r w:rsidRPr="005A5BBB">
        <w:t>, or cable</w:t>
      </w:r>
      <w:r>
        <w:t> </w:t>
      </w:r>
      <w:r w:rsidRPr="005A5BBB">
        <w:t xml:space="preserve">TV company that </w:t>
      </w:r>
      <w:r w:rsidRPr="005A5BBB">
        <w:lastRenderedPageBreak/>
        <w:t>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64591C" w:rsidRPr="005A5BBB" w:rsidRDefault="0064591C" w:rsidP="00FE27A9">
      <w:pPr>
        <w:pStyle w:val="standard"/>
        <w:tabs>
          <w:tab w:val="left" w:pos="1080"/>
        </w:tabs>
        <w:spacing w:after="120" w:line="240" w:lineRule="auto"/>
        <w:ind w:left="1080" w:hanging="360"/>
      </w:pPr>
      <w:r>
        <w:t xml:space="preserve">3. </w:t>
      </w:r>
      <w:r>
        <w:tab/>
      </w:r>
      <w:r w:rsidRPr="005A5BBB">
        <w:t xml:space="preserve">If the utility does not own the property on which its support structures are located, the telecommunication carrier, </w:t>
      </w:r>
      <w:r w:rsidRPr="0064591C">
        <w:t>CMRS carrier</w:t>
      </w:r>
      <w:r w:rsidRPr="005A5BBB">
        <w:t>, or cable</w:t>
      </w:r>
      <w:r>
        <w:t> </w:t>
      </w:r>
      <w:r w:rsidRPr="005A5BBB">
        <w:t xml:space="preserve">TV company must obtain written permission from the owner of that property before attaching or installing its facilities.  The telecommunication carrier, </w:t>
      </w:r>
      <w:r w:rsidRPr="0064591C">
        <w:t>CMRS carrier</w:t>
      </w:r>
      <w:r w:rsidRPr="005A5BBB">
        <w:t>, or cable</w:t>
      </w:r>
      <w:r>
        <w:t> </w:t>
      </w:r>
      <w:r w:rsidRPr="005A5BBB">
        <w:t xml:space="preserve">TV company by using such facilities shall defend and indemnify the owner of the utility facilities, if its franchise or other rights to use the real property are challenged as a result of the telecommunication carrier’s, </w:t>
      </w:r>
      <w:r w:rsidRPr="0064591C">
        <w:t>CMRS carrier’s</w:t>
      </w:r>
      <w:r w:rsidRPr="005A5BBB">
        <w:t>, or the cable TV company’s use or attachment.</w:t>
      </w:r>
    </w:p>
    <w:p w:rsidR="0064591C" w:rsidRPr="002A4DE9" w:rsidRDefault="0064591C" w:rsidP="0064591C">
      <w:pPr>
        <w:pStyle w:val="standard"/>
        <w:spacing w:line="240" w:lineRule="auto"/>
      </w:pPr>
    </w:p>
    <w:p w:rsidR="0064591C" w:rsidRPr="002A4DE9" w:rsidRDefault="0064591C" w:rsidP="00E675AB">
      <w:pPr>
        <w:pStyle w:val="standard"/>
        <w:keepNext/>
        <w:tabs>
          <w:tab w:val="left" w:pos="540"/>
        </w:tabs>
        <w:spacing w:after="120" w:line="240" w:lineRule="auto"/>
        <w:ind w:left="547" w:hanging="547"/>
      </w:pPr>
      <w:r>
        <w:t xml:space="preserve">C. </w:t>
      </w:r>
      <w:r>
        <w:tab/>
      </w:r>
      <w:r w:rsidRPr="002A4DE9">
        <w:t>TIME FOR COMPLETION OF MAKE READY WORK</w:t>
      </w:r>
    </w:p>
    <w:p w:rsidR="0064591C" w:rsidRPr="002A4DE9" w:rsidRDefault="0064591C" w:rsidP="00E675AB">
      <w:pPr>
        <w:pStyle w:val="standard"/>
        <w:tabs>
          <w:tab w:val="left" w:pos="1080"/>
        </w:tabs>
        <w:spacing w:after="120" w:line="240" w:lineRule="auto"/>
        <w:ind w:left="1080" w:hanging="360"/>
      </w:pPr>
      <w:r>
        <w:t xml:space="preserve">1. </w:t>
      </w:r>
      <w:r>
        <w:tab/>
      </w:r>
      <w:r w:rsidRPr="002A4DE9">
        <w:t xml:space="preserve">If a utility is required to perform make ready work on its poles, ducts or conduit to accommodate a </w:t>
      </w:r>
      <w:r w:rsidRPr="0064591C">
        <w:t>telecommunications</w:t>
      </w:r>
      <w:r w:rsidRPr="002A4DE9">
        <w:t xml:space="preserve"> carrier’s, </w:t>
      </w:r>
      <w:r w:rsidRPr="0064591C">
        <w:t>CMRS carrier’s</w:t>
      </w:r>
      <w:r w:rsidRPr="002A4DE9">
        <w:t>, or a cable</w:t>
      </w:r>
      <w:r>
        <w:t> </w:t>
      </w:r>
      <w:r w:rsidRPr="002A4DE9">
        <w:t>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 poles or 5 miles of conduit, the parties will negotiate a mutually satisfactory longer time frame to complete such make ready work.</w:t>
      </w:r>
    </w:p>
    <w:p w:rsidR="0064591C" w:rsidRPr="00E35516" w:rsidRDefault="0064591C" w:rsidP="0064591C">
      <w:pPr>
        <w:pStyle w:val="standard"/>
        <w:spacing w:line="240" w:lineRule="auto"/>
      </w:pPr>
    </w:p>
    <w:p w:rsidR="0064591C" w:rsidRPr="002A4DE9" w:rsidRDefault="0064591C" w:rsidP="00E675AB">
      <w:pPr>
        <w:pStyle w:val="standard"/>
        <w:keepNext/>
        <w:tabs>
          <w:tab w:val="left" w:pos="540"/>
        </w:tabs>
        <w:spacing w:after="120" w:line="240" w:lineRule="auto"/>
        <w:ind w:left="547" w:hanging="547"/>
      </w:pPr>
      <w:r>
        <w:t xml:space="preserve">D. </w:t>
      </w:r>
      <w:r>
        <w:tab/>
      </w:r>
      <w:r w:rsidRPr="002A4DE9">
        <w:t>USE OF THIRD PARTY CONTRACTORS</w:t>
      </w:r>
    </w:p>
    <w:p w:rsidR="0064591C" w:rsidRPr="002A4DE9" w:rsidRDefault="0064591C" w:rsidP="00E675AB">
      <w:pPr>
        <w:pStyle w:val="standard"/>
        <w:tabs>
          <w:tab w:val="left" w:pos="1080"/>
        </w:tabs>
        <w:spacing w:after="120" w:line="240" w:lineRule="auto"/>
        <w:ind w:left="1080" w:hanging="360"/>
      </w:pPr>
      <w:r w:rsidRPr="002A4DE9">
        <w:t xml:space="preserve">1. </w:t>
      </w:r>
      <w:r w:rsidRPr="002A4DE9">
        <w:tab/>
        <w:t xml:space="preserve">The ILEC shall maintain a list of contractors that are qualified to respond to requests for information and requests for access, as well as to perform make ready work and attachment and installation of </w:t>
      </w:r>
      <w:r w:rsidRPr="003827EC">
        <w:t>telecommunications</w:t>
      </w:r>
      <w:r w:rsidRPr="002A4DE9">
        <w:t xml:space="preserve"> </w:t>
      </w:r>
      <w:r w:rsidR="00BF613F">
        <w:t>carrier facilities</w:t>
      </w:r>
      <w:r w:rsidRPr="002A4DE9">
        <w:t xml:space="preserve">, </w:t>
      </w:r>
      <w:r w:rsidRPr="003827EC">
        <w:t>CMRS</w:t>
      </w:r>
      <w:r w:rsidR="00BF613F">
        <w:t> </w:t>
      </w:r>
      <w:r w:rsidRPr="003827EC">
        <w:t>facilities</w:t>
      </w:r>
      <w:r w:rsidRPr="002A4DE9">
        <w:t>, or cable TV facilities on the utility’s support structures.  This requirement shall not apply to electric utilities.  This requirement shall not affect the discretion of a utility to use its own employees.</w:t>
      </w:r>
    </w:p>
    <w:p w:rsidR="0064591C" w:rsidRPr="002A4DE9" w:rsidRDefault="0064591C" w:rsidP="00E675AB">
      <w:pPr>
        <w:pStyle w:val="standard"/>
        <w:tabs>
          <w:tab w:val="left" w:pos="1080"/>
        </w:tabs>
        <w:spacing w:after="120" w:line="240" w:lineRule="auto"/>
        <w:ind w:left="1080" w:hanging="360"/>
      </w:pPr>
      <w:r>
        <w:lastRenderedPageBreak/>
        <w:t xml:space="preserve">2. </w:t>
      </w:r>
      <w:r>
        <w:tab/>
      </w:r>
      <w:r w:rsidRPr="002A4DE9">
        <w:t xml:space="preserve">A telecommunications carrier, </w:t>
      </w:r>
      <w:r w:rsidRPr="003827EC">
        <w:t>CMRS carrier</w:t>
      </w:r>
      <w:r w:rsidRPr="002A4DE9">
        <w:t xml:space="preserve">, or cable TV company may use its own personnel to attach or install the carrier’s communications facilities in or on a utility’s facilities, provided that in the utility’s reasonable judgment, the </w:t>
      </w:r>
      <w:r w:rsidRPr="003827EC">
        <w:t>telecommunications</w:t>
      </w:r>
      <w:r>
        <w:t xml:space="preserve"> </w:t>
      </w:r>
      <w:r w:rsidRPr="002A4DE9">
        <w:t xml:space="preserve">carrier’s, </w:t>
      </w:r>
      <w:r w:rsidRPr="003827EC">
        <w:t>CMRS carrier’s</w:t>
      </w:r>
      <w:r w:rsidRPr="002A4DE9">
        <w:t>, or cable TV company’s personnel or agents demonstrate that they are trained and qualified to work on or in the utility’s facilities.  To use its own personnel or contractors on electric utility poles, the</w:t>
      </w:r>
      <w:r w:rsidRPr="00FD0543">
        <w:t xml:space="preserve"> </w:t>
      </w:r>
      <w:r w:rsidRPr="002A4DE9">
        <w:t>telecommunications carrier,</w:t>
      </w:r>
      <w:r w:rsidRPr="00FD0543">
        <w:t xml:space="preserve"> </w:t>
      </w:r>
      <w:r w:rsidRPr="003827EC">
        <w:t>CMRS carrier</w:t>
      </w:r>
      <w:r w:rsidRPr="00FD0543">
        <w:t xml:space="preserve">, or cable TV company </w:t>
      </w:r>
      <w:r w:rsidRPr="002A4DE9">
        <w:t xml:space="preserve">must give 48 hours advance notice to the electric utility, unless an electrical shutdown is required.  If an electrical shutdown is required, the telecommunications carrier, </w:t>
      </w:r>
      <w:r w:rsidRPr="003827EC">
        <w:t>CMRS carrier</w:t>
      </w:r>
      <w:r w:rsidRPr="002A4DE9">
        <w:t>, or cable</w:t>
      </w:r>
      <w:r>
        <w:t> </w:t>
      </w:r>
      <w:r w:rsidRPr="002A4DE9">
        <w:t xml:space="preserve">TV company must arrange a specific schedule with the electric utility.  The telecommunications carrier, </w:t>
      </w:r>
      <w:r w:rsidRPr="003827EC">
        <w:t>CMRS carrier</w:t>
      </w:r>
      <w:r w:rsidRPr="002A4DE9">
        <w:t xml:space="preserve">, or cable TV company is responsible for all costs associated with an electrical shutdown.  The inspection will be paid for by the attaching entity.  The telecommunications carrier, </w:t>
      </w:r>
      <w:r w:rsidRPr="003827EC">
        <w:t>CMRS carrier</w:t>
      </w:r>
      <w:r w:rsidRPr="002A4DE9">
        <w:t>, or cable TV company must allow the electric utility, in the utility’s discretion to inspect the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w:t>
      </w:r>
      <w:r>
        <w:t xml:space="preserve"> </w:t>
      </w:r>
      <w:r w:rsidRPr="003827EC">
        <w:t>carrier</w:t>
      </w:r>
      <w:r w:rsidRPr="002A4DE9">
        <w:t xml:space="preserve">, </w:t>
      </w:r>
      <w:r w:rsidRPr="003827EC">
        <w:t>CMRS carrier</w:t>
      </w:r>
      <w:r w:rsidRPr="002A4DE9">
        <w:t>, or cable TV company or their respective contractor, interfere with the electric utility’s equipment or service.</w:t>
      </w:r>
    </w:p>
    <w:p w:rsidR="0064591C" w:rsidRPr="00693BAE" w:rsidRDefault="0064591C" w:rsidP="00E675AB">
      <w:pPr>
        <w:pStyle w:val="standard"/>
        <w:tabs>
          <w:tab w:val="left" w:pos="1080"/>
        </w:tabs>
        <w:spacing w:after="120" w:line="240" w:lineRule="auto"/>
        <w:ind w:left="1080" w:hanging="360"/>
      </w:pPr>
      <w:r>
        <w:t xml:space="preserve">3. </w:t>
      </w:r>
      <w:r>
        <w:tab/>
      </w:r>
      <w:r w:rsidRPr="00693BAE">
        <w:t xml:space="preserve">Incumbent utilities should adopt written guidelines to ensure that telecommunication carriers’, </w:t>
      </w:r>
      <w:r w:rsidRPr="003827EC">
        <w:t>CMRS carrier’s</w:t>
      </w:r>
      <w:r w:rsidRPr="00693BAE">
        <w:t>,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64591C" w:rsidRPr="00E35516" w:rsidRDefault="0064591C" w:rsidP="0064591C">
      <w:pPr>
        <w:pStyle w:val="standard"/>
        <w:spacing w:line="240" w:lineRule="auto"/>
      </w:pPr>
    </w:p>
    <w:p w:rsidR="0064591C" w:rsidRPr="005B0D45" w:rsidRDefault="0064591C" w:rsidP="00E746F9">
      <w:pPr>
        <w:pStyle w:val="standard"/>
        <w:keepNext/>
        <w:tabs>
          <w:tab w:val="left" w:pos="540"/>
        </w:tabs>
        <w:spacing w:after="120" w:line="240" w:lineRule="auto"/>
        <w:ind w:left="540" w:hanging="540"/>
      </w:pPr>
      <w:r>
        <w:t xml:space="preserve">V. </w:t>
      </w:r>
      <w:r>
        <w:tab/>
      </w:r>
      <w:r w:rsidRPr="005B0D45">
        <w:t>NONDISCLOSURE</w:t>
      </w:r>
    </w:p>
    <w:p w:rsidR="0064591C" w:rsidRPr="005B0D45" w:rsidRDefault="0064591C" w:rsidP="00E746F9">
      <w:pPr>
        <w:pStyle w:val="standard"/>
        <w:keepNext/>
        <w:tabs>
          <w:tab w:val="left" w:pos="540"/>
        </w:tabs>
        <w:spacing w:after="120" w:line="240" w:lineRule="auto"/>
        <w:ind w:left="547" w:hanging="547"/>
      </w:pPr>
      <w:r>
        <w:t xml:space="preserve">A. </w:t>
      </w:r>
      <w:r>
        <w:tab/>
      </w:r>
      <w:r w:rsidRPr="005B0D45">
        <w:t>DUTY NOT TO DISCLOSE PROPRIETARY INFORMATION</w:t>
      </w:r>
    </w:p>
    <w:p w:rsidR="0064591C" w:rsidRPr="005B0D45" w:rsidRDefault="0064591C" w:rsidP="00E746F9">
      <w:pPr>
        <w:pStyle w:val="standard"/>
        <w:tabs>
          <w:tab w:val="left" w:pos="1080"/>
        </w:tabs>
        <w:spacing w:after="120" w:line="240" w:lineRule="auto"/>
        <w:ind w:left="1080" w:hanging="360"/>
      </w:pPr>
      <w:r>
        <w:t xml:space="preserve">1. </w:t>
      </w:r>
      <w:r>
        <w:tab/>
      </w:r>
      <w:r w:rsidRPr="005B0D45">
        <w:t xml:space="preserve">The utility and entities seeking access to poles or other support structures may provide reciprocal standard nondisclosure agreements that permit either party to designate as proprietary information any </w:t>
      </w:r>
      <w:r w:rsidRPr="005B0D45">
        <w:lastRenderedPageBreak/>
        <w:t xml:space="preserve">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w:t>
      </w:r>
      <w:r w:rsidRPr="003827EC">
        <w:t>CMRS carrier’s</w:t>
      </w:r>
      <w:r w:rsidRPr="005B0D45">
        <w:t>,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64591C" w:rsidRPr="00E35516" w:rsidRDefault="0064591C" w:rsidP="0064591C">
      <w:pPr>
        <w:pStyle w:val="standard"/>
        <w:spacing w:line="240" w:lineRule="auto"/>
      </w:pPr>
    </w:p>
    <w:p w:rsidR="0064591C" w:rsidRPr="00405446" w:rsidRDefault="0064591C" w:rsidP="00E746F9">
      <w:pPr>
        <w:pStyle w:val="standard"/>
        <w:keepNext/>
        <w:tabs>
          <w:tab w:val="left" w:pos="540"/>
        </w:tabs>
        <w:spacing w:after="120" w:line="240" w:lineRule="auto"/>
        <w:ind w:left="547" w:hanging="547"/>
      </w:pPr>
      <w:r>
        <w:t xml:space="preserve">B. </w:t>
      </w:r>
      <w:r>
        <w:tab/>
      </w:r>
      <w:r w:rsidRPr="00405446">
        <w:t>SANCTIONS FOR VIOLATIONS OF NONDISCLOSURE AGREEMENTS</w:t>
      </w:r>
    </w:p>
    <w:p w:rsidR="0064591C" w:rsidRPr="00A37787" w:rsidRDefault="0064591C" w:rsidP="00E746F9">
      <w:pPr>
        <w:pStyle w:val="standard"/>
        <w:tabs>
          <w:tab w:val="left" w:pos="1080"/>
        </w:tabs>
        <w:spacing w:after="120" w:line="240" w:lineRule="auto"/>
        <w:ind w:left="1080" w:hanging="360"/>
      </w:pPr>
      <w:r>
        <w:t xml:space="preserve">1. </w:t>
      </w:r>
      <w:r>
        <w:tab/>
      </w:r>
      <w:r w:rsidRPr="00A37787">
        <w:t>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judgment, are necessary to deter the party from breaching its duty not to disclose proprietary information in the future.  Any violation of the duty not to disclose proprietary information will be accompanied by findings of fact that permit a party whose proprietary information has improperly been disclosed to seek further remedies in a civil action.</w:t>
      </w:r>
    </w:p>
    <w:p w:rsidR="0064591C" w:rsidRPr="00E35516" w:rsidRDefault="0064591C" w:rsidP="0064591C">
      <w:pPr>
        <w:pStyle w:val="standard"/>
        <w:spacing w:line="240" w:lineRule="auto"/>
      </w:pPr>
    </w:p>
    <w:p w:rsidR="0064591C" w:rsidRPr="00CB0E8D" w:rsidRDefault="0064591C" w:rsidP="00E746F9">
      <w:pPr>
        <w:pStyle w:val="standard"/>
        <w:keepNext/>
        <w:tabs>
          <w:tab w:val="left" w:pos="540"/>
        </w:tabs>
        <w:spacing w:after="120" w:line="240" w:lineRule="auto"/>
        <w:ind w:left="540" w:hanging="540"/>
      </w:pPr>
      <w:r>
        <w:t xml:space="preserve">VI. </w:t>
      </w:r>
      <w:r>
        <w:tab/>
      </w:r>
      <w:r w:rsidRPr="00CB0E8D">
        <w:t>PRICING AND TARIFFS GOVERNING ACCESS</w:t>
      </w:r>
    </w:p>
    <w:p w:rsidR="0064591C" w:rsidRPr="00CB0E8D" w:rsidRDefault="0064591C" w:rsidP="00E746F9">
      <w:pPr>
        <w:pStyle w:val="standard"/>
        <w:keepNext/>
        <w:tabs>
          <w:tab w:val="left" w:pos="540"/>
        </w:tabs>
        <w:spacing w:after="120" w:line="240" w:lineRule="auto"/>
        <w:ind w:left="547" w:hanging="547"/>
      </w:pPr>
      <w:r>
        <w:t xml:space="preserve">A. </w:t>
      </w:r>
      <w:r>
        <w:tab/>
      </w:r>
      <w:r w:rsidRPr="00CB0E8D">
        <w:t>GENERAL PRINCIPLE OF NONDISCRIMINATION</w:t>
      </w:r>
    </w:p>
    <w:p w:rsidR="0064591C" w:rsidRPr="000963A9" w:rsidRDefault="0064591C" w:rsidP="00E746F9">
      <w:pPr>
        <w:pStyle w:val="standard"/>
        <w:tabs>
          <w:tab w:val="left" w:pos="1080"/>
        </w:tabs>
        <w:spacing w:after="120" w:line="240" w:lineRule="auto"/>
        <w:ind w:left="1080" w:hanging="360"/>
      </w:pPr>
      <w:r w:rsidRPr="000963A9">
        <w:t xml:space="preserve">1. </w:t>
      </w:r>
      <w:r w:rsidRPr="000963A9">
        <w:tab/>
        <w:t xml:space="preserve">A utility shall grant access to its rights-of-way and support structures to telecommunications carriers, </w:t>
      </w:r>
      <w:r w:rsidRPr="003827EC">
        <w:t>CMRS carriers</w:t>
      </w:r>
      <w:r w:rsidRPr="000963A9">
        <w:t>, and cable</w:t>
      </w:r>
      <w:r w:rsidR="003827EC">
        <w:t> </w:t>
      </w:r>
      <w:r w:rsidRPr="000963A9">
        <w:t xml:space="preserve">TV companies </w:t>
      </w:r>
      <w:r w:rsidRPr="000963A9">
        <w:lastRenderedPageBreak/>
        <w:t>on a nondiscriminatory basis.  Nondiscriminatory access is access on a first-come, first</w:t>
      </w:r>
      <w:r w:rsidRPr="000963A9">
        <w:noBreakHyphen/>
        <w:t xml:space="preserve">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w:t>
      </w:r>
      <w:r w:rsidRPr="00073547">
        <w:t>not</w:t>
      </w:r>
      <w:r w:rsidRPr="000963A9">
        <w:t xml:space="preserve"> be considered to establish a comparison for nondiscriminatory access.  A utility shall have the ability to negotiate with a telecommunications carrier, </w:t>
      </w:r>
      <w:r w:rsidRPr="003827EC">
        <w:t>CMRS carrier</w:t>
      </w:r>
      <w:r w:rsidRPr="000963A9">
        <w:t>, or cable TV company the price for access to its rights</w:t>
      </w:r>
      <w:r w:rsidR="002C630B">
        <w:t>-</w:t>
      </w:r>
      <w:r w:rsidRPr="000963A9">
        <w:t>of</w:t>
      </w:r>
      <w:r w:rsidR="002C630B">
        <w:t>-</w:t>
      </w:r>
      <w:r w:rsidRPr="000963A9">
        <w:t>way and support structures.</w:t>
      </w:r>
    </w:p>
    <w:p w:rsidR="0064591C" w:rsidRPr="00073547" w:rsidRDefault="0064591C" w:rsidP="00E746F9">
      <w:pPr>
        <w:pStyle w:val="standard"/>
        <w:tabs>
          <w:tab w:val="left" w:pos="1080"/>
        </w:tabs>
        <w:spacing w:after="120" w:line="240" w:lineRule="auto"/>
        <w:ind w:left="1080" w:hanging="360"/>
      </w:pPr>
      <w:r w:rsidRPr="00073547">
        <w:t xml:space="preserve">2. </w:t>
      </w:r>
      <w:r w:rsidRPr="00073547">
        <w:tab/>
        <w:t xml:space="preserve">A utility shall grant access to its rights-of-way and support structures to telecommunications carriers, </w:t>
      </w:r>
      <w:r w:rsidRPr="003827EC">
        <w:t>CMRS carriers</w:t>
      </w:r>
      <w:r w:rsidRPr="00073547">
        <w:t xml:space="preserve">,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w:t>
      </w:r>
      <w:r w:rsidRPr="003827EC">
        <w:t>CMRS carrier</w:t>
      </w:r>
      <w:r w:rsidRPr="00073547">
        <w:t>, or cable TV company the price for access to its rights</w:t>
      </w:r>
      <w:r w:rsidRPr="00073547">
        <w:noBreakHyphen/>
        <w:t>of</w:t>
      </w:r>
      <w:r w:rsidRPr="00073547">
        <w:noBreakHyphen/>
        <w:t>way and support structures.</w:t>
      </w:r>
    </w:p>
    <w:p w:rsidR="0064591C" w:rsidRPr="00055850" w:rsidRDefault="0064591C" w:rsidP="0064591C">
      <w:pPr>
        <w:pStyle w:val="standard"/>
        <w:spacing w:line="240" w:lineRule="auto"/>
      </w:pPr>
    </w:p>
    <w:p w:rsidR="0064591C" w:rsidRPr="00585DE0" w:rsidRDefault="0064591C" w:rsidP="00E746F9">
      <w:pPr>
        <w:pStyle w:val="standard"/>
        <w:keepNext/>
        <w:tabs>
          <w:tab w:val="left" w:pos="540"/>
        </w:tabs>
        <w:spacing w:after="120" w:line="240" w:lineRule="auto"/>
        <w:ind w:left="547" w:hanging="547"/>
      </w:pPr>
      <w:r>
        <w:t xml:space="preserve">B. </w:t>
      </w:r>
      <w:r>
        <w:tab/>
      </w:r>
      <w:r w:rsidRPr="00585DE0">
        <w:t>MANNER OF PRICING ACCESS</w:t>
      </w:r>
    </w:p>
    <w:p w:rsidR="0064591C" w:rsidRPr="00585DE0" w:rsidRDefault="0064591C" w:rsidP="00E746F9">
      <w:pPr>
        <w:pStyle w:val="standard"/>
        <w:tabs>
          <w:tab w:val="left" w:pos="1080"/>
        </w:tabs>
        <w:spacing w:after="120" w:line="240" w:lineRule="auto"/>
        <w:ind w:left="1080" w:hanging="360"/>
      </w:pPr>
      <w:r>
        <w:t xml:space="preserve">1. </w:t>
      </w:r>
      <w:r>
        <w:tab/>
      </w:r>
      <w:r w:rsidR="0023465F" w:rsidRPr="00585DE0">
        <w:t xml:space="preserve">Whenever a public utility </w:t>
      </w:r>
      <w:r w:rsidR="0023465F" w:rsidRPr="0023465F">
        <w:t>cannot reach an agreement with</w:t>
      </w:r>
      <w:r w:rsidR="0023465F" w:rsidRPr="00585DE0">
        <w:t xml:space="preserve"> a telecommunications carrier, </w:t>
      </w:r>
      <w:r w:rsidR="0023465F" w:rsidRPr="003827EC">
        <w:t>CMRS carrier</w:t>
      </w:r>
      <w:r w:rsidR="0023465F" w:rsidRPr="00585DE0">
        <w:t xml:space="preserve">, or cable TV company, or </w:t>
      </w:r>
      <w:r w:rsidR="0023465F" w:rsidRPr="0023465F">
        <w:t xml:space="preserve">associations thereof, regarding </w:t>
      </w:r>
      <w:r w:rsidRPr="0023465F">
        <w:t>the terms, conditions, or annual</w:t>
      </w:r>
      <w:r w:rsidRPr="00585DE0">
        <w:t xml:space="preserve">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64591C" w:rsidRPr="00585DE0" w:rsidRDefault="0064591C" w:rsidP="00F61416">
      <w:pPr>
        <w:pStyle w:val="standard"/>
        <w:tabs>
          <w:tab w:val="left" w:pos="1710"/>
        </w:tabs>
        <w:spacing w:after="120" w:line="240" w:lineRule="auto"/>
        <w:ind w:left="1710" w:hanging="450"/>
      </w:pPr>
      <w:r>
        <w:t xml:space="preserve">a. </w:t>
      </w:r>
      <w:r>
        <w:tab/>
      </w:r>
      <w:r w:rsidRPr="00585DE0">
        <w:t>A one-time reimbursement for actual costs incurred by the public utility for rearrangements performed at the request of the telecommunications carrier</w:t>
      </w:r>
      <w:r w:rsidR="0023465F">
        <w:t>, cable TV company,</w:t>
      </w:r>
      <w:r>
        <w:t xml:space="preserve"> </w:t>
      </w:r>
      <w:r w:rsidRPr="003827EC">
        <w:t>or CMRS</w:t>
      </w:r>
      <w:r w:rsidR="00DA0181">
        <w:t> </w:t>
      </w:r>
      <w:r w:rsidRPr="003827EC">
        <w:t>carrier</w:t>
      </w:r>
      <w:r w:rsidRPr="00585DE0">
        <w:t>.</w:t>
      </w:r>
    </w:p>
    <w:p w:rsidR="0064591C" w:rsidRPr="00585DE0" w:rsidRDefault="0064591C" w:rsidP="00F61416">
      <w:pPr>
        <w:pStyle w:val="standard"/>
        <w:keepNext/>
        <w:tabs>
          <w:tab w:val="left" w:pos="1710"/>
        </w:tabs>
        <w:spacing w:after="120" w:line="240" w:lineRule="auto"/>
        <w:ind w:left="1713" w:hanging="446"/>
      </w:pPr>
      <w:r>
        <w:t xml:space="preserve">b. </w:t>
      </w:r>
      <w:r>
        <w:tab/>
      </w:r>
      <w:r w:rsidRPr="00585DE0">
        <w:t>An annual recurring fee computed as follows:</w:t>
      </w:r>
    </w:p>
    <w:p w:rsidR="0064591C" w:rsidRDefault="0064591C" w:rsidP="00F61416">
      <w:pPr>
        <w:pStyle w:val="standard"/>
        <w:tabs>
          <w:tab w:val="left" w:pos="2250"/>
        </w:tabs>
        <w:spacing w:after="120" w:line="240" w:lineRule="auto"/>
        <w:ind w:left="2250" w:hanging="450"/>
      </w:pPr>
      <w:r>
        <w:t xml:space="preserve">(1) </w:t>
      </w:r>
      <w:r>
        <w:tab/>
      </w:r>
      <w:r w:rsidR="0023465F" w:rsidRPr="0023465F">
        <w:rPr>
          <w:rFonts w:cs="Book Antiqua"/>
          <w:szCs w:val="26"/>
        </w:rPr>
        <w:t xml:space="preserve">Except as provided in </w:t>
      </w:r>
      <w:r w:rsidR="0009142B">
        <w:rPr>
          <w:rFonts w:cs="Book Antiqua"/>
          <w:szCs w:val="26"/>
        </w:rPr>
        <w:t>S</w:t>
      </w:r>
      <w:r w:rsidR="0023465F" w:rsidRPr="0023465F">
        <w:rPr>
          <w:rFonts w:cs="Book Antiqua"/>
          <w:szCs w:val="26"/>
        </w:rPr>
        <w:t>ection 3 below, for</w:t>
      </w:r>
      <w:r w:rsidR="0023465F" w:rsidRPr="000E4EA8">
        <w:rPr>
          <w:rFonts w:cs="Book Antiqua"/>
          <w:szCs w:val="26"/>
        </w:rPr>
        <w:t xml:space="preserve"> </w:t>
      </w:r>
      <w:r w:rsidRPr="00585DE0">
        <w:t>each pole and supporting anchor actually used by the telecommunications carrier</w:t>
      </w:r>
      <w:r>
        <w:t xml:space="preserve"> </w:t>
      </w:r>
      <w:r w:rsidRPr="00585DE0">
        <w:t xml:space="preserve">or cable TV company, the annual fee shall be two dollars and fifty cents ($2.50) or 7.4 percent of the public </w:t>
      </w:r>
      <w:r w:rsidRPr="00585DE0">
        <w:lastRenderedPageBreak/>
        <w:t>utility’s annual cost</w:t>
      </w:r>
      <w:r w:rsidR="00C26A49">
        <w:t>-</w:t>
      </w:r>
      <w:r w:rsidRPr="00585DE0">
        <w:t>of</w:t>
      </w:r>
      <w:r w:rsidR="00C26A49">
        <w:t>-</w:t>
      </w:r>
      <w:r w:rsidRPr="00585DE0">
        <w:t>ownership for the pole and supporting anchor, whichever is greater, except that if a public utility applies for establishment of a fee in excess of two dollars and fifty cents ($2.50) under this rule, the annual fee shall be 7.4 percent of the public utility’s annual cost</w:t>
      </w:r>
      <w:r w:rsidR="00C26A49">
        <w:t>-</w:t>
      </w:r>
      <w:r w:rsidRPr="00585DE0">
        <w:t>of</w:t>
      </w:r>
      <w:r w:rsidR="00C26A49">
        <w:t>-</w:t>
      </w:r>
      <w:r w:rsidRPr="00585DE0">
        <w:t>ownership for the pole and supporting anchor.</w:t>
      </w:r>
      <w:r>
        <w:t xml:space="preserve"> </w:t>
      </w:r>
    </w:p>
    <w:p w:rsidR="0064591C" w:rsidRPr="003827EC" w:rsidRDefault="0064591C" w:rsidP="00F61416">
      <w:pPr>
        <w:pStyle w:val="standard"/>
        <w:tabs>
          <w:tab w:val="left" w:pos="2250"/>
        </w:tabs>
        <w:spacing w:after="120" w:line="240" w:lineRule="auto"/>
        <w:ind w:left="2250" w:hanging="450"/>
      </w:pPr>
      <w:r w:rsidRPr="003827EC">
        <w:t xml:space="preserve">(2) </w:t>
      </w:r>
      <w:r w:rsidRPr="003827EC">
        <w:tab/>
        <w:t>For each pole and supporting anchor actually used by a CMRS carrier, the annual fee for each foot of vertical pole space occupied by the CMRS installation shall be two dollars and fifty cents ($2.50) or 7.4 percent of the public utility’s annual cost</w:t>
      </w:r>
      <w:r w:rsidR="00C26A49">
        <w:t>-</w:t>
      </w:r>
      <w:r w:rsidRPr="003827EC">
        <w:t>of</w:t>
      </w:r>
      <w:r w:rsidR="00C26A49">
        <w:t>-</w:t>
      </w:r>
      <w:r w:rsidRPr="003827EC">
        <w:t>ownership for the pole and supporting anchor, whichever is greater.  The per-foot fee for CMRS installations is subject to the following conditions and limitations:</w:t>
      </w:r>
    </w:p>
    <w:p w:rsidR="0064591C" w:rsidRPr="003827EC" w:rsidRDefault="0064591C" w:rsidP="00642CA0">
      <w:pPr>
        <w:pStyle w:val="standard"/>
        <w:tabs>
          <w:tab w:val="left" w:pos="2880"/>
        </w:tabs>
        <w:spacing w:after="120" w:line="240" w:lineRule="auto"/>
        <w:ind w:left="2880" w:hanging="540"/>
      </w:pPr>
      <w:r w:rsidRPr="003827EC">
        <w:t xml:space="preserve">(i) </w:t>
      </w:r>
      <w:r w:rsidRPr="003827EC">
        <w:tab/>
        <w:t xml:space="preserve">The vertical pole space occupied by each CMRS attachment shall be rounded to the nearest whole foot, with a 1-foot minimum.  </w:t>
      </w:r>
    </w:p>
    <w:p w:rsidR="0064591C" w:rsidRPr="003827EC" w:rsidRDefault="0064591C" w:rsidP="00642CA0">
      <w:pPr>
        <w:pStyle w:val="standard"/>
        <w:tabs>
          <w:tab w:val="left" w:pos="2880"/>
        </w:tabs>
        <w:spacing w:after="120" w:line="240" w:lineRule="auto"/>
        <w:ind w:left="2880" w:hanging="540"/>
      </w:pPr>
      <w:r w:rsidRPr="003827EC">
        <w:t xml:space="preserve">(ii) </w:t>
      </w:r>
      <w:r w:rsidRPr="003827EC">
        <w:tab/>
        <w:t xml:space="preserve">The 7.4% per-foot fee applies to the pole space that a CMRS attachment renders unusable for </w:t>
      </w:r>
      <w:r w:rsidR="009B60E2">
        <w:t>non</w:t>
      </w:r>
      <w:r w:rsidR="009B60E2">
        <w:noBreakHyphen/>
        <w:t>CMRS</w:t>
      </w:r>
      <w:r w:rsidR="00EE62A6">
        <w:t xml:space="preserve"> </w:t>
      </w:r>
      <w:r w:rsidRPr="003827EC">
        <w:t>attachments, including (A) the pole space that is physically occupied by the CMRS attachment; and (B)</w:t>
      </w:r>
      <w:r w:rsidR="005E3A2D">
        <w:t> </w:t>
      </w:r>
      <w:r w:rsidRPr="003827EC">
        <w:t xml:space="preserve">any pole space that cannot be used by communication and/or supply conductors due solely to the installation of the CMRS attachment.   </w:t>
      </w:r>
    </w:p>
    <w:p w:rsidR="0064591C" w:rsidRPr="003827EC" w:rsidRDefault="0064591C" w:rsidP="00642CA0">
      <w:pPr>
        <w:pStyle w:val="standard"/>
        <w:tabs>
          <w:tab w:val="left" w:pos="2880"/>
        </w:tabs>
        <w:spacing w:after="120" w:line="240" w:lineRule="auto"/>
        <w:ind w:left="2880" w:hanging="540"/>
      </w:pPr>
      <w:r w:rsidRPr="003827EC">
        <w:t>(iii)</w:t>
      </w:r>
      <w:r w:rsidRPr="003827EC">
        <w:tab/>
        <w:t xml:space="preserve">The 7.4% per-foot fee applies to CMRS attachments anywhere on the pole. </w:t>
      </w:r>
    </w:p>
    <w:p w:rsidR="0064591C" w:rsidRPr="003827EC" w:rsidRDefault="0064591C" w:rsidP="00642CA0">
      <w:pPr>
        <w:pStyle w:val="standard"/>
        <w:tabs>
          <w:tab w:val="left" w:pos="2880"/>
        </w:tabs>
        <w:spacing w:after="120" w:line="240" w:lineRule="auto"/>
        <w:ind w:left="2880" w:hanging="540"/>
      </w:pPr>
      <w:r w:rsidRPr="003827EC">
        <w:t xml:space="preserve">(iv) </w:t>
      </w:r>
      <w:r w:rsidRPr="003827EC">
        <w:tab/>
        <w:t xml:space="preserve">The 7.4% per-foot fee applies once to each foot of pole height.  If multiple CMRS pole attachments are placed on different sides of a pole in the same horizontal plane, the 7.4% per-foot attachment fee shall be allocated to each CMRS attachment in the same horizontal plane based on the total number of attachments in the horizontal plane.  </w:t>
      </w:r>
    </w:p>
    <w:p w:rsidR="0064591C" w:rsidRPr="003827EC" w:rsidRDefault="0064591C" w:rsidP="00642CA0">
      <w:pPr>
        <w:pStyle w:val="standard"/>
        <w:tabs>
          <w:tab w:val="left" w:pos="2880"/>
        </w:tabs>
        <w:spacing w:after="120" w:line="240" w:lineRule="auto"/>
        <w:ind w:left="2880" w:hanging="540"/>
      </w:pPr>
      <w:r w:rsidRPr="003827EC">
        <w:t xml:space="preserve">(v) </w:t>
      </w:r>
      <w:r w:rsidRPr="003827EC">
        <w:tab/>
        <w:t>The total pole</w:t>
      </w:r>
      <w:r w:rsidRPr="003827EC">
        <w:noBreakHyphen/>
        <w:t xml:space="preserve">attachment fees for all CMRS attachments on a particular pole shall not exceed 100% of the pole’s cost-of-ownership, less the proportion of the pole’s cost-of-ownership that is allocable to the pole space occupied by all other pole attachments.  </w:t>
      </w:r>
    </w:p>
    <w:p w:rsidR="0064591C" w:rsidRPr="003827EC" w:rsidRDefault="0064591C" w:rsidP="00642CA0">
      <w:pPr>
        <w:pStyle w:val="standard"/>
        <w:tabs>
          <w:tab w:val="left" w:pos="2880"/>
        </w:tabs>
        <w:spacing w:after="240" w:line="240" w:lineRule="auto"/>
        <w:ind w:left="2894" w:hanging="547"/>
      </w:pPr>
      <w:r w:rsidRPr="003827EC">
        <w:lastRenderedPageBreak/>
        <w:t xml:space="preserve">(vi) </w:t>
      </w:r>
      <w:r w:rsidRPr="003827EC">
        <w:tab/>
        <w:t xml:space="preserve">The 7.4% per-foot fee does not apply to electric meters, risers, and conduit associated with CMRS installations.  </w:t>
      </w:r>
    </w:p>
    <w:p w:rsidR="00CF6B24" w:rsidRPr="00CF6B24" w:rsidRDefault="0064591C" w:rsidP="0086209D">
      <w:pPr>
        <w:pStyle w:val="standard"/>
        <w:tabs>
          <w:tab w:val="left" w:pos="2250"/>
        </w:tabs>
        <w:spacing w:after="120" w:line="240" w:lineRule="auto"/>
        <w:ind w:left="2250" w:hanging="450"/>
      </w:pPr>
      <w:r w:rsidRPr="00CF6B24">
        <w:t xml:space="preserve">(3) </w:t>
      </w:r>
      <w:r w:rsidRPr="00CF6B24">
        <w:tab/>
      </w:r>
      <w:r w:rsidR="00CF6B24" w:rsidRPr="00CF6B24">
        <w:t xml:space="preserve">For each pole and supporting anchor actually used by a </w:t>
      </w:r>
      <w:r w:rsidR="006E085A">
        <w:t>telecommunications carrier</w:t>
      </w:r>
      <w:r w:rsidR="00CF6B24" w:rsidRPr="00CF6B24">
        <w:t xml:space="preserve"> for wireless attachments, the annual fee for each foot of vertical pole space occupied by the </w:t>
      </w:r>
      <w:r w:rsidR="006E085A">
        <w:t>telecommunications carrier</w:t>
      </w:r>
      <w:r w:rsidR="00CF6B24" w:rsidRPr="00CF6B24">
        <w:t>’s wireless and wireline attachments shall be two dollars and fifty cents ($2.50) or 7.4</w:t>
      </w:r>
      <w:r w:rsidR="002F71F8">
        <w:t> </w:t>
      </w:r>
      <w:r w:rsidR="00CF6B24" w:rsidRPr="00CF6B24">
        <w:t>percent of the public utility’s annual cost</w:t>
      </w:r>
      <w:r w:rsidR="00A63459">
        <w:t>-</w:t>
      </w:r>
      <w:r w:rsidR="00CF6B24" w:rsidRPr="00CF6B24">
        <w:t>of</w:t>
      </w:r>
      <w:r w:rsidR="00A63459">
        <w:t>-</w:t>
      </w:r>
      <w:r w:rsidR="00CF6B24" w:rsidRPr="00CF6B24">
        <w:t>ownership for the pole and supporting anchor, whichever is greater.  The per</w:t>
      </w:r>
      <w:r w:rsidR="00CF6B24" w:rsidRPr="00CF6B24">
        <w:noBreakHyphen/>
        <w:t xml:space="preserve">foot fee for the </w:t>
      </w:r>
      <w:r w:rsidR="006E085A">
        <w:t>telecommunications carrier</w:t>
      </w:r>
      <w:r w:rsidR="00CF6B24" w:rsidRPr="00CF6B24">
        <w:t>’s wireless and wireline attachments is subject to the following conditions and limitations:</w:t>
      </w:r>
    </w:p>
    <w:p w:rsidR="00CF6B24" w:rsidRPr="00CF6B24" w:rsidRDefault="00CF6B24" w:rsidP="0086209D">
      <w:pPr>
        <w:pStyle w:val="standard"/>
        <w:tabs>
          <w:tab w:val="left" w:pos="2880"/>
        </w:tabs>
        <w:spacing w:after="120" w:line="240" w:lineRule="auto"/>
        <w:ind w:left="2880" w:hanging="540"/>
      </w:pPr>
      <w:r w:rsidRPr="00CF6B24">
        <w:t xml:space="preserve">(i) </w:t>
      </w:r>
      <w:r w:rsidRPr="00CF6B24">
        <w:tab/>
        <w:t xml:space="preserve">The vertical pole space occupied by each of the </w:t>
      </w:r>
      <w:r w:rsidR="006E085A">
        <w:t>telecommunications carrier</w:t>
      </w:r>
      <w:r w:rsidRPr="00CF6B24">
        <w:t>’s wireless and wireline attachments shall be rounded to the nearest whole foot, with a 1</w:t>
      </w:r>
      <w:r w:rsidRPr="00CF6B24">
        <w:noBreakHyphen/>
        <w:t>foot minimum.</w:t>
      </w:r>
    </w:p>
    <w:p w:rsidR="00CF6B24" w:rsidRPr="00CF6B24" w:rsidRDefault="00CF6B24" w:rsidP="0086209D">
      <w:pPr>
        <w:pStyle w:val="standard"/>
        <w:tabs>
          <w:tab w:val="left" w:pos="2880"/>
        </w:tabs>
        <w:spacing w:after="120" w:line="240" w:lineRule="auto"/>
        <w:ind w:left="2880" w:hanging="540"/>
      </w:pPr>
      <w:r w:rsidRPr="00CF6B24">
        <w:t xml:space="preserve">(ii) </w:t>
      </w:r>
      <w:r w:rsidRPr="00CF6B24">
        <w:tab/>
        <w:t xml:space="preserve">The 7.4% per-foot fee applies to the pole space that the </w:t>
      </w:r>
      <w:r w:rsidR="006E085A">
        <w:t>telecommunications carrier</w:t>
      </w:r>
      <w:r w:rsidRPr="00CF6B24">
        <w:t xml:space="preserve">’s attachment renders unusable for other pole attachments, including (A) the pole space that is physically occupied by the </w:t>
      </w:r>
      <w:r w:rsidR="006E085A">
        <w:t>telecommunications carrier</w:t>
      </w:r>
      <w:r w:rsidRPr="00CF6B24">
        <w:t>’s attachment; and (B)</w:t>
      </w:r>
      <w:r w:rsidR="006E085A">
        <w:t> </w:t>
      </w:r>
      <w:r w:rsidRPr="00CF6B24">
        <w:t xml:space="preserve">any pole space that cannot be used by communication and/or supply conductors due solely to the installation of the </w:t>
      </w:r>
      <w:r w:rsidR="006E085A">
        <w:t>telecommunications carrier</w:t>
      </w:r>
      <w:r w:rsidRPr="00CF6B24">
        <w:t>’s pole attachment.</w:t>
      </w:r>
    </w:p>
    <w:p w:rsidR="00CF6B24" w:rsidRPr="00CF6B24" w:rsidRDefault="00CF6B24" w:rsidP="0086209D">
      <w:pPr>
        <w:pStyle w:val="standard"/>
        <w:tabs>
          <w:tab w:val="left" w:pos="2880"/>
        </w:tabs>
        <w:spacing w:after="120" w:line="240" w:lineRule="auto"/>
        <w:ind w:left="2880" w:hanging="540"/>
      </w:pPr>
      <w:r w:rsidRPr="00CF6B24">
        <w:t xml:space="preserve">(iii) </w:t>
      </w:r>
      <w:r w:rsidRPr="00CF6B24">
        <w:tab/>
        <w:t xml:space="preserve">The 7.4% per-foot fee applies to the </w:t>
      </w:r>
      <w:r w:rsidR="006E085A">
        <w:t>telecommunications carrier</w:t>
      </w:r>
      <w:r w:rsidRPr="00CF6B24">
        <w:t>’s wireless and wireline attachments anywhere on the pole.</w:t>
      </w:r>
    </w:p>
    <w:p w:rsidR="00CF6B24" w:rsidRPr="00CF6B24" w:rsidRDefault="00CF6B24" w:rsidP="0086209D">
      <w:pPr>
        <w:pStyle w:val="standard"/>
        <w:tabs>
          <w:tab w:val="left" w:pos="2880"/>
        </w:tabs>
        <w:spacing w:after="120" w:line="240" w:lineRule="auto"/>
        <w:ind w:left="2880" w:hanging="540"/>
      </w:pPr>
      <w:r w:rsidRPr="00CF6B24">
        <w:t xml:space="preserve">(iv) </w:t>
      </w:r>
      <w:r w:rsidRPr="00CF6B24">
        <w:tab/>
        <w:t xml:space="preserve">The 7.4% per-foot fee applies once to each foot of pole height.  If multiple pole attachments are placed on different sides of a pole in the same horizontal plane, the 7.4% per-foot attachment fee shall be allocated to each </w:t>
      </w:r>
      <w:r w:rsidR="006E085A">
        <w:t>telecommunications carrier</w:t>
      </w:r>
      <w:r w:rsidRPr="00CF6B24">
        <w:t xml:space="preserve"> pole attachment in the same horizontal plane based on the total number of attachments in the horizontal plane.</w:t>
      </w:r>
    </w:p>
    <w:p w:rsidR="00CF6B24" w:rsidRPr="00CF6B24" w:rsidRDefault="00CF6B24" w:rsidP="0086209D">
      <w:pPr>
        <w:pStyle w:val="standard"/>
        <w:tabs>
          <w:tab w:val="left" w:pos="2880"/>
        </w:tabs>
        <w:spacing w:after="120" w:line="240" w:lineRule="auto"/>
        <w:ind w:left="2880" w:hanging="540"/>
      </w:pPr>
      <w:r w:rsidRPr="00CF6B24">
        <w:t xml:space="preserve">(v) </w:t>
      </w:r>
      <w:r w:rsidRPr="00CF6B24">
        <w:tab/>
        <w:t xml:space="preserve">The total pole-attachment fees for all </w:t>
      </w:r>
      <w:r w:rsidR="006E085A">
        <w:t>telecommunications carrier</w:t>
      </w:r>
      <w:r w:rsidRPr="00CF6B24">
        <w:t xml:space="preserve"> attachments on a particular </w:t>
      </w:r>
      <w:r w:rsidRPr="00CF6B24">
        <w:lastRenderedPageBreak/>
        <w:t>pole shall not exceed 100% of the pole’s cost-of-ownership, less the proportion of the pole’s cost-of-ownership that is allocable to the pole space occupied by all other pole attachments.</w:t>
      </w:r>
    </w:p>
    <w:p w:rsidR="00CF6B24" w:rsidRPr="00CF6B24" w:rsidRDefault="00CF6B24" w:rsidP="0086209D">
      <w:pPr>
        <w:pStyle w:val="standard"/>
        <w:tabs>
          <w:tab w:val="left" w:pos="2880"/>
        </w:tabs>
        <w:spacing w:after="120" w:line="240" w:lineRule="auto"/>
        <w:ind w:left="2880" w:hanging="540"/>
      </w:pPr>
      <w:r w:rsidRPr="00CF6B24">
        <w:t xml:space="preserve">(vi) </w:t>
      </w:r>
      <w:r w:rsidRPr="00CF6B24">
        <w:tab/>
        <w:t xml:space="preserve">The 7.4% per-foot fee does not apply to electric meters, risers, and conduit associated with </w:t>
      </w:r>
      <w:r w:rsidR="006E085A">
        <w:t>telecommunications carrier</w:t>
      </w:r>
      <w:r w:rsidRPr="00CF6B24">
        <w:t xml:space="preserve"> wireless pole installations.</w:t>
      </w:r>
    </w:p>
    <w:p w:rsidR="00CF6B24" w:rsidRPr="00CF6B24" w:rsidRDefault="00CF6B24" w:rsidP="0086209D">
      <w:pPr>
        <w:pStyle w:val="standard"/>
        <w:tabs>
          <w:tab w:val="left" w:pos="2880"/>
        </w:tabs>
        <w:spacing w:after="240" w:line="240" w:lineRule="auto"/>
        <w:ind w:left="2894" w:hanging="547"/>
      </w:pPr>
      <w:r w:rsidRPr="00CF6B24">
        <w:t xml:space="preserve">(vii) </w:t>
      </w:r>
      <w:r w:rsidRPr="00CF6B24">
        <w:tab/>
      </w:r>
      <w:r w:rsidR="008453AB">
        <w:t>The</w:t>
      </w:r>
      <w:r w:rsidRPr="00CF6B24">
        <w:t xml:space="preserve"> annual fee in </w:t>
      </w:r>
      <w:r w:rsidR="00930BE1">
        <w:t>Section VI.B.1</w:t>
      </w:r>
      <w:r w:rsidR="00820FB7">
        <w:t>.</w:t>
      </w:r>
      <w:r w:rsidR="00930BE1">
        <w:t>b</w:t>
      </w:r>
      <w:r w:rsidR="00820FB7">
        <w:t>.</w:t>
      </w:r>
      <w:r w:rsidRPr="00CF6B24">
        <w:t xml:space="preserve">1, above, shall apply to a </w:t>
      </w:r>
      <w:r w:rsidR="006E085A">
        <w:t>telecommunications carrier</w:t>
      </w:r>
      <w:r w:rsidRPr="00CF6B24">
        <w:t xml:space="preserve"> that has only wireline facilities attached to a pole, even if another </w:t>
      </w:r>
      <w:r w:rsidR="006E085A">
        <w:t>telecommunications carrier</w:t>
      </w:r>
      <w:r w:rsidRPr="00CF6B24">
        <w:t xml:space="preserve"> has wireless facilities attached to the same pole.   </w:t>
      </w:r>
    </w:p>
    <w:p w:rsidR="0064591C" w:rsidRPr="00585DE0" w:rsidRDefault="00CF6B24" w:rsidP="00642CA0">
      <w:pPr>
        <w:pStyle w:val="standard"/>
        <w:tabs>
          <w:tab w:val="left" w:pos="2250"/>
        </w:tabs>
        <w:spacing w:after="120" w:line="240" w:lineRule="auto"/>
        <w:ind w:left="2250" w:hanging="450"/>
      </w:pPr>
      <w:r>
        <w:t xml:space="preserve">(4) </w:t>
      </w:r>
      <w:r>
        <w:tab/>
      </w:r>
      <w:r w:rsidR="0064591C" w:rsidRPr="00585DE0">
        <w:t>For support structures used by the telecommunications carrier</w:t>
      </w:r>
      <w:r w:rsidR="0064591C">
        <w:t>,</w:t>
      </w:r>
      <w:r w:rsidR="0064591C" w:rsidRPr="00585DE0">
        <w:t xml:space="preserve"> </w:t>
      </w:r>
      <w:r w:rsidR="0064591C" w:rsidRPr="003827EC">
        <w:t>CMRS carrier,</w:t>
      </w:r>
      <w:r w:rsidR="0064591C" w:rsidRPr="00585DE0">
        <w:t xml:space="preserve"> or cable TV company, other than poles or anchors, a percentage of the annual cost</w:t>
      </w:r>
      <w:r w:rsidR="00C26A49">
        <w:t>-</w:t>
      </w:r>
      <w:r w:rsidR="0064591C" w:rsidRPr="00585DE0">
        <w:t>of</w:t>
      </w:r>
      <w:r w:rsidR="00C26A49">
        <w:t>-</w:t>
      </w:r>
      <w:r w:rsidR="0064591C" w:rsidRPr="00585DE0">
        <w:t>ownership for the support structure, computed by dividing the volume or capacity rendered unusable by the telecommunications carrier’s</w:t>
      </w:r>
      <w:r w:rsidR="0064591C">
        <w:t xml:space="preserve">, </w:t>
      </w:r>
      <w:r w:rsidR="0064591C" w:rsidRPr="003827EC">
        <w:t>CMRS carrier’s,</w:t>
      </w:r>
      <w:r w:rsidR="0064591C" w:rsidRPr="00585DE0">
        <w:t xml:space="preserve"> or cable</w:t>
      </w:r>
      <w:r w:rsidR="0064591C">
        <w:t> </w:t>
      </w:r>
      <w:r w:rsidR="0064591C" w:rsidRPr="00585DE0">
        <w:t>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w:t>
      </w:r>
      <w:r w:rsidR="0064591C">
        <w:t xml:space="preserve">, </w:t>
      </w:r>
      <w:r w:rsidR="0064591C" w:rsidRPr="003827EC">
        <w:t>CMRS carrier’s,</w:t>
      </w:r>
      <w:r w:rsidR="0064591C" w:rsidRPr="00585DE0">
        <w:t xml:space="preserve"> or cable</w:t>
      </w:r>
      <w:r w:rsidR="0064591C">
        <w:t> </w:t>
      </w:r>
      <w:r w:rsidR="0064591C" w:rsidRPr="00585DE0">
        <w:t>TV company’s equipment.</w:t>
      </w:r>
    </w:p>
    <w:p w:rsidR="0064591C" w:rsidRDefault="0064591C" w:rsidP="00997CB2">
      <w:pPr>
        <w:pStyle w:val="standard"/>
        <w:keepLines/>
        <w:tabs>
          <w:tab w:val="left" w:pos="1710"/>
        </w:tabs>
        <w:spacing w:after="120" w:line="240" w:lineRule="auto"/>
        <w:ind w:left="1713" w:hanging="446"/>
      </w:pPr>
      <w:r w:rsidRPr="00585DE0">
        <w:t>c.</w:t>
      </w:r>
      <w:r w:rsidRPr="00585DE0">
        <w:tab/>
      </w:r>
      <w:r w:rsidRPr="003827EC">
        <w:t>Except as allowed by Section</w:t>
      </w:r>
      <w:r w:rsidR="00CF6B24">
        <w:t>s</w:t>
      </w:r>
      <w:r w:rsidRPr="003827EC">
        <w:t xml:space="preserve"> VI.B.1.b.2</w:t>
      </w:r>
      <w:r w:rsidR="00CF6B24">
        <w:t xml:space="preserve"> and 3</w:t>
      </w:r>
      <w:r w:rsidRPr="003827EC">
        <w:t>, above,</w:t>
      </w:r>
      <w:r>
        <w:t xml:space="preserve"> </w:t>
      </w:r>
      <w:r w:rsidRPr="003827EC">
        <w:t>a</w:t>
      </w:r>
      <w:r w:rsidRPr="00585DE0">
        <w:t xml:space="preserve"> utility may not charge a telecommunications carrier</w:t>
      </w:r>
      <w:r w:rsidRPr="003827EC">
        <w:t xml:space="preserve">, CMRS carrier, </w:t>
      </w:r>
      <w:r w:rsidRPr="00585DE0">
        <w:t>or cable</w:t>
      </w:r>
      <w:r>
        <w:t> </w:t>
      </w:r>
      <w:r w:rsidRPr="00585DE0">
        <w:t>TV company a higher rate for access to its rights</w:t>
      </w:r>
      <w:r w:rsidR="00005D48">
        <w:t>-</w:t>
      </w:r>
      <w:r w:rsidRPr="00585DE0">
        <w:t>of</w:t>
      </w:r>
      <w:r w:rsidR="00005D48">
        <w:t>-</w:t>
      </w:r>
      <w:r w:rsidRPr="00585DE0">
        <w:t>way and support structures than it would charge a similarly situated cable television corporation for access to the same rights</w:t>
      </w:r>
      <w:r w:rsidR="00005D48">
        <w:t>-</w:t>
      </w:r>
      <w:r w:rsidRPr="00585DE0">
        <w:t>of</w:t>
      </w:r>
      <w:r w:rsidR="00005D48">
        <w:t>-</w:t>
      </w:r>
      <w:r w:rsidRPr="00585DE0">
        <w:t>way and support structures.</w:t>
      </w:r>
      <w:r>
        <w:t xml:space="preserve">  </w:t>
      </w:r>
    </w:p>
    <w:p w:rsidR="00AC14B3" w:rsidRDefault="0064591C" w:rsidP="00AC14B3">
      <w:pPr>
        <w:pStyle w:val="standard"/>
        <w:keepLines/>
        <w:tabs>
          <w:tab w:val="left" w:pos="1710"/>
        </w:tabs>
        <w:spacing w:after="240" w:line="240" w:lineRule="auto"/>
        <w:ind w:left="1713" w:hanging="446"/>
      </w:pPr>
      <w:r>
        <w:t xml:space="preserve">d. </w:t>
      </w:r>
      <w:r>
        <w:tab/>
      </w:r>
      <w:r w:rsidR="00AC14B3" w:rsidRPr="00AC14B3">
        <w:t>Except as allowed by Sections VI.B.1.b.2 and 3</w:t>
      </w:r>
      <w:r w:rsidR="00AC14B3" w:rsidRPr="003827EC">
        <w:t xml:space="preserve">, </w:t>
      </w:r>
      <w:r w:rsidR="0027570C">
        <w:t xml:space="preserve">above, </w:t>
      </w:r>
      <w:r w:rsidR="00AC14B3" w:rsidRPr="00AC14B3">
        <w:t>a</w:t>
      </w:r>
      <w:r w:rsidR="00AC14B3">
        <w:t xml:space="preserve"> </w:t>
      </w:r>
      <w:r w:rsidR="00AC14B3" w:rsidRPr="003827EC">
        <w:t xml:space="preserve">utility may not charge a </w:t>
      </w:r>
      <w:r w:rsidR="00AC14B3" w:rsidRPr="00AC14B3">
        <w:t>telecommunications carrier or</w:t>
      </w:r>
      <w:r w:rsidR="00AC14B3">
        <w:t xml:space="preserve"> </w:t>
      </w:r>
      <w:r w:rsidR="00AC14B3" w:rsidRPr="003827EC">
        <w:t>CMRS carrier a higher rate for access to its rights</w:t>
      </w:r>
      <w:r w:rsidR="00005D48">
        <w:t>-</w:t>
      </w:r>
      <w:r w:rsidR="00AC14B3" w:rsidRPr="003827EC">
        <w:t>of</w:t>
      </w:r>
      <w:r w:rsidR="00005D48">
        <w:t>-</w:t>
      </w:r>
      <w:r w:rsidR="00AC14B3" w:rsidRPr="003827EC">
        <w:t xml:space="preserve">way and support structures than it would charge a similarly situated </w:t>
      </w:r>
      <w:r w:rsidR="00AC14B3" w:rsidRPr="00AC14B3">
        <w:t>telecommunications carrier or</w:t>
      </w:r>
      <w:r w:rsidR="00AC14B3">
        <w:t xml:space="preserve"> </w:t>
      </w:r>
      <w:r w:rsidR="00AC14B3" w:rsidRPr="003827EC">
        <w:t>CMRS carrier for access to the same rights</w:t>
      </w:r>
      <w:r w:rsidR="002C630B">
        <w:t>-</w:t>
      </w:r>
      <w:r w:rsidR="00AC14B3" w:rsidRPr="003827EC">
        <w:t>of</w:t>
      </w:r>
      <w:r w:rsidR="002C630B">
        <w:t>-</w:t>
      </w:r>
      <w:r w:rsidR="00AC14B3" w:rsidRPr="003827EC">
        <w:t>way and support structures.</w:t>
      </w:r>
    </w:p>
    <w:p w:rsidR="0064591C" w:rsidRPr="00E0456D" w:rsidRDefault="0064591C" w:rsidP="001A10A2">
      <w:pPr>
        <w:pStyle w:val="standard"/>
        <w:keepNext/>
        <w:tabs>
          <w:tab w:val="left" w:pos="540"/>
        </w:tabs>
        <w:spacing w:after="120" w:line="240" w:lineRule="auto"/>
        <w:ind w:left="547" w:hanging="547"/>
      </w:pPr>
      <w:r w:rsidRPr="00E0456D">
        <w:lastRenderedPageBreak/>
        <w:t>C.</w:t>
      </w:r>
      <w:r w:rsidRPr="00E0456D">
        <w:tab/>
        <w:t>CONTRACTS</w:t>
      </w:r>
    </w:p>
    <w:p w:rsidR="0064591C" w:rsidRPr="00E0456D" w:rsidRDefault="0064591C" w:rsidP="001A10A2">
      <w:pPr>
        <w:pStyle w:val="standard"/>
        <w:tabs>
          <w:tab w:val="left" w:pos="1080"/>
        </w:tabs>
        <w:spacing w:after="120" w:line="240" w:lineRule="auto"/>
        <w:ind w:left="1080" w:hanging="360"/>
      </w:pPr>
      <w:r w:rsidRPr="00E0456D">
        <w:t>1.</w:t>
      </w:r>
      <w:r w:rsidRPr="00E0456D">
        <w:tab/>
        <w:t xml:space="preserve">A utility that provides or has negotiated an agreement with a telecommunications carrier, </w:t>
      </w:r>
      <w:r w:rsidRPr="003827EC">
        <w:t>CMRS carrier</w:t>
      </w:r>
      <w:r w:rsidRPr="00E0456D">
        <w:t>, or cable</w:t>
      </w:r>
      <w:r>
        <w:t> </w:t>
      </w:r>
      <w:r w:rsidRPr="00E0456D">
        <w:t>TV company to provide access to its support structures shall file with the Commission the executed contract showing:</w:t>
      </w:r>
    </w:p>
    <w:p w:rsidR="0064591C" w:rsidRPr="00E0456D" w:rsidRDefault="0064591C" w:rsidP="00B44D23">
      <w:pPr>
        <w:pStyle w:val="standard"/>
        <w:tabs>
          <w:tab w:val="left" w:pos="1710"/>
        </w:tabs>
        <w:spacing w:after="120" w:line="240" w:lineRule="auto"/>
        <w:ind w:left="1713" w:hanging="446"/>
      </w:pPr>
      <w:r w:rsidRPr="00E0456D">
        <w:t>a.</w:t>
      </w:r>
      <w:r w:rsidRPr="00E0456D">
        <w:tab/>
        <w:t>The annual fee for attaching to a pole and supporting anchor.</w:t>
      </w:r>
    </w:p>
    <w:p w:rsidR="0064591C" w:rsidRPr="00E0456D" w:rsidRDefault="0064591C" w:rsidP="00B44D23">
      <w:pPr>
        <w:pStyle w:val="standard"/>
        <w:tabs>
          <w:tab w:val="left" w:pos="1710"/>
        </w:tabs>
        <w:spacing w:after="120" w:line="240" w:lineRule="auto"/>
        <w:ind w:left="1713" w:hanging="446"/>
      </w:pPr>
      <w:r w:rsidRPr="00E0456D">
        <w:t>b.</w:t>
      </w:r>
      <w:r w:rsidRPr="00E0456D">
        <w:tab/>
        <w:t>The annual fee per linear foot for use of conduit.</w:t>
      </w:r>
    </w:p>
    <w:p w:rsidR="0064591C" w:rsidRPr="00E0456D" w:rsidRDefault="0064591C" w:rsidP="00B44D23">
      <w:pPr>
        <w:pStyle w:val="standard"/>
        <w:tabs>
          <w:tab w:val="left" w:pos="1710"/>
        </w:tabs>
        <w:spacing w:after="120" w:line="240" w:lineRule="auto"/>
        <w:ind w:left="1713" w:hanging="446"/>
      </w:pPr>
      <w:r w:rsidRPr="00E0456D">
        <w:t>c.</w:t>
      </w:r>
      <w:r w:rsidRPr="00E0456D">
        <w:tab/>
        <w:t>Unit costs for all make ready and rearrangements work.</w:t>
      </w:r>
    </w:p>
    <w:p w:rsidR="0064591C" w:rsidRPr="00E0456D" w:rsidRDefault="0064591C" w:rsidP="00B44D23">
      <w:pPr>
        <w:pStyle w:val="standard"/>
        <w:tabs>
          <w:tab w:val="left" w:pos="1710"/>
        </w:tabs>
        <w:spacing w:after="120" w:line="240" w:lineRule="auto"/>
        <w:ind w:left="1713" w:hanging="446"/>
      </w:pPr>
      <w:r w:rsidRPr="00E0456D">
        <w:t>d.</w:t>
      </w:r>
      <w:r w:rsidRPr="00E0456D">
        <w:tab/>
        <w:t>All terms and conditions governing access to its rights</w:t>
      </w:r>
      <w:r w:rsidR="002C630B">
        <w:t>-</w:t>
      </w:r>
      <w:r w:rsidRPr="00E0456D">
        <w:t>of</w:t>
      </w:r>
      <w:r w:rsidR="002C630B">
        <w:t>-</w:t>
      </w:r>
      <w:r w:rsidRPr="00E0456D">
        <w:t>way and support structures.</w:t>
      </w:r>
    </w:p>
    <w:p w:rsidR="0064591C" w:rsidRPr="00E0456D" w:rsidRDefault="0064591C" w:rsidP="00B44D23">
      <w:pPr>
        <w:pStyle w:val="standard"/>
        <w:tabs>
          <w:tab w:val="left" w:pos="1710"/>
        </w:tabs>
        <w:spacing w:after="120" w:line="240" w:lineRule="auto"/>
        <w:ind w:left="1713" w:hanging="446"/>
      </w:pPr>
      <w:r w:rsidRPr="00E0456D">
        <w:t>e.</w:t>
      </w:r>
      <w:r w:rsidRPr="00E0456D">
        <w:tab/>
        <w:t>The fee for copies or preparation of maps, drawings and plans for attachment to or use of support structures.</w:t>
      </w:r>
    </w:p>
    <w:p w:rsidR="0064591C" w:rsidRPr="00E0456D" w:rsidRDefault="0064591C" w:rsidP="00B44D23">
      <w:pPr>
        <w:pStyle w:val="standard"/>
        <w:tabs>
          <w:tab w:val="left" w:pos="1080"/>
        </w:tabs>
        <w:spacing w:after="240" w:line="240" w:lineRule="auto"/>
        <w:ind w:left="1080" w:hanging="360"/>
      </w:pPr>
      <w:r w:rsidRPr="00E0456D">
        <w:t>2.</w:t>
      </w:r>
      <w:r w:rsidRPr="00E0456D">
        <w:tab/>
        <w:t xml:space="preserve">A utility entering into contracts with telecommunications carriers, </w:t>
      </w:r>
      <w:r w:rsidRPr="003827EC">
        <w:t>CMRS carriers</w:t>
      </w:r>
      <w:r w:rsidRPr="00E0456D">
        <w:t xml:space="preserve">, or cable TV companies or cable TV company for access to its support structures, shall file such contracts with the Commission pursuant to General Order 96, available for full public inspection, and </w:t>
      </w:r>
      <w:r w:rsidRPr="00025926">
        <w:t>extended</w:t>
      </w:r>
      <w:r w:rsidRPr="00E0456D">
        <w:t xml:space="preserve"> on a nondiscriminatory basis to all other similarly situated telecommunications carriers, </w:t>
      </w:r>
      <w:r w:rsidRPr="003827EC">
        <w:t>CMRS carriers</w:t>
      </w:r>
      <w:r w:rsidRPr="00E0456D">
        <w:t>, or cable TV companies.  If the contracts are mutually negotiated and submitted as being pursuant to the terms of 251 and 252 of TA 96, they shall be reviewed consistent with the provisions of Resolution ALJ</w:t>
      </w:r>
      <w:r w:rsidRPr="00E0456D">
        <w:noBreakHyphen/>
        <w:t>174.</w:t>
      </w:r>
    </w:p>
    <w:p w:rsidR="0064591C" w:rsidRPr="00025926" w:rsidRDefault="0064591C" w:rsidP="00B44D23">
      <w:pPr>
        <w:pStyle w:val="standard"/>
        <w:keepNext/>
        <w:tabs>
          <w:tab w:val="left" w:pos="540"/>
        </w:tabs>
        <w:spacing w:after="120" w:line="240" w:lineRule="auto"/>
        <w:ind w:left="547" w:hanging="547"/>
      </w:pPr>
      <w:r w:rsidRPr="00025926">
        <w:t>D.</w:t>
      </w:r>
      <w:r w:rsidRPr="00025926">
        <w:tab/>
        <w:t>UNAUTHORIZED ATTACHMENTS</w:t>
      </w:r>
    </w:p>
    <w:p w:rsidR="0064591C" w:rsidRPr="00025926" w:rsidRDefault="0064591C" w:rsidP="00B44D23">
      <w:pPr>
        <w:pStyle w:val="standard"/>
        <w:tabs>
          <w:tab w:val="left" w:pos="1080"/>
        </w:tabs>
        <w:spacing w:after="120" w:line="240" w:lineRule="auto"/>
        <w:ind w:left="1080" w:hanging="360"/>
      </w:pPr>
      <w:r w:rsidRPr="00025926">
        <w:t>1.</w:t>
      </w:r>
      <w:r w:rsidRPr="00025926">
        <w:tab/>
        <w:t>No party may attach to the right</w:t>
      </w:r>
      <w:r w:rsidR="002C630B">
        <w:t>-</w:t>
      </w:r>
      <w:r w:rsidRPr="00025926">
        <w:t>of</w:t>
      </w:r>
      <w:r w:rsidR="002C630B">
        <w:t>-</w:t>
      </w:r>
      <w:r w:rsidRPr="00025926">
        <w:t>way or support structure of another utility without the express written authorization from the utility.</w:t>
      </w:r>
    </w:p>
    <w:p w:rsidR="0064591C" w:rsidRPr="00025926" w:rsidRDefault="0064591C" w:rsidP="000362F2">
      <w:pPr>
        <w:pStyle w:val="standard"/>
        <w:tabs>
          <w:tab w:val="left" w:pos="1080"/>
        </w:tabs>
        <w:spacing w:after="120" w:line="240" w:lineRule="auto"/>
        <w:ind w:left="1080" w:hanging="360"/>
      </w:pPr>
      <w:r w:rsidRPr="00025926">
        <w:t>2.</w:t>
      </w:r>
      <w:r w:rsidRPr="00025926">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64591C" w:rsidRPr="00025926" w:rsidRDefault="0064591C" w:rsidP="000362F2">
      <w:pPr>
        <w:pStyle w:val="standard"/>
        <w:tabs>
          <w:tab w:val="left" w:pos="1080"/>
        </w:tabs>
        <w:spacing w:after="120" w:line="240" w:lineRule="auto"/>
        <w:ind w:left="1080" w:hanging="360"/>
      </w:pPr>
      <w:r w:rsidRPr="00025926">
        <w:t>3.</w:t>
      </w:r>
      <w:r w:rsidRPr="00025926">
        <w:tab/>
        <w:t xml:space="preserve">Any violation of the duty to obtain permission before attaching shall be cause for imposition of sanctions as, in the Commissioner’s judgment, are necessary to deter the party from in the future breaching its duty to obtain permission before attaching will be accompanied by findings of </w:t>
      </w:r>
      <w:r w:rsidRPr="00025926">
        <w:lastRenderedPageBreak/>
        <w:t>fact that permit the pole owner to seek further remedies in a civil action.</w:t>
      </w:r>
    </w:p>
    <w:p w:rsidR="0064591C" w:rsidRPr="00025926" w:rsidRDefault="0064591C" w:rsidP="000362F2">
      <w:pPr>
        <w:pStyle w:val="standard"/>
        <w:tabs>
          <w:tab w:val="left" w:pos="1080"/>
        </w:tabs>
        <w:spacing w:after="240" w:line="240" w:lineRule="auto"/>
        <w:ind w:left="1080" w:hanging="360"/>
      </w:pPr>
      <w:r w:rsidRPr="00025926">
        <w:t>4.</w:t>
      </w:r>
      <w:r w:rsidRPr="00025926">
        <w:tab/>
        <w:t>This Section D applies to existing attachments as of the effective date of these rules.</w:t>
      </w:r>
    </w:p>
    <w:p w:rsidR="0064591C" w:rsidRPr="00E55005" w:rsidRDefault="0064591C" w:rsidP="000362F2">
      <w:pPr>
        <w:pStyle w:val="standard"/>
        <w:keepNext/>
        <w:tabs>
          <w:tab w:val="left" w:pos="540"/>
        </w:tabs>
        <w:spacing w:after="120" w:line="240" w:lineRule="auto"/>
        <w:ind w:left="540" w:hanging="540"/>
      </w:pPr>
      <w:r w:rsidRPr="00E55005">
        <w:t>VII.</w:t>
      </w:r>
      <w:r w:rsidRPr="00E55005">
        <w:tab/>
        <w:t>RESERVATIONS OF CAPACITY FOR FUTURE USE</w:t>
      </w:r>
    </w:p>
    <w:p w:rsidR="0064591C" w:rsidRPr="001744C1" w:rsidRDefault="0064591C" w:rsidP="000362F2">
      <w:pPr>
        <w:pStyle w:val="standard"/>
        <w:keepNext/>
        <w:tabs>
          <w:tab w:val="left" w:pos="540"/>
        </w:tabs>
        <w:spacing w:after="120" w:line="240" w:lineRule="auto"/>
        <w:ind w:left="547" w:hanging="547"/>
      </w:pPr>
      <w:r>
        <w:t xml:space="preserve">A. </w:t>
      </w:r>
      <w:r>
        <w:tab/>
      </w:r>
      <w:r w:rsidRPr="00E55005">
        <w:t>No utility shall adopt, enforce or purport to enforce against a</w:t>
      </w:r>
      <w:r w:rsidRPr="001744C1">
        <w:t xml:space="preserve"> telecommunications carrier, </w:t>
      </w:r>
      <w:r w:rsidRPr="003827EC">
        <w:t>CMRS carrier</w:t>
      </w:r>
      <w:r w:rsidRPr="001744C1">
        <w:t xml:space="preserve">, or cable TV company any “hold off,” moratorium, reservation of rights or other policy by which it refuses to make currently unused space or capacity on or in its support structures available to telecommunications carriers, </w:t>
      </w:r>
      <w:r w:rsidRPr="003827EC">
        <w:t>CMRS carriers</w:t>
      </w:r>
      <w:r w:rsidRPr="001744C1">
        <w:t>, or cable TV companies requesting access to such support structures, except as provided for in Part C below.</w:t>
      </w:r>
    </w:p>
    <w:p w:rsidR="0064591C" w:rsidRPr="00F86728" w:rsidRDefault="0064591C" w:rsidP="000362F2">
      <w:pPr>
        <w:pStyle w:val="standard"/>
        <w:keepNext/>
        <w:tabs>
          <w:tab w:val="left" w:pos="540"/>
        </w:tabs>
        <w:spacing w:after="120" w:line="240" w:lineRule="auto"/>
        <w:ind w:left="547" w:hanging="547"/>
      </w:pPr>
      <w:r w:rsidRPr="00F86728">
        <w:t xml:space="preserve">B. </w:t>
      </w:r>
      <w:r w:rsidRPr="00F86728">
        <w:tab/>
        <w:t>All access to a utility’s support structures and rights</w:t>
      </w:r>
      <w:r w:rsidR="002C630B">
        <w:t>-</w:t>
      </w:r>
      <w:r w:rsidRPr="00F86728">
        <w:t>of</w:t>
      </w:r>
      <w:r w:rsidR="002C630B">
        <w:t>-</w:t>
      </w:r>
      <w:r w:rsidRPr="00F86728">
        <w:t>way shall be subject to the requirements of Public Utilities Code § 851 and General Order 69C.  Instead of capacity reclamation, our preferred outcome is for the expansion of existing support structures to accommodate the need for additional attachments.</w:t>
      </w:r>
    </w:p>
    <w:p w:rsidR="0064591C" w:rsidRPr="002E09BB" w:rsidRDefault="0064591C" w:rsidP="000362F2">
      <w:pPr>
        <w:pStyle w:val="standard"/>
        <w:keepNext/>
        <w:tabs>
          <w:tab w:val="left" w:pos="540"/>
        </w:tabs>
        <w:spacing w:after="120" w:line="240" w:lineRule="auto"/>
        <w:ind w:left="547" w:hanging="547"/>
      </w:pPr>
      <w:r w:rsidRPr="002E09BB">
        <w:t xml:space="preserve">C. </w:t>
      </w:r>
      <w:r w:rsidRPr="002E09BB">
        <w:tab/>
        <w:t>Notwithstanding the provisions of Paragraphs VII.A and VII.B, an electric utility may reserve space for up to 12 months on its support structures required to serve core utility customers where it demonstrates that:  (i)</w:t>
      </w:r>
      <w:r>
        <w:t> </w:t>
      </w:r>
      <w:r w:rsidRPr="002E09BB">
        <w:t>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w:t>
      </w:r>
      <w:r w:rsidR="0060156A">
        <w:t> </w:t>
      </w:r>
      <w:r w:rsidRPr="002E09BB">
        <w:t xml:space="preserve">there is no available technological means of increasing the capacity of the support structure for additional attachments, and (iv) it has attempted to negotiate a cooperative solution to the capacity problem in good faith with </w:t>
      </w:r>
      <w:r w:rsidRPr="00E55005">
        <w:t>the</w:t>
      </w:r>
      <w:r w:rsidRPr="002E09BB">
        <w:t xml:space="preserve"> party seeking the attachment.  An ILEC may earmark space for imminent use where construction is planned to begin within nine months of a request for access.  A CL</w:t>
      </w:r>
      <w:r w:rsidR="00397AFC">
        <w:t>E</w:t>
      </w:r>
      <w:r w:rsidRPr="002E09BB">
        <w:t xml:space="preserve">C, </w:t>
      </w:r>
      <w:r w:rsidRPr="003827EC">
        <w:t>CMRS carrier</w:t>
      </w:r>
      <w:r w:rsidRPr="002E09BB">
        <w:t>, or cable TV company must likewise use space within nine months of the date when a request for access is granted, or else will become subject to reversion of its access.</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0" w:hanging="540"/>
      </w:pPr>
      <w:r>
        <w:lastRenderedPageBreak/>
        <w:t xml:space="preserve">VIII. </w:t>
      </w:r>
      <w:r>
        <w:tab/>
      </w:r>
      <w:r w:rsidRPr="00E55005">
        <w:t>MODIFICATIONS OF EXISTING SUPPORT STRUCTURES</w:t>
      </w:r>
    </w:p>
    <w:p w:rsidR="0064591C" w:rsidRPr="00E55005" w:rsidRDefault="0064591C" w:rsidP="000362F2">
      <w:pPr>
        <w:pStyle w:val="standard"/>
        <w:keepNext/>
        <w:tabs>
          <w:tab w:val="left" w:pos="540"/>
        </w:tabs>
        <w:spacing w:after="120" w:line="240" w:lineRule="auto"/>
        <w:ind w:left="547" w:hanging="547"/>
      </w:pPr>
      <w:r>
        <w:t xml:space="preserve">A. </w:t>
      </w:r>
      <w:r>
        <w:tab/>
      </w:r>
      <w:r w:rsidRPr="00E55005">
        <w:t>NOTIFICATION TO PARTIES ON OR IN SUPPORT STRUCTURES</w:t>
      </w:r>
    </w:p>
    <w:p w:rsidR="0064591C" w:rsidRPr="00E55005" w:rsidRDefault="0064591C" w:rsidP="001F5826">
      <w:pPr>
        <w:pStyle w:val="standard"/>
        <w:tabs>
          <w:tab w:val="left" w:pos="1080"/>
        </w:tabs>
        <w:spacing w:line="240" w:lineRule="auto"/>
        <w:ind w:left="1080" w:hanging="360"/>
      </w:pPr>
      <w:r>
        <w:t xml:space="preserve">1. </w:t>
      </w:r>
      <w:r>
        <w:tab/>
      </w:r>
      <w:r w:rsidRPr="00E55005">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7" w:hanging="547"/>
      </w:pPr>
      <w:r>
        <w:t xml:space="preserve">B. </w:t>
      </w:r>
      <w:r>
        <w:tab/>
      </w:r>
      <w:r w:rsidRPr="00E55005">
        <w:t>NOTIFICATION GENERALLY</w:t>
      </w:r>
    </w:p>
    <w:p w:rsidR="0064591C" w:rsidRPr="00E55005" w:rsidRDefault="0064591C" w:rsidP="000362F2">
      <w:pPr>
        <w:pStyle w:val="standard"/>
        <w:tabs>
          <w:tab w:val="left" w:pos="1080"/>
        </w:tabs>
        <w:spacing w:line="240" w:lineRule="auto"/>
        <w:ind w:left="1080" w:hanging="360"/>
      </w:pPr>
      <w:r>
        <w:t xml:space="preserve">1. </w:t>
      </w:r>
      <w:r>
        <w:tab/>
      </w:r>
      <w:r w:rsidRPr="00E55005">
        <w:t>Utilities and telecommunications carriers shall cooperate to develop a means by which notice of planned modifications to utility support structures may be published in a centralized, uniformly accessible location (e.g., a “web page” on the Internet).</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7" w:hanging="547"/>
      </w:pPr>
      <w:r>
        <w:t xml:space="preserve">A. </w:t>
      </w:r>
      <w:r>
        <w:tab/>
      </w:r>
      <w:r w:rsidRPr="00E55005">
        <w:t>SHARING THE COST OF MODIFICATIONS</w:t>
      </w:r>
    </w:p>
    <w:p w:rsidR="0064591C" w:rsidRPr="004402F3" w:rsidRDefault="0064591C" w:rsidP="000362F2">
      <w:pPr>
        <w:pStyle w:val="standard"/>
        <w:tabs>
          <w:tab w:val="left" w:pos="1080"/>
        </w:tabs>
        <w:spacing w:after="120" w:line="240" w:lineRule="auto"/>
        <w:ind w:left="1080" w:hanging="360"/>
      </w:pPr>
      <w:r>
        <w:t xml:space="preserve">1. </w:t>
      </w:r>
      <w:r>
        <w:tab/>
      </w:r>
      <w:r w:rsidRPr="004402F3">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64591C" w:rsidRPr="00E35516" w:rsidRDefault="0064591C" w:rsidP="0064591C">
      <w:pPr>
        <w:pStyle w:val="standard"/>
        <w:spacing w:line="240" w:lineRule="auto"/>
      </w:pPr>
    </w:p>
    <w:p w:rsidR="0064591C" w:rsidRPr="0045598C" w:rsidRDefault="0064591C" w:rsidP="000362F2">
      <w:pPr>
        <w:pStyle w:val="standard"/>
        <w:keepNext/>
        <w:tabs>
          <w:tab w:val="left" w:pos="540"/>
        </w:tabs>
        <w:spacing w:after="120" w:line="240" w:lineRule="auto"/>
        <w:ind w:left="540" w:hanging="540"/>
      </w:pPr>
      <w:r>
        <w:lastRenderedPageBreak/>
        <w:t xml:space="preserve">IX. </w:t>
      </w:r>
      <w:r>
        <w:tab/>
      </w:r>
      <w:r w:rsidRPr="0045598C">
        <w:t>EXPEDITED DISPUTE RESOLUTION PROCEDURES</w:t>
      </w:r>
    </w:p>
    <w:p w:rsidR="0064591C" w:rsidRPr="0045598C" w:rsidRDefault="0064591C" w:rsidP="000362F2">
      <w:pPr>
        <w:pStyle w:val="standard"/>
        <w:keepNext/>
        <w:tabs>
          <w:tab w:val="left" w:pos="540"/>
        </w:tabs>
        <w:spacing w:after="120" w:line="240" w:lineRule="auto"/>
        <w:ind w:left="547" w:hanging="547"/>
      </w:pPr>
      <w:r>
        <w:t xml:space="preserve">A. </w:t>
      </w:r>
      <w:r>
        <w:tab/>
      </w:r>
      <w:r w:rsidRPr="0045598C">
        <w:t>Parties to a dispute involving access to utility rights</w:t>
      </w:r>
      <w:r w:rsidR="002C630B">
        <w:t>-</w:t>
      </w:r>
      <w:r w:rsidRPr="0045598C">
        <w:t>of</w:t>
      </w:r>
      <w:r w:rsidR="002C630B">
        <w:t>-</w:t>
      </w:r>
      <w:r w:rsidRPr="0045598C">
        <w:t>way and support structures may invoke the Commission’s dispute resolution procedures, but must first attempt in good faith to resolve the dispute.  Disputes involving initial access to utility rights</w:t>
      </w:r>
      <w:r w:rsidR="002C630B">
        <w:t>-</w:t>
      </w:r>
      <w:r w:rsidRPr="0045598C">
        <w:t>of</w:t>
      </w:r>
      <w:r w:rsidR="002C630B">
        <w:t>-</w:t>
      </w:r>
      <w:r w:rsidRPr="0045598C">
        <w:t>way and support structures shall be heard and resolved through the following expedited dispute resolution procedure.</w:t>
      </w:r>
    </w:p>
    <w:p w:rsidR="0064591C" w:rsidRPr="00160730" w:rsidRDefault="0064591C" w:rsidP="000362F2">
      <w:pPr>
        <w:pStyle w:val="standard"/>
        <w:tabs>
          <w:tab w:val="left" w:pos="1080"/>
        </w:tabs>
        <w:spacing w:after="120" w:line="240" w:lineRule="auto"/>
        <w:ind w:left="1080" w:hanging="360"/>
      </w:pPr>
      <w:r>
        <w:t xml:space="preserve">1. </w:t>
      </w:r>
      <w:r>
        <w:tab/>
      </w:r>
      <w:r w:rsidRPr="00160730">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64591C" w:rsidRPr="00F203D1" w:rsidRDefault="0064591C" w:rsidP="002D404F">
      <w:pPr>
        <w:pStyle w:val="standard"/>
        <w:tabs>
          <w:tab w:val="left" w:pos="1080"/>
        </w:tabs>
        <w:spacing w:after="80" w:line="240" w:lineRule="auto"/>
        <w:ind w:left="1080" w:hanging="360"/>
      </w:pPr>
      <w:r w:rsidRPr="00E94428">
        <w:t xml:space="preserve">2. </w:t>
      </w:r>
      <w:r w:rsidRPr="00E94428">
        <w:tab/>
      </w:r>
      <w:r w:rsidRPr="002D404F">
        <w:rPr>
          <w:b/>
        </w:rPr>
        <w:t>Content</w:t>
      </w:r>
      <w:r w:rsidR="002D404F">
        <w:t xml:space="preserve">.  </w:t>
      </w:r>
      <w:r w:rsidRPr="00F203D1">
        <w:t>A request for arbitration must contain:</w:t>
      </w:r>
    </w:p>
    <w:p w:rsidR="0064591C" w:rsidRPr="002420D5" w:rsidRDefault="0064591C" w:rsidP="005E3A2D">
      <w:pPr>
        <w:pStyle w:val="standard"/>
        <w:tabs>
          <w:tab w:val="left" w:pos="1530"/>
        </w:tabs>
        <w:spacing w:after="120" w:line="240" w:lineRule="auto"/>
        <w:ind w:left="1530" w:hanging="360"/>
      </w:pPr>
      <w:r>
        <w:t xml:space="preserve">a. </w:t>
      </w:r>
      <w:r>
        <w:tab/>
      </w:r>
      <w:r w:rsidRPr="002420D5">
        <w:t>A statement of all unresolved issues.</w:t>
      </w:r>
    </w:p>
    <w:p w:rsidR="0064591C" w:rsidRPr="002420D5" w:rsidRDefault="0064591C" w:rsidP="005E3A2D">
      <w:pPr>
        <w:pStyle w:val="standard"/>
        <w:tabs>
          <w:tab w:val="left" w:pos="1530"/>
        </w:tabs>
        <w:spacing w:after="120" w:line="240" w:lineRule="auto"/>
        <w:ind w:left="1530" w:hanging="360"/>
      </w:pPr>
      <w:r>
        <w:t xml:space="preserve">b. </w:t>
      </w:r>
      <w:r>
        <w:tab/>
      </w:r>
      <w:r w:rsidRPr="002420D5">
        <w:t>A description of each party’s position on the unresolved issues.</w:t>
      </w:r>
    </w:p>
    <w:p w:rsidR="0064591C" w:rsidRPr="002420D5" w:rsidRDefault="0064591C" w:rsidP="005E3A2D">
      <w:pPr>
        <w:pStyle w:val="standard"/>
        <w:tabs>
          <w:tab w:val="left" w:pos="1530"/>
        </w:tabs>
        <w:spacing w:after="120" w:line="240" w:lineRule="auto"/>
        <w:ind w:left="1530" w:hanging="360"/>
      </w:pPr>
      <w:r>
        <w:t xml:space="preserve">c. </w:t>
      </w:r>
      <w:r>
        <w:tab/>
      </w:r>
      <w:r w:rsidRPr="002420D5">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64591C" w:rsidRPr="002420D5" w:rsidRDefault="0064591C" w:rsidP="005E3A2D">
      <w:pPr>
        <w:pStyle w:val="standard"/>
        <w:tabs>
          <w:tab w:val="left" w:pos="1530"/>
        </w:tabs>
        <w:spacing w:after="120" w:line="240" w:lineRule="auto"/>
        <w:ind w:left="1530" w:hanging="360"/>
      </w:pPr>
      <w:r>
        <w:t xml:space="preserve">d. </w:t>
      </w:r>
      <w:r>
        <w:tab/>
      </w:r>
      <w:r w:rsidRPr="002420D5">
        <w:t>Direct testimony supporting the requester’s position on factual predicates underlying disputed issues.</w:t>
      </w:r>
    </w:p>
    <w:p w:rsidR="0064591C" w:rsidRPr="001744C1" w:rsidRDefault="0064591C" w:rsidP="005E3A2D">
      <w:pPr>
        <w:pStyle w:val="standard"/>
        <w:tabs>
          <w:tab w:val="left" w:pos="1530"/>
        </w:tabs>
        <w:spacing w:after="240" w:line="240" w:lineRule="auto"/>
        <w:ind w:left="1530" w:hanging="360"/>
      </w:pPr>
      <w:r>
        <w:t xml:space="preserve">e. </w:t>
      </w:r>
      <w:r>
        <w:tab/>
      </w:r>
      <w:r w:rsidRPr="002420D5">
        <w:t>Documentation</w:t>
      </w:r>
      <w:r w:rsidRPr="001744C1">
        <w:t xml:space="preserve"> that the request complies with the time requirements in the preceding rule.</w:t>
      </w:r>
    </w:p>
    <w:p w:rsidR="0064591C" w:rsidRPr="00D717F9" w:rsidRDefault="0064591C" w:rsidP="002E0804">
      <w:pPr>
        <w:pStyle w:val="standard"/>
        <w:tabs>
          <w:tab w:val="left" w:pos="1080"/>
        </w:tabs>
        <w:spacing w:after="80" w:line="240" w:lineRule="auto"/>
        <w:ind w:left="1080" w:hanging="360"/>
      </w:pPr>
      <w:r w:rsidRPr="00D717F9">
        <w:t xml:space="preserve">3. </w:t>
      </w:r>
      <w:r w:rsidRPr="00D717F9">
        <w:tab/>
      </w:r>
      <w:r w:rsidRPr="0045598C">
        <w:rPr>
          <w:b/>
        </w:rPr>
        <w:t>Appointment</w:t>
      </w:r>
      <w:r w:rsidRPr="00D717F9">
        <w:rPr>
          <w:b/>
        </w:rPr>
        <w:t xml:space="preserve"> of Arbitrator</w:t>
      </w:r>
      <w:r w:rsidR="002E0804">
        <w:rPr>
          <w:b/>
        </w:rPr>
        <w:t xml:space="preserve">.  </w:t>
      </w:r>
      <w:r w:rsidRPr="00D717F9">
        <w:t>Upon receipt of a request for arbitration, the Commission’s President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0064591C" w:rsidRPr="00D717F9" w:rsidRDefault="0064591C" w:rsidP="002E0804">
      <w:pPr>
        <w:pStyle w:val="standard"/>
        <w:tabs>
          <w:tab w:val="left" w:pos="1080"/>
        </w:tabs>
        <w:spacing w:after="80" w:line="240" w:lineRule="auto"/>
        <w:ind w:left="1080" w:hanging="360"/>
      </w:pPr>
      <w:r w:rsidRPr="00D717F9">
        <w:lastRenderedPageBreak/>
        <w:t xml:space="preserve">4. </w:t>
      </w:r>
      <w:r w:rsidRPr="00D717F9">
        <w:tab/>
      </w:r>
      <w:r w:rsidRPr="00D717F9">
        <w:rPr>
          <w:b/>
        </w:rPr>
        <w:t>Discovery</w:t>
      </w:r>
      <w:r w:rsidR="002E0804">
        <w:rPr>
          <w:b/>
        </w:rPr>
        <w:t xml:space="preserve">.  </w:t>
      </w:r>
      <w:r w:rsidRPr="00D717F9">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64591C" w:rsidRPr="00D717F9" w:rsidRDefault="0064591C" w:rsidP="002E0804">
      <w:pPr>
        <w:pStyle w:val="standard"/>
        <w:tabs>
          <w:tab w:val="left" w:pos="1080"/>
        </w:tabs>
        <w:spacing w:after="80" w:line="240" w:lineRule="auto"/>
        <w:ind w:left="1080" w:hanging="360"/>
      </w:pPr>
      <w:r w:rsidRPr="00D717F9">
        <w:t xml:space="preserve">5. </w:t>
      </w:r>
      <w:r w:rsidRPr="00D717F9">
        <w:tab/>
      </w:r>
      <w:r w:rsidRPr="00D717F9">
        <w:rPr>
          <w:b/>
        </w:rPr>
        <w:t>Opportunity to Respond</w:t>
      </w:r>
      <w:r w:rsidR="002E0804">
        <w:rPr>
          <w:b/>
        </w:rPr>
        <w:t xml:space="preserve">.  </w:t>
      </w:r>
      <w:r w:rsidRPr="00D717F9">
        <w:t>Pursuant to Subsection 252(b)(3), any party to a negotiation which did not make the request for arbitration (“respondent”) may file a response with the Commission within 15 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64591C" w:rsidRPr="00D717F9" w:rsidRDefault="0064591C" w:rsidP="002E0804">
      <w:pPr>
        <w:pStyle w:val="standard"/>
        <w:tabs>
          <w:tab w:val="left" w:pos="1080"/>
        </w:tabs>
        <w:spacing w:after="80" w:line="240" w:lineRule="auto"/>
        <w:ind w:left="1080" w:hanging="360"/>
      </w:pPr>
      <w:r w:rsidRPr="00D717F9">
        <w:t xml:space="preserve">6. </w:t>
      </w:r>
      <w:r w:rsidRPr="00D717F9">
        <w:tab/>
      </w:r>
      <w:r w:rsidRPr="00D717F9">
        <w:rPr>
          <w:b/>
        </w:rPr>
        <w:t>Revised Statement of Unresolved Issues</w:t>
      </w:r>
      <w:r w:rsidR="002E0804">
        <w:rPr>
          <w:b/>
        </w:rPr>
        <w:t xml:space="preserve">.  </w:t>
      </w:r>
      <w:r w:rsidRPr="00D717F9">
        <w:t>Within 3 days of receiving the response, the applicant and respondent shall jointly file a revised statement of 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0064591C" w:rsidRPr="00C86CCB" w:rsidRDefault="0064591C" w:rsidP="002E0804">
      <w:pPr>
        <w:pStyle w:val="standard"/>
        <w:tabs>
          <w:tab w:val="left" w:pos="1080"/>
        </w:tabs>
        <w:spacing w:after="80" w:line="240" w:lineRule="auto"/>
        <w:ind w:left="1080" w:hanging="360"/>
      </w:pPr>
      <w:r w:rsidRPr="00C86CCB">
        <w:t xml:space="preserve">7. </w:t>
      </w:r>
      <w:r w:rsidRPr="00C86CCB">
        <w:tab/>
      </w:r>
      <w:r w:rsidRPr="00C86CCB">
        <w:rPr>
          <w:b/>
        </w:rPr>
        <w:t>Initial Arbitration Meeting</w:t>
      </w:r>
      <w:r w:rsidR="002E0804">
        <w:rPr>
          <w:b/>
        </w:rPr>
        <w:t xml:space="preserve">.  </w:t>
      </w:r>
      <w:r w:rsidRPr="00C86CCB">
        <w:t>An Arbitrator may call an initial meeting for purposes such as setting a schedule, simplifying issues, or resolving the scope and timing of discovery.</w:t>
      </w:r>
    </w:p>
    <w:p w:rsidR="0064591C" w:rsidRPr="00C86CCB" w:rsidRDefault="0064591C" w:rsidP="002E0804">
      <w:pPr>
        <w:pStyle w:val="standard"/>
        <w:tabs>
          <w:tab w:val="left" w:pos="1080"/>
        </w:tabs>
        <w:spacing w:after="80" w:line="240" w:lineRule="auto"/>
        <w:ind w:left="1080" w:hanging="360"/>
      </w:pPr>
      <w:r w:rsidRPr="00C86CCB">
        <w:t xml:space="preserve">8. </w:t>
      </w:r>
      <w:r w:rsidRPr="00C86CCB">
        <w:tab/>
      </w:r>
      <w:r w:rsidRPr="00C86CCB">
        <w:rPr>
          <w:b/>
        </w:rPr>
        <w:t>Arbitration Conference and Hearing</w:t>
      </w:r>
      <w:r w:rsidR="002E0804">
        <w:rPr>
          <w:b/>
        </w:rPr>
        <w:t xml:space="preserve">.  </w:t>
      </w:r>
      <w:r w:rsidRPr="00C86CCB">
        <w:t xml:space="preserve">Within 7 days after the filing of a response to the request for arbitration, the arbitration conference and </w:t>
      </w:r>
      <w:r w:rsidRPr="00C86CCB">
        <w:lastRenderedPageBreak/>
        <w:t>hearing shall begin.  The conduct of the conference and hearing shall be noticed on the Commission calendar and notice shall be provided to all parties on the service list.</w:t>
      </w:r>
    </w:p>
    <w:p w:rsidR="0064591C" w:rsidRPr="003B6736" w:rsidRDefault="0064591C" w:rsidP="002E0804">
      <w:pPr>
        <w:pStyle w:val="standard"/>
        <w:tabs>
          <w:tab w:val="left" w:pos="1080"/>
        </w:tabs>
        <w:spacing w:after="80" w:line="240" w:lineRule="auto"/>
        <w:ind w:left="1080" w:hanging="360"/>
      </w:pPr>
      <w:r>
        <w:rPr>
          <w:b/>
        </w:rPr>
        <w:t xml:space="preserve">9. </w:t>
      </w:r>
      <w:r>
        <w:rPr>
          <w:b/>
        </w:rPr>
        <w:tab/>
      </w:r>
      <w:r w:rsidRPr="003B6736">
        <w:rPr>
          <w:b/>
        </w:rPr>
        <w:t>Limitation of Issues</w:t>
      </w:r>
      <w:r w:rsidR="002E0804">
        <w:rPr>
          <w:b/>
        </w:rPr>
        <w:t xml:space="preserve">.  </w:t>
      </w:r>
      <w:r w:rsidRPr="003B6736">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64591C" w:rsidRPr="003B6736" w:rsidRDefault="0064591C" w:rsidP="002E0804">
      <w:pPr>
        <w:pStyle w:val="standard"/>
        <w:tabs>
          <w:tab w:val="left" w:pos="1260"/>
        </w:tabs>
        <w:spacing w:after="80" w:line="240" w:lineRule="auto"/>
        <w:ind w:left="1267" w:hanging="547"/>
      </w:pPr>
      <w:r w:rsidRPr="003B6736">
        <w:t xml:space="preserve">10. </w:t>
      </w:r>
      <w:r w:rsidRPr="003B6736">
        <w:tab/>
      </w:r>
      <w:r w:rsidRPr="003B6736">
        <w:rPr>
          <w:b/>
        </w:rPr>
        <w:t>Arbitrator’s Reliance on Experts</w:t>
      </w:r>
      <w:r w:rsidR="002E0804">
        <w:rPr>
          <w:b/>
        </w:rPr>
        <w:t xml:space="preserve">.  </w:t>
      </w:r>
      <w:r w:rsidRPr="003B6736">
        <w:t>The Arbitrator may rely on experts retained by, or on the Staff of the Commission.  Such expert(s) may assist the Arbitrator throughout the arbitration process.</w:t>
      </w:r>
    </w:p>
    <w:p w:rsidR="0064591C" w:rsidRPr="00A54EB6" w:rsidRDefault="0064591C" w:rsidP="002E0804">
      <w:pPr>
        <w:pStyle w:val="standard"/>
        <w:tabs>
          <w:tab w:val="left" w:pos="1260"/>
        </w:tabs>
        <w:spacing w:after="80" w:line="240" w:lineRule="auto"/>
        <w:ind w:left="1267" w:hanging="547"/>
      </w:pPr>
      <w:r w:rsidRPr="003B6736">
        <w:t xml:space="preserve">11. </w:t>
      </w:r>
      <w:r w:rsidRPr="003B6736">
        <w:tab/>
      </w:r>
      <w:r w:rsidRPr="003B6736">
        <w:rPr>
          <w:b/>
        </w:rPr>
        <w:t>Close of Arbitration</w:t>
      </w:r>
      <w:r w:rsidR="002E0804">
        <w:rPr>
          <w:b/>
        </w:rPr>
        <w:t xml:space="preserve">.  </w:t>
      </w:r>
      <w:r w:rsidRPr="00A54EB6">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64591C" w:rsidRPr="00A54EB6" w:rsidRDefault="0064591C" w:rsidP="002E0804">
      <w:pPr>
        <w:pStyle w:val="standard"/>
        <w:tabs>
          <w:tab w:val="left" w:pos="1260"/>
        </w:tabs>
        <w:spacing w:after="80" w:line="240" w:lineRule="auto"/>
        <w:ind w:left="1267" w:hanging="547"/>
      </w:pPr>
      <w:r w:rsidRPr="00A54EB6">
        <w:t xml:space="preserve">12. </w:t>
      </w:r>
      <w:r w:rsidRPr="00A54EB6">
        <w:tab/>
      </w:r>
      <w:r w:rsidRPr="00A54EB6">
        <w:rPr>
          <w:b/>
        </w:rPr>
        <w:t>Expedited Stenographic Record</w:t>
      </w:r>
      <w:r w:rsidR="002E0804">
        <w:rPr>
          <w:b/>
        </w:rPr>
        <w:t xml:space="preserve">.  </w:t>
      </w:r>
      <w:r w:rsidRPr="00A54EB6">
        <w:t>An expedited stenographic record of each evidentiary hearing shall be made.  The cost of preparation of the expedited transcript shall be borne in equal shares by the parties.</w:t>
      </w:r>
    </w:p>
    <w:p w:rsidR="0064591C" w:rsidRPr="00A54EB6" w:rsidRDefault="0064591C" w:rsidP="002E0804">
      <w:pPr>
        <w:pStyle w:val="standard"/>
        <w:tabs>
          <w:tab w:val="left" w:pos="1260"/>
        </w:tabs>
        <w:spacing w:after="80" w:line="240" w:lineRule="auto"/>
        <w:ind w:left="1267" w:hanging="547"/>
      </w:pPr>
      <w:r w:rsidRPr="00A54EB6">
        <w:t xml:space="preserve">13. </w:t>
      </w:r>
      <w:r w:rsidRPr="00A54EB6">
        <w:tab/>
      </w:r>
      <w:r w:rsidRPr="00A54EB6">
        <w:rPr>
          <w:b/>
        </w:rPr>
        <w:t>Authority of the Arbitrator</w:t>
      </w:r>
      <w:r w:rsidR="002E0804">
        <w:rPr>
          <w:b/>
        </w:rPr>
        <w:t xml:space="preserve">.  </w:t>
      </w:r>
      <w:r w:rsidRPr="00A54EB6">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64591C" w:rsidRPr="00A54EB6" w:rsidRDefault="0064591C" w:rsidP="002E0804">
      <w:pPr>
        <w:pStyle w:val="standard"/>
        <w:spacing w:after="160" w:line="240" w:lineRule="auto"/>
        <w:ind w:left="1260" w:firstLine="0"/>
      </w:pPr>
      <w:r w:rsidRPr="00A54EB6">
        <w:rPr>
          <w:b/>
        </w:rPr>
        <w:t>Participation Open to the Public Participation</w:t>
      </w:r>
      <w:r w:rsidRPr="00A54EB6">
        <w:t xml:space="preserve"> in the arbitration conferences and hearings is strictly limited to the parties negotiating a ROW agreement pursuant to the terms of these adopted rules.</w:t>
      </w:r>
    </w:p>
    <w:p w:rsidR="0064591C" w:rsidRPr="00FD5139" w:rsidRDefault="0064591C" w:rsidP="001B4BB6">
      <w:pPr>
        <w:pStyle w:val="standard"/>
        <w:tabs>
          <w:tab w:val="left" w:pos="1260"/>
        </w:tabs>
        <w:spacing w:after="80" w:line="240" w:lineRule="auto"/>
        <w:ind w:left="1267" w:hanging="547"/>
      </w:pPr>
      <w:r w:rsidRPr="00FD5139">
        <w:t xml:space="preserve">14. </w:t>
      </w:r>
      <w:r w:rsidRPr="00FD5139">
        <w:tab/>
      </w:r>
      <w:r w:rsidRPr="00FD5139">
        <w:rPr>
          <w:b/>
        </w:rPr>
        <w:t>Arbitration Open to the Public</w:t>
      </w:r>
      <w:r w:rsidR="002E0804">
        <w:rPr>
          <w:b/>
        </w:rPr>
        <w:t xml:space="preserve">.  </w:t>
      </w:r>
      <w:r w:rsidRPr="00FD5139">
        <w:t xml:space="preserve">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w:t>
      </w:r>
      <w:r w:rsidRPr="00FD5139">
        <w:lastRenderedPageBreak/>
        <w:t>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64591C" w:rsidRPr="00FD5139" w:rsidRDefault="0064591C" w:rsidP="001B4BB6">
      <w:pPr>
        <w:pStyle w:val="standard"/>
        <w:tabs>
          <w:tab w:val="left" w:pos="1260"/>
        </w:tabs>
        <w:spacing w:after="80" w:line="240" w:lineRule="auto"/>
        <w:ind w:left="1267" w:hanging="547"/>
      </w:pPr>
      <w:r w:rsidRPr="00FD5139">
        <w:t xml:space="preserve">15. </w:t>
      </w:r>
      <w:r w:rsidRPr="00FD5139">
        <w:tab/>
      </w:r>
      <w:r w:rsidRPr="00FD5139">
        <w:rPr>
          <w:b/>
        </w:rPr>
        <w:t>Filing of Draft Arbitrator’s Report</w:t>
      </w:r>
      <w:r w:rsidR="001B4BB6">
        <w:rPr>
          <w:b/>
        </w:rPr>
        <w:t xml:space="preserve">.  </w:t>
      </w:r>
      <w:r w:rsidRPr="00FD5139">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64591C" w:rsidRPr="001F16C6" w:rsidRDefault="0064591C" w:rsidP="00C154A5">
      <w:pPr>
        <w:pStyle w:val="standard"/>
        <w:tabs>
          <w:tab w:val="left" w:pos="1260"/>
        </w:tabs>
        <w:spacing w:after="80" w:line="240" w:lineRule="auto"/>
        <w:ind w:left="1267" w:hanging="547"/>
      </w:pPr>
      <w:r w:rsidRPr="00FD5139">
        <w:t xml:space="preserve">16. </w:t>
      </w:r>
      <w:r w:rsidRPr="00FD5139">
        <w:tab/>
      </w:r>
      <w:r w:rsidRPr="00FD5139">
        <w:rPr>
          <w:b/>
        </w:rPr>
        <w:t>Filing of Post-Hearing Briefs and Comments on the Draft Arbitrator’s Report</w:t>
      </w:r>
      <w:r w:rsidR="001B4BB6">
        <w:rPr>
          <w:b/>
        </w:rPr>
        <w:t xml:space="preserve">.  </w:t>
      </w:r>
      <w:r w:rsidRPr="001F16C6">
        <w:t>Each party to the arbitration may file a post-hearing brief within 7</w:t>
      </w:r>
      <w:r>
        <w:t> </w:t>
      </w:r>
      <w:r w:rsidRPr="001F16C6">
        <w:t>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w:t>
      </w:r>
      <w:r w:rsidR="001B4BB6">
        <w:t> </w:t>
      </w:r>
      <w:r w:rsidRPr="001F16C6">
        <w:t>pages.</w:t>
      </w:r>
    </w:p>
    <w:p w:rsidR="0064591C" w:rsidRPr="001F16C6" w:rsidRDefault="0064591C" w:rsidP="00C154A5">
      <w:pPr>
        <w:pStyle w:val="standard"/>
        <w:tabs>
          <w:tab w:val="left" w:pos="1260"/>
        </w:tabs>
        <w:spacing w:after="80" w:line="240" w:lineRule="auto"/>
        <w:ind w:left="1267" w:hanging="547"/>
      </w:pPr>
      <w:r w:rsidRPr="001F16C6">
        <w:t xml:space="preserve">17. </w:t>
      </w:r>
      <w:r w:rsidRPr="001F16C6">
        <w:tab/>
      </w:r>
      <w:r w:rsidRPr="001F16C6">
        <w:rPr>
          <w:b/>
        </w:rPr>
        <w:t>Filing of the Final Arbitrator’s Report</w:t>
      </w:r>
      <w:r w:rsidR="001B4BB6">
        <w:rPr>
          <w:b/>
        </w:rPr>
        <w:t xml:space="preserve">.  </w:t>
      </w:r>
      <w:r w:rsidRPr="001F16C6">
        <w:t>The arbitrator shall file the Final Arbitrator’s Report no later than 15</w:t>
      </w:r>
      <w:r>
        <w:t> </w:t>
      </w:r>
      <w:r w:rsidRPr="001F16C6">
        <w:t>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64591C" w:rsidRPr="001F16C6" w:rsidRDefault="0064591C" w:rsidP="00C154A5">
      <w:pPr>
        <w:pStyle w:val="standard"/>
        <w:tabs>
          <w:tab w:val="left" w:pos="1260"/>
        </w:tabs>
        <w:spacing w:after="80" w:line="240" w:lineRule="auto"/>
        <w:ind w:left="1267" w:hanging="547"/>
      </w:pPr>
      <w:r w:rsidRPr="001F16C6">
        <w:t xml:space="preserve">18. </w:t>
      </w:r>
      <w:r w:rsidRPr="001F16C6">
        <w:tab/>
      </w:r>
      <w:r w:rsidRPr="001F16C6">
        <w:rPr>
          <w:b/>
        </w:rPr>
        <w:t>Filing of Arbitrated Agreement</w:t>
      </w:r>
      <w:r w:rsidR="001B4BB6">
        <w:rPr>
          <w:b/>
        </w:rPr>
        <w:t xml:space="preserve">.  </w:t>
      </w:r>
      <w:r w:rsidRPr="001F16C6">
        <w:t>Within 7 days of the filing of the Final Arbitrator’s Report, the parties shall file the entire agreement for approval.</w:t>
      </w:r>
    </w:p>
    <w:p w:rsidR="0064591C" w:rsidRPr="0047474E" w:rsidRDefault="0064591C" w:rsidP="00C154A5">
      <w:pPr>
        <w:pStyle w:val="standard"/>
        <w:tabs>
          <w:tab w:val="left" w:pos="1260"/>
        </w:tabs>
        <w:spacing w:after="80" w:line="240" w:lineRule="auto"/>
        <w:ind w:left="1267" w:hanging="547"/>
      </w:pPr>
      <w:r w:rsidRPr="001F16C6">
        <w:lastRenderedPageBreak/>
        <w:t xml:space="preserve">19. </w:t>
      </w:r>
      <w:r w:rsidRPr="001F16C6">
        <w:tab/>
      </w:r>
      <w:r w:rsidRPr="001F16C6">
        <w:rPr>
          <w:b/>
        </w:rPr>
        <w:t>Commission Review of Arbitrated Agreement</w:t>
      </w:r>
      <w:r w:rsidR="001B4BB6">
        <w:rPr>
          <w:b/>
        </w:rPr>
        <w:t xml:space="preserve">.  </w:t>
      </w:r>
      <w:r w:rsidRPr="0047474E">
        <w:t>Within 30 days following filing of the arbitrated agreement, the Commission shall issue a decision approving or rejecting the arbitrated agreement (including those parts arrived at through negotiations) pursuant to Subsection 252(e) and all its subparts.</w:t>
      </w:r>
    </w:p>
    <w:p w:rsidR="0064591C" w:rsidRPr="0047474E" w:rsidRDefault="0064591C" w:rsidP="00C154A5">
      <w:pPr>
        <w:pStyle w:val="standard"/>
        <w:tabs>
          <w:tab w:val="left" w:pos="1260"/>
        </w:tabs>
        <w:spacing w:after="80" w:line="240" w:lineRule="auto"/>
        <w:ind w:left="1267" w:hanging="547"/>
      </w:pPr>
      <w:r w:rsidRPr="0047474E">
        <w:t>20.</w:t>
      </w:r>
      <w:r>
        <w:rPr>
          <w:b/>
        </w:rPr>
        <w:t xml:space="preserve"> </w:t>
      </w:r>
      <w:r>
        <w:rPr>
          <w:b/>
        </w:rPr>
        <w:tab/>
      </w:r>
      <w:r w:rsidRPr="0047474E">
        <w:rPr>
          <w:b/>
        </w:rPr>
        <w:t>Standards for Review</w:t>
      </w:r>
      <w:r w:rsidR="001B4BB6">
        <w:rPr>
          <w:b/>
        </w:rPr>
        <w:t xml:space="preserve">.  </w:t>
      </w:r>
      <w:r w:rsidRPr="0047474E">
        <w:t>The Commission may reject arbitrated agreements or portions thereof that do not meet the requirements of the Commission, including, but not limited to, quality of service standards adopted by the Commission.</w:t>
      </w:r>
    </w:p>
    <w:p w:rsidR="0064591C" w:rsidRPr="0047474E" w:rsidRDefault="0064591C" w:rsidP="00C154A5">
      <w:pPr>
        <w:pStyle w:val="standard"/>
        <w:tabs>
          <w:tab w:val="left" w:pos="1260"/>
        </w:tabs>
        <w:spacing w:after="80" w:line="240" w:lineRule="auto"/>
        <w:ind w:left="1267" w:hanging="547"/>
      </w:pPr>
      <w:r w:rsidRPr="0047474E">
        <w:t xml:space="preserve">21. </w:t>
      </w:r>
      <w:r>
        <w:rPr>
          <w:b/>
        </w:rPr>
        <w:tab/>
      </w:r>
      <w:r w:rsidRPr="0047474E">
        <w:rPr>
          <w:b/>
        </w:rPr>
        <w:t>Written Findings</w:t>
      </w:r>
      <w:r w:rsidR="001B4BB6">
        <w:rPr>
          <w:b/>
        </w:rPr>
        <w:t xml:space="preserve">.  </w:t>
      </w:r>
      <w:r w:rsidRPr="0047474E">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64591C" w:rsidRPr="0047474E" w:rsidRDefault="0064591C" w:rsidP="00C154A5">
      <w:pPr>
        <w:pStyle w:val="standard"/>
        <w:tabs>
          <w:tab w:val="left" w:pos="1260"/>
        </w:tabs>
        <w:spacing w:after="80" w:line="240" w:lineRule="auto"/>
        <w:ind w:left="1267" w:hanging="547"/>
      </w:pPr>
      <w:r>
        <w:t xml:space="preserve">22. </w:t>
      </w:r>
      <w:r>
        <w:tab/>
      </w:r>
      <w:r w:rsidRPr="0047474E">
        <w:rPr>
          <w:b/>
        </w:rPr>
        <w:t>Application for Rehearing</w:t>
      </w:r>
      <w:r w:rsidR="001B4BB6">
        <w:rPr>
          <w:b/>
        </w:rPr>
        <w:t xml:space="preserve">.  </w:t>
      </w:r>
      <w:r w:rsidRPr="0047474E">
        <w:t>A party wishing to appeal a Commission decision approving an arbitration must first seek administrative review pursuant to the Commission’s Rules of Practice and Procedure.</w:t>
      </w:r>
    </w:p>
    <w:p w:rsidR="0064591C" w:rsidRPr="0047474E" w:rsidRDefault="0064591C" w:rsidP="001B4BB6">
      <w:pPr>
        <w:pStyle w:val="standard"/>
        <w:keepNext/>
        <w:tabs>
          <w:tab w:val="left" w:pos="1260"/>
        </w:tabs>
        <w:spacing w:line="240" w:lineRule="auto"/>
        <w:ind w:left="1260" w:hanging="540"/>
      </w:pPr>
      <w:r>
        <w:t xml:space="preserve">23. </w:t>
      </w:r>
      <w:r>
        <w:tab/>
      </w:r>
      <w:r w:rsidRPr="0047474E">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64591C" w:rsidRPr="00FA0C4B" w:rsidRDefault="0064591C" w:rsidP="0064591C">
      <w:pPr>
        <w:pStyle w:val="standard"/>
        <w:ind w:firstLine="0"/>
      </w:pPr>
    </w:p>
    <w:p w:rsidR="0064591C" w:rsidRPr="00752DB1" w:rsidRDefault="0064591C" w:rsidP="00FE786F">
      <w:pPr>
        <w:pStyle w:val="standard"/>
        <w:keepNext/>
        <w:tabs>
          <w:tab w:val="left" w:pos="540"/>
        </w:tabs>
        <w:spacing w:after="120" w:line="240" w:lineRule="auto"/>
        <w:ind w:left="540" w:hanging="540"/>
      </w:pPr>
      <w:r>
        <w:t xml:space="preserve">X. </w:t>
      </w:r>
      <w:r>
        <w:tab/>
      </w:r>
      <w:r w:rsidRPr="00752DB1">
        <w:t>ACCESS TO CUSTOMER PREMISES</w:t>
      </w:r>
    </w:p>
    <w:p w:rsidR="0064591C" w:rsidRPr="00752DB1" w:rsidRDefault="0064591C" w:rsidP="004B623B">
      <w:pPr>
        <w:pStyle w:val="standard"/>
        <w:keepLines/>
        <w:tabs>
          <w:tab w:val="left" w:pos="540"/>
        </w:tabs>
        <w:spacing w:after="120" w:line="240" w:lineRule="auto"/>
        <w:ind w:left="547" w:hanging="547"/>
      </w:pPr>
      <w:r>
        <w:t xml:space="preserve">A. </w:t>
      </w:r>
      <w:r>
        <w:tab/>
      </w:r>
      <w:r w:rsidRPr="00752DB1">
        <w:t>No carrier may use its ownership or control of any right</w:t>
      </w:r>
      <w:r w:rsidR="002C630B">
        <w:t>-</w:t>
      </w:r>
      <w:r w:rsidRPr="00752DB1">
        <w:t>of</w:t>
      </w:r>
      <w:r w:rsidR="002C630B">
        <w:t>-</w:t>
      </w:r>
      <w:r w:rsidRPr="00752DB1">
        <w:t>way or support structure to impede the access of a telecommunications carrier</w:t>
      </w:r>
      <w:r>
        <w:t xml:space="preserve">, </w:t>
      </w:r>
      <w:r w:rsidRPr="003827EC">
        <w:t>CMRS carrier,</w:t>
      </w:r>
      <w:r w:rsidRPr="00752DB1">
        <w:t xml:space="preserve"> or cable TV company to a customer’s premises.</w:t>
      </w:r>
    </w:p>
    <w:p w:rsidR="0064591C" w:rsidRPr="00752DB1" w:rsidRDefault="0064591C" w:rsidP="004B623B">
      <w:pPr>
        <w:pStyle w:val="standard"/>
        <w:keepLines/>
        <w:tabs>
          <w:tab w:val="left" w:pos="540"/>
        </w:tabs>
        <w:spacing w:after="120" w:line="240" w:lineRule="auto"/>
        <w:ind w:left="547" w:hanging="547"/>
      </w:pPr>
      <w:r>
        <w:t xml:space="preserve">B. </w:t>
      </w:r>
      <w:r>
        <w:tab/>
      </w:r>
      <w:r w:rsidRPr="00752DB1">
        <w:t>A carrier shall provide access, when technically feasible, to building entrance facilities it owns or controls, up to the applicable minimum point of entry (MPOE) for that property, on a nondiscriminatory, first</w:t>
      </w:r>
      <w:r w:rsidRPr="00752DB1">
        <w:noBreakHyphen/>
        <w:t>come, first</w:t>
      </w:r>
      <w:r w:rsidRPr="00752DB1">
        <w:noBreakHyphen/>
        <w:t>served basis, provided that the requesting telecommunications carrier</w:t>
      </w:r>
      <w:r w:rsidRPr="003827EC">
        <w:t>, CMRS carrier,</w:t>
      </w:r>
      <w:r w:rsidRPr="00752DB1">
        <w:t xml:space="preserve"> or cable TV provider has first obtained all necessary access and/or use rights from the underlying property owners(s).</w:t>
      </w:r>
    </w:p>
    <w:p w:rsidR="0064591C" w:rsidRPr="00752DB1" w:rsidRDefault="0064591C" w:rsidP="00FE786F">
      <w:pPr>
        <w:pStyle w:val="standard"/>
        <w:keepNext/>
        <w:tabs>
          <w:tab w:val="left" w:pos="540"/>
        </w:tabs>
        <w:spacing w:line="240" w:lineRule="auto"/>
        <w:ind w:left="547" w:hanging="547"/>
      </w:pPr>
      <w:r>
        <w:t xml:space="preserve">C. </w:t>
      </w:r>
      <w:r>
        <w:tab/>
      </w:r>
      <w:r w:rsidRPr="00752DB1">
        <w:t xml:space="preserve">A carrier will have 60 days to renegotiate a contract deemed discriminatory by the Commission in response to a formal complaint.  Failing to do so, this </w:t>
      </w:r>
      <w:r w:rsidRPr="00752DB1">
        <w:lastRenderedPageBreak/>
        <w:t>carrier will become subject to a fine ranging from $500 to $20,000 per day beyond the 60-day limit for renegotiation until the discriminatory provisions of the arrangement have been eliminated.</w:t>
      </w:r>
    </w:p>
    <w:p w:rsidR="0064591C" w:rsidRPr="00752DB1" w:rsidRDefault="0064591C" w:rsidP="0064591C">
      <w:pPr>
        <w:pStyle w:val="standard"/>
        <w:ind w:firstLine="0"/>
      </w:pPr>
    </w:p>
    <w:p w:rsidR="0064591C" w:rsidRPr="00ED331B" w:rsidRDefault="0064591C" w:rsidP="00FE786F">
      <w:pPr>
        <w:pStyle w:val="standard"/>
        <w:keepNext/>
        <w:tabs>
          <w:tab w:val="left" w:pos="540"/>
        </w:tabs>
        <w:spacing w:after="120" w:line="240" w:lineRule="auto"/>
        <w:ind w:left="547" w:hanging="547"/>
      </w:pPr>
      <w:r>
        <w:t xml:space="preserve">XI. </w:t>
      </w:r>
      <w:r>
        <w:tab/>
      </w:r>
      <w:r w:rsidRPr="00ED331B">
        <w:t>SAFETY</w:t>
      </w:r>
    </w:p>
    <w:p w:rsidR="0064591C" w:rsidRPr="00ED331B" w:rsidRDefault="0064591C" w:rsidP="0064591C">
      <w:pPr>
        <w:pStyle w:val="standard"/>
        <w:spacing w:after="120" w:line="240" w:lineRule="auto"/>
        <w:ind w:firstLine="0"/>
      </w:pPr>
      <w:r w:rsidRPr="00ED331B">
        <w:t>Access to utility rights</w:t>
      </w:r>
      <w:r w:rsidR="002C630B">
        <w:t>-</w:t>
      </w:r>
      <w:r w:rsidRPr="00ED331B">
        <w:t>of</w:t>
      </w:r>
      <w:r w:rsidR="002C630B">
        <w:t>-</w:t>
      </w:r>
      <w:r w:rsidRPr="00ED331B">
        <w:t>way and support structures shall be governed at all times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p w:rsidR="0064591C" w:rsidRPr="00ED331B" w:rsidRDefault="0064591C" w:rsidP="00FE786F">
      <w:pPr>
        <w:pStyle w:val="standard"/>
        <w:keepNext/>
        <w:tabs>
          <w:tab w:val="left" w:pos="540"/>
        </w:tabs>
        <w:spacing w:after="120" w:line="240" w:lineRule="auto"/>
        <w:ind w:left="547" w:hanging="547"/>
      </w:pPr>
      <w:r>
        <w:t>A.</w:t>
      </w:r>
      <w:r>
        <w:tab/>
      </w:r>
      <w:r w:rsidRPr="00ED331B">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p>
    <w:p w:rsidR="0064591C" w:rsidRPr="00E35516" w:rsidRDefault="0064591C" w:rsidP="0064591C">
      <w:pPr>
        <w:pStyle w:val="standard"/>
        <w:ind w:firstLine="0"/>
      </w:pPr>
    </w:p>
    <w:p w:rsidR="0064591C" w:rsidRPr="00E35516" w:rsidRDefault="0064591C" w:rsidP="009A4E87">
      <w:pPr>
        <w:pStyle w:val="standard"/>
        <w:ind w:firstLine="0"/>
      </w:pPr>
    </w:p>
    <w:p w:rsidR="00D313F5" w:rsidRPr="00C43369" w:rsidRDefault="00D313F5" w:rsidP="00C43369">
      <w:pPr>
        <w:pStyle w:val="standard"/>
        <w:spacing w:line="240" w:lineRule="auto"/>
        <w:ind w:firstLine="0"/>
        <w:jc w:val="center"/>
        <w:rPr>
          <w:b/>
        </w:rPr>
      </w:pPr>
      <w:r w:rsidRPr="00C43369">
        <w:rPr>
          <w:b/>
        </w:rPr>
        <w:t xml:space="preserve">(END OF APPENDIX </w:t>
      </w:r>
      <w:r w:rsidR="001F5826">
        <w:rPr>
          <w:b/>
        </w:rPr>
        <w:t>B</w:t>
      </w:r>
      <w:r w:rsidRPr="00C43369">
        <w:rPr>
          <w:b/>
        </w:rPr>
        <w:t>)</w:t>
      </w:r>
      <w:bookmarkEnd w:id="102"/>
    </w:p>
    <w:sectPr w:rsidR="00D313F5" w:rsidRPr="00C43369" w:rsidSect="000834F8">
      <w:headerReference w:type="even" r:id="rId25"/>
      <w:footerReference w:type="default" r:id="rId26"/>
      <w:pgSz w:w="12240" w:h="15840"/>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D3" w:rsidRDefault="00D519D3">
      <w:r>
        <w:separator/>
      </w:r>
    </w:p>
    <w:p w:rsidR="00D519D3" w:rsidRDefault="00D519D3"/>
    <w:p w:rsidR="00D519D3" w:rsidRDefault="00D519D3"/>
    <w:p w:rsidR="00D519D3" w:rsidRDefault="00D519D3"/>
    <w:p w:rsidR="00D519D3" w:rsidRDefault="00D519D3"/>
    <w:p w:rsidR="00D519D3" w:rsidRDefault="00D519D3"/>
    <w:p w:rsidR="00D519D3" w:rsidRDefault="00D519D3"/>
    <w:p w:rsidR="00D519D3" w:rsidRDefault="00D519D3"/>
    <w:p w:rsidR="00D519D3" w:rsidRDefault="00D519D3"/>
  </w:endnote>
  <w:endnote w:type="continuationSeparator" w:id="0">
    <w:p w:rsidR="00D519D3" w:rsidRDefault="00D519D3">
      <w:r>
        <w:continuationSeparator/>
      </w:r>
    </w:p>
    <w:p w:rsidR="00D519D3" w:rsidRDefault="00D519D3"/>
    <w:p w:rsidR="00D519D3" w:rsidRDefault="00D519D3"/>
    <w:p w:rsidR="00D519D3" w:rsidRDefault="00D519D3"/>
    <w:p w:rsidR="00D519D3" w:rsidRDefault="00D519D3"/>
    <w:p w:rsidR="00D519D3" w:rsidRDefault="00D519D3"/>
    <w:p w:rsidR="00D519D3" w:rsidRDefault="00D519D3"/>
    <w:p w:rsidR="00D519D3" w:rsidRDefault="00D519D3"/>
    <w:p w:rsidR="00D519D3" w:rsidRDefault="00D5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98509C" w:rsidP="00EC09C6">
    <w:pPr>
      <w:pStyle w:val="Footer"/>
      <w:tabs>
        <w:tab w:val="clear" w:pos="4320"/>
        <w:tab w:val="center" w:pos="4680"/>
      </w:tabs>
      <w:jc w:val="left"/>
    </w:pPr>
    <w:r>
      <w:rPr>
        <w:rFonts w:ascii="Tahoma" w:hAnsi="Tahoma" w:cs="Tahoma"/>
        <w:sz w:val="17"/>
        <w:szCs w:val="17"/>
      </w:rPr>
      <w:t>213481371</w:t>
    </w:r>
    <w:r w:rsidR="00FF4579">
      <w:rPr>
        <w:sz w:val="16"/>
        <w:szCs w:val="16"/>
      </w:rPr>
      <w:tab/>
    </w:r>
    <w:r w:rsidR="00FF4579">
      <w:t>-</w:t>
    </w:r>
    <w:sdt>
      <w:sdtPr>
        <w:id w:val="-1692682947"/>
        <w:docPartObj>
          <w:docPartGallery w:val="Page Numbers (Bottom of Page)"/>
          <w:docPartUnique/>
        </w:docPartObj>
      </w:sdtPr>
      <w:sdtEndPr>
        <w:rPr>
          <w:noProof/>
        </w:rPr>
      </w:sdtEndPr>
      <w:sdtContent>
        <w:r w:rsidR="00FF4579">
          <w:t xml:space="preserve"> </w:t>
        </w:r>
        <w:r w:rsidR="00FF4579">
          <w:fldChar w:fldCharType="begin"/>
        </w:r>
        <w:r w:rsidR="00FF4579">
          <w:instrText xml:space="preserve"> PAGE   \* MERGEFORMAT </w:instrText>
        </w:r>
        <w:r w:rsidR="00FF4579">
          <w:fldChar w:fldCharType="separate"/>
        </w:r>
        <w:r w:rsidR="00722F2E">
          <w:rPr>
            <w:noProof/>
          </w:rPr>
          <w:t>1</w:t>
        </w:r>
        <w:r w:rsidR="00FF4579">
          <w:rPr>
            <w:noProof/>
          </w:rPr>
          <w:fldChar w:fldCharType="end"/>
        </w:r>
        <w:r w:rsidR="00FF4579">
          <w:rPr>
            <w:noProof/>
          </w:rPr>
          <w:t xml:space="preserve"> -</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722F2E">
      <w:rPr>
        <w:noProof/>
      </w:rPr>
      <w:t>B-22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framePr w:wrap="around" w:vAnchor="text" w:hAnchor="margin" w:xAlign="center" w:y="1"/>
      <w:jc w:val="lef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22F2E">
      <w:rPr>
        <w:rStyle w:val="PageNumber"/>
        <w:noProof/>
      </w:rPr>
      <w:t>ii</w:t>
    </w:r>
    <w:r>
      <w:rPr>
        <w:rStyle w:val="PageNumber"/>
      </w:rPr>
      <w:fldChar w:fldCharType="end"/>
    </w:r>
    <w:r>
      <w:rPr>
        <w:rStyle w:val="PageNumber"/>
      </w:rPr>
      <w:t xml:space="preserve"> -</w:t>
    </w:r>
  </w:p>
  <w:p w:rsidR="00FF4579" w:rsidRDefault="00FF4579" w:rsidP="00F740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F2E">
      <w:rPr>
        <w:rStyle w:val="PageNumber"/>
        <w:noProof/>
      </w:rPr>
      <w:t>i</w:t>
    </w:r>
    <w:r>
      <w:rPr>
        <w:rStyle w:val="PageNumber"/>
      </w:rPr>
      <w:fldChar w:fldCharType="end"/>
    </w:r>
  </w:p>
  <w:p w:rsidR="00FF4579" w:rsidRDefault="00FF4579" w:rsidP="001C1318">
    <w:pPr>
      <w:pStyle w:val="Footer"/>
      <w:tabs>
        <w:tab w:val="clear" w:pos="4320"/>
        <w:tab w:val="clear" w:pos="8640"/>
        <w:tab w:val="center" w:pos="4680"/>
      </w:tabs>
    </w:pPr>
    <w:r>
      <w:t xml:space="preserve">- </w:t>
    </w:r>
    <w:r>
      <w:rPr>
        <w:rStyle w:val="PageNumber"/>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rPr>
        <w:szCs w:val="26"/>
      </w:rPr>
    </w:pPr>
  </w:p>
  <w:p w:rsidR="00FF4579" w:rsidRDefault="00FF45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rsidP="00F96BB4">
    <w:pPr>
      <w:pStyle w:val="Footer"/>
      <w:tabs>
        <w:tab w:val="clear" w:pos="4320"/>
        <w:tab w:val="clear" w:pos="8640"/>
      </w:tabs>
      <w:rPr>
        <w:noProof/>
      </w:rPr>
    </w:pPr>
    <w:r>
      <w:t xml:space="preserve">- </w:t>
    </w:r>
    <w:r>
      <w:fldChar w:fldCharType="begin"/>
    </w:r>
    <w:r>
      <w:instrText xml:space="preserve"> PAGE   \* MERGEFORMAT </w:instrText>
    </w:r>
    <w:r>
      <w:fldChar w:fldCharType="separate"/>
    </w:r>
    <w:r w:rsidR="00722F2E">
      <w:rPr>
        <w:noProof/>
      </w:rPr>
      <w:t>38</w:t>
    </w:r>
    <w:r>
      <w:rPr>
        <w:noProof/>
      </w:rPr>
      <w:fldChar w:fldCharType="end"/>
    </w:r>
    <w:r>
      <w:rPr>
        <w:noProof/>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722F2E">
      <w:rPr>
        <w:noProof/>
      </w:rPr>
      <w:t>A-1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722F2E">
      <w:rPr>
        <w:noProof/>
      </w:rPr>
      <w:t>A-2</w:t>
    </w:r>
    <w:r>
      <w:rPr>
        <w:noProof/>
      </w:rPr>
      <w:fldChar w:fldCharType="end"/>
    </w:r>
    <w:r>
      <w:rPr>
        <w:noProof/>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722F2E">
      <w:rPr>
        <w:noProof/>
      </w:rPr>
      <w:t>A-20</w:t>
    </w:r>
    <w:r>
      <w:rPr>
        <w:noProof/>
      </w:rPr>
      <w:fldChar w:fldCharType="end"/>
    </w:r>
    <w:r>
      <w:rPr>
        <w:noProof/>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722F2E">
      <w:rPr>
        <w:noProof/>
      </w:rPr>
      <w:t>B-2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D3" w:rsidRDefault="00D519D3" w:rsidP="00E60FA0">
      <w:pPr>
        <w:spacing w:after="60"/>
      </w:pPr>
      <w:r>
        <w:separator/>
      </w:r>
    </w:p>
  </w:footnote>
  <w:footnote w:type="continuationSeparator" w:id="0">
    <w:p w:rsidR="00D519D3" w:rsidRDefault="00D519D3" w:rsidP="00E60FA0">
      <w:pPr>
        <w:spacing w:after="60"/>
      </w:pPr>
      <w:r>
        <w:continuationSeparator/>
      </w:r>
    </w:p>
  </w:footnote>
  <w:footnote w:type="continuationNotice" w:id="1">
    <w:p w:rsidR="00D519D3" w:rsidRDefault="00D519D3"/>
  </w:footnote>
  <w:footnote w:id="2">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47 U.S.C. § 224 (a)(1) defines the term “utility” as “any person who is a local exchange carrier or an electric, gas, water, steam, or other public utility, and who owns or controls poles, ducts, conduits, or rights-of-way used, in whole or in part, for any wire communications.”</w:t>
      </w:r>
    </w:p>
  </w:footnote>
  <w:footnote w:id="3">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r>
      <w:r w:rsidRPr="00F353B7">
        <w:rPr>
          <w:rStyle w:val="FootnoteTextChar"/>
          <w:szCs w:val="22"/>
        </w:rPr>
        <w:t>FCC 11</w:t>
      </w:r>
      <w:r w:rsidRPr="00F353B7">
        <w:rPr>
          <w:rStyle w:val="FootnoteTextChar"/>
          <w:szCs w:val="22"/>
        </w:rPr>
        <w:noBreakHyphen/>
        <w:t>50 (rel.</w:t>
      </w:r>
      <w:r>
        <w:rPr>
          <w:rStyle w:val="FootnoteTextChar"/>
          <w:szCs w:val="22"/>
        </w:rPr>
        <w:t> </w:t>
      </w:r>
      <w:r w:rsidRPr="00F353B7">
        <w:rPr>
          <w:rStyle w:val="FootnoteTextChar"/>
          <w:szCs w:val="22"/>
        </w:rPr>
        <w:t>Apr.</w:t>
      </w:r>
      <w:r>
        <w:rPr>
          <w:rStyle w:val="FootnoteTextChar"/>
          <w:szCs w:val="22"/>
        </w:rPr>
        <w:t> </w:t>
      </w:r>
      <w:r w:rsidRPr="00F353B7">
        <w:rPr>
          <w:rStyle w:val="FootnoteTextChar"/>
          <w:szCs w:val="22"/>
        </w:rPr>
        <w:t xml:space="preserve">7, 2011) at </w:t>
      </w:r>
      <w:r w:rsidRPr="00F353B7">
        <w:rPr>
          <w:rStyle w:val="FootnoteTextChar"/>
          <w:rFonts w:ascii="Book Antiqua" w:hAnsi="Book Antiqua"/>
          <w:szCs w:val="22"/>
        </w:rPr>
        <w:t>¶¶</w:t>
      </w:r>
      <w:r w:rsidRPr="00F353B7">
        <w:rPr>
          <w:rStyle w:val="FootnoteTextChar"/>
          <w:szCs w:val="22"/>
        </w:rPr>
        <w:t xml:space="preserve"> 12, 77, and 153. </w:t>
      </w:r>
    </w:p>
  </w:footnote>
  <w:footnote w:id="4">
    <w:p w:rsidR="00FF4579" w:rsidRDefault="00FF4579" w:rsidP="00DE4938">
      <w:pPr>
        <w:pStyle w:val="FootnoteText"/>
      </w:pPr>
      <w:r>
        <w:rPr>
          <w:rStyle w:val="FootnoteReference"/>
        </w:rPr>
        <w:footnoteRef/>
      </w:r>
      <w:r>
        <w:t xml:space="preserve"> </w:t>
      </w:r>
      <w:r>
        <w:tab/>
      </w:r>
      <w:r w:rsidRPr="00F353B7">
        <w:t>D.98-10-058</w:t>
      </w:r>
      <w:r>
        <w:t xml:space="preserve"> at Conclusions of Law (COLs) 2 and 3, and D.16-01-046 at COLs 2 and 21.</w:t>
      </w:r>
    </w:p>
  </w:footnote>
  <w:footnote w:id="5">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 xml:space="preserve">D.98-10-058 uses the terms “competitive local carrier” and “CLC” to identify a </w:t>
      </w:r>
      <w:r>
        <w:t>CLEC</w:t>
      </w:r>
      <w:r w:rsidRPr="00F353B7">
        <w:t xml:space="preserve">.  </w:t>
      </w:r>
    </w:p>
  </w:footnote>
  <w:footnote w:id="6">
    <w:p w:rsidR="00FF4579" w:rsidRDefault="00FF4579" w:rsidP="00DE4938">
      <w:pPr>
        <w:pStyle w:val="FootnoteText"/>
      </w:pPr>
      <w:r>
        <w:rPr>
          <w:rStyle w:val="FootnoteReference"/>
        </w:rPr>
        <w:footnoteRef/>
      </w:r>
      <w:r>
        <w:t xml:space="preserve"> </w:t>
      </w:r>
      <w:r>
        <w:tab/>
      </w:r>
      <w:r w:rsidRPr="001E6156">
        <w:t>Pub. Util. Code</w:t>
      </w:r>
      <w:r>
        <w:t> </w:t>
      </w:r>
      <w:r w:rsidRPr="001E6156">
        <w:t>§</w:t>
      </w:r>
      <w:r>
        <w:t> </w:t>
      </w:r>
      <w:r w:rsidRPr="001E6156">
        <w:t>1708.5</w:t>
      </w:r>
      <w:r>
        <w:t xml:space="preserve"> allows “interested persons to petition the commission to adopt, amend, or repeal a regulation.”</w:t>
      </w:r>
    </w:p>
  </w:footnote>
  <w:footnote w:id="7">
    <w:p w:rsidR="00FF4579" w:rsidRDefault="00FF4579" w:rsidP="00DE4938">
      <w:pPr>
        <w:pStyle w:val="FootnoteText"/>
      </w:pPr>
      <w:r>
        <w:rPr>
          <w:rStyle w:val="FootnoteReference"/>
        </w:rPr>
        <w:footnoteRef/>
      </w:r>
      <w:r>
        <w:t xml:space="preserve"> </w:t>
      </w:r>
      <w:r>
        <w:tab/>
        <w:t xml:space="preserve">Combined OII/OIR at 1, 23, 38, and Ordering Paragraph 4. </w:t>
      </w:r>
    </w:p>
  </w:footnote>
  <w:footnote w:id="8">
    <w:p w:rsidR="00FF4579" w:rsidRDefault="00FF4579" w:rsidP="00DE4938">
      <w:pPr>
        <w:pStyle w:val="FootnoteText"/>
      </w:pPr>
      <w:r>
        <w:rPr>
          <w:rStyle w:val="FootnoteReference"/>
        </w:rPr>
        <w:footnoteRef/>
      </w:r>
      <w:r>
        <w:t xml:space="preserve"> </w:t>
      </w:r>
      <w:r>
        <w:tab/>
      </w:r>
      <w:r w:rsidRPr="00F9775F">
        <w:t xml:space="preserve">These letters are part of the administrative record for this proceeding. </w:t>
      </w:r>
    </w:p>
  </w:footnote>
  <w:footnote w:id="9">
    <w:p w:rsidR="00FF4579" w:rsidRPr="00F353B7" w:rsidRDefault="00FF4579" w:rsidP="00DE4938">
      <w:pPr>
        <w:pStyle w:val="FootnoteText"/>
      </w:pPr>
      <w:r w:rsidRPr="00F353B7">
        <w:rPr>
          <w:rStyle w:val="StandardFootnoteReferenceChar"/>
          <w:sz w:val="22"/>
          <w:szCs w:val="22"/>
        </w:rPr>
        <w:footnoteRef/>
      </w:r>
      <w:r w:rsidRPr="00F353B7">
        <w:t xml:space="preserve"> </w:t>
      </w:r>
      <w:r w:rsidRPr="00F353B7">
        <w:tab/>
        <w:t xml:space="preserve">47 U.S.C. </w:t>
      </w:r>
      <w:r w:rsidRPr="00F353B7">
        <w:rPr>
          <w:rFonts w:ascii="Book Antiqua" w:hAnsi="Book Antiqua"/>
        </w:rPr>
        <w:t>§</w:t>
      </w:r>
      <w:r w:rsidRPr="00F353B7">
        <w:t> 224(f)</w:t>
      </w:r>
      <w:r>
        <w:t xml:space="preserve"> </w:t>
      </w:r>
      <w:r w:rsidRPr="00F353B7">
        <w:t>and FCC 11-50 at ¶¶ 12, 74-77, 136, 153.</w:t>
      </w:r>
    </w:p>
  </w:footnote>
  <w:footnote w:id="10">
    <w:p w:rsidR="00FF4579" w:rsidRPr="00F353B7" w:rsidRDefault="00FF4579" w:rsidP="00DE4938">
      <w:pPr>
        <w:pStyle w:val="FootnoteText"/>
      </w:pPr>
      <w:r w:rsidRPr="00F353B7">
        <w:rPr>
          <w:rStyle w:val="StandardFootnoteReferenceChar"/>
          <w:sz w:val="22"/>
          <w:szCs w:val="22"/>
        </w:rPr>
        <w:footnoteRef/>
      </w:r>
      <w:r w:rsidRPr="00F353B7">
        <w:t xml:space="preserve"> </w:t>
      </w:r>
      <w:r w:rsidRPr="00F353B7">
        <w:tab/>
        <w:t>D.98-10-058</w:t>
      </w:r>
      <w:r>
        <w:t xml:space="preserve"> at COLs 2 and 3, and D.16-01-046 at COLs 2 and 21.</w:t>
      </w:r>
      <w:r w:rsidRPr="00F353B7">
        <w:t xml:space="preserve"> </w:t>
      </w:r>
    </w:p>
  </w:footnote>
  <w:footnote w:id="11">
    <w:p w:rsidR="00FF4579" w:rsidRDefault="00FF4579" w:rsidP="00DE4938">
      <w:pPr>
        <w:pStyle w:val="FootnoteText"/>
      </w:pPr>
      <w:r>
        <w:rPr>
          <w:rStyle w:val="FootnoteReference"/>
        </w:rPr>
        <w:footnoteRef/>
      </w:r>
      <w:r>
        <w:t xml:space="preserve"> </w:t>
      </w:r>
      <w:r>
        <w:tab/>
        <w:t xml:space="preserve">WIA Comments dated May 3, 2017, at 4 and 8. </w:t>
      </w:r>
    </w:p>
  </w:footnote>
  <w:footnote w:id="12">
    <w:p w:rsidR="00FF4579" w:rsidRPr="00F353B7" w:rsidRDefault="00FF4579" w:rsidP="00DE4938">
      <w:pPr>
        <w:pStyle w:val="FootnoteText"/>
        <w:rPr>
          <w:szCs w:val="22"/>
        </w:rPr>
      </w:pPr>
      <w:r w:rsidRPr="00F353B7">
        <w:rPr>
          <w:rStyle w:val="StandardFootnoteReferenceChar"/>
          <w:sz w:val="22"/>
          <w:szCs w:val="22"/>
        </w:rPr>
        <w:footnoteRef/>
      </w:r>
      <w:r w:rsidRPr="00F353B7">
        <w:rPr>
          <w:szCs w:val="22"/>
        </w:rPr>
        <w:t xml:space="preserve"> </w:t>
      </w:r>
      <w:r w:rsidRPr="00F353B7">
        <w:rPr>
          <w:szCs w:val="22"/>
        </w:rPr>
        <w:tab/>
      </w:r>
      <w:r>
        <w:t xml:space="preserve">Cox Comments dated May 3, 2017, at 1.  </w:t>
      </w:r>
    </w:p>
  </w:footnote>
  <w:footnote w:id="13">
    <w:p w:rsidR="00FF4579" w:rsidRDefault="00FF4579" w:rsidP="00DE4938">
      <w:pPr>
        <w:pStyle w:val="FootnoteText"/>
      </w:pPr>
      <w:r>
        <w:rPr>
          <w:rStyle w:val="FootnoteReference"/>
        </w:rPr>
        <w:footnoteRef/>
      </w:r>
      <w:r>
        <w:t xml:space="preserve"> </w:t>
      </w:r>
      <w:r w:rsidRPr="00A2636A">
        <w:rPr>
          <w:i/>
        </w:rPr>
        <w:tab/>
        <w:t>See</w:t>
      </w:r>
      <w:r>
        <w:t>, for example, D.15-05-028 at 6, Findings of Fact 10-14 and 19, and COLs 1</w:t>
      </w:r>
      <w:r>
        <w:noBreakHyphen/>
        <w:t xml:space="preserve">3. </w:t>
      </w:r>
    </w:p>
  </w:footnote>
  <w:footnote w:id="14">
    <w:p w:rsidR="00FF4579" w:rsidRDefault="00FF4579" w:rsidP="00DE4938">
      <w:pPr>
        <w:pStyle w:val="FootnoteText"/>
      </w:pPr>
      <w:r>
        <w:rPr>
          <w:rStyle w:val="FootnoteReference"/>
        </w:rPr>
        <w:footnoteRef/>
      </w:r>
      <w:r>
        <w:t xml:space="preserve"> </w:t>
      </w:r>
      <w:r>
        <w:tab/>
        <w:t>The following are examples of recent Commission decisions that granted applications for CPCNs to provide facilities-based CLEC service.  Each of the following decisions notes the applicant’s intent to install fiber-optic cable facilities to provide facilities-based CLEC service as well as broadband service.  Importantly, none of the following decisions requires the applicant, as condition for being granted a CPCN, to use fiber-optic cables facilities (or any particular type of facility) to provide facilities-based CLEC service:  D.17</w:t>
      </w:r>
      <w:r>
        <w:noBreakHyphen/>
        <w:t>07</w:t>
      </w:r>
      <w:r>
        <w:noBreakHyphen/>
        <w:t>009, D.17</w:t>
      </w:r>
      <w:r>
        <w:noBreakHyphen/>
        <w:t>05</w:t>
      </w:r>
      <w:r>
        <w:noBreakHyphen/>
        <w:t>023, D.17</w:t>
      </w:r>
      <w:r>
        <w:noBreakHyphen/>
        <w:t>05</w:t>
      </w:r>
      <w:r>
        <w:noBreakHyphen/>
        <w:t xml:space="preserve">007, D.17-02-012, D.17-02-008, and D.16-05-034.  </w:t>
      </w:r>
    </w:p>
  </w:footnote>
  <w:footnote w:id="15">
    <w:p w:rsidR="00FF4579" w:rsidRDefault="00FF4579" w:rsidP="00DE4938">
      <w:pPr>
        <w:pStyle w:val="FootnoteText"/>
      </w:pPr>
      <w:r>
        <w:rPr>
          <w:rStyle w:val="FootnoteReference"/>
        </w:rPr>
        <w:footnoteRef/>
      </w:r>
      <w:r>
        <w:t xml:space="preserve"> </w:t>
      </w:r>
      <w:r>
        <w:tab/>
        <w:t>The following are examples of recent Commission decisions that granted applications for CPCNs to provide facilities-based CLEC service.  Each of the following decisions notes the applicant’s intent to install wireless facilities.  Importantly, none of the following decisions requires the applicant, as condition for being granted a CPCN, to use wireless facilities (or any particular type of facility) to provide facilities-based CLEC service:  D.17-09-009, D.17</w:t>
      </w:r>
      <w:r>
        <w:noBreakHyphen/>
        <w:t>07</w:t>
      </w:r>
      <w:r>
        <w:noBreakHyphen/>
        <w:t>009, D.17-02-008, D.16</w:t>
      </w:r>
      <w:r>
        <w:noBreakHyphen/>
        <w:t>12</w:t>
      </w:r>
      <w:r>
        <w:noBreakHyphen/>
        <w:t>018, D16</w:t>
      </w:r>
      <w:r>
        <w:noBreakHyphen/>
        <w:t>09</w:t>
      </w:r>
      <w:r>
        <w:noBreakHyphen/>
        <w:t>024, D.16</w:t>
      </w:r>
      <w:r>
        <w:noBreakHyphen/>
        <w:t>09</w:t>
      </w:r>
      <w:r>
        <w:noBreakHyphen/>
        <w:t>025, and D.16</w:t>
      </w:r>
      <w:r>
        <w:noBreakHyphen/>
        <w:t>04</w:t>
      </w:r>
      <w:r>
        <w:noBreakHyphen/>
        <w:t xml:space="preserve">009.  </w:t>
      </w:r>
    </w:p>
  </w:footnote>
  <w:footnote w:id="16">
    <w:p w:rsidR="00FF4579" w:rsidRDefault="00FF4579" w:rsidP="00DE4938">
      <w:pPr>
        <w:pStyle w:val="FootnoteText"/>
      </w:pPr>
      <w:r>
        <w:rPr>
          <w:rStyle w:val="FootnoteReference"/>
        </w:rPr>
        <w:footnoteRef/>
      </w:r>
      <w:r>
        <w:t xml:space="preserve"> </w:t>
      </w:r>
      <w:r>
        <w:tab/>
        <w:t>The ROW Rules and the Cal. Pub. Util. Code do not define “telecommunications service.”  The FCC defines “telecommunications service” to mean “</w:t>
      </w:r>
      <w:r w:rsidRPr="00A45140">
        <w:t>the offering of telecommunications for a fee directly to the public, or to such classes of users as to be effectively available directly to the public, regardless of the facilities used.</w:t>
      </w:r>
      <w:r>
        <w:t>” (47 U.S.C. § 153(53).)  The FCC defines “telecommunications” to mean “</w:t>
      </w:r>
      <w:r w:rsidRPr="00A45140">
        <w:t>the transmission, between or among points specified by the user, of information of the user’s choosing, without change in the form or content of the information as sent and received.</w:t>
      </w:r>
      <w:r>
        <w:t xml:space="preserve">” (47 U.S.C. § 153(50).)  </w:t>
      </w:r>
    </w:p>
  </w:footnote>
  <w:footnote w:id="17">
    <w:p w:rsidR="00FF4579" w:rsidRDefault="00FF4579" w:rsidP="00DE4938">
      <w:pPr>
        <w:pStyle w:val="FootnoteText"/>
      </w:pPr>
      <w:r>
        <w:rPr>
          <w:rStyle w:val="FootnoteReference"/>
        </w:rPr>
        <w:footnoteRef/>
      </w:r>
      <w:r>
        <w:t xml:space="preserve"> </w:t>
      </w:r>
      <w:r>
        <w:tab/>
        <w:t xml:space="preserve">A CPCN to provide limited facilities-based CLEC service authorizes the CLEC to install telecommunications facilities on existing support structures such as utility poles and underground conduit.  </w:t>
      </w:r>
    </w:p>
  </w:footnote>
  <w:footnote w:id="18">
    <w:p w:rsidR="00FF4579" w:rsidRDefault="00FF4579" w:rsidP="00DE4938">
      <w:pPr>
        <w:pStyle w:val="FootnoteText"/>
      </w:pPr>
      <w:r>
        <w:rPr>
          <w:rStyle w:val="FootnoteReference"/>
        </w:rPr>
        <w:footnoteRef/>
      </w:r>
      <w:r>
        <w:t xml:space="preserve"> </w:t>
      </w:r>
      <w:r>
        <w:tab/>
        <w:t xml:space="preserve">A CPCN to provide full facilities-based CLEC service authorizes the CLEC to (i) install telecommunications facilities on existing support structures, and (ii) and construct new support structures such as new utility poles and underground conduit, subject to review and approval of such construction pursuant to the California Environmental Quality Act.  </w:t>
      </w:r>
    </w:p>
  </w:footnote>
  <w:footnote w:id="19">
    <w:p w:rsidR="00FF4579" w:rsidRPr="00B677EA" w:rsidRDefault="00FF4579" w:rsidP="00DE4938">
      <w:pPr>
        <w:pStyle w:val="FootnoteText"/>
      </w:pPr>
      <w:r w:rsidRPr="00B677EA">
        <w:rPr>
          <w:rStyle w:val="FootnoteReference"/>
          <w:szCs w:val="22"/>
        </w:rPr>
        <w:footnoteRef/>
      </w:r>
      <w:r w:rsidRPr="00B677EA">
        <w:t xml:space="preserve"> </w:t>
      </w:r>
      <w:r w:rsidRPr="00B677EA">
        <w:tab/>
        <w:t xml:space="preserve">D.13-05-035, Attachment D, describes the process for </w:t>
      </w:r>
      <w:r>
        <w:t>submitting</w:t>
      </w:r>
      <w:r w:rsidRPr="00B677EA">
        <w:t xml:space="preserve"> a WIR </w:t>
      </w:r>
      <w:r>
        <w:t xml:space="preserve">to the Commission </w:t>
      </w:r>
      <w:r w:rsidRPr="00B677EA">
        <w:t xml:space="preserve">and the required contents of a WIR.  </w:t>
      </w:r>
    </w:p>
  </w:footnote>
  <w:footnote w:id="20">
    <w:p w:rsidR="00FF4579" w:rsidRPr="00B677EA" w:rsidRDefault="00FF4579" w:rsidP="00DE4938">
      <w:pPr>
        <w:pStyle w:val="FootnoteText"/>
        <w:rPr>
          <w:i/>
          <w:szCs w:val="22"/>
        </w:rPr>
      </w:pPr>
      <w:r w:rsidRPr="00B677EA">
        <w:rPr>
          <w:rStyle w:val="FootnoteReference"/>
          <w:szCs w:val="22"/>
        </w:rPr>
        <w:footnoteRef/>
      </w:r>
      <w:r w:rsidRPr="00B677EA">
        <w:rPr>
          <w:szCs w:val="22"/>
        </w:rPr>
        <w:t xml:space="preserve"> </w:t>
      </w:r>
      <w:r w:rsidRPr="00B677EA">
        <w:rPr>
          <w:szCs w:val="22"/>
        </w:rPr>
        <w:tab/>
      </w:r>
      <w:r>
        <w:rPr>
          <w:szCs w:val="22"/>
        </w:rPr>
        <w:t xml:space="preserve">CEQA is codified in Cal. Public Resources Code § 21000 </w:t>
      </w:r>
      <w:r w:rsidRPr="00DA7258">
        <w:rPr>
          <w:i/>
          <w:szCs w:val="22"/>
        </w:rPr>
        <w:t>et seq</w:t>
      </w:r>
      <w:r>
        <w:rPr>
          <w:szCs w:val="22"/>
        </w:rPr>
        <w:t>.</w:t>
      </w:r>
    </w:p>
  </w:footnote>
  <w:footnote w:id="21">
    <w:p w:rsidR="00FF4579" w:rsidRPr="009E6941" w:rsidRDefault="00FF4579" w:rsidP="00DE4938">
      <w:pPr>
        <w:pStyle w:val="FootnoteText"/>
      </w:pPr>
      <w:r w:rsidRPr="009E6941">
        <w:rPr>
          <w:rStyle w:val="FootnoteReference"/>
          <w:szCs w:val="22"/>
        </w:rPr>
        <w:footnoteRef/>
      </w:r>
      <w:r w:rsidRPr="009E6941">
        <w:t xml:space="preserve"> </w:t>
      </w:r>
      <w:r>
        <w:tab/>
        <w:t xml:space="preserve">Cox cites </w:t>
      </w:r>
      <w:r w:rsidRPr="009E6941">
        <w:t xml:space="preserve">D.16-12-018 </w:t>
      </w:r>
      <w:r>
        <w:t xml:space="preserve">re:  </w:t>
      </w:r>
      <w:r w:rsidRPr="009E6941">
        <w:t xml:space="preserve">Ridge Communications, Inc.  </w:t>
      </w:r>
    </w:p>
  </w:footnote>
  <w:footnote w:id="22">
    <w:p w:rsidR="00FF4579" w:rsidRPr="000F0B09" w:rsidRDefault="00FF4579" w:rsidP="00DE4938">
      <w:pPr>
        <w:pStyle w:val="FootnoteText"/>
      </w:pPr>
      <w:r>
        <w:rPr>
          <w:rStyle w:val="FootnoteReference"/>
        </w:rPr>
        <w:footnoteRef/>
      </w:r>
      <w:r>
        <w:t xml:space="preserve"> </w:t>
      </w:r>
      <w:r>
        <w:tab/>
        <w:t xml:space="preserve">Cox cites Title 47 the Code of Federal Regulations, Parts 2, 15, 17, 20, and 101.  </w:t>
      </w:r>
    </w:p>
  </w:footnote>
  <w:footnote w:id="23">
    <w:p w:rsidR="00FF4579" w:rsidRPr="009E6941" w:rsidRDefault="00FF4579" w:rsidP="00DE4938">
      <w:pPr>
        <w:pStyle w:val="FootnoteText"/>
        <w:rPr>
          <w:b/>
          <w:bCs/>
        </w:rPr>
      </w:pPr>
      <w:r w:rsidRPr="00085C6F">
        <w:rPr>
          <w:rStyle w:val="FootnoteReference"/>
          <w:szCs w:val="22"/>
        </w:rPr>
        <w:footnoteRef/>
      </w:r>
      <w:r w:rsidRPr="00085C6F">
        <w:t xml:space="preserve"> </w:t>
      </w:r>
      <w:r>
        <w:tab/>
        <w:t xml:space="preserve">Cox cites </w:t>
      </w:r>
      <w:r w:rsidRPr="00085C6F">
        <w:t>47 U</w:t>
      </w:r>
      <w:r>
        <w:t>.</w:t>
      </w:r>
      <w:r w:rsidRPr="00085C6F">
        <w:t>S</w:t>
      </w:r>
      <w:r>
        <w:t>.</w:t>
      </w:r>
      <w:r w:rsidRPr="00085C6F">
        <w:t>C</w:t>
      </w:r>
      <w:r>
        <w:t>.</w:t>
      </w:r>
      <w:r w:rsidRPr="009E6941">
        <w:t xml:space="preserve"> §</w:t>
      </w:r>
      <w:r>
        <w:t>§</w:t>
      </w:r>
      <w:r w:rsidRPr="009E6941">
        <w:t xml:space="preserve"> 501, 503, and 510</w:t>
      </w:r>
      <w:r>
        <w:t xml:space="preserve">, and </w:t>
      </w:r>
      <w:r w:rsidRPr="009E6941">
        <w:t>Pub. Util. Code § 2107</w:t>
      </w:r>
      <w:r>
        <w:t xml:space="preserve">.  </w:t>
      </w:r>
    </w:p>
  </w:footnote>
  <w:footnote w:id="24">
    <w:p w:rsidR="00FF4579" w:rsidRDefault="00FF4579" w:rsidP="00DE4938">
      <w:pPr>
        <w:pStyle w:val="FootnoteText"/>
      </w:pPr>
      <w:r>
        <w:rPr>
          <w:rStyle w:val="FootnoteReference"/>
        </w:rPr>
        <w:footnoteRef/>
      </w:r>
      <w:r>
        <w:t xml:space="preserve"> </w:t>
      </w:r>
      <w:r>
        <w:tab/>
        <w:t>D.16-01-046, Appendix A at A</w:t>
      </w:r>
      <w:r>
        <w:noBreakHyphen/>
        <w:t xml:space="preserve">25; D.13-05-035, Attachment A at 2; and D.98-10-058 at Section III.F.2.  </w:t>
      </w:r>
    </w:p>
  </w:footnote>
  <w:footnote w:id="25">
    <w:p w:rsidR="00FF4579" w:rsidRPr="00E3175D" w:rsidRDefault="00FF4579" w:rsidP="00DE4938">
      <w:pPr>
        <w:pStyle w:val="FootnoteText"/>
      </w:pPr>
      <w:r w:rsidRPr="00E3175D">
        <w:rPr>
          <w:rStyle w:val="FootnoteReference"/>
        </w:rPr>
        <w:footnoteRef/>
      </w:r>
      <w:r w:rsidRPr="00E3175D">
        <w:t xml:space="preserve"> </w:t>
      </w:r>
      <w:r>
        <w:tab/>
      </w:r>
      <w:r w:rsidRPr="00E3175D">
        <w:t xml:space="preserve">Although </w:t>
      </w:r>
      <w:r>
        <w:t>applications for facilities-based CPCNs usually state that the applicant intends to install wireline and/or wireless facilities to provide CLEC service</w:t>
      </w:r>
      <w:r w:rsidRPr="00E3175D">
        <w:t>, the Commission</w:t>
      </w:r>
      <w:r>
        <w:t xml:space="preserve"> decisions that grant facilities-based CPCNs typically do not specify any particular types of facilities or technology that must be used by the CLEC to provide CLEC service</w:t>
      </w:r>
      <w:r w:rsidRPr="00E3175D">
        <w:t xml:space="preserve">.  </w:t>
      </w:r>
      <w:r w:rsidRPr="0098409D">
        <w:t xml:space="preserve">See, </w:t>
      </w:r>
      <w:r>
        <w:t xml:space="preserve">for example, the Commission decisions listed in Footnotes </w:t>
      </w:r>
      <w:r>
        <w:fldChar w:fldCharType="begin"/>
      </w:r>
      <w:r>
        <w:instrText xml:space="preserve"> NOTEREF _Ref506270952 \h </w:instrText>
      </w:r>
      <w:r>
        <w:fldChar w:fldCharType="separate"/>
      </w:r>
      <w:r w:rsidR="00722F2E">
        <w:t>13</w:t>
      </w:r>
      <w:r>
        <w:fldChar w:fldCharType="end"/>
      </w:r>
      <w:r>
        <w:t xml:space="preserve"> and </w:t>
      </w:r>
      <w:fldSimple w:instr=" NOTEREF _Ref506271006 ">
        <w:r w:rsidR="00722F2E">
          <w:t>14</w:t>
        </w:r>
      </w:fldSimple>
      <w:r>
        <w:t xml:space="preserve"> in Section 3.1.3 of today’s Decision.  We note that Commission decisions granting facilities-based CPCNs may limit authority to construct to specifically identified facilities when required by CEQA.   </w:t>
      </w:r>
      <w:r w:rsidRPr="00E3175D">
        <w:t xml:space="preserve"> </w:t>
      </w:r>
    </w:p>
  </w:footnote>
  <w:footnote w:id="26">
    <w:p w:rsidR="00FF4579" w:rsidRDefault="00FF4579" w:rsidP="00DE4938">
      <w:pPr>
        <w:pStyle w:val="FootnoteText"/>
      </w:pPr>
      <w:r>
        <w:rPr>
          <w:rStyle w:val="FootnoteReference"/>
        </w:rPr>
        <w:footnoteRef/>
      </w:r>
      <w:r>
        <w:t xml:space="preserve"> </w:t>
      </w:r>
      <w:r>
        <w:tab/>
        <w:t xml:space="preserve">Regardless of the ROW Rules, CLECs must possess a facilities-based CPCN in order to install wireline or wireless telecommunications facilities on existing support structures or to construct new support structures.   </w:t>
      </w:r>
    </w:p>
  </w:footnote>
  <w:footnote w:id="27">
    <w:p w:rsidR="00FF4579" w:rsidRDefault="00FF4579" w:rsidP="00DE4938">
      <w:pPr>
        <w:pStyle w:val="FootnoteText"/>
      </w:pPr>
      <w:r>
        <w:rPr>
          <w:rStyle w:val="FootnoteReference"/>
          <w:szCs w:val="22"/>
        </w:rPr>
        <w:footnoteRef/>
      </w:r>
      <w:r>
        <w:t xml:space="preserve"> </w:t>
      </w:r>
      <w:r>
        <w:tab/>
        <w:t xml:space="preserve">D.13-05-035, Attachment D, describes the process for submitting a WIR to the Commission and the required contents of a WIR.  An entity submitting a facilities-based WIR must include with its WIR the entity’s FCC </w:t>
      </w:r>
      <w:r w:rsidRPr="007A11C6">
        <w:t>Federal Registration Number and Universal Licensing System wireless license call sign</w:t>
      </w:r>
      <w:r>
        <w:t>.</w:t>
      </w:r>
    </w:p>
  </w:footnote>
  <w:footnote w:id="28">
    <w:p w:rsidR="00FF4579" w:rsidRDefault="00FF4579" w:rsidP="00DE4938">
      <w:pPr>
        <w:pStyle w:val="FootnoteText"/>
      </w:pPr>
      <w:r>
        <w:rPr>
          <w:rStyle w:val="FootnoteReference"/>
        </w:rPr>
        <w:footnoteRef/>
      </w:r>
      <w:r>
        <w:t xml:space="preserve"> </w:t>
      </w:r>
      <w:r>
        <w:tab/>
        <w:t>Cox Comments dated August 4, 2017, at 10, 17-18, and 21; ExteNet Comments dated August 4, 2017, at 2-3; and WIA Comments dated August 4, 2017, at 13-14, 30-31, 38, and 42.</w:t>
      </w:r>
    </w:p>
  </w:footnote>
  <w:footnote w:id="29">
    <w:p w:rsidR="00FF4579" w:rsidRDefault="00FF4579" w:rsidP="00DE4938">
      <w:pPr>
        <w:pStyle w:val="FootnoteText"/>
      </w:pPr>
      <w:r>
        <w:rPr>
          <w:rStyle w:val="FootnoteReference"/>
        </w:rPr>
        <w:footnoteRef/>
      </w:r>
      <w:r>
        <w:t xml:space="preserve"> </w:t>
      </w:r>
      <w:r>
        <w:tab/>
        <w:t xml:space="preserve">CMRS </w:t>
      </w:r>
      <w:r w:rsidRPr="002203AE">
        <w:t>carrier</w:t>
      </w:r>
      <w:r>
        <w:t>s</w:t>
      </w:r>
      <w:r w:rsidRPr="002203AE">
        <w:t xml:space="preserve"> </w:t>
      </w:r>
      <w:r>
        <w:t>transmit/receive RF signals to/from end-user</w:t>
      </w:r>
      <w:r w:rsidRPr="002203AE">
        <w:t xml:space="preserve"> mobile device</w:t>
      </w:r>
      <w:r>
        <w:t>s using the CMRS carriers’ licensed spectrum. (WIA Comments dated August 4, 2017, at 30.)</w:t>
      </w:r>
    </w:p>
  </w:footnote>
  <w:footnote w:id="30">
    <w:p w:rsidR="00FF4579" w:rsidRDefault="00FF4579" w:rsidP="00DE4938">
      <w:pPr>
        <w:pStyle w:val="FootnoteText"/>
      </w:pPr>
      <w:r>
        <w:rPr>
          <w:rStyle w:val="FootnoteReference"/>
        </w:rPr>
        <w:footnoteRef/>
      </w:r>
      <w:r>
        <w:t xml:space="preserve"> </w:t>
      </w:r>
      <w:r>
        <w:tab/>
      </w:r>
      <w:r w:rsidRPr="00571B7E">
        <w:rPr>
          <w:i/>
        </w:rPr>
        <w:t>See</w:t>
      </w:r>
      <w:r>
        <w:t xml:space="preserve">, for example, D.11-01-027, D.10-10-007, and D.06-01-006. </w:t>
      </w:r>
    </w:p>
  </w:footnote>
  <w:footnote w:id="31">
    <w:p w:rsidR="00FF4579" w:rsidRDefault="00FF4579" w:rsidP="00DE4938">
      <w:pPr>
        <w:pStyle w:val="FootnoteText"/>
      </w:pPr>
      <w:r>
        <w:rPr>
          <w:rStyle w:val="FootnoteReference"/>
        </w:rPr>
        <w:footnoteRef/>
      </w:r>
      <w:r>
        <w:t xml:space="preserve"> </w:t>
      </w:r>
      <w:r>
        <w:tab/>
        <w:t>The annual cost-of-ownership used to calculate the 7.4% pole</w:t>
      </w:r>
      <w:r>
        <w:noBreakHyphen/>
        <w:t xml:space="preserve">attachment fee includes all of the utility’s pole-related costs.  Such costs include pole-related administrative and general costs; operations and maintenance costs; straight-line depreciation; cost of capital; franchise fees and taxes; and offsetting credits for contributed capital and deferred income taxes.  </w:t>
      </w:r>
      <w:r w:rsidRPr="001C738B">
        <w:t>The annual cost</w:t>
      </w:r>
      <w:r>
        <w:t>-</w:t>
      </w:r>
      <w:r w:rsidRPr="001C738B">
        <w:t>of</w:t>
      </w:r>
      <w:r>
        <w:t>-</w:t>
      </w:r>
      <w:r w:rsidRPr="001C738B">
        <w:t xml:space="preserve">ownership </w:t>
      </w:r>
      <w:r>
        <w:t>is an average cost for all of the utility’s poles; it is not pole specific.  And because the annual</w:t>
      </w:r>
      <w:r w:rsidRPr="00AD7FB6">
        <w:t xml:space="preserve"> cost</w:t>
      </w:r>
      <w:r>
        <w:noBreakHyphen/>
      </w:r>
      <w:r w:rsidRPr="00AD7FB6">
        <w:t>of</w:t>
      </w:r>
      <w:r>
        <w:noBreakHyphen/>
      </w:r>
      <w:r w:rsidRPr="00AD7FB6">
        <w:t xml:space="preserve">ownership </w:t>
      </w:r>
      <w:r>
        <w:t>can change</w:t>
      </w:r>
      <w:r w:rsidRPr="00AD7FB6">
        <w:t xml:space="preserve"> from year to year</w:t>
      </w:r>
      <w:r>
        <w:t>, the annual 7.4% pole</w:t>
      </w:r>
      <w:r>
        <w:noBreakHyphen/>
        <w:t xml:space="preserve">attachment fee may likewise change </w:t>
      </w:r>
      <w:r w:rsidRPr="00AD7FB6">
        <w:t>from year to year</w:t>
      </w:r>
      <w:r>
        <w:t xml:space="preserve">.  </w:t>
      </w:r>
    </w:p>
  </w:footnote>
  <w:footnote w:id="32">
    <w:p w:rsidR="00FF4579" w:rsidRDefault="00FF4579" w:rsidP="00DE4938">
      <w:pPr>
        <w:pStyle w:val="FootnoteText"/>
      </w:pPr>
      <w:r>
        <w:rPr>
          <w:rStyle w:val="FootnoteReference"/>
        </w:rPr>
        <w:footnoteRef/>
      </w:r>
      <w:r>
        <w:t xml:space="preserve"> </w:t>
      </w:r>
      <w:r>
        <w:tab/>
        <w:t xml:space="preserve">For example, if a CATV corporation and CLEC each install a wireline attachment on a pole, each will pay an annual pole-attachment fee of 7.4%, resulting in the pole owner receiving an annual pole-attachment fee of 14.8% (i.e., 2 x 7.4% = 14.8%).  </w:t>
      </w:r>
    </w:p>
  </w:footnote>
  <w:footnote w:id="33">
    <w:p w:rsidR="00FF4579" w:rsidRDefault="00FF4579" w:rsidP="00DE4938">
      <w:pPr>
        <w:pStyle w:val="FootnoteText"/>
      </w:pPr>
      <w:r>
        <w:rPr>
          <w:rStyle w:val="FootnoteReference"/>
        </w:rPr>
        <w:footnoteRef/>
      </w:r>
      <w:r>
        <w:t xml:space="preserve"> </w:t>
      </w:r>
      <w:r>
        <w:tab/>
        <w:t xml:space="preserve">OIR 17-03-009 at 22-23, Topics 8 and 9. </w:t>
      </w:r>
    </w:p>
  </w:footnote>
  <w:footnote w:id="34">
    <w:p w:rsidR="00FF4579" w:rsidRDefault="00FF4579" w:rsidP="00DE4938">
      <w:pPr>
        <w:pStyle w:val="FootnoteText"/>
      </w:pPr>
      <w:r>
        <w:rPr>
          <w:rStyle w:val="FootnoteReference"/>
        </w:rPr>
        <w:footnoteRef/>
      </w:r>
      <w:r>
        <w:t xml:space="preserve"> </w:t>
      </w:r>
      <w:r>
        <w:tab/>
        <w:t xml:space="preserve">D.16-01-046 at COL 4. </w:t>
      </w:r>
    </w:p>
  </w:footnote>
  <w:footnote w:id="35">
    <w:p w:rsidR="00FF4579" w:rsidRDefault="00FF4579" w:rsidP="00DE4938">
      <w:pPr>
        <w:pStyle w:val="FootnoteText"/>
      </w:pPr>
      <w:r>
        <w:rPr>
          <w:rStyle w:val="FootnoteReference"/>
        </w:rPr>
        <w:footnoteRef/>
      </w:r>
      <w:r>
        <w:t xml:space="preserve"> </w:t>
      </w:r>
      <w:r>
        <w:tab/>
      </w:r>
      <w:r>
        <w:rPr>
          <w:rFonts w:eastAsia="Calibri"/>
        </w:rPr>
        <w:t>These conditions and limitations are set forth in D.16-01-046, Appendix A, Section VI.B.2, at A</w:t>
      </w:r>
      <w:r>
        <w:rPr>
          <w:rFonts w:eastAsia="Calibri"/>
        </w:rPr>
        <w:noBreakHyphen/>
        <w:t xml:space="preserve">32 and A-33, and carryover to the amended ROW Rules adopted by today’s Decision.  </w:t>
      </w:r>
    </w:p>
  </w:footnote>
  <w:footnote w:id="36">
    <w:p w:rsidR="00FF4579" w:rsidRDefault="00FF4579" w:rsidP="00DE4938">
      <w:pPr>
        <w:pStyle w:val="FootnoteText"/>
      </w:pPr>
      <w:r>
        <w:rPr>
          <w:rStyle w:val="FootnoteReference"/>
        </w:rPr>
        <w:footnoteRef/>
      </w:r>
      <w:r>
        <w:t xml:space="preserve"> </w:t>
      </w:r>
      <w:r>
        <w:tab/>
        <w:t xml:space="preserve">WIA Reply Comments dated August 18, 2017, at 7. </w:t>
      </w:r>
    </w:p>
  </w:footnote>
  <w:footnote w:id="37">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D.</w:t>
      </w:r>
      <w:r>
        <w:t>16</w:t>
      </w:r>
      <w:r w:rsidRPr="00F353B7">
        <w:t>-</w:t>
      </w:r>
      <w:r>
        <w:t>01</w:t>
      </w:r>
      <w:r w:rsidRPr="00F353B7">
        <w:t>-0</w:t>
      </w:r>
      <w:r>
        <w:t>46</w:t>
      </w:r>
      <w:r w:rsidRPr="00F353B7">
        <w:t>, Appendix A, Section XI</w:t>
      </w:r>
      <w:r>
        <w:t>, at A-43</w:t>
      </w:r>
      <w:r w:rsidRPr="00F353B7">
        <w:t xml:space="preserve">. </w:t>
      </w:r>
    </w:p>
  </w:footnote>
  <w:footnote w:id="38">
    <w:p w:rsidR="00FF4579" w:rsidRDefault="00FF4579" w:rsidP="00DE4938">
      <w:pPr>
        <w:pStyle w:val="FootnoteText"/>
      </w:pPr>
      <w:r>
        <w:rPr>
          <w:rStyle w:val="FootnoteReference"/>
        </w:rPr>
        <w:footnoteRef/>
      </w:r>
      <w:r>
        <w:t xml:space="preserve"> </w:t>
      </w:r>
      <w:r>
        <w:tab/>
        <w:t>Pub. Util. Code </w:t>
      </w:r>
      <w:r>
        <w:rPr>
          <w:rFonts w:ascii="Book Antiqua" w:hAnsi="Book Antiqua"/>
        </w:rPr>
        <w:t>§ </w:t>
      </w:r>
      <w:r>
        <w:t>451 states, in relevant part, as follows:  “Every public utility shall furnish and maintain such adequate, efficient, just, and reasonable service, instrumentalities, equipment, and facilities… as are necessary to promote the safety, health, comfort, and convenience of its patrons, employees, and the public.”</w:t>
      </w:r>
    </w:p>
  </w:footnote>
  <w:footnote w:id="39">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D.98-10-058</w:t>
      </w:r>
      <w:r>
        <w:t xml:space="preserve"> at COLs 2 and 3.</w:t>
      </w:r>
      <w:r w:rsidRPr="00F353B7">
        <w:t xml:space="preserve">  </w:t>
      </w:r>
    </w:p>
  </w:footnote>
  <w:footnote w:id="40">
    <w:p w:rsidR="00FF4579" w:rsidRDefault="00FF4579" w:rsidP="00DE4938">
      <w:pPr>
        <w:pStyle w:val="FootnoteText"/>
      </w:pPr>
      <w:r>
        <w:rPr>
          <w:rStyle w:val="FootnoteReference"/>
        </w:rPr>
        <w:footnoteRef/>
      </w:r>
      <w:r>
        <w:t xml:space="preserve"> </w:t>
      </w:r>
      <w:r>
        <w:tab/>
        <w:t>D.16-01-046 at COL 21.</w:t>
      </w:r>
    </w:p>
  </w:footnote>
  <w:footnote w:id="41">
    <w:p w:rsidR="00FF4579" w:rsidRDefault="00FF4579" w:rsidP="00DE4938">
      <w:pPr>
        <w:pStyle w:val="FootnoteText"/>
      </w:pPr>
      <w:r>
        <w:rPr>
          <w:rStyle w:val="FootnoteReference"/>
        </w:rPr>
        <w:footnoteRef/>
      </w:r>
      <w:r>
        <w:t xml:space="preserve"> </w:t>
      </w:r>
      <w:r>
        <w:tab/>
      </w:r>
      <w:r w:rsidRPr="005660D4">
        <w:rPr>
          <w:i/>
        </w:rPr>
        <w:t>Assigned Commissioner’s Scoping Memo and Ruling</w:t>
      </w:r>
      <w:r>
        <w:t xml:space="preserve"> for R.17-03-009 dated June 26, 2017, at 6. </w:t>
      </w:r>
    </w:p>
  </w:footnote>
  <w:footnote w:id="42">
    <w:p w:rsidR="00FF4579" w:rsidRPr="0098509C" w:rsidRDefault="00FF4579" w:rsidP="00283DD3">
      <w:pPr>
        <w:pStyle w:val="FootnoteText"/>
        <w:rPr>
          <w:szCs w:val="22"/>
        </w:rPr>
      </w:pPr>
      <w:r>
        <w:rPr>
          <w:rStyle w:val="FootnoteReference"/>
        </w:rPr>
        <w:footnoteRef/>
      </w:r>
      <w:r>
        <w:t xml:space="preserve"> </w:t>
      </w:r>
      <w:r w:rsidRPr="0098509C">
        <w:rPr>
          <w:i/>
        </w:rPr>
        <w:tab/>
      </w:r>
      <w:r w:rsidRPr="0098509C">
        <w:rPr>
          <w:i/>
          <w:szCs w:val="22"/>
        </w:rPr>
        <w:t>See</w:t>
      </w:r>
      <w:r w:rsidRPr="0098509C">
        <w:rPr>
          <w:szCs w:val="22"/>
        </w:rPr>
        <w:t>, for example, D.17-12-024 wherein the Commission provided utilities with approximately 18 months to implement newly adopted fire-safety regulations in Tier</w:t>
      </w:r>
      <w:r w:rsidR="001E4F7C" w:rsidRPr="0098509C">
        <w:rPr>
          <w:szCs w:val="22"/>
        </w:rPr>
        <w:t> </w:t>
      </w:r>
      <w:r w:rsidRPr="0098509C">
        <w:rPr>
          <w:szCs w:val="22"/>
        </w:rPr>
        <w:t xml:space="preserve">2 </w:t>
      </w:r>
      <w:r w:rsidR="001E4F7C" w:rsidRPr="0098509C">
        <w:rPr>
          <w:szCs w:val="22"/>
        </w:rPr>
        <w:t>F</w:t>
      </w:r>
      <w:r w:rsidRPr="0098509C">
        <w:rPr>
          <w:szCs w:val="22"/>
        </w:rPr>
        <w:t>ire-</w:t>
      </w:r>
      <w:r w:rsidR="001E4F7C" w:rsidRPr="0098509C">
        <w:rPr>
          <w:szCs w:val="22"/>
        </w:rPr>
        <w:t>T</w:t>
      </w:r>
      <w:r w:rsidRPr="0098509C">
        <w:rPr>
          <w:szCs w:val="22"/>
        </w:rPr>
        <w:t>hreat areas. (D.17</w:t>
      </w:r>
      <w:r w:rsidRPr="0098509C">
        <w:rPr>
          <w:szCs w:val="22"/>
        </w:rPr>
        <w:noBreakHyphen/>
        <w:t>12</w:t>
      </w:r>
      <w:r w:rsidRPr="0098509C">
        <w:rPr>
          <w:szCs w:val="22"/>
        </w:rPr>
        <w:noBreakHyphen/>
        <w:t>024 at Ordering Paragraphs 3 and 4.ii.)</w:t>
      </w:r>
    </w:p>
  </w:footnote>
  <w:footnote w:id="43">
    <w:p w:rsidR="00FF4579" w:rsidRPr="0098509C" w:rsidRDefault="00FF4579">
      <w:pPr>
        <w:pStyle w:val="FootnoteText"/>
        <w:rPr>
          <w:szCs w:val="22"/>
        </w:rPr>
      </w:pPr>
      <w:r w:rsidRPr="0098509C">
        <w:rPr>
          <w:rStyle w:val="FootnoteReference"/>
          <w:sz w:val="22"/>
          <w:szCs w:val="22"/>
        </w:rPr>
        <w:footnoteRef/>
      </w:r>
      <w:r w:rsidRPr="0098509C">
        <w:rPr>
          <w:szCs w:val="22"/>
        </w:rPr>
        <w:t xml:space="preserve"> </w:t>
      </w:r>
      <w:r w:rsidRPr="0098509C">
        <w:rPr>
          <w:szCs w:val="22"/>
        </w:rPr>
        <w:tab/>
        <w:t>SCE Reply Comments on the PD, at 3</w:t>
      </w:r>
      <w:r w:rsidR="006F3530" w:rsidRPr="0098509C">
        <w:rPr>
          <w:szCs w:val="22"/>
        </w:rPr>
        <w:t xml:space="preserve"> </w:t>
      </w:r>
      <w:r w:rsidRPr="0098509C">
        <w:rPr>
          <w:szCs w:val="22"/>
        </w:rPr>
        <w:t>-</w:t>
      </w:r>
      <w:r w:rsidR="006F3530" w:rsidRPr="0098509C">
        <w:rPr>
          <w:szCs w:val="22"/>
        </w:rPr>
        <w:t xml:space="preserve"> </w:t>
      </w:r>
      <w:r w:rsidRPr="0098509C">
        <w:rPr>
          <w:szCs w:val="22"/>
        </w:rPr>
        <w:t xml:space="preserve">4. </w:t>
      </w:r>
    </w:p>
  </w:footnote>
  <w:footnote w:id="44">
    <w:p w:rsidR="00FF4579" w:rsidRDefault="00FF4579">
      <w:pPr>
        <w:pStyle w:val="FootnoteText"/>
      </w:pPr>
      <w:r>
        <w:rPr>
          <w:rStyle w:val="FootnoteReference"/>
        </w:rPr>
        <w:footnoteRef/>
      </w:r>
      <w:r>
        <w:t xml:space="preserve"> </w:t>
      </w:r>
      <w:r>
        <w:tab/>
        <w:t>AT&amp;T Reply Comments on the PD at 1</w:t>
      </w:r>
      <w:r w:rsidR="00F14709">
        <w:t xml:space="preserve"> </w:t>
      </w:r>
      <w:r>
        <w:t>-</w:t>
      </w:r>
      <w:r w:rsidR="00F14709">
        <w:t xml:space="preserve"> </w:t>
      </w:r>
      <w:r>
        <w:t>3; SCE Reply Comments on the PD, at 1</w:t>
      </w:r>
      <w:r w:rsidR="00F14709">
        <w:t xml:space="preserve"> </w:t>
      </w:r>
      <w:r>
        <w:t>-</w:t>
      </w:r>
      <w:r w:rsidR="00F14709">
        <w:t xml:space="preserve"> </w:t>
      </w:r>
      <w:r>
        <w:t>3; and SDG&amp;E Reply Comments on the PD at 1</w:t>
      </w:r>
      <w:r w:rsidR="00F14709">
        <w:t xml:space="preserve"> </w:t>
      </w:r>
      <w:r>
        <w:t>-</w:t>
      </w:r>
      <w:r w:rsidR="00F14709">
        <w:t xml:space="preserve"> </w:t>
      </w:r>
      <w:r>
        <w:t xml:space="preserve">3. </w:t>
      </w:r>
    </w:p>
  </w:footnote>
  <w:footnote w:id="45">
    <w:p w:rsidR="00FF4579" w:rsidRDefault="00FF4579">
      <w:pPr>
        <w:pStyle w:val="FootnoteText"/>
      </w:pPr>
      <w:r>
        <w:rPr>
          <w:rStyle w:val="FootnoteReference"/>
        </w:rPr>
        <w:footnoteRef/>
      </w:r>
      <w:r>
        <w:t xml:space="preserve"> </w:t>
      </w:r>
      <w:r>
        <w:tab/>
        <w:t xml:space="preserve">AT&amp;T Reply Comments on the PD at 2, Footnote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rsidP="001F23DD">
    <w:pPr>
      <w:tabs>
        <w:tab w:val="right" w:pos="9360"/>
      </w:tabs>
    </w:pPr>
  </w:p>
  <w:p w:rsidR="00FF4579" w:rsidRDefault="00FF4579" w:rsidP="001F23DD">
    <w:pPr>
      <w:tabs>
        <w:tab w:val="right" w:pos="9360"/>
      </w:tabs>
    </w:pPr>
  </w:p>
  <w:p w:rsidR="00FF4579" w:rsidRDefault="00FF4579" w:rsidP="001F23D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r w:rsidRPr="00C15141">
      <w:rPr>
        <w:b/>
      </w:rPr>
      <w:t>PROPOSED DECISION</w:t>
    </w:r>
    <w:r>
      <w:rPr>
        <w:b/>
      </w:rPr>
      <w:t xml:space="preserve"> (Rev. 1)</w:t>
    </w:r>
  </w:p>
  <w:p w:rsidR="00FF4579" w:rsidRDefault="00FF4579">
    <w:pPr>
      <w:rPr>
        <w:sz w:val="24"/>
        <w:szCs w:val="24"/>
      </w:rPr>
    </w:pPr>
  </w:p>
  <w:p w:rsidR="00FF4579" w:rsidRDefault="00FF4579">
    <w:pPr>
      <w:rPr>
        <w:sz w:val="24"/>
        <w:szCs w:val="24"/>
      </w:rPr>
    </w:pPr>
  </w:p>
  <w:p w:rsidR="00FF4579" w:rsidRDefault="00FF4579">
    <w:pPr>
      <w:pStyle w:val="standard"/>
      <w:spacing w:after="80" w:line="240" w:lineRule="auto"/>
      <w:ind w:firstLine="0"/>
      <w:jc w:val="center"/>
      <w:outlineLvl w:val="0"/>
      <w:rPr>
        <w:b/>
      </w:rPr>
    </w:pPr>
    <w:r>
      <w:rPr>
        <w:b/>
      </w:rPr>
      <w:t>TABLE OF CONTENTS (cont.)</w:t>
    </w:r>
  </w:p>
  <w:p w:rsidR="00FF4579" w:rsidRDefault="00FF4579" w:rsidP="00361134">
    <w:pPr>
      <w:pStyle w:val="standard"/>
      <w:tabs>
        <w:tab w:val="left" w:pos="900"/>
        <w:tab w:val="right" w:pos="9360"/>
      </w:tabs>
      <w:spacing w:before="60" w:after="200" w:line="240" w:lineRule="auto"/>
      <w:ind w:firstLine="0"/>
    </w:pPr>
    <w:r>
      <w:tab/>
    </w:r>
    <w:r w:rsidRPr="00557C97">
      <w:rPr>
        <w:b/>
        <w:u w:val="single"/>
      </w:rPr>
      <w:t>Title</w:t>
    </w:r>
    <w:r>
      <w:tab/>
    </w:r>
    <w:r w:rsidRPr="00557C97">
      <w:rPr>
        <w:b/>
        <w:u w:val="single"/>
      </w:rPr>
      <w:t>Page</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r w:rsidRPr="00AF42C0">
      <w:rPr>
        <w:b/>
        <w:sz w:val="32"/>
        <w:szCs w:val="32"/>
      </w:rPr>
      <w:t>PROPOSED DECISION</w:t>
    </w:r>
    <w:r>
      <w:rPr>
        <w:b/>
        <w:sz w:val="32"/>
        <w:szCs w:val="32"/>
      </w:rPr>
      <w:t xml:space="preserve"> </w:t>
    </w:r>
    <w:r w:rsidRPr="0098509C">
      <w:rPr>
        <w:b/>
        <w:sz w:val="32"/>
        <w:szCs w:val="32"/>
      </w:rPr>
      <w:t>(Rev. 1)</w:t>
    </w:r>
  </w:p>
  <w:p w:rsidR="00FF4579" w:rsidRDefault="00FF4579" w:rsidP="00FE5D52">
    <w:pPr>
      <w:rPr>
        <w:sz w:val="24"/>
        <w:szCs w:val="24"/>
      </w:rPr>
    </w:pPr>
  </w:p>
  <w:p w:rsidR="00FF4579" w:rsidRPr="00FE5D52" w:rsidRDefault="00FF4579" w:rsidP="00FE5D52">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1F65AB">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w:t>
    </w:r>
  </w:p>
  <w:p w:rsidR="00FF4579" w:rsidRDefault="00FF4579" w:rsidP="001F65AB">
    <w:pPr>
      <w:rPr>
        <w:sz w:val="24"/>
        <w:szCs w:val="24"/>
      </w:rPr>
    </w:pPr>
  </w:p>
  <w:p w:rsidR="00FF4579" w:rsidRDefault="00FF4579" w:rsidP="001F65AB">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1F65AB">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r w:rsidRPr="00AF42C0">
      <w:rPr>
        <w:b/>
        <w:sz w:val="32"/>
        <w:szCs w:val="32"/>
      </w:rPr>
      <w:t>PROPOSED DECISION</w:t>
    </w:r>
    <w:r>
      <w:rPr>
        <w:b/>
        <w:sz w:val="32"/>
        <w:szCs w:val="32"/>
      </w:rPr>
      <w:t xml:space="preserve"> </w:t>
    </w:r>
    <w:r w:rsidRPr="00360579">
      <w:rPr>
        <w:b/>
        <w:sz w:val="32"/>
        <w:szCs w:val="32"/>
      </w:rPr>
      <w:t>(Rev. 1)</w:t>
    </w:r>
  </w:p>
  <w:p w:rsidR="00FF4579" w:rsidRDefault="00FF4579" w:rsidP="001F65AB">
    <w:pPr>
      <w:rPr>
        <w:sz w:val="24"/>
        <w:szCs w:val="24"/>
      </w:rPr>
    </w:pPr>
  </w:p>
  <w:p w:rsidR="00FF4579" w:rsidRDefault="00FF4579" w:rsidP="001F65AB">
    <w:pP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 xml:space="preserve">MP6/ek4 </w:t>
    </w:r>
    <w:r>
      <w:rPr>
        <w:szCs w:val="26"/>
      </w:rPr>
      <w:tab/>
    </w:r>
    <w:r>
      <w:rPr>
        <w:szCs w:val="26"/>
      </w:rPr>
      <w:tab/>
    </w:r>
    <w:r w:rsidRPr="00C15141">
      <w:rPr>
        <w:b/>
      </w:rPr>
      <w:t>PROPOSED DECISION</w:t>
    </w:r>
    <w:r>
      <w:rPr>
        <w:b/>
      </w:rPr>
      <w:t xml:space="preserve"> </w:t>
    </w:r>
    <w:r w:rsidRPr="00360579">
      <w:rPr>
        <w:b/>
        <w:sz w:val="32"/>
        <w:szCs w:val="32"/>
      </w:rPr>
      <w:t>(Rev. 1)</w:t>
    </w:r>
  </w:p>
  <w:p w:rsidR="00FF4579" w:rsidRPr="00AF42C0" w:rsidRDefault="00FF4579" w:rsidP="00651FBC">
    <w:pPr>
      <w:rPr>
        <w:sz w:val="24"/>
        <w:szCs w:val="24"/>
      </w:rPr>
    </w:pPr>
  </w:p>
  <w:p w:rsidR="00FF4579" w:rsidRDefault="00FF4579" w:rsidP="001F65AB">
    <w:pP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98509C" w:rsidRDefault="00FF4579" w:rsidP="0043192D">
    <w:pPr>
      <w:widowControl w:val="0"/>
      <w:tabs>
        <w:tab w:val="center" w:pos="4320"/>
        <w:tab w:val="right" w:pos="9360"/>
      </w:tabs>
      <w:rPr>
        <w:b/>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 xml:space="preserve">MP6/ek4 </w:t>
    </w:r>
    <w:r>
      <w:rPr>
        <w:szCs w:val="26"/>
      </w:rPr>
      <w:tab/>
    </w:r>
    <w:r>
      <w:rPr>
        <w:szCs w:val="26"/>
      </w:rPr>
      <w:tab/>
    </w:r>
    <w:r w:rsidRPr="00C15141">
      <w:rPr>
        <w:b/>
      </w:rPr>
      <w:t>PROPOSED DECISION</w:t>
    </w:r>
    <w:r>
      <w:rPr>
        <w:b/>
      </w:rPr>
      <w:t xml:space="preserve"> </w:t>
    </w:r>
    <w:r w:rsidRPr="0098509C">
      <w:rPr>
        <w:b/>
      </w:rPr>
      <w:t>(Rev. 1)</w:t>
    </w:r>
  </w:p>
  <w:p w:rsidR="00FF4579" w:rsidRDefault="00FF4579" w:rsidP="001F65AB">
    <w:pPr>
      <w:rPr>
        <w:sz w:val="24"/>
        <w:szCs w:val="24"/>
      </w:rPr>
    </w:pPr>
  </w:p>
  <w:p w:rsidR="00FF4579" w:rsidRDefault="00FF4579" w:rsidP="001F65AB">
    <w:pP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7E88EA"/>
    <w:lvl w:ilvl="0">
      <w:start w:val="1"/>
      <w:numFmt w:val="decimal"/>
      <w:pStyle w:val="ListNumber3"/>
      <w:lvlText w:val="%1."/>
      <w:lvlJc w:val="left"/>
      <w:pPr>
        <w:tabs>
          <w:tab w:val="num" w:pos="1440"/>
        </w:tabs>
        <w:ind w:left="1440" w:hanging="360"/>
      </w:pPr>
      <w:rPr>
        <w:rFonts w:cs="Times New Roman"/>
      </w:rPr>
    </w:lvl>
  </w:abstractNum>
  <w:abstractNum w:abstractNumId="1">
    <w:nsid w:val="FFFFFF7E"/>
    <w:multiLevelType w:val="singleLevel"/>
    <w:tmpl w:val="FA288C7C"/>
    <w:lvl w:ilvl="0">
      <w:start w:val="1"/>
      <w:numFmt w:val="decimal"/>
      <w:pStyle w:val="StandardNumber"/>
      <w:lvlText w:val="%1."/>
      <w:lvlJc w:val="left"/>
      <w:pPr>
        <w:tabs>
          <w:tab w:val="num" w:pos="1080"/>
        </w:tabs>
        <w:ind w:left="1080" w:hanging="360"/>
      </w:pPr>
      <w:rPr>
        <w:rFonts w:cs="Times New Roman"/>
      </w:rPr>
    </w:lvl>
  </w:abstractNum>
  <w:abstractNum w:abstractNumId="2">
    <w:nsid w:val="FFFFFF7F"/>
    <w:multiLevelType w:val="singleLevel"/>
    <w:tmpl w:val="2EAA893C"/>
    <w:lvl w:ilvl="0">
      <w:start w:val="1"/>
      <w:numFmt w:val="bullet"/>
      <w:pStyle w:val="ListNumber2"/>
      <w:lvlText w:val=""/>
      <w:lvlJc w:val="left"/>
      <w:pPr>
        <w:ind w:left="1440" w:hanging="360"/>
      </w:pPr>
      <w:rPr>
        <w:rFonts w:ascii="Symbol" w:hAnsi="Symbol" w:hint="default"/>
      </w:rPr>
    </w:lvl>
  </w:abstractNum>
  <w:abstractNum w:abstractNumId="3">
    <w:nsid w:val="035A3BB5"/>
    <w:multiLevelType w:val="multilevel"/>
    <w:tmpl w:val="B6847EAA"/>
    <w:name w:val="HeadingStyles||Heading|3|3|0|1|0|45||1|0|37||mpNA||mpNA||mpNA||mpNA||mpNA||mpNA||mpNA||"/>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4">
    <w:nsid w:val="04E16369"/>
    <w:multiLevelType w:val="hybridMultilevel"/>
    <w:tmpl w:val="13D63CE6"/>
    <w:lvl w:ilvl="0" w:tplc="0748A5B8">
      <w:start w:val="1"/>
      <w:numFmt w:val="decimal"/>
      <w:pStyle w:val="StyleHeading3TimesNewRoman"/>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8909FA"/>
    <w:multiLevelType w:val="hybridMultilevel"/>
    <w:tmpl w:val="FE688AEC"/>
    <w:name w:val="zzmpPUC||PUC|3|1|0|1|2|41||1|2|37||1|2|32||1|2|33||1|2|32||1|2|32||1|2|32||1|2|32||1|2|32||42222"/>
    <w:lvl w:ilvl="0" w:tplc="79486476">
      <w:start w:val="1"/>
      <w:numFmt w:val="lowerLetter"/>
      <w:lvlText w:val="%1."/>
      <w:lvlJc w:val="left"/>
      <w:pPr>
        <w:tabs>
          <w:tab w:val="num" w:pos="1440"/>
        </w:tabs>
        <w:ind w:left="1440" w:hanging="576"/>
      </w:pPr>
      <w:rPr>
        <w:rFonts w:cs="Times New Roman" w:hint="default"/>
      </w:rPr>
    </w:lvl>
    <w:lvl w:ilvl="1" w:tplc="956CE398" w:tentative="1">
      <w:start w:val="1"/>
      <w:numFmt w:val="lowerLetter"/>
      <w:lvlText w:val="%2."/>
      <w:lvlJc w:val="left"/>
      <w:pPr>
        <w:tabs>
          <w:tab w:val="num" w:pos="1440"/>
        </w:tabs>
        <w:ind w:left="1440" w:hanging="360"/>
      </w:pPr>
      <w:rPr>
        <w:rFonts w:cs="Times New Roman"/>
      </w:rPr>
    </w:lvl>
    <w:lvl w:ilvl="2" w:tplc="D13EE5C8" w:tentative="1">
      <w:start w:val="1"/>
      <w:numFmt w:val="lowerRoman"/>
      <w:lvlText w:val="%3."/>
      <w:lvlJc w:val="right"/>
      <w:pPr>
        <w:tabs>
          <w:tab w:val="num" w:pos="2160"/>
        </w:tabs>
        <w:ind w:left="2160" w:hanging="180"/>
      </w:pPr>
      <w:rPr>
        <w:rFonts w:cs="Times New Roman"/>
      </w:rPr>
    </w:lvl>
    <w:lvl w:ilvl="3" w:tplc="E9923EEA" w:tentative="1">
      <w:start w:val="1"/>
      <w:numFmt w:val="decimal"/>
      <w:lvlText w:val="%4."/>
      <w:lvlJc w:val="left"/>
      <w:pPr>
        <w:tabs>
          <w:tab w:val="num" w:pos="2880"/>
        </w:tabs>
        <w:ind w:left="2880" w:hanging="360"/>
      </w:pPr>
      <w:rPr>
        <w:rFonts w:cs="Times New Roman"/>
      </w:rPr>
    </w:lvl>
    <w:lvl w:ilvl="4" w:tplc="05D29E36" w:tentative="1">
      <w:start w:val="1"/>
      <w:numFmt w:val="lowerLetter"/>
      <w:lvlText w:val="%5."/>
      <w:lvlJc w:val="left"/>
      <w:pPr>
        <w:tabs>
          <w:tab w:val="num" w:pos="3600"/>
        </w:tabs>
        <w:ind w:left="3600" w:hanging="360"/>
      </w:pPr>
      <w:rPr>
        <w:rFonts w:cs="Times New Roman"/>
      </w:rPr>
    </w:lvl>
    <w:lvl w:ilvl="5" w:tplc="FA401A12" w:tentative="1">
      <w:start w:val="1"/>
      <w:numFmt w:val="lowerRoman"/>
      <w:lvlText w:val="%6."/>
      <w:lvlJc w:val="right"/>
      <w:pPr>
        <w:tabs>
          <w:tab w:val="num" w:pos="4320"/>
        </w:tabs>
        <w:ind w:left="4320" w:hanging="180"/>
      </w:pPr>
      <w:rPr>
        <w:rFonts w:cs="Times New Roman"/>
      </w:rPr>
    </w:lvl>
    <w:lvl w:ilvl="6" w:tplc="79D0A1A6" w:tentative="1">
      <w:start w:val="1"/>
      <w:numFmt w:val="decimal"/>
      <w:lvlText w:val="%7."/>
      <w:lvlJc w:val="left"/>
      <w:pPr>
        <w:tabs>
          <w:tab w:val="num" w:pos="5040"/>
        </w:tabs>
        <w:ind w:left="5040" w:hanging="360"/>
      </w:pPr>
      <w:rPr>
        <w:rFonts w:cs="Times New Roman"/>
      </w:rPr>
    </w:lvl>
    <w:lvl w:ilvl="7" w:tplc="C97656CE" w:tentative="1">
      <w:start w:val="1"/>
      <w:numFmt w:val="lowerLetter"/>
      <w:lvlText w:val="%8."/>
      <w:lvlJc w:val="left"/>
      <w:pPr>
        <w:tabs>
          <w:tab w:val="num" w:pos="5760"/>
        </w:tabs>
        <w:ind w:left="5760" w:hanging="360"/>
      </w:pPr>
      <w:rPr>
        <w:rFonts w:cs="Times New Roman"/>
      </w:rPr>
    </w:lvl>
    <w:lvl w:ilvl="8" w:tplc="B30C7B62" w:tentative="1">
      <w:start w:val="1"/>
      <w:numFmt w:val="lowerRoman"/>
      <w:lvlText w:val="%9."/>
      <w:lvlJc w:val="right"/>
      <w:pPr>
        <w:tabs>
          <w:tab w:val="num" w:pos="6480"/>
        </w:tabs>
        <w:ind w:left="6480" w:hanging="180"/>
      </w:pPr>
      <w:rPr>
        <w:rFonts w:cs="Times New Roman"/>
      </w:rPr>
    </w:lvl>
  </w:abstractNum>
  <w:abstractNum w:abstractNumId="6">
    <w:nsid w:val="09287DEC"/>
    <w:multiLevelType w:val="multilevel"/>
    <w:tmpl w:val="948C5C90"/>
    <w:lvl w:ilvl="0">
      <w:start w:val="1"/>
      <w:numFmt w:val="decimal"/>
      <w:pStyle w:val="ListNumber"/>
      <w:lvlText w:val="%1"/>
      <w:lvlJc w:val="left"/>
      <w:pPr>
        <w:ind w:left="432" w:hanging="432"/>
      </w:pPr>
      <w:rPr>
        <w:rFonts w:hint="default"/>
        <w:b/>
        <w:i w:val="0"/>
        <w:sz w:val="26"/>
      </w:rPr>
    </w:lvl>
    <w:lvl w:ilvl="1">
      <w:start w:val="1"/>
      <w:numFmt w:val="decimal"/>
      <w:lvlText w:val="%1.%2"/>
      <w:lvlJc w:val="left"/>
      <w:pPr>
        <w:ind w:left="576" w:hanging="576"/>
      </w:pPr>
      <w:rPr>
        <w:rFonts w:hint="default"/>
        <w:b/>
        <w:i w:val="0"/>
        <w:sz w:val="26"/>
      </w:rPr>
    </w:lvl>
    <w:lvl w:ilvl="2">
      <w:start w:val="1"/>
      <w:numFmt w:val="decimal"/>
      <w:lvlText w:val="%1.%2.%3"/>
      <w:lvlJc w:val="left"/>
      <w:pPr>
        <w:ind w:left="720" w:hanging="720"/>
      </w:pPr>
      <w:rPr>
        <w:rFonts w:hint="default"/>
        <w:b/>
        <w:i w:val="0"/>
        <w:sz w:val="26"/>
      </w:rPr>
    </w:lvl>
    <w:lvl w:ilvl="3">
      <w:start w:val="1"/>
      <w:numFmt w:val="decimal"/>
      <w:lvlText w:val="%1.%2.%3.%4"/>
      <w:lvlJc w:val="left"/>
      <w:pPr>
        <w:ind w:left="864" w:hanging="864"/>
      </w:pPr>
      <w:rPr>
        <w:rFonts w:hint="default"/>
        <w:b/>
        <w:i w:val="0"/>
        <w:sz w:val="26"/>
      </w:rPr>
    </w:lvl>
    <w:lvl w:ilvl="4">
      <w:start w:val="1"/>
      <w:numFmt w:val="decimal"/>
      <w:lvlText w:val="%1.%2.%3.%4.%5"/>
      <w:lvlJc w:val="left"/>
      <w:pPr>
        <w:ind w:left="1008" w:hanging="1008"/>
      </w:pPr>
      <w:rPr>
        <w:rFonts w:hint="default"/>
        <w:b/>
        <w:i w:val="0"/>
        <w:sz w:val="26"/>
        <w:szCs w:val="26"/>
      </w:rPr>
    </w:lvl>
    <w:lvl w:ilvl="5">
      <w:start w:val="1"/>
      <w:numFmt w:val="decimal"/>
      <w:lvlText w:val="%1.%2.%3.%4.%5.%6"/>
      <w:lvlJc w:val="left"/>
      <w:pPr>
        <w:ind w:left="1152" w:hanging="1152"/>
      </w:pPr>
      <w:rPr>
        <w:rFonts w:hint="default"/>
        <w:b/>
        <w:i w:val="0"/>
        <w:sz w:val="26"/>
        <w:szCs w:val="26"/>
      </w:rPr>
    </w:lvl>
    <w:lvl w:ilvl="6">
      <w:start w:val="1"/>
      <w:numFmt w:val="decimal"/>
      <w:lvlText w:val="%1.%2.%3.%4.%5.%6.%7"/>
      <w:lvlJc w:val="left"/>
      <w:pPr>
        <w:ind w:left="1296" w:hanging="1296"/>
      </w:pPr>
      <w:rPr>
        <w:rFonts w:hint="default"/>
        <w:b/>
        <w:i w:val="0"/>
        <w:sz w:val="26"/>
      </w:rPr>
    </w:lvl>
    <w:lvl w:ilvl="7">
      <w:start w:val="1"/>
      <w:numFmt w:val="decimal"/>
      <w:lvlText w:val="%1.%2.%3.%4.%5.%6.%7.%8"/>
      <w:lvlJc w:val="left"/>
      <w:pPr>
        <w:ind w:left="1440" w:hanging="1440"/>
      </w:pPr>
      <w:rPr>
        <w:rFonts w:hint="default"/>
        <w:b/>
        <w:i w:val="0"/>
        <w:sz w:val="26"/>
      </w:rPr>
    </w:lvl>
    <w:lvl w:ilvl="8">
      <w:start w:val="1"/>
      <w:numFmt w:val="decimal"/>
      <w:lvlText w:val="%1.%2.%3.%4.%5.%6.%7.%8.%9"/>
      <w:lvlJc w:val="left"/>
      <w:pPr>
        <w:ind w:left="1584" w:hanging="1584"/>
      </w:pPr>
      <w:rPr>
        <w:rFonts w:hint="default"/>
        <w:b/>
        <w:i w:val="0"/>
        <w:sz w:val="26"/>
      </w:rPr>
    </w:lvl>
  </w:abstractNum>
  <w:abstractNum w:abstractNumId="7">
    <w:nsid w:val="10775F89"/>
    <w:multiLevelType w:val="multilevel"/>
    <w:tmpl w:val="8B9C4C54"/>
    <w:lvl w:ilvl="0">
      <w:start w:val="1"/>
      <w:numFmt w:val="decimal"/>
      <w:pStyle w:val="Heading1"/>
      <w:lvlText w:val="%1."/>
      <w:lvlJc w:val="left"/>
      <w:pPr>
        <w:tabs>
          <w:tab w:val="num" w:pos="720"/>
        </w:tabs>
        <w:ind w:left="720" w:hanging="720"/>
      </w:pPr>
      <w:rPr>
        <w:rFonts w:hint="default"/>
        <w:b/>
        <w:i w:val="0"/>
        <w:sz w:val="26"/>
      </w:rPr>
    </w:lvl>
    <w:lvl w:ilvl="1">
      <w:start w:val="1"/>
      <w:numFmt w:val="decimal"/>
      <w:pStyle w:val="Heading2"/>
      <w:lvlText w:val="%1.%2."/>
      <w:lvlJc w:val="left"/>
      <w:pPr>
        <w:tabs>
          <w:tab w:val="num" w:pos="1440"/>
        </w:tabs>
        <w:ind w:left="1440" w:hanging="720"/>
      </w:pPr>
      <w:rPr>
        <w:rFonts w:hint="default"/>
        <w:b/>
        <w:i w:val="0"/>
        <w:sz w:val="26"/>
      </w:rPr>
    </w:lvl>
    <w:lvl w:ilvl="2">
      <w:start w:val="1"/>
      <w:numFmt w:val="decimal"/>
      <w:pStyle w:val="Heading3"/>
      <w:lvlText w:val="%1.%2.%3."/>
      <w:lvlJc w:val="left"/>
      <w:pPr>
        <w:tabs>
          <w:tab w:val="num" w:pos="1728"/>
        </w:tabs>
        <w:ind w:left="1728" w:hanging="1008"/>
      </w:pPr>
      <w:rPr>
        <w:rFonts w:hint="default"/>
        <w:b/>
        <w:i w:val="0"/>
        <w:sz w:val="26"/>
      </w:rPr>
    </w:lvl>
    <w:lvl w:ilvl="3">
      <w:start w:val="1"/>
      <w:numFmt w:val="decimal"/>
      <w:pStyle w:val="Heading4"/>
      <w:lvlText w:val="%1.%2.%3.%4"/>
      <w:lvlJc w:val="left"/>
      <w:pPr>
        <w:tabs>
          <w:tab w:val="num" w:pos="2160"/>
        </w:tabs>
        <w:ind w:left="2160" w:hanging="1440"/>
      </w:pPr>
      <w:rPr>
        <w:rFonts w:hint="default"/>
        <w:b/>
        <w:i w:val="0"/>
        <w:sz w:val="26"/>
      </w:rPr>
    </w:lvl>
    <w:lvl w:ilvl="4">
      <w:start w:val="1"/>
      <w:numFmt w:val="decimal"/>
      <w:pStyle w:val="Heading5"/>
      <w:lvlText w:val="%1.%2.%3.%4.%5"/>
      <w:lvlJc w:val="left"/>
      <w:pPr>
        <w:tabs>
          <w:tab w:val="num" w:pos="3600"/>
        </w:tabs>
        <w:ind w:left="3600" w:hanging="2880"/>
      </w:pPr>
      <w:rPr>
        <w:rFonts w:hint="default"/>
        <w:b/>
        <w:i w:val="0"/>
        <w:sz w:val="26"/>
        <w:szCs w:val="26"/>
      </w:rPr>
    </w:lvl>
    <w:lvl w:ilvl="5">
      <w:start w:val="1"/>
      <w:numFmt w:val="decimal"/>
      <w:lvlText w:val="%1.%2.%3.%4.%5.%6"/>
      <w:lvlJc w:val="left"/>
      <w:pPr>
        <w:tabs>
          <w:tab w:val="num" w:pos="4104"/>
        </w:tabs>
        <w:ind w:left="4104" w:hanging="3384"/>
      </w:pPr>
      <w:rPr>
        <w:rFonts w:hint="default"/>
        <w:b/>
        <w:i w:val="0"/>
        <w:sz w:val="26"/>
        <w:szCs w:val="26"/>
      </w:rPr>
    </w:lvl>
    <w:lvl w:ilvl="6">
      <w:start w:val="1"/>
      <w:numFmt w:val="decimal"/>
      <w:lvlText w:val="%1.%2.%3.%4.%5.%6.%7."/>
      <w:lvlJc w:val="left"/>
      <w:pPr>
        <w:tabs>
          <w:tab w:val="num" w:pos="4320"/>
        </w:tabs>
        <w:ind w:left="4320" w:hanging="3600"/>
      </w:pPr>
      <w:rPr>
        <w:rFonts w:hint="default"/>
        <w:b/>
        <w:i w:val="0"/>
        <w:sz w:val="26"/>
      </w:rPr>
    </w:lvl>
    <w:lvl w:ilvl="7">
      <w:start w:val="1"/>
      <w:numFmt w:val="decimal"/>
      <w:lvlText w:val="%1.%2.%3.%4.%5.%6.%7.%8."/>
      <w:lvlJc w:val="left"/>
      <w:pPr>
        <w:tabs>
          <w:tab w:val="num" w:pos="4608"/>
        </w:tabs>
        <w:ind w:left="4608" w:hanging="3888"/>
      </w:pPr>
      <w:rPr>
        <w:rFonts w:hint="default"/>
        <w:b/>
        <w:i w:val="0"/>
        <w:sz w:val="26"/>
      </w:rPr>
    </w:lvl>
    <w:lvl w:ilvl="8">
      <w:start w:val="1"/>
      <w:numFmt w:val="upperLetter"/>
      <w:lvlText w:val="Appendix %9:"/>
      <w:lvlJc w:val="left"/>
      <w:pPr>
        <w:tabs>
          <w:tab w:val="num" w:pos="1800"/>
        </w:tabs>
        <w:ind w:left="1800" w:hanging="1800"/>
      </w:pPr>
      <w:rPr>
        <w:rFonts w:hint="default"/>
        <w:b/>
        <w:i w:val="0"/>
        <w:sz w:val="26"/>
      </w:rPr>
    </w:lvl>
  </w:abstractNum>
  <w:abstractNum w:abstractNumId="8">
    <w:nsid w:val="11CE31C1"/>
    <w:multiLevelType w:val="hybridMultilevel"/>
    <w:tmpl w:val="0C3471DE"/>
    <w:lvl w:ilvl="0" w:tplc="07AA8380">
      <w:start w:val="1"/>
      <w:numFmt w:val="upperLetter"/>
      <w:pStyle w:val="StyleHeading2TimesNew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FC3872"/>
    <w:multiLevelType w:val="multilevel"/>
    <w:tmpl w:val="BB64748A"/>
    <w:lvl w:ilvl="0">
      <w:start w:val="1"/>
      <w:numFmt w:val="upperRoman"/>
      <w:lvlRestart w:val="0"/>
      <w:pStyle w:val="Level1"/>
      <w:lvlText w:val="%1."/>
      <w:lvlJc w:val="left"/>
      <w:pPr>
        <w:tabs>
          <w:tab w:val="num" w:pos="720"/>
        </w:tabs>
      </w:pPr>
      <w:rPr>
        <w:rFonts w:cs="Times New Roman"/>
        <w:b/>
        <w:i w:val="0"/>
        <w:u w:val="none"/>
      </w:rPr>
    </w:lvl>
    <w:lvl w:ilvl="1">
      <w:start w:val="1"/>
      <w:numFmt w:val="upperLetter"/>
      <w:pStyle w:val="Level2"/>
      <w:lvlText w:val="%2."/>
      <w:lvlJc w:val="left"/>
      <w:pPr>
        <w:tabs>
          <w:tab w:val="num" w:pos="1440"/>
        </w:tabs>
        <w:ind w:firstLine="720"/>
      </w:pPr>
      <w:rPr>
        <w:rFonts w:cs="Times New Roman"/>
        <w:b/>
        <w:i w:val="0"/>
        <w:u w:val="none"/>
      </w:rPr>
    </w:lvl>
    <w:lvl w:ilvl="2">
      <w:start w:val="1"/>
      <w:numFmt w:val="decimal"/>
      <w:pStyle w:val="Level3"/>
      <w:lvlText w:val="%3."/>
      <w:lvlJc w:val="left"/>
      <w:pPr>
        <w:tabs>
          <w:tab w:val="num" w:pos="2880"/>
        </w:tabs>
        <w:ind w:firstLine="2160"/>
      </w:pPr>
      <w:rPr>
        <w:rFonts w:cs="Times New Roman"/>
        <w:b w:val="0"/>
        <w:i w:val="0"/>
        <w:u w:val="none"/>
      </w:rPr>
    </w:lvl>
    <w:lvl w:ilvl="3">
      <w:start w:val="1"/>
      <w:numFmt w:val="lowerLetter"/>
      <w:pStyle w:val="Level4"/>
      <w:lvlText w:val="(%4)"/>
      <w:lvlJc w:val="left"/>
      <w:pPr>
        <w:tabs>
          <w:tab w:val="num" w:pos="3600"/>
        </w:tabs>
        <w:ind w:firstLine="2880"/>
      </w:pPr>
      <w:rPr>
        <w:rFonts w:cs="Times New Roman"/>
        <w:b w:val="0"/>
        <w:i w:val="0"/>
        <w:u w:val="none"/>
      </w:rPr>
    </w:lvl>
    <w:lvl w:ilvl="4">
      <w:start w:val="1"/>
      <w:numFmt w:val="lowerRoman"/>
      <w:pStyle w:val="Level5"/>
      <w:lvlText w:val="(%5)"/>
      <w:lvlJc w:val="left"/>
      <w:pPr>
        <w:tabs>
          <w:tab w:val="num" w:pos="4320"/>
        </w:tabs>
        <w:ind w:firstLine="3600"/>
      </w:pPr>
      <w:rPr>
        <w:rFonts w:cs="Times New Roman"/>
        <w:b w:val="0"/>
        <w:i w:val="0"/>
        <w:u w:val="none"/>
      </w:rPr>
    </w:lvl>
    <w:lvl w:ilvl="5">
      <w:start w:val="1"/>
      <w:numFmt w:val="upperLetter"/>
      <w:pStyle w:val="Level6"/>
      <w:lvlText w:val="(%6)"/>
      <w:lvlJc w:val="left"/>
      <w:pPr>
        <w:tabs>
          <w:tab w:val="num" w:pos="5040"/>
        </w:tabs>
        <w:ind w:firstLine="4320"/>
      </w:pPr>
      <w:rPr>
        <w:rFonts w:cs="Times New Roman"/>
        <w:b w:val="0"/>
        <w:i w:val="0"/>
        <w:u w:val="none"/>
      </w:rPr>
    </w:lvl>
    <w:lvl w:ilvl="6">
      <w:start w:val="1"/>
      <w:numFmt w:val="decimal"/>
      <w:pStyle w:val="Level7"/>
      <w:lvlText w:val="%7)"/>
      <w:lvlJc w:val="left"/>
      <w:pPr>
        <w:tabs>
          <w:tab w:val="num" w:pos="5760"/>
        </w:tabs>
        <w:ind w:firstLine="5040"/>
      </w:pPr>
      <w:rPr>
        <w:rFonts w:cs="Times New Roman"/>
        <w:b w:val="0"/>
        <w:i w:val="0"/>
        <w:u w:val="none"/>
      </w:rPr>
    </w:lvl>
    <w:lvl w:ilvl="7">
      <w:start w:val="1"/>
      <w:numFmt w:val="lowerLetter"/>
      <w:pStyle w:val="Level8"/>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10">
    <w:nsid w:val="1D712C3A"/>
    <w:multiLevelType w:val="multilevel"/>
    <w:tmpl w:val="A6D25F6A"/>
    <w:numStyleLink w:val="Style1"/>
  </w:abstractNum>
  <w:abstractNum w:abstractNumId="11">
    <w:nsid w:val="1EDB688B"/>
    <w:multiLevelType w:val="hybridMultilevel"/>
    <w:tmpl w:val="CF8EFBCC"/>
    <w:name w:val="zzmpPUC||PUC|3|1|0|1|2|41||1|2|37||1|2|32||1|2|33||1|2|32||1|2|32||1|2|32||1|2|32||1|2|32||4"/>
    <w:lvl w:ilvl="0" w:tplc="860CE828">
      <w:start w:val="1"/>
      <w:numFmt w:val="lowerRoman"/>
      <w:lvlText w:val="%1."/>
      <w:lvlJc w:val="left"/>
      <w:pPr>
        <w:tabs>
          <w:tab w:val="num" w:pos="1296"/>
        </w:tabs>
        <w:ind w:left="1296" w:hanging="576"/>
      </w:pPr>
      <w:rPr>
        <w:rFonts w:cs="Times New Roman" w:hint="default"/>
      </w:rPr>
    </w:lvl>
    <w:lvl w:ilvl="1" w:tplc="E26AA20A" w:tentative="1">
      <w:start w:val="1"/>
      <w:numFmt w:val="lowerLetter"/>
      <w:lvlText w:val="%2."/>
      <w:lvlJc w:val="left"/>
      <w:pPr>
        <w:tabs>
          <w:tab w:val="num" w:pos="1440"/>
        </w:tabs>
        <w:ind w:left="1440" w:hanging="360"/>
      </w:pPr>
      <w:rPr>
        <w:rFonts w:cs="Times New Roman"/>
      </w:rPr>
    </w:lvl>
    <w:lvl w:ilvl="2" w:tplc="ECE0DB70" w:tentative="1">
      <w:start w:val="1"/>
      <w:numFmt w:val="lowerRoman"/>
      <w:lvlText w:val="%3."/>
      <w:lvlJc w:val="right"/>
      <w:pPr>
        <w:tabs>
          <w:tab w:val="num" w:pos="2160"/>
        </w:tabs>
        <w:ind w:left="2160" w:hanging="180"/>
      </w:pPr>
      <w:rPr>
        <w:rFonts w:cs="Times New Roman"/>
      </w:rPr>
    </w:lvl>
    <w:lvl w:ilvl="3" w:tplc="F2E49652" w:tentative="1">
      <w:start w:val="1"/>
      <w:numFmt w:val="decimal"/>
      <w:lvlText w:val="%4."/>
      <w:lvlJc w:val="left"/>
      <w:pPr>
        <w:tabs>
          <w:tab w:val="num" w:pos="2880"/>
        </w:tabs>
        <w:ind w:left="2880" w:hanging="360"/>
      </w:pPr>
      <w:rPr>
        <w:rFonts w:cs="Times New Roman"/>
      </w:rPr>
    </w:lvl>
    <w:lvl w:ilvl="4" w:tplc="62860AB8" w:tentative="1">
      <w:start w:val="1"/>
      <w:numFmt w:val="lowerLetter"/>
      <w:lvlText w:val="%5."/>
      <w:lvlJc w:val="left"/>
      <w:pPr>
        <w:tabs>
          <w:tab w:val="num" w:pos="3600"/>
        </w:tabs>
        <w:ind w:left="3600" w:hanging="360"/>
      </w:pPr>
      <w:rPr>
        <w:rFonts w:cs="Times New Roman"/>
      </w:rPr>
    </w:lvl>
    <w:lvl w:ilvl="5" w:tplc="A1B2B212" w:tentative="1">
      <w:start w:val="1"/>
      <w:numFmt w:val="lowerRoman"/>
      <w:lvlText w:val="%6."/>
      <w:lvlJc w:val="right"/>
      <w:pPr>
        <w:tabs>
          <w:tab w:val="num" w:pos="4320"/>
        </w:tabs>
        <w:ind w:left="4320" w:hanging="180"/>
      </w:pPr>
      <w:rPr>
        <w:rFonts w:cs="Times New Roman"/>
      </w:rPr>
    </w:lvl>
    <w:lvl w:ilvl="6" w:tplc="F1780AF2" w:tentative="1">
      <w:start w:val="1"/>
      <w:numFmt w:val="decimal"/>
      <w:lvlText w:val="%7."/>
      <w:lvlJc w:val="left"/>
      <w:pPr>
        <w:tabs>
          <w:tab w:val="num" w:pos="5040"/>
        </w:tabs>
        <w:ind w:left="5040" w:hanging="360"/>
      </w:pPr>
      <w:rPr>
        <w:rFonts w:cs="Times New Roman"/>
      </w:rPr>
    </w:lvl>
    <w:lvl w:ilvl="7" w:tplc="56CEAF1E" w:tentative="1">
      <w:start w:val="1"/>
      <w:numFmt w:val="lowerLetter"/>
      <w:lvlText w:val="%8."/>
      <w:lvlJc w:val="left"/>
      <w:pPr>
        <w:tabs>
          <w:tab w:val="num" w:pos="5760"/>
        </w:tabs>
        <w:ind w:left="5760" w:hanging="360"/>
      </w:pPr>
      <w:rPr>
        <w:rFonts w:cs="Times New Roman"/>
      </w:rPr>
    </w:lvl>
    <w:lvl w:ilvl="8" w:tplc="8EEA3352" w:tentative="1">
      <w:start w:val="1"/>
      <w:numFmt w:val="lowerRoman"/>
      <w:lvlText w:val="%9."/>
      <w:lvlJc w:val="right"/>
      <w:pPr>
        <w:tabs>
          <w:tab w:val="num" w:pos="6480"/>
        </w:tabs>
        <w:ind w:left="6480" w:hanging="180"/>
      </w:pPr>
      <w:rPr>
        <w:rFonts w:cs="Times New Roman"/>
      </w:rPr>
    </w:lvl>
  </w:abstractNum>
  <w:abstractNum w:abstractNumId="12">
    <w:nsid w:val="207D14B4"/>
    <w:multiLevelType w:val="hybridMultilevel"/>
    <w:tmpl w:val="F574E8FC"/>
    <w:lvl w:ilvl="0" w:tplc="10CA710C">
      <w:start w:val="1"/>
      <w:numFmt w:val="lowerLetter"/>
      <w:pStyle w:val="StyleHeading4TimesNew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1C828DD"/>
    <w:multiLevelType w:val="singleLevel"/>
    <w:tmpl w:val="F72A9324"/>
    <w:lvl w:ilvl="0">
      <w:start w:val="1"/>
      <w:numFmt w:val="decimal"/>
      <w:pStyle w:val="num1"/>
      <w:lvlText w:val="%1."/>
      <w:lvlJc w:val="right"/>
      <w:pPr>
        <w:tabs>
          <w:tab w:val="num" w:pos="720"/>
        </w:tabs>
        <w:ind w:left="0" w:firstLine="504"/>
      </w:pPr>
      <w:rPr>
        <w:rFonts w:cs="Times New Roman" w:hint="default"/>
      </w:rPr>
    </w:lvl>
  </w:abstractNum>
  <w:abstractNum w:abstractNumId="14">
    <w:nsid w:val="22722067"/>
    <w:multiLevelType w:val="multilevel"/>
    <w:tmpl w:val="711E243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9F6258"/>
    <w:multiLevelType w:val="hybridMultilevel"/>
    <w:tmpl w:val="251E3F98"/>
    <w:name w:val="zzmpPUC||PUC|3|1|0|1|2|41||1|2|37||1|2|32||1|2|33||1|2|32||1|2|32||1|2|32||1|2|32||1|2|32||4222"/>
    <w:lvl w:ilvl="0" w:tplc="04090001">
      <w:start w:val="1"/>
      <w:numFmt w:val="lowerRoman"/>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4A46E3B"/>
    <w:multiLevelType w:val="hybridMultilevel"/>
    <w:tmpl w:val="13E0E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B25FF"/>
    <w:multiLevelType w:val="hybridMultilevel"/>
    <w:tmpl w:val="BF6E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9">
    <w:nsid w:val="37FB5336"/>
    <w:multiLevelType w:val="multilevel"/>
    <w:tmpl w:val="D402030C"/>
    <w:styleLink w:val="AppendixA"/>
    <w:lvl w:ilvl="0">
      <w:start w:val="1"/>
      <w:numFmt w:val="upperLetter"/>
      <w:lvlText w:val="Appendix %1:"/>
      <w:lvlJc w:val="left"/>
      <w:pPr>
        <w:tabs>
          <w:tab w:val="num" w:pos="1800"/>
        </w:tabs>
        <w:ind w:left="1800" w:hanging="1800"/>
      </w:pPr>
      <w:rPr>
        <w:rFonts w:ascii="Helvetica" w:hAnsi="Helvetica"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AF25FB"/>
    <w:multiLevelType w:val="hybridMultilevel"/>
    <w:tmpl w:val="BBF2E33A"/>
    <w:lvl w:ilvl="0" w:tplc="5ABA1698">
      <w:start w:val="1"/>
      <w:numFmt w:val="lowerLetter"/>
      <w:lvlText w:val="%1."/>
      <w:lvlJc w:val="left"/>
      <w:pPr>
        <w:ind w:left="1440" w:hanging="360"/>
      </w:pPr>
      <w:rPr>
        <w:rFonts w:hint="default"/>
      </w:rPr>
    </w:lvl>
    <w:lvl w:ilvl="1" w:tplc="282EF71E" w:tentative="1">
      <w:start w:val="1"/>
      <w:numFmt w:val="lowerLetter"/>
      <w:lvlText w:val="%2."/>
      <w:lvlJc w:val="left"/>
      <w:pPr>
        <w:ind w:left="2160" w:hanging="360"/>
      </w:pPr>
    </w:lvl>
    <w:lvl w:ilvl="2" w:tplc="CA3AC544" w:tentative="1">
      <w:start w:val="1"/>
      <w:numFmt w:val="lowerRoman"/>
      <w:lvlText w:val="%3."/>
      <w:lvlJc w:val="right"/>
      <w:pPr>
        <w:ind w:left="2880" w:hanging="180"/>
      </w:pPr>
    </w:lvl>
    <w:lvl w:ilvl="3" w:tplc="520C0F72" w:tentative="1">
      <w:start w:val="1"/>
      <w:numFmt w:val="decimal"/>
      <w:lvlText w:val="%4."/>
      <w:lvlJc w:val="left"/>
      <w:pPr>
        <w:ind w:left="3600" w:hanging="360"/>
      </w:pPr>
    </w:lvl>
    <w:lvl w:ilvl="4" w:tplc="F8BE3028" w:tentative="1">
      <w:start w:val="1"/>
      <w:numFmt w:val="lowerLetter"/>
      <w:lvlText w:val="%5."/>
      <w:lvlJc w:val="left"/>
      <w:pPr>
        <w:ind w:left="4320" w:hanging="360"/>
      </w:pPr>
    </w:lvl>
    <w:lvl w:ilvl="5" w:tplc="E09EB53E" w:tentative="1">
      <w:start w:val="1"/>
      <w:numFmt w:val="lowerRoman"/>
      <w:lvlText w:val="%6."/>
      <w:lvlJc w:val="right"/>
      <w:pPr>
        <w:ind w:left="5040" w:hanging="180"/>
      </w:pPr>
    </w:lvl>
    <w:lvl w:ilvl="6" w:tplc="83C22B16" w:tentative="1">
      <w:start w:val="1"/>
      <w:numFmt w:val="decimal"/>
      <w:lvlText w:val="%7."/>
      <w:lvlJc w:val="left"/>
      <w:pPr>
        <w:ind w:left="5760" w:hanging="360"/>
      </w:pPr>
    </w:lvl>
    <w:lvl w:ilvl="7" w:tplc="768A2792" w:tentative="1">
      <w:start w:val="1"/>
      <w:numFmt w:val="lowerLetter"/>
      <w:lvlText w:val="%8."/>
      <w:lvlJc w:val="left"/>
      <w:pPr>
        <w:ind w:left="6480" w:hanging="360"/>
      </w:pPr>
    </w:lvl>
    <w:lvl w:ilvl="8" w:tplc="71E4A9A4" w:tentative="1">
      <w:start w:val="1"/>
      <w:numFmt w:val="lowerRoman"/>
      <w:lvlText w:val="%9."/>
      <w:lvlJc w:val="right"/>
      <w:pPr>
        <w:ind w:left="7200" w:hanging="180"/>
      </w:pPr>
    </w:lvl>
  </w:abstractNum>
  <w:abstractNum w:abstractNumId="21">
    <w:nsid w:val="39F23473"/>
    <w:multiLevelType w:val="multilevel"/>
    <w:tmpl w:val="B2201ED6"/>
    <w:name w:val="zzmpPleading1||Pleading1|2|1|1|1|4|41||1|4|33||1|4|33||1|4|36||1|4|32||1|4|32||1|4|32||1|4|32||1|4|32||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2">
    <w:nsid w:val="3B685662"/>
    <w:multiLevelType w:val="multilevel"/>
    <w:tmpl w:val="280A77B8"/>
    <w:name w:val="zzmpPleading1||Pleading1|2|1|1|1|4|41||1|4|33||1|4|33||1|4|36||1|4|32||1|4|32||1|4|32||1|4|32||1|4|32||24"/>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z w:val="26"/>
        <w:u w:val="none"/>
      </w:rPr>
    </w:lvl>
    <w:lvl w:ilvl="1">
      <w:start w:val="1"/>
      <w:numFmt w:val="upperLetter"/>
      <w:lvlText w:val="%2."/>
      <w:lvlJc w:val="left"/>
      <w:pPr>
        <w:tabs>
          <w:tab w:val="num" w:pos="1440"/>
        </w:tabs>
        <w:ind w:left="1440" w:hanging="720"/>
      </w:pPr>
      <w:rPr>
        <w:rFonts w:cs="Times New Roman"/>
        <w:b/>
        <w:i w:val="0"/>
        <w:caps w:val="0"/>
        <w:sz w:val="24"/>
        <w:szCs w:val="24"/>
        <w:u w:val="none"/>
      </w:rPr>
    </w:lvl>
    <w:lvl w:ilvl="2">
      <w:start w:val="1"/>
      <w:numFmt w:val="decimal"/>
      <w:lvlText w:val="%3."/>
      <w:lvlJc w:val="left"/>
      <w:pPr>
        <w:tabs>
          <w:tab w:val="num" w:pos="2160"/>
        </w:tabs>
        <w:ind w:left="2160" w:hanging="720"/>
      </w:pPr>
      <w:rPr>
        <w:rFonts w:cs="Times New Roman"/>
        <w:b w:val="0"/>
        <w:i w:val="0"/>
        <w:caps w:val="0"/>
        <w:u w:val="none"/>
      </w:rPr>
    </w:lvl>
    <w:lvl w:ilvl="3">
      <w:start w:val="1"/>
      <w:numFmt w:val="lowerLetter"/>
      <w:lvlText w:val="%4."/>
      <w:lvlJc w:val="left"/>
      <w:pPr>
        <w:tabs>
          <w:tab w:val="num" w:pos="2880"/>
        </w:tabs>
        <w:ind w:left="2880" w:hanging="720"/>
      </w:pPr>
      <w:rPr>
        <w:rFonts w:cs="Times New Roman"/>
        <w:b w:val="0"/>
        <w:i w:val="0"/>
        <w:caps w:val="0"/>
        <w:u w:val="none"/>
      </w:rPr>
    </w:lvl>
    <w:lvl w:ilvl="4">
      <w:start w:val="1"/>
      <w:numFmt w:val="decimal"/>
      <w:lvlText w:val="(%5)"/>
      <w:lvlJc w:val="left"/>
      <w:pPr>
        <w:tabs>
          <w:tab w:val="num" w:pos="3600"/>
        </w:tabs>
        <w:ind w:left="3600" w:hanging="720"/>
      </w:pPr>
      <w:rPr>
        <w:rFonts w:cs="Times New Roman"/>
        <w:b w:val="0"/>
        <w:i w:val="0"/>
        <w:caps w:val="0"/>
        <w:u w:val="none"/>
      </w:rPr>
    </w:lvl>
    <w:lvl w:ilvl="5">
      <w:start w:val="1"/>
      <w:numFmt w:val="lowerLetter"/>
      <w:lvlText w:val="(%6)"/>
      <w:lvlJc w:val="left"/>
      <w:pPr>
        <w:tabs>
          <w:tab w:val="num" w:pos="4320"/>
        </w:tabs>
        <w:ind w:left="4320" w:hanging="720"/>
      </w:pPr>
      <w:rPr>
        <w:rFonts w:cs="Times New Roman"/>
        <w:b w:val="0"/>
        <w:i w:val="0"/>
        <w:caps w:val="0"/>
        <w:u w:val="none"/>
      </w:rPr>
    </w:lvl>
    <w:lvl w:ilvl="6">
      <w:start w:val="1"/>
      <w:numFmt w:val="lowerRoman"/>
      <w:lvlText w:val="(%7)"/>
      <w:lvlJc w:val="left"/>
      <w:pPr>
        <w:tabs>
          <w:tab w:val="num" w:pos="5040"/>
        </w:tabs>
        <w:ind w:left="5040" w:hanging="720"/>
      </w:pPr>
      <w:rPr>
        <w:rFonts w:cs="Times New Roman"/>
        <w:b w:val="0"/>
        <w:i w:val="0"/>
        <w:caps w:val="0"/>
        <w:u w:val="none"/>
      </w:rPr>
    </w:lvl>
    <w:lvl w:ilvl="7">
      <w:start w:val="1"/>
      <w:numFmt w:val="lowerLetter"/>
      <w:lvlText w:val="%8)"/>
      <w:lvlJc w:val="left"/>
      <w:pPr>
        <w:tabs>
          <w:tab w:val="num" w:pos="5760"/>
        </w:tabs>
        <w:ind w:left="5760" w:hanging="720"/>
      </w:pPr>
      <w:rPr>
        <w:rFonts w:cs="Times New Roman"/>
        <w:b w:val="0"/>
        <w:i w:val="0"/>
        <w:caps w:val="0"/>
        <w:u w:val="none"/>
      </w:rPr>
    </w:lvl>
    <w:lvl w:ilvl="8">
      <w:start w:val="1"/>
      <w:numFmt w:val="lowerRoman"/>
      <w:lvlText w:val="%9)"/>
      <w:lvlJc w:val="left"/>
      <w:pPr>
        <w:tabs>
          <w:tab w:val="num" w:pos="6480"/>
        </w:tabs>
        <w:ind w:left="6480" w:hanging="720"/>
      </w:pPr>
      <w:rPr>
        <w:rFonts w:cs="Times New Roman"/>
        <w:b w:val="0"/>
        <w:i w:val="0"/>
        <w:caps w:val="0"/>
        <w:u w:val="none"/>
      </w:rPr>
    </w:lvl>
  </w:abstractNum>
  <w:abstractNum w:abstractNumId="23">
    <w:nsid w:val="3ECB3B5E"/>
    <w:multiLevelType w:val="hybridMultilevel"/>
    <w:tmpl w:val="94305E4E"/>
    <w:lvl w:ilvl="0" w:tplc="9BAA755A">
      <w:start w:val="1"/>
      <w:numFmt w:val="lowerLetter"/>
      <w:lvlText w:val="%1."/>
      <w:lvlJc w:val="left"/>
      <w:pPr>
        <w:ind w:left="1080" w:hanging="360"/>
      </w:pPr>
    </w:lvl>
    <w:lvl w:ilvl="1" w:tplc="92F89E0C" w:tentative="1">
      <w:start w:val="1"/>
      <w:numFmt w:val="lowerLetter"/>
      <w:lvlText w:val="%2."/>
      <w:lvlJc w:val="left"/>
      <w:pPr>
        <w:ind w:left="1800" w:hanging="360"/>
      </w:pPr>
    </w:lvl>
    <w:lvl w:ilvl="2" w:tplc="AB508FC4" w:tentative="1">
      <w:start w:val="1"/>
      <w:numFmt w:val="lowerRoman"/>
      <w:lvlText w:val="%3."/>
      <w:lvlJc w:val="right"/>
      <w:pPr>
        <w:ind w:left="2520" w:hanging="180"/>
      </w:pPr>
    </w:lvl>
    <w:lvl w:ilvl="3" w:tplc="DF6239B4" w:tentative="1">
      <w:start w:val="1"/>
      <w:numFmt w:val="decimal"/>
      <w:lvlText w:val="%4."/>
      <w:lvlJc w:val="left"/>
      <w:pPr>
        <w:ind w:left="3240" w:hanging="360"/>
      </w:pPr>
    </w:lvl>
    <w:lvl w:ilvl="4" w:tplc="2576885C" w:tentative="1">
      <w:start w:val="1"/>
      <w:numFmt w:val="lowerLetter"/>
      <w:lvlText w:val="%5."/>
      <w:lvlJc w:val="left"/>
      <w:pPr>
        <w:ind w:left="3960" w:hanging="360"/>
      </w:pPr>
    </w:lvl>
    <w:lvl w:ilvl="5" w:tplc="A8E6F6A8" w:tentative="1">
      <w:start w:val="1"/>
      <w:numFmt w:val="lowerRoman"/>
      <w:lvlText w:val="%6."/>
      <w:lvlJc w:val="right"/>
      <w:pPr>
        <w:ind w:left="4680" w:hanging="180"/>
      </w:pPr>
    </w:lvl>
    <w:lvl w:ilvl="6" w:tplc="35E04832" w:tentative="1">
      <w:start w:val="1"/>
      <w:numFmt w:val="decimal"/>
      <w:lvlText w:val="%7."/>
      <w:lvlJc w:val="left"/>
      <w:pPr>
        <w:ind w:left="5400" w:hanging="360"/>
      </w:pPr>
    </w:lvl>
    <w:lvl w:ilvl="7" w:tplc="1FE86D34" w:tentative="1">
      <w:start w:val="1"/>
      <w:numFmt w:val="lowerLetter"/>
      <w:lvlText w:val="%8."/>
      <w:lvlJc w:val="left"/>
      <w:pPr>
        <w:ind w:left="6120" w:hanging="360"/>
      </w:pPr>
    </w:lvl>
    <w:lvl w:ilvl="8" w:tplc="F978FEBC" w:tentative="1">
      <w:start w:val="1"/>
      <w:numFmt w:val="lowerRoman"/>
      <w:lvlText w:val="%9."/>
      <w:lvlJc w:val="right"/>
      <w:pPr>
        <w:ind w:left="6840" w:hanging="180"/>
      </w:pPr>
    </w:lvl>
  </w:abstractNum>
  <w:abstractNum w:abstractNumId="24">
    <w:nsid w:val="3F4E5E7F"/>
    <w:multiLevelType w:val="hybridMultilevel"/>
    <w:tmpl w:val="F31408B0"/>
    <w:name w:val="zzmpPUC||PUC|3|1|0|1|2|41||1|2|37||1|2|32||1|2|33||1|2|32||1|2|32||1|2|32||1|2|32||1|2|32||422"/>
    <w:lvl w:ilvl="0" w:tplc="1142506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8D54C0"/>
    <w:multiLevelType w:val="multilevel"/>
    <w:tmpl w:val="3A369AB6"/>
    <w:name w:val="Brief/Motion Left11"/>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5"/>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6">
    <w:nsid w:val="41EC3414"/>
    <w:multiLevelType w:val="hybridMultilevel"/>
    <w:tmpl w:val="B9EACF48"/>
    <w:lvl w:ilvl="0" w:tplc="C0E47E42">
      <w:start w:val="1"/>
      <w:numFmt w:val="decimal"/>
      <w:lvlText w:val="%1."/>
      <w:lvlJc w:val="left"/>
      <w:pPr>
        <w:ind w:left="720" w:hanging="720"/>
      </w:pPr>
      <w:rPr>
        <w:rFonts w:hint="default"/>
      </w:rPr>
    </w:lvl>
    <w:lvl w:ilvl="1" w:tplc="4CBE6BFC" w:tentative="1">
      <w:start w:val="1"/>
      <w:numFmt w:val="lowerLetter"/>
      <w:lvlText w:val="%2."/>
      <w:lvlJc w:val="left"/>
      <w:pPr>
        <w:ind w:left="1080" w:hanging="360"/>
      </w:pPr>
    </w:lvl>
    <w:lvl w:ilvl="2" w:tplc="08F63436" w:tentative="1">
      <w:start w:val="1"/>
      <w:numFmt w:val="lowerRoman"/>
      <w:lvlText w:val="%3."/>
      <w:lvlJc w:val="right"/>
      <w:pPr>
        <w:ind w:left="1800" w:hanging="180"/>
      </w:pPr>
    </w:lvl>
    <w:lvl w:ilvl="3" w:tplc="8A6CE46A" w:tentative="1">
      <w:start w:val="1"/>
      <w:numFmt w:val="decimal"/>
      <w:lvlText w:val="%4."/>
      <w:lvlJc w:val="left"/>
      <w:pPr>
        <w:ind w:left="2520" w:hanging="360"/>
      </w:pPr>
    </w:lvl>
    <w:lvl w:ilvl="4" w:tplc="6E807BCA" w:tentative="1">
      <w:start w:val="1"/>
      <w:numFmt w:val="lowerLetter"/>
      <w:lvlText w:val="%5."/>
      <w:lvlJc w:val="left"/>
      <w:pPr>
        <w:ind w:left="3240" w:hanging="360"/>
      </w:pPr>
    </w:lvl>
    <w:lvl w:ilvl="5" w:tplc="91840C40" w:tentative="1">
      <w:start w:val="1"/>
      <w:numFmt w:val="lowerRoman"/>
      <w:lvlText w:val="%6."/>
      <w:lvlJc w:val="right"/>
      <w:pPr>
        <w:ind w:left="3960" w:hanging="180"/>
      </w:pPr>
    </w:lvl>
    <w:lvl w:ilvl="6" w:tplc="594E95AE" w:tentative="1">
      <w:start w:val="1"/>
      <w:numFmt w:val="decimal"/>
      <w:lvlText w:val="%7."/>
      <w:lvlJc w:val="left"/>
      <w:pPr>
        <w:ind w:left="4680" w:hanging="360"/>
      </w:pPr>
    </w:lvl>
    <w:lvl w:ilvl="7" w:tplc="A792FCA8" w:tentative="1">
      <w:start w:val="1"/>
      <w:numFmt w:val="lowerLetter"/>
      <w:lvlText w:val="%8."/>
      <w:lvlJc w:val="left"/>
      <w:pPr>
        <w:ind w:left="5400" w:hanging="360"/>
      </w:pPr>
    </w:lvl>
    <w:lvl w:ilvl="8" w:tplc="804A1174" w:tentative="1">
      <w:start w:val="1"/>
      <w:numFmt w:val="lowerRoman"/>
      <w:lvlText w:val="%9."/>
      <w:lvlJc w:val="right"/>
      <w:pPr>
        <w:ind w:left="6120" w:hanging="180"/>
      </w:pPr>
    </w:lvl>
  </w:abstractNum>
  <w:abstractNum w:abstractNumId="27">
    <w:nsid w:val="42F73F5D"/>
    <w:multiLevelType w:val="multilevel"/>
    <w:tmpl w:val="263AD43C"/>
    <w:name w:val="Outline Left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8">
    <w:nsid w:val="433D2FD4"/>
    <w:multiLevelType w:val="multilevel"/>
    <w:tmpl w:val="A6D25F6A"/>
    <w:styleLink w:val="Style1"/>
    <w:lvl w:ilvl="0">
      <w:start w:val="1"/>
      <w:numFmt w:val="decimal"/>
      <w:lvlText w:val="%1."/>
      <w:lvlJc w:val="left"/>
      <w:pPr>
        <w:tabs>
          <w:tab w:val="num" w:pos="720"/>
        </w:tabs>
        <w:ind w:left="720" w:hanging="720"/>
      </w:pPr>
      <w:rPr>
        <w:rFonts w:hint="default"/>
        <w:b/>
        <w:i w:val="0"/>
        <w:sz w:val="26"/>
      </w:rPr>
    </w:lvl>
    <w:lvl w:ilvl="1">
      <w:start w:val="1"/>
      <w:numFmt w:val="decimal"/>
      <w:lvlText w:val="%1.%2."/>
      <w:lvlJc w:val="left"/>
      <w:pPr>
        <w:tabs>
          <w:tab w:val="num" w:pos="1440"/>
        </w:tabs>
        <w:ind w:left="1440" w:hanging="720"/>
      </w:pPr>
      <w:rPr>
        <w:rFonts w:hint="default"/>
        <w:b/>
        <w:i w:val="0"/>
        <w:sz w:val="26"/>
      </w:rPr>
    </w:lvl>
    <w:lvl w:ilvl="2">
      <w:start w:val="1"/>
      <w:numFmt w:val="decimal"/>
      <w:lvlText w:val="%1.%2.%3."/>
      <w:lvlJc w:val="left"/>
      <w:pPr>
        <w:tabs>
          <w:tab w:val="num" w:pos="1728"/>
        </w:tabs>
        <w:ind w:left="1728" w:hanging="1008"/>
      </w:pPr>
      <w:rPr>
        <w:rFonts w:hint="default"/>
        <w:b/>
        <w:i w:val="0"/>
        <w:sz w:val="26"/>
      </w:rPr>
    </w:lvl>
    <w:lvl w:ilvl="3">
      <w:start w:val="1"/>
      <w:numFmt w:val="decimal"/>
      <w:lvlText w:val="%1.%2.%3.%4."/>
      <w:lvlJc w:val="left"/>
      <w:pPr>
        <w:tabs>
          <w:tab w:val="num" w:pos="1872"/>
        </w:tabs>
        <w:ind w:left="1872" w:hanging="1152"/>
      </w:pPr>
      <w:rPr>
        <w:rFonts w:ascii="Helvetica" w:hAnsi="Helvetica" w:hint="default"/>
        <w:b/>
        <w:i w:val="0"/>
        <w:sz w:val="26"/>
      </w:rPr>
    </w:lvl>
    <w:lvl w:ilvl="4">
      <w:start w:val="1"/>
      <w:numFmt w:val="decimal"/>
      <w:lvlText w:val="%1.%2.%3.%4.%5"/>
      <w:lvlJc w:val="left"/>
      <w:pPr>
        <w:tabs>
          <w:tab w:val="num" w:pos="2160"/>
        </w:tabs>
        <w:ind w:left="2160" w:hanging="1440"/>
      </w:pPr>
      <w:rPr>
        <w:rFonts w:hint="default"/>
        <w:b/>
        <w:i w:val="0"/>
        <w:sz w:val="26"/>
        <w:szCs w:val="26"/>
      </w:rPr>
    </w:lvl>
    <w:lvl w:ilvl="5">
      <w:start w:val="1"/>
      <w:numFmt w:val="decimal"/>
      <w:pStyle w:val="Heading6"/>
      <w:lvlText w:val="%1.%2.%3.%4.%5.%6"/>
      <w:lvlJc w:val="left"/>
      <w:pPr>
        <w:tabs>
          <w:tab w:val="num" w:pos="2448"/>
        </w:tabs>
        <w:ind w:left="2448" w:hanging="1728"/>
      </w:pPr>
      <w:rPr>
        <w:rFonts w:hint="default"/>
        <w:b/>
        <w:i w:val="0"/>
        <w:sz w:val="26"/>
        <w:szCs w:val="26"/>
      </w:rPr>
    </w:lvl>
    <w:lvl w:ilvl="6">
      <w:start w:val="1"/>
      <w:numFmt w:val="decimal"/>
      <w:pStyle w:val="Heading7"/>
      <w:lvlText w:val="%1.%2.%3.%4.%5.%6.%7."/>
      <w:lvlJc w:val="left"/>
      <w:pPr>
        <w:tabs>
          <w:tab w:val="num" w:pos="2592"/>
        </w:tabs>
        <w:ind w:left="2592" w:hanging="1872"/>
      </w:pPr>
      <w:rPr>
        <w:rFonts w:hint="default"/>
        <w:b/>
        <w:i w:val="0"/>
        <w:sz w:val="26"/>
      </w:rPr>
    </w:lvl>
    <w:lvl w:ilvl="7">
      <w:start w:val="1"/>
      <w:numFmt w:val="decimal"/>
      <w:pStyle w:val="Heading8"/>
      <w:lvlText w:val="%1.%2.%3.%4.%5.%6.%7.%8."/>
      <w:lvlJc w:val="left"/>
      <w:pPr>
        <w:tabs>
          <w:tab w:val="num" w:pos="2880"/>
        </w:tabs>
        <w:ind w:left="2880" w:hanging="2160"/>
      </w:pPr>
      <w:rPr>
        <w:rFonts w:hint="default"/>
        <w:b/>
        <w:i w:val="0"/>
        <w:sz w:val="26"/>
      </w:rPr>
    </w:lvl>
    <w:lvl w:ilvl="8">
      <w:start w:val="1"/>
      <w:numFmt w:val="upperLetter"/>
      <w:pStyle w:val="Heading9"/>
      <w:suff w:val="nothing"/>
      <w:lvlText w:val="Appendix %9:"/>
      <w:lvlJc w:val="left"/>
      <w:pPr>
        <w:ind w:left="0" w:firstLine="0"/>
      </w:pPr>
      <w:rPr>
        <w:rFonts w:hint="default"/>
        <w:b/>
        <w:i w:val="0"/>
        <w:sz w:val="26"/>
      </w:rPr>
    </w:lvl>
  </w:abstractNum>
  <w:abstractNum w:abstractNumId="29">
    <w:nsid w:val="45AD354D"/>
    <w:multiLevelType w:val="hybridMultilevel"/>
    <w:tmpl w:val="FDC8A87C"/>
    <w:name w:val="zzmpPleading1||Pleading1|2|1|1|1|4|41||1|4|33||1|4|33||1|4|36||1|4|32||1|4|32||1|4|32||1|4|32||1|4|32||26"/>
    <w:lvl w:ilvl="0" w:tplc="A51EF14A">
      <w:start w:val="1"/>
      <w:numFmt w:val="decimal"/>
      <w:lvlText w:val="%1."/>
      <w:lvlJc w:val="left"/>
      <w:pPr>
        <w:tabs>
          <w:tab w:val="num" w:pos="1440"/>
        </w:tabs>
        <w:ind w:left="1440" w:hanging="576"/>
      </w:pPr>
      <w:rPr>
        <w:rFonts w:cs="Times New Roman" w:hint="default"/>
      </w:rPr>
    </w:lvl>
    <w:lvl w:ilvl="1" w:tplc="04090019">
      <w:start w:val="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C43EFF"/>
    <w:multiLevelType w:val="hybridMultilevel"/>
    <w:tmpl w:val="0B02965A"/>
    <w:name w:val="zzmpPUC||PUC|3|1|0|1|2|41||1|2|37||1|2|32||1|2|33||1|2|32||1|2|32||1|2|32||1|2|32||1|2|32||2"/>
    <w:lvl w:ilvl="0" w:tplc="6EDA0ED2">
      <w:start w:val="1"/>
      <w:numFmt w:val="lowerRoman"/>
      <w:lvlText w:val="%1."/>
      <w:lvlJc w:val="left"/>
      <w:pPr>
        <w:tabs>
          <w:tab w:val="num" w:pos="0"/>
        </w:tabs>
      </w:pPr>
      <w:rPr>
        <w:rFonts w:cs="Times New Roman" w:hint="default"/>
      </w:rPr>
    </w:lvl>
    <w:lvl w:ilvl="1" w:tplc="FB9403D8" w:tentative="1">
      <w:start w:val="1"/>
      <w:numFmt w:val="lowerLetter"/>
      <w:lvlText w:val="%2."/>
      <w:lvlJc w:val="left"/>
      <w:pPr>
        <w:tabs>
          <w:tab w:val="num" w:pos="1440"/>
        </w:tabs>
        <w:ind w:left="1440" w:hanging="360"/>
      </w:pPr>
      <w:rPr>
        <w:rFonts w:cs="Times New Roman"/>
      </w:rPr>
    </w:lvl>
    <w:lvl w:ilvl="2" w:tplc="ACC0E87C" w:tentative="1">
      <w:start w:val="1"/>
      <w:numFmt w:val="lowerRoman"/>
      <w:lvlText w:val="%3."/>
      <w:lvlJc w:val="right"/>
      <w:pPr>
        <w:tabs>
          <w:tab w:val="num" w:pos="2160"/>
        </w:tabs>
        <w:ind w:left="2160" w:hanging="180"/>
      </w:pPr>
      <w:rPr>
        <w:rFonts w:cs="Times New Roman"/>
      </w:rPr>
    </w:lvl>
    <w:lvl w:ilvl="3" w:tplc="82AC8E60" w:tentative="1">
      <w:start w:val="1"/>
      <w:numFmt w:val="decimal"/>
      <w:lvlText w:val="%4."/>
      <w:lvlJc w:val="left"/>
      <w:pPr>
        <w:tabs>
          <w:tab w:val="num" w:pos="2880"/>
        </w:tabs>
        <w:ind w:left="2880" w:hanging="360"/>
      </w:pPr>
      <w:rPr>
        <w:rFonts w:cs="Times New Roman"/>
      </w:rPr>
    </w:lvl>
    <w:lvl w:ilvl="4" w:tplc="9CAA8CA6" w:tentative="1">
      <w:start w:val="1"/>
      <w:numFmt w:val="lowerLetter"/>
      <w:lvlText w:val="%5."/>
      <w:lvlJc w:val="left"/>
      <w:pPr>
        <w:tabs>
          <w:tab w:val="num" w:pos="3600"/>
        </w:tabs>
        <w:ind w:left="3600" w:hanging="360"/>
      </w:pPr>
      <w:rPr>
        <w:rFonts w:cs="Times New Roman"/>
      </w:rPr>
    </w:lvl>
    <w:lvl w:ilvl="5" w:tplc="2580188C" w:tentative="1">
      <w:start w:val="1"/>
      <w:numFmt w:val="lowerRoman"/>
      <w:lvlText w:val="%6."/>
      <w:lvlJc w:val="right"/>
      <w:pPr>
        <w:tabs>
          <w:tab w:val="num" w:pos="4320"/>
        </w:tabs>
        <w:ind w:left="4320" w:hanging="180"/>
      </w:pPr>
      <w:rPr>
        <w:rFonts w:cs="Times New Roman"/>
      </w:rPr>
    </w:lvl>
    <w:lvl w:ilvl="6" w:tplc="339094FA" w:tentative="1">
      <w:start w:val="1"/>
      <w:numFmt w:val="decimal"/>
      <w:lvlText w:val="%7."/>
      <w:lvlJc w:val="left"/>
      <w:pPr>
        <w:tabs>
          <w:tab w:val="num" w:pos="5040"/>
        </w:tabs>
        <w:ind w:left="5040" w:hanging="360"/>
      </w:pPr>
      <w:rPr>
        <w:rFonts w:cs="Times New Roman"/>
      </w:rPr>
    </w:lvl>
    <w:lvl w:ilvl="7" w:tplc="CC1CC99E" w:tentative="1">
      <w:start w:val="1"/>
      <w:numFmt w:val="lowerLetter"/>
      <w:lvlText w:val="%8."/>
      <w:lvlJc w:val="left"/>
      <w:pPr>
        <w:tabs>
          <w:tab w:val="num" w:pos="5760"/>
        </w:tabs>
        <w:ind w:left="5760" w:hanging="360"/>
      </w:pPr>
      <w:rPr>
        <w:rFonts w:cs="Times New Roman"/>
      </w:rPr>
    </w:lvl>
    <w:lvl w:ilvl="8" w:tplc="640EC1CA" w:tentative="1">
      <w:start w:val="1"/>
      <w:numFmt w:val="lowerRoman"/>
      <w:lvlText w:val="%9."/>
      <w:lvlJc w:val="right"/>
      <w:pPr>
        <w:tabs>
          <w:tab w:val="num" w:pos="6480"/>
        </w:tabs>
        <w:ind w:left="6480" w:hanging="180"/>
      </w:pPr>
      <w:rPr>
        <w:rFonts w:cs="Times New Roman"/>
      </w:rPr>
    </w:lvl>
  </w:abstractNum>
  <w:abstractNum w:abstractNumId="31">
    <w:nsid w:val="48D43EE4"/>
    <w:multiLevelType w:val="multilevel"/>
    <w:tmpl w:val="C0948064"/>
    <w:lvl w:ilvl="0">
      <w:start w:val="1"/>
      <w:numFmt w:val="decimal"/>
      <w:lvlText w:val="%1."/>
      <w:lvlJc w:val="left"/>
      <w:pPr>
        <w:ind w:left="1152" w:hanging="432"/>
      </w:pPr>
      <w:rPr>
        <w:rFonts w:hint="default"/>
      </w:rPr>
    </w:lvl>
    <w:lvl w:ilvl="1">
      <w:start w:val="1"/>
      <w:numFmt w:val="upperLetter"/>
      <w:lvlText w:val="%2."/>
      <w:lvlJc w:val="left"/>
      <w:pPr>
        <w:tabs>
          <w:tab w:val="num" w:pos="1872"/>
        </w:tabs>
        <w:ind w:left="1872" w:hanging="432"/>
      </w:pPr>
      <w:rPr>
        <w:rFonts w:hint="default"/>
      </w:rPr>
    </w:lvl>
    <w:lvl w:ilvl="2">
      <w:start w:val="1"/>
      <w:numFmt w:val="lowerRoman"/>
      <w:lvlText w:val="%3."/>
      <w:lvlJc w:val="left"/>
      <w:pPr>
        <w:ind w:left="2160" w:hanging="576"/>
      </w:pPr>
      <w:rPr>
        <w:rFonts w:hint="default"/>
      </w:rPr>
    </w:lvl>
    <w:lvl w:ilvl="3">
      <w:start w:val="1"/>
      <w:numFmt w:val="lowerLetter"/>
      <w:lvlText w:val="%4."/>
      <w:lvlJc w:val="left"/>
      <w:pPr>
        <w:ind w:left="2736" w:hanging="576"/>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8E94B0B"/>
    <w:multiLevelType w:val="hybridMultilevel"/>
    <w:tmpl w:val="3278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50524E"/>
    <w:multiLevelType w:val="multilevel"/>
    <w:tmpl w:val="0409001D"/>
    <w:name w:val="zzmpPleading1||Pleading1|2|1|1|1|4|41||1|4|33||1|4|33||1|4|32||1|4|32||1|4|32||1|4|32||1|4|32||1|4|3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C063D60"/>
    <w:multiLevelType w:val="hybridMultilevel"/>
    <w:tmpl w:val="8848D1EE"/>
    <w:lvl w:ilvl="0" w:tplc="46CEB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9C0FA2"/>
    <w:multiLevelType w:val="hybridMultilevel"/>
    <w:tmpl w:val="E340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F4377B"/>
    <w:multiLevelType w:val="multilevel"/>
    <w:tmpl w:val="929CF992"/>
    <w:name w:val="zzmpEZEPleadin||EZE Pleading1|3|1|1|1|4|41||1|4|33||1|4|33||1|4|33||1|4|33||1|4|33||1|4|33||1|4|33||1|4|33||"/>
    <w:lvl w:ilvl="0">
      <w:start w:val="1"/>
      <w:numFmt w:val="upperRoman"/>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lvlText w:val="%2."/>
      <w:lvlJc w:val="left"/>
      <w:pPr>
        <w:tabs>
          <w:tab w:val="num" w:pos="1440"/>
        </w:tabs>
        <w:ind w:left="1440" w:hanging="720"/>
      </w:pPr>
      <w:rPr>
        <w:rFonts w:ascii="Times New Roman" w:hAnsi="Times New Roman" w:cs="Times New Roman"/>
        <w:b/>
        <w:i w:val="0"/>
        <w:caps w:val="0"/>
        <w:color w:val="auto"/>
        <w:sz w:val="24"/>
        <w:u w:val="none"/>
      </w:rPr>
    </w:lvl>
    <w:lvl w:ilvl="2">
      <w:start w:val="1"/>
      <w:numFmt w:val="decimal"/>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lvlText w:val="%9)"/>
      <w:lvlJc w:val="left"/>
      <w:pPr>
        <w:tabs>
          <w:tab w:val="num" w:pos="6480"/>
        </w:tabs>
        <w:ind w:left="6480" w:hanging="720"/>
      </w:pPr>
      <w:rPr>
        <w:rFonts w:ascii="Times New Roman" w:hAnsi="Times New Roman" w:cs="Times New Roman"/>
        <w:b/>
        <w:i w:val="0"/>
        <w:caps w:val="0"/>
        <w:sz w:val="24"/>
        <w:u w:val="none"/>
      </w:rPr>
    </w:lvl>
  </w:abstractNum>
  <w:abstractNum w:abstractNumId="37">
    <w:nsid w:val="5D944DBE"/>
    <w:multiLevelType w:val="multilevel"/>
    <w:tmpl w:val="40A2ECA4"/>
    <w:name w:val="zzmpPleading1||Pleading1|2|1|1|1|4|41||1|4|33||1|4|33||1|4|33||1|4|32||1|4|32||1|4|32||1|4|32||1|4|3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38">
    <w:nsid w:val="609039F7"/>
    <w:multiLevelType w:val="singleLevel"/>
    <w:tmpl w:val="A72A5EEC"/>
    <w:name w:val="zzmpPUC||PUC|3|1|0|1|2|41||1|2|37||1|2|32||1|2|33||1|2|32||1|2|32||1|2|32||1|2|32||1|2|32||"/>
    <w:lvl w:ilvl="0">
      <w:start w:val="1"/>
      <w:numFmt w:val="decimal"/>
      <w:lvlText w:val="%1."/>
      <w:legacy w:legacy="1" w:legacySpace="144" w:legacyIndent="0"/>
      <w:lvlJc w:val="left"/>
      <w:rPr>
        <w:rFonts w:ascii="Times New Roman" w:hAnsi="Times New Roman" w:cs="Times New Roman" w:hint="default"/>
      </w:rPr>
    </w:lvl>
  </w:abstractNum>
  <w:abstractNum w:abstractNumId="39">
    <w:nsid w:val="61C52032"/>
    <w:multiLevelType w:val="hybridMultilevel"/>
    <w:tmpl w:val="3556A04C"/>
    <w:lvl w:ilvl="0" w:tplc="06FEACA2">
      <w:start w:val="7"/>
      <w:numFmt w:val="decimal"/>
      <w:lvlText w:val="%1."/>
      <w:lvlJc w:val="left"/>
      <w:pPr>
        <w:ind w:left="780" w:hanging="360"/>
      </w:pPr>
      <w:rPr>
        <w:rFonts w:hint="default"/>
        <w:b/>
      </w:rPr>
    </w:lvl>
    <w:lvl w:ilvl="1" w:tplc="3AB2074E" w:tentative="1">
      <w:start w:val="1"/>
      <w:numFmt w:val="lowerLetter"/>
      <w:lvlText w:val="%2."/>
      <w:lvlJc w:val="left"/>
      <w:pPr>
        <w:ind w:left="1500" w:hanging="360"/>
      </w:pPr>
    </w:lvl>
    <w:lvl w:ilvl="2" w:tplc="9D2C5138" w:tentative="1">
      <w:start w:val="1"/>
      <w:numFmt w:val="lowerRoman"/>
      <w:lvlText w:val="%3."/>
      <w:lvlJc w:val="right"/>
      <w:pPr>
        <w:ind w:left="2220" w:hanging="180"/>
      </w:pPr>
    </w:lvl>
    <w:lvl w:ilvl="3" w:tplc="5D42189A" w:tentative="1">
      <w:start w:val="1"/>
      <w:numFmt w:val="decimal"/>
      <w:lvlText w:val="%4."/>
      <w:lvlJc w:val="left"/>
      <w:pPr>
        <w:ind w:left="2940" w:hanging="360"/>
      </w:pPr>
    </w:lvl>
    <w:lvl w:ilvl="4" w:tplc="117C2F82" w:tentative="1">
      <w:start w:val="1"/>
      <w:numFmt w:val="lowerLetter"/>
      <w:lvlText w:val="%5."/>
      <w:lvlJc w:val="left"/>
      <w:pPr>
        <w:ind w:left="3660" w:hanging="360"/>
      </w:pPr>
    </w:lvl>
    <w:lvl w:ilvl="5" w:tplc="F82AE970" w:tentative="1">
      <w:start w:val="1"/>
      <w:numFmt w:val="lowerRoman"/>
      <w:lvlText w:val="%6."/>
      <w:lvlJc w:val="right"/>
      <w:pPr>
        <w:ind w:left="4380" w:hanging="180"/>
      </w:pPr>
    </w:lvl>
    <w:lvl w:ilvl="6" w:tplc="139A4F6A" w:tentative="1">
      <w:start w:val="1"/>
      <w:numFmt w:val="decimal"/>
      <w:lvlText w:val="%7."/>
      <w:lvlJc w:val="left"/>
      <w:pPr>
        <w:ind w:left="5100" w:hanging="360"/>
      </w:pPr>
    </w:lvl>
    <w:lvl w:ilvl="7" w:tplc="0400B5A4" w:tentative="1">
      <w:start w:val="1"/>
      <w:numFmt w:val="lowerLetter"/>
      <w:lvlText w:val="%8."/>
      <w:lvlJc w:val="left"/>
      <w:pPr>
        <w:ind w:left="5820" w:hanging="360"/>
      </w:pPr>
    </w:lvl>
    <w:lvl w:ilvl="8" w:tplc="FD4A9512" w:tentative="1">
      <w:start w:val="1"/>
      <w:numFmt w:val="lowerRoman"/>
      <w:lvlText w:val="%9."/>
      <w:lvlJc w:val="right"/>
      <w:pPr>
        <w:ind w:left="6540" w:hanging="180"/>
      </w:pPr>
    </w:lvl>
  </w:abstractNum>
  <w:abstractNum w:abstractNumId="40">
    <w:nsid w:val="68652BCB"/>
    <w:multiLevelType w:val="hybridMultilevel"/>
    <w:tmpl w:val="AE407DF2"/>
    <w:name w:val="Brief/Motion Left"/>
    <w:lvl w:ilvl="0" w:tplc="0FF2092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nsid w:val="688A4BF0"/>
    <w:multiLevelType w:val="multilevel"/>
    <w:tmpl w:val="2AEE37AA"/>
    <w:name w:val="zzmpPUC||PUC|3|1|0|1|2|41||1|2|37||1|2|32||1|2|33||1|2|32||1|2|32||1|2|32||1|2|32||1|2|32||5"/>
    <w:lvl w:ilvl="0">
      <w:start w:val="1"/>
      <w:numFmt w:val="upperLetter"/>
      <w:lvlText w:val="Appendix %1:"/>
      <w:lvlJc w:val="center"/>
      <w:pPr>
        <w:tabs>
          <w:tab w:val="num" w:pos="720"/>
        </w:tabs>
        <w:ind w:left="720" w:hanging="432"/>
      </w:pPr>
      <w:rPr>
        <w:rFonts w:cs="Times New Roman" w:hint="default"/>
        <w:b/>
      </w:rPr>
    </w:lvl>
    <w:lvl w:ilvl="1">
      <w:start w:val="1"/>
      <w:numFmt w:val="lowerRoman"/>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start w:val="1"/>
      <w:numFmt w:val="upperLetter"/>
      <w:lvlText w:val="Appendix %9:"/>
      <w:lvlJc w:val="left"/>
      <w:pPr>
        <w:tabs>
          <w:tab w:val="num" w:pos="360"/>
        </w:tabs>
      </w:pPr>
      <w:rPr>
        <w:rFonts w:cs="Times New Roman" w:hint="default"/>
      </w:rPr>
    </w:lvl>
  </w:abstractNum>
  <w:abstractNum w:abstractNumId="42">
    <w:nsid w:val="6BD339FF"/>
    <w:multiLevelType w:val="hybridMultilevel"/>
    <w:tmpl w:val="C0109B92"/>
    <w:name w:val="zzmpPleading1||Pleading1|2|1|1|1|4|41||1|4|33||1|4|33||1|4|36||1|4|32||1|4|32||1|4|32||1|4|32||1|4|32||272"/>
    <w:lvl w:ilvl="0" w:tplc="385A5186">
      <w:start w:val="1"/>
      <w:numFmt w:val="bullet"/>
      <w:pStyle w:val="StandardBullet"/>
      <w:lvlText w:val=""/>
      <w:lvlJc w:val="left"/>
      <w:pPr>
        <w:tabs>
          <w:tab w:val="num" w:pos="1332"/>
        </w:tabs>
        <w:ind w:left="1332" w:hanging="432"/>
      </w:pPr>
      <w:rPr>
        <w:rFonts w:ascii="Symbol" w:hAnsi="Symbol" w:hint="default"/>
      </w:rPr>
    </w:lvl>
    <w:lvl w:ilvl="1" w:tplc="04090005">
      <w:start w:val="1"/>
      <w:numFmt w:val="bullet"/>
      <w:lvlText w:val=""/>
      <w:lvlJc w:val="left"/>
      <w:pPr>
        <w:tabs>
          <w:tab w:val="num" w:pos="1890"/>
        </w:tabs>
        <w:ind w:left="189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3">
    <w:nsid w:val="6CE9732C"/>
    <w:multiLevelType w:val="hybridMultilevel"/>
    <w:tmpl w:val="7E9EDC84"/>
    <w:name w:val="zzmpPUC||PUC|3|1|0|1|2|41||1|2|37||1|2|32||1|2|33||1|2|32||1|2|32||1|2|32||1|2|32||1|2|32||42"/>
    <w:lvl w:ilvl="0" w:tplc="F5F08A7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DCB4F41"/>
    <w:multiLevelType w:val="multilevel"/>
    <w:tmpl w:val="588EA636"/>
    <w:name w:val="Heading"/>
    <w:lvl w:ilvl="0">
      <w:start w:val="1"/>
      <w:numFmt w:val="upperLetter"/>
      <w:lvlText w:val="%1."/>
      <w:lvlJc w:val="left"/>
      <w:pPr>
        <w:tabs>
          <w:tab w:val="num" w:pos="0"/>
        </w:tabs>
        <w:ind w:left="720" w:hanging="720"/>
      </w:pPr>
      <w:rPr>
        <w:b/>
        <w:i w:val="0"/>
        <w:caps w:val="0"/>
        <w:strike w:val="0"/>
        <w:dstrike w:val="0"/>
        <w:vanish w:val="0"/>
        <w:color w:val="auto"/>
        <w:spacing w:val="0"/>
        <w:w w:val="100"/>
        <w:kern w:val="0"/>
        <w:position w:val="0"/>
        <w:u w:val="none"/>
        <w:effect w:val="none"/>
        <w:vertAlign w:val="baseline"/>
      </w:rPr>
    </w:lvl>
    <w:lvl w:ilvl="1">
      <w:start w:val="1"/>
      <w:numFmt w:val="decimal"/>
      <w:lvlText w:val="%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upperRoman"/>
      <w:lvlText w:val="%3."/>
      <w:lvlJc w:val="left"/>
      <w:pPr>
        <w:tabs>
          <w:tab w:val="num" w:pos="0"/>
        </w:tabs>
        <w:ind w:left="720" w:hanging="720"/>
      </w:pPr>
      <w:rPr>
        <w:b/>
        <w:i w:val="0"/>
        <w:caps w:val="0"/>
        <w:strike w:val="0"/>
        <w:dstrike w:val="0"/>
        <w:vanish w:val="0"/>
        <w:color w:val="auto"/>
        <w:spacing w:val="0"/>
        <w:w w:val="100"/>
        <w:kern w:val="0"/>
        <w:position w:val="0"/>
        <w:u w:val="none"/>
        <w:effect w:val="none"/>
        <w:vertAlign w:val="baseline"/>
      </w:rPr>
    </w:lvl>
    <w:lvl w:ilvl="3">
      <w:start w:val="1"/>
      <w:numFmt w:val="upperLetter"/>
      <w:lvlText w:val="%4."/>
      <w:lvlJc w:val="left"/>
      <w:pPr>
        <w:tabs>
          <w:tab w:val="num" w:pos="0"/>
        </w:tabs>
        <w:ind w:left="1440" w:hanging="720"/>
      </w:pPr>
      <w:rPr>
        <w:b/>
        <w:i w:val="0"/>
        <w:caps w:val="0"/>
        <w:strike w:val="0"/>
        <w:dstrike w:val="0"/>
        <w:vanish w:val="0"/>
        <w:color w:val="auto"/>
        <w:spacing w:val="0"/>
        <w:w w:val="100"/>
        <w:kern w:val="0"/>
        <w:position w:val="0"/>
        <w:u w:val="none"/>
        <w:effect w:val="none"/>
        <w:vertAlign w:val="baseline"/>
      </w:rPr>
    </w:lvl>
    <w:lvl w:ilvl="4">
      <w:start w:val="1"/>
      <w:numFmt w:val="decimal"/>
      <w:lvlText w:val="%5."/>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45">
    <w:nsid w:val="6F3B796C"/>
    <w:multiLevelType w:val="multilevel"/>
    <w:tmpl w:val="96DE4FE4"/>
    <w:styleLink w:val="AppendixHeader"/>
    <w:lvl w:ilvl="0">
      <w:start w:val="1"/>
      <w:numFmt w:val="upperLetter"/>
      <w:lvlText w:val="Appendix %1:"/>
      <w:lvlJc w:val="left"/>
      <w:pPr>
        <w:tabs>
          <w:tab w:val="num" w:pos="1800"/>
        </w:tabs>
        <w:ind w:left="1800" w:hanging="1800"/>
      </w:pPr>
      <w:rPr>
        <w:rFonts w:ascii="Helvetica" w:hAnsi="Helvetica"/>
        <w:b/>
        <w:i w:val="0"/>
        <w:color w:val="auto"/>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11F77D5"/>
    <w:multiLevelType w:val="hybridMultilevel"/>
    <w:tmpl w:val="EBA22C4A"/>
    <w:lvl w:ilvl="0" w:tplc="80269B3E">
      <w:start w:val="1"/>
      <w:numFmt w:val="bullet"/>
      <w:lvlText w:val=""/>
      <w:lvlJc w:val="left"/>
      <w:pPr>
        <w:ind w:left="1440" w:hanging="360"/>
      </w:pPr>
      <w:rPr>
        <w:rFonts w:ascii="Symbol" w:hAnsi="Symbol" w:hint="default"/>
      </w:rPr>
    </w:lvl>
    <w:lvl w:ilvl="1" w:tplc="0CAEACEA" w:tentative="1">
      <w:start w:val="1"/>
      <w:numFmt w:val="bullet"/>
      <w:lvlText w:val="o"/>
      <w:lvlJc w:val="left"/>
      <w:pPr>
        <w:ind w:left="2160" w:hanging="360"/>
      </w:pPr>
      <w:rPr>
        <w:rFonts w:ascii="Courier New" w:hAnsi="Courier New" w:cs="Courier New" w:hint="default"/>
      </w:rPr>
    </w:lvl>
    <w:lvl w:ilvl="2" w:tplc="25F24104" w:tentative="1">
      <w:start w:val="1"/>
      <w:numFmt w:val="bullet"/>
      <w:lvlText w:val=""/>
      <w:lvlJc w:val="left"/>
      <w:pPr>
        <w:ind w:left="2880" w:hanging="360"/>
      </w:pPr>
      <w:rPr>
        <w:rFonts w:ascii="Wingdings" w:hAnsi="Wingdings" w:hint="default"/>
      </w:rPr>
    </w:lvl>
    <w:lvl w:ilvl="3" w:tplc="8848BD3A" w:tentative="1">
      <w:start w:val="1"/>
      <w:numFmt w:val="bullet"/>
      <w:lvlText w:val=""/>
      <w:lvlJc w:val="left"/>
      <w:pPr>
        <w:ind w:left="3600" w:hanging="360"/>
      </w:pPr>
      <w:rPr>
        <w:rFonts w:ascii="Symbol" w:hAnsi="Symbol" w:hint="default"/>
      </w:rPr>
    </w:lvl>
    <w:lvl w:ilvl="4" w:tplc="E7EE3240" w:tentative="1">
      <w:start w:val="1"/>
      <w:numFmt w:val="bullet"/>
      <w:lvlText w:val="o"/>
      <w:lvlJc w:val="left"/>
      <w:pPr>
        <w:ind w:left="4320" w:hanging="360"/>
      </w:pPr>
      <w:rPr>
        <w:rFonts w:ascii="Courier New" w:hAnsi="Courier New" w:cs="Courier New" w:hint="default"/>
      </w:rPr>
    </w:lvl>
    <w:lvl w:ilvl="5" w:tplc="4008EBC6" w:tentative="1">
      <w:start w:val="1"/>
      <w:numFmt w:val="bullet"/>
      <w:lvlText w:val=""/>
      <w:lvlJc w:val="left"/>
      <w:pPr>
        <w:ind w:left="5040" w:hanging="360"/>
      </w:pPr>
      <w:rPr>
        <w:rFonts w:ascii="Wingdings" w:hAnsi="Wingdings" w:hint="default"/>
      </w:rPr>
    </w:lvl>
    <w:lvl w:ilvl="6" w:tplc="C1A20C2C" w:tentative="1">
      <w:start w:val="1"/>
      <w:numFmt w:val="bullet"/>
      <w:lvlText w:val=""/>
      <w:lvlJc w:val="left"/>
      <w:pPr>
        <w:ind w:left="5760" w:hanging="360"/>
      </w:pPr>
      <w:rPr>
        <w:rFonts w:ascii="Symbol" w:hAnsi="Symbol" w:hint="default"/>
      </w:rPr>
    </w:lvl>
    <w:lvl w:ilvl="7" w:tplc="5E9E6028" w:tentative="1">
      <w:start w:val="1"/>
      <w:numFmt w:val="bullet"/>
      <w:lvlText w:val="o"/>
      <w:lvlJc w:val="left"/>
      <w:pPr>
        <w:ind w:left="6480" w:hanging="360"/>
      </w:pPr>
      <w:rPr>
        <w:rFonts w:ascii="Courier New" w:hAnsi="Courier New" w:cs="Courier New" w:hint="default"/>
      </w:rPr>
    </w:lvl>
    <w:lvl w:ilvl="8" w:tplc="36D860D8" w:tentative="1">
      <w:start w:val="1"/>
      <w:numFmt w:val="bullet"/>
      <w:lvlText w:val=""/>
      <w:lvlJc w:val="left"/>
      <w:pPr>
        <w:ind w:left="7200" w:hanging="360"/>
      </w:pPr>
      <w:rPr>
        <w:rFonts w:ascii="Wingdings" w:hAnsi="Wingdings" w:hint="default"/>
      </w:rPr>
    </w:lvl>
  </w:abstractNum>
  <w:abstractNum w:abstractNumId="47">
    <w:nsid w:val="72817D46"/>
    <w:multiLevelType w:val="hybridMultilevel"/>
    <w:tmpl w:val="939A25FE"/>
    <w:name w:val="zzmpPUC||PUC|3|1|0|1|2|41||1|2|37||1|2|32||1|2|33||1|2|32||1|2|32||1|2|32||1|2|32||1|2|32||43"/>
    <w:lvl w:ilvl="0" w:tplc="ED268282">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29E7981"/>
    <w:multiLevelType w:val="hybridMultilevel"/>
    <w:tmpl w:val="E84C72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pStyle w:val="DeclStyle"/>
      <w:lvlText w:val="%3."/>
      <w:lvlJc w:val="left"/>
      <w:pPr>
        <w:tabs>
          <w:tab w:val="num" w:pos="1620"/>
        </w:tabs>
        <w:ind w:left="1620" w:hanging="360"/>
      </w:pPr>
      <w:rPr>
        <w:rFonts w:hint="default"/>
        <w:b w:val="0"/>
        <w:i w:val="0"/>
      </w:rPr>
    </w:lvl>
    <w:lvl w:ilvl="3" w:tplc="1F9AB7CA">
      <w:start w:val="1"/>
      <w:numFmt w:val="upperLetter"/>
      <w:lvlText w:val="%4."/>
      <w:lvlJc w:val="left"/>
      <w:pPr>
        <w:tabs>
          <w:tab w:val="num" w:pos="1440"/>
        </w:tabs>
        <w:ind w:left="720" w:firstLine="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246767"/>
    <w:multiLevelType w:val="hybridMultilevel"/>
    <w:tmpl w:val="65A4D80A"/>
    <w:name w:val="zzmpPUC||PUC|3|1|0|1|2|41||1|2|37||1|2|32||1|2|33||1|2|32||1|2|32||1|2|32||1|2|32||1|2|32||3"/>
    <w:lvl w:ilvl="0" w:tplc="FFFFFFFF">
      <w:start w:val="1"/>
      <w:numFmt w:val="lowerRoman"/>
      <w:lvlText w:val="%1."/>
      <w:lvlJc w:val="left"/>
      <w:pPr>
        <w:tabs>
          <w:tab w:val="num" w:pos="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1F9AB7CA"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B1D5917"/>
    <w:multiLevelType w:val="hybridMultilevel"/>
    <w:tmpl w:val="10B68CE4"/>
    <w:name w:val="zzmpPUC||PUC|3|1|0|1|2|41||1|2|37||1|2|32||1|2|33||1|2|32||1|2|32||1|2|32||1|2|32||1|2|32||423"/>
    <w:lvl w:ilvl="0" w:tplc="C78AB59A">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B3502A2"/>
    <w:multiLevelType w:val="hybridMultilevel"/>
    <w:tmpl w:val="C21894B8"/>
    <w:name w:val="zzmpPleading1||Pleading1|2|1|1|1|4|41||1|4|33||1|4|33||1|4|33||1|4|33||1|4|33||1|4|33||1|4|33||1|4|33||"/>
    <w:lvl w:ilvl="0" w:tplc="ED268282">
      <w:start w:val="31"/>
      <w:numFmt w:val="bullet"/>
      <w:lvlText w:val=""/>
      <w:lvlJc w:val="left"/>
      <w:pPr>
        <w:ind w:left="1800" w:hanging="360"/>
      </w:pPr>
      <w:rPr>
        <w:rFonts w:ascii="Symbol" w:eastAsia="Times New Roman" w:hAnsi="Symbol" w:hint="default"/>
        <w:u w:val="none"/>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2">
    <w:nsid w:val="7D307C8D"/>
    <w:multiLevelType w:val="hybridMultilevel"/>
    <w:tmpl w:val="05B433F4"/>
    <w:name w:val="zzmpPUC||PUC|3|1|0|1|2|41||1|2|37||1|2|32||1|2|33||1|2|32||1|2|32||1|2|32||1|2|32||1|2|32||44"/>
    <w:lvl w:ilvl="0" w:tplc="B93E0786">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0"/>
  </w:num>
  <w:num w:numId="5">
    <w:abstractNumId w:val="33"/>
  </w:num>
  <w:num w:numId="6">
    <w:abstractNumId w:val="9"/>
  </w:num>
  <w:num w:numId="7">
    <w:abstractNumId w:val="28"/>
  </w:num>
  <w:num w:numId="8">
    <w:abstractNumId w:val="13"/>
  </w:num>
  <w:num w:numId="9">
    <w:abstractNumId w:val="13"/>
    <w:lvlOverride w:ilvl="0">
      <w:startOverride w:val="1"/>
    </w:lvlOverride>
  </w:num>
  <w:num w:numId="10">
    <w:abstractNumId w:val="13"/>
    <w:lvlOverride w:ilvl="0">
      <w:startOverride w:val="1"/>
    </w:lvlOverride>
  </w:num>
  <w:num w:numId="11">
    <w:abstractNumId w:val="16"/>
  </w:num>
  <w:num w:numId="12">
    <w:abstractNumId w:val="48"/>
  </w:num>
  <w:num w:numId="13">
    <w:abstractNumId w:val="8"/>
  </w:num>
  <w:num w:numId="14">
    <w:abstractNumId w:val="4"/>
  </w:num>
  <w:num w:numId="15">
    <w:abstractNumId w:val="12"/>
  </w:num>
  <w:num w:numId="16">
    <w:abstractNumId w:val="18"/>
  </w:num>
  <w:num w:numId="17">
    <w:abstractNumId w:val="34"/>
  </w:num>
  <w:num w:numId="18">
    <w:abstractNumId w:val="42"/>
  </w:num>
  <w:num w:numId="19">
    <w:abstractNumId w:val="45"/>
  </w:num>
  <w:num w:numId="20">
    <w:abstractNumId w:val="19"/>
  </w:num>
  <w:num w:numId="21">
    <w:abstractNumId w:val="7"/>
  </w:num>
  <w:num w:numId="22">
    <w:abstractNumId w:val="10"/>
  </w:num>
  <w:num w:numId="23">
    <w:abstractNumId w:val="3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42"/>
  </w:num>
  <w:num w:numId="26">
    <w:abstractNumId w:val="31"/>
  </w:num>
  <w:num w:numId="27">
    <w:abstractNumId w:val="26"/>
  </w:num>
  <w:num w:numId="28">
    <w:abstractNumId w:val="20"/>
  </w:num>
  <w:num w:numId="29">
    <w:abstractNumId w:val="39"/>
  </w:num>
  <w:num w:numId="30">
    <w:abstractNumId w:val="23"/>
  </w:num>
  <w:num w:numId="31">
    <w:abstractNumId w:val="46"/>
  </w:num>
  <w:num w:numId="32">
    <w:abstractNumId w:val="14"/>
  </w:num>
  <w:num w:numId="33">
    <w:abstractNumId w:val="15"/>
  </w:num>
  <w:num w:numId="34">
    <w:abstractNumId w:val="17"/>
  </w:num>
  <w:num w:numId="35">
    <w:abstractNumId w:val="42"/>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fillcolor="white" strokecolor="white">
      <v:fill color="white"/>
      <v:stroke color="white" weight=".5pt"/>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FD"/>
    <w:rsid w:val="00000A7D"/>
    <w:rsid w:val="00000AD1"/>
    <w:rsid w:val="00000C5B"/>
    <w:rsid w:val="00000DEF"/>
    <w:rsid w:val="00000E8B"/>
    <w:rsid w:val="00001023"/>
    <w:rsid w:val="000012CF"/>
    <w:rsid w:val="000012D0"/>
    <w:rsid w:val="000012EF"/>
    <w:rsid w:val="0000156C"/>
    <w:rsid w:val="00001AD9"/>
    <w:rsid w:val="00001BB3"/>
    <w:rsid w:val="00001CB4"/>
    <w:rsid w:val="00001D00"/>
    <w:rsid w:val="00001D61"/>
    <w:rsid w:val="0000228F"/>
    <w:rsid w:val="00002372"/>
    <w:rsid w:val="000024BF"/>
    <w:rsid w:val="000026BA"/>
    <w:rsid w:val="00002991"/>
    <w:rsid w:val="00002F19"/>
    <w:rsid w:val="00003567"/>
    <w:rsid w:val="000037F3"/>
    <w:rsid w:val="00003CB0"/>
    <w:rsid w:val="00003D3E"/>
    <w:rsid w:val="00003D9B"/>
    <w:rsid w:val="00003DE6"/>
    <w:rsid w:val="000041AF"/>
    <w:rsid w:val="00004326"/>
    <w:rsid w:val="0000439C"/>
    <w:rsid w:val="000045B3"/>
    <w:rsid w:val="000046B3"/>
    <w:rsid w:val="000048F1"/>
    <w:rsid w:val="00004B61"/>
    <w:rsid w:val="00005089"/>
    <w:rsid w:val="00005389"/>
    <w:rsid w:val="00005467"/>
    <w:rsid w:val="00005503"/>
    <w:rsid w:val="000056A3"/>
    <w:rsid w:val="0000571E"/>
    <w:rsid w:val="0000578D"/>
    <w:rsid w:val="00005A95"/>
    <w:rsid w:val="00005BB1"/>
    <w:rsid w:val="00005CAB"/>
    <w:rsid w:val="00005D36"/>
    <w:rsid w:val="00005D48"/>
    <w:rsid w:val="0000611A"/>
    <w:rsid w:val="00006172"/>
    <w:rsid w:val="0000630F"/>
    <w:rsid w:val="00006395"/>
    <w:rsid w:val="0000678A"/>
    <w:rsid w:val="00006853"/>
    <w:rsid w:val="00006971"/>
    <w:rsid w:val="00006AF8"/>
    <w:rsid w:val="00006E30"/>
    <w:rsid w:val="00006E8C"/>
    <w:rsid w:val="00006EE9"/>
    <w:rsid w:val="0000710D"/>
    <w:rsid w:val="00007283"/>
    <w:rsid w:val="0000732F"/>
    <w:rsid w:val="00007362"/>
    <w:rsid w:val="000075E2"/>
    <w:rsid w:val="00007762"/>
    <w:rsid w:val="00007871"/>
    <w:rsid w:val="00007B1D"/>
    <w:rsid w:val="00010080"/>
    <w:rsid w:val="00010255"/>
    <w:rsid w:val="000102C3"/>
    <w:rsid w:val="0001033C"/>
    <w:rsid w:val="0001089F"/>
    <w:rsid w:val="00011070"/>
    <w:rsid w:val="00011455"/>
    <w:rsid w:val="00011684"/>
    <w:rsid w:val="000116DC"/>
    <w:rsid w:val="000117DF"/>
    <w:rsid w:val="000117FE"/>
    <w:rsid w:val="0001194A"/>
    <w:rsid w:val="00011ED8"/>
    <w:rsid w:val="00011FF7"/>
    <w:rsid w:val="00012590"/>
    <w:rsid w:val="000126FF"/>
    <w:rsid w:val="00012A2E"/>
    <w:rsid w:val="00012EBD"/>
    <w:rsid w:val="00012EC7"/>
    <w:rsid w:val="000130EE"/>
    <w:rsid w:val="000131F8"/>
    <w:rsid w:val="0001322C"/>
    <w:rsid w:val="000135C5"/>
    <w:rsid w:val="000135DD"/>
    <w:rsid w:val="00013865"/>
    <w:rsid w:val="00013B75"/>
    <w:rsid w:val="0001406A"/>
    <w:rsid w:val="000140D5"/>
    <w:rsid w:val="0001490B"/>
    <w:rsid w:val="000149D1"/>
    <w:rsid w:val="00014AF9"/>
    <w:rsid w:val="00014CDF"/>
    <w:rsid w:val="0001505E"/>
    <w:rsid w:val="00015087"/>
    <w:rsid w:val="00015194"/>
    <w:rsid w:val="00015204"/>
    <w:rsid w:val="0001577E"/>
    <w:rsid w:val="00015AD2"/>
    <w:rsid w:val="00015E7D"/>
    <w:rsid w:val="000160B2"/>
    <w:rsid w:val="000160F9"/>
    <w:rsid w:val="000166AB"/>
    <w:rsid w:val="000167F9"/>
    <w:rsid w:val="00016E52"/>
    <w:rsid w:val="00016F5A"/>
    <w:rsid w:val="000170CC"/>
    <w:rsid w:val="00017176"/>
    <w:rsid w:val="0001719C"/>
    <w:rsid w:val="00017234"/>
    <w:rsid w:val="000172DE"/>
    <w:rsid w:val="000173FD"/>
    <w:rsid w:val="0001747A"/>
    <w:rsid w:val="000174B1"/>
    <w:rsid w:val="000176FA"/>
    <w:rsid w:val="0001783F"/>
    <w:rsid w:val="0001799A"/>
    <w:rsid w:val="00017BD5"/>
    <w:rsid w:val="00017E73"/>
    <w:rsid w:val="00017FE9"/>
    <w:rsid w:val="00020452"/>
    <w:rsid w:val="00020599"/>
    <w:rsid w:val="0002068F"/>
    <w:rsid w:val="00020843"/>
    <w:rsid w:val="00020893"/>
    <w:rsid w:val="00021144"/>
    <w:rsid w:val="000212F2"/>
    <w:rsid w:val="00021810"/>
    <w:rsid w:val="00021888"/>
    <w:rsid w:val="000219AA"/>
    <w:rsid w:val="00021D07"/>
    <w:rsid w:val="000227BF"/>
    <w:rsid w:val="00022ABC"/>
    <w:rsid w:val="00022B91"/>
    <w:rsid w:val="00022D3C"/>
    <w:rsid w:val="00022EC0"/>
    <w:rsid w:val="00022FFE"/>
    <w:rsid w:val="00023054"/>
    <w:rsid w:val="0002320F"/>
    <w:rsid w:val="00023284"/>
    <w:rsid w:val="000233D5"/>
    <w:rsid w:val="00023842"/>
    <w:rsid w:val="00023CDC"/>
    <w:rsid w:val="00023E47"/>
    <w:rsid w:val="00024224"/>
    <w:rsid w:val="0002445F"/>
    <w:rsid w:val="00024649"/>
    <w:rsid w:val="000248F7"/>
    <w:rsid w:val="00024A02"/>
    <w:rsid w:val="00024AD8"/>
    <w:rsid w:val="00024AFA"/>
    <w:rsid w:val="00024B95"/>
    <w:rsid w:val="00024CD8"/>
    <w:rsid w:val="00024D45"/>
    <w:rsid w:val="00024E3E"/>
    <w:rsid w:val="00024E89"/>
    <w:rsid w:val="000250CD"/>
    <w:rsid w:val="00025352"/>
    <w:rsid w:val="0002558F"/>
    <w:rsid w:val="000255F5"/>
    <w:rsid w:val="00025612"/>
    <w:rsid w:val="000256F5"/>
    <w:rsid w:val="000257CD"/>
    <w:rsid w:val="00025861"/>
    <w:rsid w:val="0002587A"/>
    <w:rsid w:val="00025926"/>
    <w:rsid w:val="00025AF6"/>
    <w:rsid w:val="00025DB9"/>
    <w:rsid w:val="00025E45"/>
    <w:rsid w:val="00025F33"/>
    <w:rsid w:val="000260D6"/>
    <w:rsid w:val="000260F3"/>
    <w:rsid w:val="000265EF"/>
    <w:rsid w:val="00026883"/>
    <w:rsid w:val="000268C2"/>
    <w:rsid w:val="000269D2"/>
    <w:rsid w:val="00026B0E"/>
    <w:rsid w:val="00026CB7"/>
    <w:rsid w:val="000270C5"/>
    <w:rsid w:val="00027739"/>
    <w:rsid w:val="0002788C"/>
    <w:rsid w:val="000278A5"/>
    <w:rsid w:val="00027D90"/>
    <w:rsid w:val="00027E73"/>
    <w:rsid w:val="00027F6B"/>
    <w:rsid w:val="00030BF9"/>
    <w:rsid w:val="00030C9A"/>
    <w:rsid w:val="00030E24"/>
    <w:rsid w:val="000310FF"/>
    <w:rsid w:val="00031815"/>
    <w:rsid w:val="00031CFB"/>
    <w:rsid w:val="00031D2A"/>
    <w:rsid w:val="00031F65"/>
    <w:rsid w:val="000321CD"/>
    <w:rsid w:val="000321CF"/>
    <w:rsid w:val="00032309"/>
    <w:rsid w:val="00032472"/>
    <w:rsid w:val="0003272E"/>
    <w:rsid w:val="000327C3"/>
    <w:rsid w:val="00032B47"/>
    <w:rsid w:val="00032B89"/>
    <w:rsid w:val="00032C5A"/>
    <w:rsid w:val="00032D38"/>
    <w:rsid w:val="00032DEF"/>
    <w:rsid w:val="00032EA8"/>
    <w:rsid w:val="00032F03"/>
    <w:rsid w:val="000338D2"/>
    <w:rsid w:val="00033914"/>
    <w:rsid w:val="00033A7C"/>
    <w:rsid w:val="00033B91"/>
    <w:rsid w:val="00033E40"/>
    <w:rsid w:val="00033E5E"/>
    <w:rsid w:val="00033EBA"/>
    <w:rsid w:val="00033ECD"/>
    <w:rsid w:val="00034355"/>
    <w:rsid w:val="000343DA"/>
    <w:rsid w:val="000347C9"/>
    <w:rsid w:val="00034F41"/>
    <w:rsid w:val="00034F4E"/>
    <w:rsid w:val="00035304"/>
    <w:rsid w:val="0003560D"/>
    <w:rsid w:val="00035693"/>
    <w:rsid w:val="000358D4"/>
    <w:rsid w:val="00035997"/>
    <w:rsid w:val="00035A07"/>
    <w:rsid w:val="000362F2"/>
    <w:rsid w:val="00036742"/>
    <w:rsid w:val="00036751"/>
    <w:rsid w:val="000368E8"/>
    <w:rsid w:val="00036A45"/>
    <w:rsid w:val="00036BD5"/>
    <w:rsid w:val="00036DA2"/>
    <w:rsid w:val="00036E2E"/>
    <w:rsid w:val="000379A2"/>
    <w:rsid w:val="00037D22"/>
    <w:rsid w:val="00037E28"/>
    <w:rsid w:val="00040084"/>
    <w:rsid w:val="0004028A"/>
    <w:rsid w:val="000404A2"/>
    <w:rsid w:val="00040C86"/>
    <w:rsid w:val="00040D49"/>
    <w:rsid w:val="00040FAB"/>
    <w:rsid w:val="0004119D"/>
    <w:rsid w:val="000413B2"/>
    <w:rsid w:val="00041929"/>
    <w:rsid w:val="00041C27"/>
    <w:rsid w:val="00041D1D"/>
    <w:rsid w:val="00041D6E"/>
    <w:rsid w:val="0004213A"/>
    <w:rsid w:val="000421C2"/>
    <w:rsid w:val="000422DD"/>
    <w:rsid w:val="000422F9"/>
    <w:rsid w:val="00042582"/>
    <w:rsid w:val="00042801"/>
    <w:rsid w:val="00042835"/>
    <w:rsid w:val="00042983"/>
    <w:rsid w:val="00042BC1"/>
    <w:rsid w:val="00042C7A"/>
    <w:rsid w:val="00042D1C"/>
    <w:rsid w:val="00042D8A"/>
    <w:rsid w:val="00042E67"/>
    <w:rsid w:val="00042F0B"/>
    <w:rsid w:val="00043080"/>
    <w:rsid w:val="0004333F"/>
    <w:rsid w:val="00043495"/>
    <w:rsid w:val="00043AA5"/>
    <w:rsid w:val="00043DCD"/>
    <w:rsid w:val="00043FC6"/>
    <w:rsid w:val="00044259"/>
    <w:rsid w:val="0004440E"/>
    <w:rsid w:val="0004464D"/>
    <w:rsid w:val="00044676"/>
    <w:rsid w:val="00044B10"/>
    <w:rsid w:val="00044D94"/>
    <w:rsid w:val="00044DE4"/>
    <w:rsid w:val="00044E85"/>
    <w:rsid w:val="00044EDB"/>
    <w:rsid w:val="0004502D"/>
    <w:rsid w:val="000456A0"/>
    <w:rsid w:val="00045A82"/>
    <w:rsid w:val="00045AA7"/>
    <w:rsid w:val="00045E4F"/>
    <w:rsid w:val="00046174"/>
    <w:rsid w:val="00046375"/>
    <w:rsid w:val="000463DE"/>
    <w:rsid w:val="000464AB"/>
    <w:rsid w:val="00046732"/>
    <w:rsid w:val="0004679D"/>
    <w:rsid w:val="000467B0"/>
    <w:rsid w:val="0004686F"/>
    <w:rsid w:val="0004716B"/>
    <w:rsid w:val="00047279"/>
    <w:rsid w:val="0004733F"/>
    <w:rsid w:val="00047342"/>
    <w:rsid w:val="0004773D"/>
    <w:rsid w:val="0004779B"/>
    <w:rsid w:val="0004791C"/>
    <w:rsid w:val="000479BD"/>
    <w:rsid w:val="00047A43"/>
    <w:rsid w:val="00047BBD"/>
    <w:rsid w:val="00050067"/>
    <w:rsid w:val="000500DF"/>
    <w:rsid w:val="0005012B"/>
    <w:rsid w:val="00050183"/>
    <w:rsid w:val="000503D8"/>
    <w:rsid w:val="000505AE"/>
    <w:rsid w:val="000507D8"/>
    <w:rsid w:val="00050862"/>
    <w:rsid w:val="000508CE"/>
    <w:rsid w:val="000509A6"/>
    <w:rsid w:val="00050A31"/>
    <w:rsid w:val="00050AD7"/>
    <w:rsid w:val="00050BA7"/>
    <w:rsid w:val="00050BEA"/>
    <w:rsid w:val="00050DF7"/>
    <w:rsid w:val="00051135"/>
    <w:rsid w:val="00051340"/>
    <w:rsid w:val="000515F1"/>
    <w:rsid w:val="0005177B"/>
    <w:rsid w:val="000519B7"/>
    <w:rsid w:val="00051C0D"/>
    <w:rsid w:val="00051D4C"/>
    <w:rsid w:val="00051ED7"/>
    <w:rsid w:val="00051F33"/>
    <w:rsid w:val="0005207A"/>
    <w:rsid w:val="00052168"/>
    <w:rsid w:val="000522C4"/>
    <w:rsid w:val="000525AF"/>
    <w:rsid w:val="00052766"/>
    <w:rsid w:val="00052A61"/>
    <w:rsid w:val="00052ABC"/>
    <w:rsid w:val="00052C6E"/>
    <w:rsid w:val="00052CD3"/>
    <w:rsid w:val="00052D5F"/>
    <w:rsid w:val="00052EF5"/>
    <w:rsid w:val="00052F63"/>
    <w:rsid w:val="00052FB6"/>
    <w:rsid w:val="000532AF"/>
    <w:rsid w:val="00053375"/>
    <w:rsid w:val="00053426"/>
    <w:rsid w:val="000539C8"/>
    <w:rsid w:val="00053BF8"/>
    <w:rsid w:val="00053D53"/>
    <w:rsid w:val="00053F3D"/>
    <w:rsid w:val="00053F59"/>
    <w:rsid w:val="0005412B"/>
    <w:rsid w:val="0005416E"/>
    <w:rsid w:val="0005417A"/>
    <w:rsid w:val="0005420D"/>
    <w:rsid w:val="00054476"/>
    <w:rsid w:val="000544AA"/>
    <w:rsid w:val="000544CB"/>
    <w:rsid w:val="00054658"/>
    <w:rsid w:val="0005497B"/>
    <w:rsid w:val="00054C0B"/>
    <w:rsid w:val="00054CA8"/>
    <w:rsid w:val="00055005"/>
    <w:rsid w:val="0005539B"/>
    <w:rsid w:val="00055850"/>
    <w:rsid w:val="00055946"/>
    <w:rsid w:val="00055AB7"/>
    <w:rsid w:val="000560B1"/>
    <w:rsid w:val="000561E3"/>
    <w:rsid w:val="0005654F"/>
    <w:rsid w:val="000566DB"/>
    <w:rsid w:val="0005676D"/>
    <w:rsid w:val="000567C1"/>
    <w:rsid w:val="00056BC9"/>
    <w:rsid w:val="00056D51"/>
    <w:rsid w:val="00056E15"/>
    <w:rsid w:val="0005762C"/>
    <w:rsid w:val="00057636"/>
    <w:rsid w:val="000576A3"/>
    <w:rsid w:val="000577A3"/>
    <w:rsid w:val="000577BB"/>
    <w:rsid w:val="000578F3"/>
    <w:rsid w:val="00057A1F"/>
    <w:rsid w:val="00060002"/>
    <w:rsid w:val="000600BA"/>
    <w:rsid w:val="00060105"/>
    <w:rsid w:val="0006039F"/>
    <w:rsid w:val="000605FD"/>
    <w:rsid w:val="00060C8E"/>
    <w:rsid w:val="00060D7E"/>
    <w:rsid w:val="00060E4D"/>
    <w:rsid w:val="00060E87"/>
    <w:rsid w:val="000610A3"/>
    <w:rsid w:val="000611DE"/>
    <w:rsid w:val="00061287"/>
    <w:rsid w:val="00061372"/>
    <w:rsid w:val="0006138F"/>
    <w:rsid w:val="00061588"/>
    <w:rsid w:val="0006161E"/>
    <w:rsid w:val="00061688"/>
    <w:rsid w:val="0006175C"/>
    <w:rsid w:val="00061AC5"/>
    <w:rsid w:val="00061E9F"/>
    <w:rsid w:val="00062081"/>
    <w:rsid w:val="000626A4"/>
    <w:rsid w:val="000628C9"/>
    <w:rsid w:val="000628ED"/>
    <w:rsid w:val="000629C4"/>
    <w:rsid w:val="00062C5E"/>
    <w:rsid w:val="00062DC1"/>
    <w:rsid w:val="00062F20"/>
    <w:rsid w:val="00063199"/>
    <w:rsid w:val="00063411"/>
    <w:rsid w:val="0006360F"/>
    <w:rsid w:val="00063740"/>
    <w:rsid w:val="00063930"/>
    <w:rsid w:val="00063992"/>
    <w:rsid w:val="00063995"/>
    <w:rsid w:val="00063D0B"/>
    <w:rsid w:val="00063E1C"/>
    <w:rsid w:val="00063FEE"/>
    <w:rsid w:val="0006403E"/>
    <w:rsid w:val="0006438F"/>
    <w:rsid w:val="000647D9"/>
    <w:rsid w:val="00064C6D"/>
    <w:rsid w:val="00064ECC"/>
    <w:rsid w:val="00064F83"/>
    <w:rsid w:val="000656FD"/>
    <w:rsid w:val="00065727"/>
    <w:rsid w:val="00065924"/>
    <w:rsid w:val="000659B8"/>
    <w:rsid w:val="00065B3E"/>
    <w:rsid w:val="00065CD8"/>
    <w:rsid w:val="00065ED2"/>
    <w:rsid w:val="00066060"/>
    <w:rsid w:val="00066185"/>
    <w:rsid w:val="000662F9"/>
    <w:rsid w:val="000664C4"/>
    <w:rsid w:val="00066751"/>
    <w:rsid w:val="00066A75"/>
    <w:rsid w:val="00067250"/>
    <w:rsid w:val="0006748E"/>
    <w:rsid w:val="00067534"/>
    <w:rsid w:val="00067682"/>
    <w:rsid w:val="0006777A"/>
    <w:rsid w:val="0006795F"/>
    <w:rsid w:val="00067C04"/>
    <w:rsid w:val="00067E72"/>
    <w:rsid w:val="00070148"/>
    <w:rsid w:val="0007022B"/>
    <w:rsid w:val="0007026D"/>
    <w:rsid w:val="000702E9"/>
    <w:rsid w:val="000702F4"/>
    <w:rsid w:val="000705A6"/>
    <w:rsid w:val="00070775"/>
    <w:rsid w:val="00070CFB"/>
    <w:rsid w:val="00070D5B"/>
    <w:rsid w:val="000711A6"/>
    <w:rsid w:val="0007143B"/>
    <w:rsid w:val="00071550"/>
    <w:rsid w:val="00071621"/>
    <w:rsid w:val="00071945"/>
    <w:rsid w:val="00071DEB"/>
    <w:rsid w:val="0007206E"/>
    <w:rsid w:val="00072358"/>
    <w:rsid w:val="00072545"/>
    <w:rsid w:val="00072633"/>
    <w:rsid w:val="00072658"/>
    <w:rsid w:val="0007265C"/>
    <w:rsid w:val="00072A68"/>
    <w:rsid w:val="00072A93"/>
    <w:rsid w:val="00072B6C"/>
    <w:rsid w:val="00072E39"/>
    <w:rsid w:val="00072E8E"/>
    <w:rsid w:val="0007302A"/>
    <w:rsid w:val="00073229"/>
    <w:rsid w:val="000733C8"/>
    <w:rsid w:val="00073454"/>
    <w:rsid w:val="000734B4"/>
    <w:rsid w:val="00073547"/>
    <w:rsid w:val="00073652"/>
    <w:rsid w:val="00073668"/>
    <w:rsid w:val="000736D7"/>
    <w:rsid w:val="000739CB"/>
    <w:rsid w:val="00073B9C"/>
    <w:rsid w:val="00073F94"/>
    <w:rsid w:val="00074199"/>
    <w:rsid w:val="00074271"/>
    <w:rsid w:val="00074790"/>
    <w:rsid w:val="000747E2"/>
    <w:rsid w:val="000749F2"/>
    <w:rsid w:val="00074A67"/>
    <w:rsid w:val="00074AF4"/>
    <w:rsid w:val="00074B56"/>
    <w:rsid w:val="00074B9A"/>
    <w:rsid w:val="000750FB"/>
    <w:rsid w:val="00075771"/>
    <w:rsid w:val="000759F4"/>
    <w:rsid w:val="00075CB6"/>
    <w:rsid w:val="00075D8D"/>
    <w:rsid w:val="00075D9B"/>
    <w:rsid w:val="00075E2C"/>
    <w:rsid w:val="00075EC6"/>
    <w:rsid w:val="00076165"/>
    <w:rsid w:val="0007650B"/>
    <w:rsid w:val="00076841"/>
    <w:rsid w:val="00076913"/>
    <w:rsid w:val="00076B4A"/>
    <w:rsid w:val="00076BAD"/>
    <w:rsid w:val="00076DEE"/>
    <w:rsid w:val="00076F4A"/>
    <w:rsid w:val="000774C2"/>
    <w:rsid w:val="0007770C"/>
    <w:rsid w:val="0007778A"/>
    <w:rsid w:val="00077A52"/>
    <w:rsid w:val="00077BAC"/>
    <w:rsid w:val="00077E1E"/>
    <w:rsid w:val="00077EDD"/>
    <w:rsid w:val="00077F0F"/>
    <w:rsid w:val="000802EC"/>
    <w:rsid w:val="0008045D"/>
    <w:rsid w:val="000807C7"/>
    <w:rsid w:val="00080983"/>
    <w:rsid w:val="00080DF2"/>
    <w:rsid w:val="000813C7"/>
    <w:rsid w:val="00081985"/>
    <w:rsid w:val="00081A81"/>
    <w:rsid w:val="00081D35"/>
    <w:rsid w:val="0008206A"/>
    <w:rsid w:val="000820DD"/>
    <w:rsid w:val="00082114"/>
    <w:rsid w:val="00082404"/>
    <w:rsid w:val="00082A5F"/>
    <w:rsid w:val="00082A7D"/>
    <w:rsid w:val="00082E84"/>
    <w:rsid w:val="00083090"/>
    <w:rsid w:val="00083149"/>
    <w:rsid w:val="0008314A"/>
    <w:rsid w:val="000834F8"/>
    <w:rsid w:val="00083699"/>
    <w:rsid w:val="00083974"/>
    <w:rsid w:val="00083AD8"/>
    <w:rsid w:val="00083D04"/>
    <w:rsid w:val="00083F5A"/>
    <w:rsid w:val="00083F91"/>
    <w:rsid w:val="0008445B"/>
    <w:rsid w:val="00084566"/>
    <w:rsid w:val="0008466D"/>
    <w:rsid w:val="00084A3D"/>
    <w:rsid w:val="00084A65"/>
    <w:rsid w:val="00084B3C"/>
    <w:rsid w:val="00084C23"/>
    <w:rsid w:val="00085286"/>
    <w:rsid w:val="000852B0"/>
    <w:rsid w:val="0008545B"/>
    <w:rsid w:val="000855A7"/>
    <w:rsid w:val="000859D8"/>
    <w:rsid w:val="00085C09"/>
    <w:rsid w:val="00085D39"/>
    <w:rsid w:val="00085F04"/>
    <w:rsid w:val="000861B4"/>
    <w:rsid w:val="00086EB2"/>
    <w:rsid w:val="000870BB"/>
    <w:rsid w:val="000870BF"/>
    <w:rsid w:val="000871DA"/>
    <w:rsid w:val="00087310"/>
    <w:rsid w:val="00087329"/>
    <w:rsid w:val="000877A1"/>
    <w:rsid w:val="00087A8A"/>
    <w:rsid w:val="00087D5B"/>
    <w:rsid w:val="00087D76"/>
    <w:rsid w:val="00087ECA"/>
    <w:rsid w:val="00087EEF"/>
    <w:rsid w:val="0009014C"/>
    <w:rsid w:val="000906D0"/>
    <w:rsid w:val="000909AB"/>
    <w:rsid w:val="00090ACD"/>
    <w:rsid w:val="00090CB9"/>
    <w:rsid w:val="00091232"/>
    <w:rsid w:val="0009142B"/>
    <w:rsid w:val="000915A7"/>
    <w:rsid w:val="0009166A"/>
    <w:rsid w:val="00091727"/>
    <w:rsid w:val="0009187B"/>
    <w:rsid w:val="00091AAE"/>
    <w:rsid w:val="00091CBA"/>
    <w:rsid w:val="00092815"/>
    <w:rsid w:val="000929B3"/>
    <w:rsid w:val="00092BA3"/>
    <w:rsid w:val="00092E6D"/>
    <w:rsid w:val="000931F4"/>
    <w:rsid w:val="00093277"/>
    <w:rsid w:val="00093452"/>
    <w:rsid w:val="00093574"/>
    <w:rsid w:val="0009364C"/>
    <w:rsid w:val="000936CA"/>
    <w:rsid w:val="000937AD"/>
    <w:rsid w:val="000939E6"/>
    <w:rsid w:val="00093FC8"/>
    <w:rsid w:val="000940F3"/>
    <w:rsid w:val="00094215"/>
    <w:rsid w:val="0009475D"/>
    <w:rsid w:val="00094A71"/>
    <w:rsid w:val="00094AF6"/>
    <w:rsid w:val="00094BA5"/>
    <w:rsid w:val="00094C0F"/>
    <w:rsid w:val="00094EDE"/>
    <w:rsid w:val="000956C4"/>
    <w:rsid w:val="00095894"/>
    <w:rsid w:val="00095DC0"/>
    <w:rsid w:val="00095E21"/>
    <w:rsid w:val="00095FF3"/>
    <w:rsid w:val="000961B0"/>
    <w:rsid w:val="00096299"/>
    <w:rsid w:val="000963A9"/>
    <w:rsid w:val="000963B1"/>
    <w:rsid w:val="000963E3"/>
    <w:rsid w:val="000964A2"/>
    <w:rsid w:val="000965C5"/>
    <w:rsid w:val="000969DA"/>
    <w:rsid w:val="00096A5A"/>
    <w:rsid w:val="00096B08"/>
    <w:rsid w:val="00096F0B"/>
    <w:rsid w:val="00096F6C"/>
    <w:rsid w:val="00097868"/>
    <w:rsid w:val="000978AB"/>
    <w:rsid w:val="00097F91"/>
    <w:rsid w:val="000A010E"/>
    <w:rsid w:val="000A022A"/>
    <w:rsid w:val="000A02CC"/>
    <w:rsid w:val="000A0357"/>
    <w:rsid w:val="000A0551"/>
    <w:rsid w:val="000A0695"/>
    <w:rsid w:val="000A088D"/>
    <w:rsid w:val="000A0A17"/>
    <w:rsid w:val="000A0A5A"/>
    <w:rsid w:val="000A0BEC"/>
    <w:rsid w:val="000A0BFD"/>
    <w:rsid w:val="000A0D91"/>
    <w:rsid w:val="000A1158"/>
    <w:rsid w:val="000A116C"/>
    <w:rsid w:val="000A1317"/>
    <w:rsid w:val="000A14A7"/>
    <w:rsid w:val="000A15B2"/>
    <w:rsid w:val="000A1600"/>
    <w:rsid w:val="000A1690"/>
    <w:rsid w:val="000A1786"/>
    <w:rsid w:val="000A18E8"/>
    <w:rsid w:val="000A1944"/>
    <w:rsid w:val="000A1992"/>
    <w:rsid w:val="000A1AAD"/>
    <w:rsid w:val="000A1D86"/>
    <w:rsid w:val="000A1EB5"/>
    <w:rsid w:val="000A1F07"/>
    <w:rsid w:val="000A2159"/>
    <w:rsid w:val="000A2219"/>
    <w:rsid w:val="000A2276"/>
    <w:rsid w:val="000A2583"/>
    <w:rsid w:val="000A25B6"/>
    <w:rsid w:val="000A2657"/>
    <w:rsid w:val="000A2767"/>
    <w:rsid w:val="000A2770"/>
    <w:rsid w:val="000A2AC7"/>
    <w:rsid w:val="000A3088"/>
    <w:rsid w:val="000A3134"/>
    <w:rsid w:val="000A3277"/>
    <w:rsid w:val="000A32EC"/>
    <w:rsid w:val="000A3686"/>
    <w:rsid w:val="000A36F5"/>
    <w:rsid w:val="000A37D1"/>
    <w:rsid w:val="000A38C3"/>
    <w:rsid w:val="000A3BA2"/>
    <w:rsid w:val="000A3CB1"/>
    <w:rsid w:val="000A3D99"/>
    <w:rsid w:val="000A3E97"/>
    <w:rsid w:val="000A415D"/>
    <w:rsid w:val="000A4519"/>
    <w:rsid w:val="000A4863"/>
    <w:rsid w:val="000A4EAB"/>
    <w:rsid w:val="000A507B"/>
    <w:rsid w:val="000A515E"/>
    <w:rsid w:val="000A5282"/>
    <w:rsid w:val="000A5531"/>
    <w:rsid w:val="000A5A45"/>
    <w:rsid w:val="000A5F64"/>
    <w:rsid w:val="000A695A"/>
    <w:rsid w:val="000A6B17"/>
    <w:rsid w:val="000A6BCC"/>
    <w:rsid w:val="000A6C30"/>
    <w:rsid w:val="000A6CE8"/>
    <w:rsid w:val="000A6E79"/>
    <w:rsid w:val="000A7130"/>
    <w:rsid w:val="000A71C7"/>
    <w:rsid w:val="000A787B"/>
    <w:rsid w:val="000A7BF5"/>
    <w:rsid w:val="000A7D05"/>
    <w:rsid w:val="000A7D9C"/>
    <w:rsid w:val="000A7E5C"/>
    <w:rsid w:val="000B042E"/>
    <w:rsid w:val="000B0444"/>
    <w:rsid w:val="000B045D"/>
    <w:rsid w:val="000B0853"/>
    <w:rsid w:val="000B0AA5"/>
    <w:rsid w:val="000B0B3F"/>
    <w:rsid w:val="000B0B84"/>
    <w:rsid w:val="000B0DE0"/>
    <w:rsid w:val="000B0EAC"/>
    <w:rsid w:val="000B126D"/>
    <w:rsid w:val="000B15F4"/>
    <w:rsid w:val="000B1AD9"/>
    <w:rsid w:val="000B1B7F"/>
    <w:rsid w:val="000B201A"/>
    <w:rsid w:val="000B25AB"/>
    <w:rsid w:val="000B27E4"/>
    <w:rsid w:val="000B2C35"/>
    <w:rsid w:val="000B2DDB"/>
    <w:rsid w:val="000B2FA5"/>
    <w:rsid w:val="000B307C"/>
    <w:rsid w:val="000B3372"/>
    <w:rsid w:val="000B3536"/>
    <w:rsid w:val="000B37B7"/>
    <w:rsid w:val="000B3870"/>
    <w:rsid w:val="000B3D7A"/>
    <w:rsid w:val="000B4019"/>
    <w:rsid w:val="000B4278"/>
    <w:rsid w:val="000B4465"/>
    <w:rsid w:val="000B45A5"/>
    <w:rsid w:val="000B4667"/>
    <w:rsid w:val="000B4711"/>
    <w:rsid w:val="000B4CAC"/>
    <w:rsid w:val="000B4D54"/>
    <w:rsid w:val="000B5EC9"/>
    <w:rsid w:val="000B5F68"/>
    <w:rsid w:val="000B60EC"/>
    <w:rsid w:val="000B6176"/>
    <w:rsid w:val="000B666A"/>
    <w:rsid w:val="000B6A67"/>
    <w:rsid w:val="000B6A8E"/>
    <w:rsid w:val="000B6ABA"/>
    <w:rsid w:val="000B6AFC"/>
    <w:rsid w:val="000B6B4F"/>
    <w:rsid w:val="000B6D2B"/>
    <w:rsid w:val="000B6D64"/>
    <w:rsid w:val="000B6DD6"/>
    <w:rsid w:val="000B6F29"/>
    <w:rsid w:val="000B7037"/>
    <w:rsid w:val="000B70C4"/>
    <w:rsid w:val="000B70D6"/>
    <w:rsid w:val="000B74B4"/>
    <w:rsid w:val="000B7987"/>
    <w:rsid w:val="000B7BF1"/>
    <w:rsid w:val="000B7CDD"/>
    <w:rsid w:val="000B7CE0"/>
    <w:rsid w:val="000B7E0C"/>
    <w:rsid w:val="000C0128"/>
    <w:rsid w:val="000C0180"/>
    <w:rsid w:val="000C01B4"/>
    <w:rsid w:val="000C020D"/>
    <w:rsid w:val="000C06B8"/>
    <w:rsid w:val="000C0764"/>
    <w:rsid w:val="000C0949"/>
    <w:rsid w:val="000C0DB9"/>
    <w:rsid w:val="000C1118"/>
    <w:rsid w:val="000C12EE"/>
    <w:rsid w:val="000C1576"/>
    <w:rsid w:val="000C1638"/>
    <w:rsid w:val="000C17BD"/>
    <w:rsid w:val="000C239B"/>
    <w:rsid w:val="000C240F"/>
    <w:rsid w:val="000C24AB"/>
    <w:rsid w:val="000C24E6"/>
    <w:rsid w:val="000C2538"/>
    <w:rsid w:val="000C25F8"/>
    <w:rsid w:val="000C2663"/>
    <w:rsid w:val="000C2710"/>
    <w:rsid w:val="000C2852"/>
    <w:rsid w:val="000C298C"/>
    <w:rsid w:val="000C2D58"/>
    <w:rsid w:val="000C2E38"/>
    <w:rsid w:val="000C2EB6"/>
    <w:rsid w:val="000C2FA9"/>
    <w:rsid w:val="000C34E6"/>
    <w:rsid w:val="000C35D2"/>
    <w:rsid w:val="000C3BBD"/>
    <w:rsid w:val="000C3C8B"/>
    <w:rsid w:val="000C3DD8"/>
    <w:rsid w:val="000C3EBE"/>
    <w:rsid w:val="000C411D"/>
    <w:rsid w:val="000C41D6"/>
    <w:rsid w:val="000C42E0"/>
    <w:rsid w:val="000C434A"/>
    <w:rsid w:val="000C438C"/>
    <w:rsid w:val="000C4953"/>
    <w:rsid w:val="000C4ACF"/>
    <w:rsid w:val="000C4CA5"/>
    <w:rsid w:val="000C4D85"/>
    <w:rsid w:val="000C4D9C"/>
    <w:rsid w:val="000C4FA5"/>
    <w:rsid w:val="000C523E"/>
    <w:rsid w:val="000C528A"/>
    <w:rsid w:val="000C5410"/>
    <w:rsid w:val="000C5781"/>
    <w:rsid w:val="000C5783"/>
    <w:rsid w:val="000C57F3"/>
    <w:rsid w:val="000C583C"/>
    <w:rsid w:val="000C5F3E"/>
    <w:rsid w:val="000C5F88"/>
    <w:rsid w:val="000C60C8"/>
    <w:rsid w:val="000C64AB"/>
    <w:rsid w:val="000C651D"/>
    <w:rsid w:val="000C6935"/>
    <w:rsid w:val="000C6E19"/>
    <w:rsid w:val="000C7034"/>
    <w:rsid w:val="000C71F5"/>
    <w:rsid w:val="000C76B4"/>
    <w:rsid w:val="000C7B94"/>
    <w:rsid w:val="000D0392"/>
    <w:rsid w:val="000D05C1"/>
    <w:rsid w:val="000D05C5"/>
    <w:rsid w:val="000D06AC"/>
    <w:rsid w:val="000D08A4"/>
    <w:rsid w:val="000D0CF1"/>
    <w:rsid w:val="000D0E6F"/>
    <w:rsid w:val="000D124C"/>
    <w:rsid w:val="000D12DC"/>
    <w:rsid w:val="000D14ED"/>
    <w:rsid w:val="000D1570"/>
    <w:rsid w:val="000D1B23"/>
    <w:rsid w:val="000D1B58"/>
    <w:rsid w:val="000D1B83"/>
    <w:rsid w:val="000D1BFB"/>
    <w:rsid w:val="000D1CD4"/>
    <w:rsid w:val="000D1CDD"/>
    <w:rsid w:val="000D1CF0"/>
    <w:rsid w:val="000D236C"/>
    <w:rsid w:val="000D2548"/>
    <w:rsid w:val="000D25A9"/>
    <w:rsid w:val="000D2BFC"/>
    <w:rsid w:val="000D3161"/>
    <w:rsid w:val="000D320C"/>
    <w:rsid w:val="000D3503"/>
    <w:rsid w:val="000D3801"/>
    <w:rsid w:val="000D3854"/>
    <w:rsid w:val="000D3B27"/>
    <w:rsid w:val="000D3B3A"/>
    <w:rsid w:val="000D3CFF"/>
    <w:rsid w:val="000D3D85"/>
    <w:rsid w:val="000D3F50"/>
    <w:rsid w:val="000D4036"/>
    <w:rsid w:val="000D42BF"/>
    <w:rsid w:val="000D4352"/>
    <w:rsid w:val="000D4432"/>
    <w:rsid w:val="000D4646"/>
    <w:rsid w:val="000D4967"/>
    <w:rsid w:val="000D4A97"/>
    <w:rsid w:val="000D4B30"/>
    <w:rsid w:val="000D505B"/>
    <w:rsid w:val="000D5265"/>
    <w:rsid w:val="000D53B3"/>
    <w:rsid w:val="000D5946"/>
    <w:rsid w:val="000D5C13"/>
    <w:rsid w:val="000D5C6E"/>
    <w:rsid w:val="000D5CF5"/>
    <w:rsid w:val="000D5DFB"/>
    <w:rsid w:val="000D639F"/>
    <w:rsid w:val="000D63E3"/>
    <w:rsid w:val="000D6743"/>
    <w:rsid w:val="000D6C95"/>
    <w:rsid w:val="000D6E55"/>
    <w:rsid w:val="000D700D"/>
    <w:rsid w:val="000D7855"/>
    <w:rsid w:val="000D7874"/>
    <w:rsid w:val="000D7A7D"/>
    <w:rsid w:val="000D7ABD"/>
    <w:rsid w:val="000D7C11"/>
    <w:rsid w:val="000E00D3"/>
    <w:rsid w:val="000E0491"/>
    <w:rsid w:val="000E067B"/>
    <w:rsid w:val="000E08E1"/>
    <w:rsid w:val="000E0B5F"/>
    <w:rsid w:val="000E0C2A"/>
    <w:rsid w:val="000E0D4E"/>
    <w:rsid w:val="000E15FB"/>
    <w:rsid w:val="000E1729"/>
    <w:rsid w:val="000E1800"/>
    <w:rsid w:val="000E21B2"/>
    <w:rsid w:val="000E2443"/>
    <w:rsid w:val="000E27B8"/>
    <w:rsid w:val="000E281A"/>
    <w:rsid w:val="000E294A"/>
    <w:rsid w:val="000E2F2C"/>
    <w:rsid w:val="000E2F90"/>
    <w:rsid w:val="000E327C"/>
    <w:rsid w:val="000E34F5"/>
    <w:rsid w:val="000E35F4"/>
    <w:rsid w:val="000E37EE"/>
    <w:rsid w:val="000E386E"/>
    <w:rsid w:val="000E397E"/>
    <w:rsid w:val="000E3E59"/>
    <w:rsid w:val="000E3FBF"/>
    <w:rsid w:val="000E3FFF"/>
    <w:rsid w:val="000E4529"/>
    <w:rsid w:val="000E46B7"/>
    <w:rsid w:val="000E48C4"/>
    <w:rsid w:val="000E4BB4"/>
    <w:rsid w:val="000E4C7E"/>
    <w:rsid w:val="000E4CE5"/>
    <w:rsid w:val="000E4D00"/>
    <w:rsid w:val="000E4EA8"/>
    <w:rsid w:val="000E4F64"/>
    <w:rsid w:val="000E5087"/>
    <w:rsid w:val="000E5149"/>
    <w:rsid w:val="000E52A9"/>
    <w:rsid w:val="000E5482"/>
    <w:rsid w:val="000E550D"/>
    <w:rsid w:val="000E56BB"/>
    <w:rsid w:val="000E5BC6"/>
    <w:rsid w:val="000E5EFB"/>
    <w:rsid w:val="000E60B4"/>
    <w:rsid w:val="000E6359"/>
    <w:rsid w:val="000E65BD"/>
    <w:rsid w:val="000E6601"/>
    <w:rsid w:val="000E663C"/>
    <w:rsid w:val="000E68C2"/>
    <w:rsid w:val="000E68CA"/>
    <w:rsid w:val="000E699E"/>
    <w:rsid w:val="000E6A9B"/>
    <w:rsid w:val="000E6B45"/>
    <w:rsid w:val="000E6BE1"/>
    <w:rsid w:val="000E6CB5"/>
    <w:rsid w:val="000E7087"/>
    <w:rsid w:val="000E70DF"/>
    <w:rsid w:val="000E7407"/>
    <w:rsid w:val="000E7549"/>
    <w:rsid w:val="000E75DA"/>
    <w:rsid w:val="000E75ED"/>
    <w:rsid w:val="000E75FF"/>
    <w:rsid w:val="000E76F8"/>
    <w:rsid w:val="000E7828"/>
    <w:rsid w:val="000E7A49"/>
    <w:rsid w:val="000F011A"/>
    <w:rsid w:val="000F021D"/>
    <w:rsid w:val="000F0449"/>
    <w:rsid w:val="000F077C"/>
    <w:rsid w:val="000F07A2"/>
    <w:rsid w:val="000F0C2E"/>
    <w:rsid w:val="000F0CC7"/>
    <w:rsid w:val="000F0D39"/>
    <w:rsid w:val="000F0E48"/>
    <w:rsid w:val="000F0F38"/>
    <w:rsid w:val="000F1105"/>
    <w:rsid w:val="000F1289"/>
    <w:rsid w:val="000F1681"/>
    <w:rsid w:val="000F1968"/>
    <w:rsid w:val="000F198C"/>
    <w:rsid w:val="000F1A88"/>
    <w:rsid w:val="000F1AB3"/>
    <w:rsid w:val="000F1B28"/>
    <w:rsid w:val="000F1DDD"/>
    <w:rsid w:val="000F1F7D"/>
    <w:rsid w:val="000F1F99"/>
    <w:rsid w:val="000F2017"/>
    <w:rsid w:val="000F24A7"/>
    <w:rsid w:val="000F24C6"/>
    <w:rsid w:val="000F2539"/>
    <w:rsid w:val="000F2606"/>
    <w:rsid w:val="000F2743"/>
    <w:rsid w:val="000F274E"/>
    <w:rsid w:val="000F2B4D"/>
    <w:rsid w:val="000F2ECB"/>
    <w:rsid w:val="000F2EF2"/>
    <w:rsid w:val="000F3157"/>
    <w:rsid w:val="000F33B6"/>
    <w:rsid w:val="000F3425"/>
    <w:rsid w:val="000F39DD"/>
    <w:rsid w:val="000F3A39"/>
    <w:rsid w:val="000F3A3C"/>
    <w:rsid w:val="000F3CB8"/>
    <w:rsid w:val="000F3E31"/>
    <w:rsid w:val="000F4012"/>
    <w:rsid w:val="000F4335"/>
    <w:rsid w:val="000F448D"/>
    <w:rsid w:val="000F471B"/>
    <w:rsid w:val="000F476B"/>
    <w:rsid w:val="000F4C27"/>
    <w:rsid w:val="000F4DEB"/>
    <w:rsid w:val="000F4F3B"/>
    <w:rsid w:val="000F4F88"/>
    <w:rsid w:val="000F5096"/>
    <w:rsid w:val="000F50D8"/>
    <w:rsid w:val="000F51B4"/>
    <w:rsid w:val="000F5306"/>
    <w:rsid w:val="000F553D"/>
    <w:rsid w:val="000F5691"/>
    <w:rsid w:val="000F5B87"/>
    <w:rsid w:val="000F5F1D"/>
    <w:rsid w:val="000F62E2"/>
    <w:rsid w:val="000F63AC"/>
    <w:rsid w:val="000F6538"/>
    <w:rsid w:val="000F6E76"/>
    <w:rsid w:val="000F6F90"/>
    <w:rsid w:val="000F7000"/>
    <w:rsid w:val="000F7035"/>
    <w:rsid w:val="000F707C"/>
    <w:rsid w:val="000F7374"/>
    <w:rsid w:val="000F74C5"/>
    <w:rsid w:val="000F7691"/>
    <w:rsid w:val="000F78B7"/>
    <w:rsid w:val="000F7BEF"/>
    <w:rsid w:val="000F7E6D"/>
    <w:rsid w:val="000F7E9E"/>
    <w:rsid w:val="001000C7"/>
    <w:rsid w:val="0010082B"/>
    <w:rsid w:val="001008D9"/>
    <w:rsid w:val="00100A72"/>
    <w:rsid w:val="00100AE6"/>
    <w:rsid w:val="00100B93"/>
    <w:rsid w:val="00101148"/>
    <w:rsid w:val="001011E5"/>
    <w:rsid w:val="00101439"/>
    <w:rsid w:val="0010180F"/>
    <w:rsid w:val="00101A89"/>
    <w:rsid w:val="00101AF4"/>
    <w:rsid w:val="00101B54"/>
    <w:rsid w:val="00101C3A"/>
    <w:rsid w:val="00102057"/>
    <w:rsid w:val="0010223B"/>
    <w:rsid w:val="001023D4"/>
    <w:rsid w:val="001024FA"/>
    <w:rsid w:val="001027C6"/>
    <w:rsid w:val="00102BFB"/>
    <w:rsid w:val="00102D22"/>
    <w:rsid w:val="00102EED"/>
    <w:rsid w:val="00102F81"/>
    <w:rsid w:val="00102F92"/>
    <w:rsid w:val="0010305F"/>
    <w:rsid w:val="0010348A"/>
    <w:rsid w:val="00103829"/>
    <w:rsid w:val="00103DB4"/>
    <w:rsid w:val="00103EF3"/>
    <w:rsid w:val="00103F64"/>
    <w:rsid w:val="001044A4"/>
    <w:rsid w:val="001048E7"/>
    <w:rsid w:val="00104ABB"/>
    <w:rsid w:val="00104CDA"/>
    <w:rsid w:val="00104DF3"/>
    <w:rsid w:val="00104E25"/>
    <w:rsid w:val="00104E63"/>
    <w:rsid w:val="00104EBD"/>
    <w:rsid w:val="00105301"/>
    <w:rsid w:val="00105449"/>
    <w:rsid w:val="00105590"/>
    <w:rsid w:val="001055AB"/>
    <w:rsid w:val="00105621"/>
    <w:rsid w:val="00105715"/>
    <w:rsid w:val="00105812"/>
    <w:rsid w:val="00105A9E"/>
    <w:rsid w:val="00106159"/>
    <w:rsid w:val="00106179"/>
    <w:rsid w:val="001064E4"/>
    <w:rsid w:val="0010668E"/>
    <w:rsid w:val="001066C4"/>
    <w:rsid w:val="00106A33"/>
    <w:rsid w:val="00106CEA"/>
    <w:rsid w:val="00106E17"/>
    <w:rsid w:val="00107078"/>
    <w:rsid w:val="00107243"/>
    <w:rsid w:val="00107354"/>
    <w:rsid w:val="0010739F"/>
    <w:rsid w:val="00107480"/>
    <w:rsid w:val="001077CF"/>
    <w:rsid w:val="00107D7F"/>
    <w:rsid w:val="00107E06"/>
    <w:rsid w:val="001100C7"/>
    <w:rsid w:val="001103A2"/>
    <w:rsid w:val="001109F2"/>
    <w:rsid w:val="00110A45"/>
    <w:rsid w:val="00110C68"/>
    <w:rsid w:val="00110DD6"/>
    <w:rsid w:val="00110E38"/>
    <w:rsid w:val="00110F60"/>
    <w:rsid w:val="00110F84"/>
    <w:rsid w:val="0011128F"/>
    <w:rsid w:val="001115C1"/>
    <w:rsid w:val="00111925"/>
    <w:rsid w:val="00111EC1"/>
    <w:rsid w:val="00111EF2"/>
    <w:rsid w:val="001125DB"/>
    <w:rsid w:val="00112798"/>
    <w:rsid w:val="001127A5"/>
    <w:rsid w:val="0011293B"/>
    <w:rsid w:val="00112A1C"/>
    <w:rsid w:val="00112A7E"/>
    <w:rsid w:val="00112AC1"/>
    <w:rsid w:val="00112F3F"/>
    <w:rsid w:val="00112F41"/>
    <w:rsid w:val="00113100"/>
    <w:rsid w:val="00113223"/>
    <w:rsid w:val="00113249"/>
    <w:rsid w:val="0011345B"/>
    <w:rsid w:val="00113641"/>
    <w:rsid w:val="0011374B"/>
    <w:rsid w:val="001138A3"/>
    <w:rsid w:val="00113A5C"/>
    <w:rsid w:val="00113CA9"/>
    <w:rsid w:val="00113FF6"/>
    <w:rsid w:val="00113FF8"/>
    <w:rsid w:val="00114064"/>
    <w:rsid w:val="00114446"/>
    <w:rsid w:val="001146ED"/>
    <w:rsid w:val="00114704"/>
    <w:rsid w:val="00114817"/>
    <w:rsid w:val="001148A2"/>
    <w:rsid w:val="00114918"/>
    <w:rsid w:val="00114A62"/>
    <w:rsid w:val="00114F4C"/>
    <w:rsid w:val="001150DF"/>
    <w:rsid w:val="0011552F"/>
    <w:rsid w:val="0011560D"/>
    <w:rsid w:val="001157AF"/>
    <w:rsid w:val="001157F5"/>
    <w:rsid w:val="0011597E"/>
    <w:rsid w:val="00115FAD"/>
    <w:rsid w:val="001163EF"/>
    <w:rsid w:val="0011645E"/>
    <w:rsid w:val="00116A2F"/>
    <w:rsid w:val="00116B52"/>
    <w:rsid w:val="00116D63"/>
    <w:rsid w:val="00116E43"/>
    <w:rsid w:val="00116E84"/>
    <w:rsid w:val="00116EA5"/>
    <w:rsid w:val="00116FE3"/>
    <w:rsid w:val="00117075"/>
    <w:rsid w:val="0011728F"/>
    <w:rsid w:val="001177A3"/>
    <w:rsid w:val="00117818"/>
    <w:rsid w:val="00117B1B"/>
    <w:rsid w:val="00117BB6"/>
    <w:rsid w:val="00117CB0"/>
    <w:rsid w:val="00117EBC"/>
    <w:rsid w:val="00120272"/>
    <w:rsid w:val="00120378"/>
    <w:rsid w:val="001205AF"/>
    <w:rsid w:val="0012063C"/>
    <w:rsid w:val="0012091D"/>
    <w:rsid w:val="001209EB"/>
    <w:rsid w:val="00120A8A"/>
    <w:rsid w:val="00120C60"/>
    <w:rsid w:val="00120C7F"/>
    <w:rsid w:val="00120DB6"/>
    <w:rsid w:val="00120DD7"/>
    <w:rsid w:val="0012103F"/>
    <w:rsid w:val="00121050"/>
    <w:rsid w:val="001211D8"/>
    <w:rsid w:val="001213D6"/>
    <w:rsid w:val="00121536"/>
    <w:rsid w:val="001215F0"/>
    <w:rsid w:val="0012168D"/>
    <w:rsid w:val="001218C0"/>
    <w:rsid w:val="00121BD2"/>
    <w:rsid w:val="00122D90"/>
    <w:rsid w:val="00123375"/>
    <w:rsid w:val="00123441"/>
    <w:rsid w:val="00123460"/>
    <w:rsid w:val="00123A6C"/>
    <w:rsid w:val="00123F36"/>
    <w:rsid w:val="00124051"/>
    <w:rsid w:val="00124093"/>
    <w:rsid w:val="0012439A"/>
    <w:rsid w:val="0012454F"/>
    <w:rsid w:val="00124F48"/>
    <w:rsid w:val="0012530B"/>
    <w:rsid w:val="0012546F"/>
    <w:rsid w:val="00125485"/>
    <w:rsid w:val="00125693"/>
    <w:rsid w:val="001257B0"/>
    <w:rsid w:val="00125CBC"/>
    <w:rsid w:val="00125DFB"/>
    <w:rsid w:val="00125F70"/>
    <w:rsid w:val="00126249"/>
    <w:rsid w:val="00126282"/>
    <w:rsid w:val="00126408"/>
    <w:rsid w:val="001266E0"/>
    <w:rsid w:val="00126728"/>
    <w:rsid w:val="001268BB"/>
    <w:rsid w:val="001268E2"/>
    <w:rsid w:val="00126900"/>
    <w:rsid w:val="00126A22"/>
    <w:rsid w:val="00126C64"/>
    <w:rsid w:val="00126D74"/>
    <w:rsid w:val="00126F7B"/>
    <w:rsid w:val="00127428"/>
    <w:rsid w:val="00127734"/>
    <w:rsid w:val="0012782F"/>
    <w:rsid w:val="00127A4D"/>
    <w:rsid w:val="00127B2F"/>
    <w:rsid w:val="00127C76"/>
    <w:rsid w:val="00127F49"/>
    <w:rsid w:val="0013006C"/>
    <w:rsid w:val="00130214"/>
    <w:rsid w:val="00130615"/>
    <w:rsid w:val="0013070D"/>
    <w:rsid w:val="00130CA6"/>
    <w:rsid w:val="00131337"/>
    <w:rsid w:val="001313FD"/>
    <w:rsid w:val="001314AC"/>
    <w:rsid w:val="001315A6"/>
    <w:rsid w:val="001317E6"/>
    <w:rsid w:val="00131B75"/>
    <w:rsid w:val="00132213"/>
    <w:rsid w:val="00132267"/>
    <w:rsid w:val="001329D0"/>
    <w:rsid w:val="00132A3B"/>
    <w:rsid w:val="00132B54"/>
    <w:rsid w:val="00132C2A"/>
    <w:rsid w:val="00132C91"/>
    <w:rsid w:val="00132D8D"/>
    <w:rsid w:val="00132FB0"/>
    <w:rsid w:val="0013310A"/>
    <w:rsid w:val="00133827"/>
    <w:rsid w:val="001338EF"/>
    <w:rsid w:val="00133947"/>
    <w:rsid w:val="00133994"/>
    <w:rsid w:val="00133ECE"/>
    <w:rsid w:val="00134079"/>
    <w:rsid w:val="0013411D"/>
    <w:rsid w:val="00134559"/>
    <w:rsid w:val="001345B5"/>
    <w:rsid w:val="0013489E"/>
    <w:rsid w:val="001348CA"/>
    <w:rsid w:val="00134A94"/>
    <w:rsid w:val="00134AD0"/>
    <w:rsid w:val="00134DC9"/>
    <w:rsid w:val="0013503E"/>
    <w:rsid w:val="001352EB"/>
    <w:rsid w:val="00135588"/>
    <w:rsid w:val="00136762"/>
    <w:rsid w:val="001367A5"/>
    <w:rsid w:val="00136ADF"/>
    <w:rsid w:val="00136F65"/>
    <w:rsid w:val="00136F89"/>
    <w:rsid w:val="001372EF"/>
    <w:rsid w:val="00137567"/>
    <w:rsid w:val="001375D5"/>
    <w:rsid w:val="00137886"/>
    <w:rsid w:val="00137A27"/>
    <w:rsid w:val="00137CFE"/>
    <w:rsid w:val="00137EB4"/>
    <w:rsid w:val="0014030D"/>
    <w:rsid w:val="0014055F"/>
    <w:rsid w:val="00140B12"/>
    <w:rsid w:val="00140E22"/>
    <w:rsid w:val="00141226"/>
    <w:rsid w:val="0014128D"/>
    <w:rsid w:val="00141494"/>
    <w:rsid w:val="0014161D"/>
    <w:rsid w:val="001419A7"/>
    <w:rsid w:val="00141AF7"/>
    <w:rsid w:val="00141C08"/>
    <w:rsid w:val="00142531"/>
    <w:rsid w:val="001428F4"/>
    <w:rsid w:val="00142B2D"/>
    <w:rsid w:val="00142CD2"/>
    <w:rsid w:val="00142D41"/>
    <w:rsid w:val="00142E70"/>
    <w:rsid w:val="00142EE7"/>
    <w:rsid w:val="00143297"/>
    <w:rsid w:val="001432AC"/>
    <w:rsid w:val="00143725"/>
    <w:rsid w:val="001437E0"/>
    <w:rsid w:val="00143AAF"/>
    <w:rsid w:val="00143D84"/>
    <w:rsid w:val="00144298"/>
    <w:rsid w:val="001445FA"/>
    <w:rsid w:val="00144750"/>
    <w:rsid w:val="0014477C"/>
    <w:rsid w:val="001451BD"/>
    <w:rsid w:val="0014543A"/>
    <w:rsid w:val="001454F3"/>
    <w:rsid w:val="001459AA"/>
    <w:rsid w:val="00145B36"/>
    <w:rsid w:val="00145C46"/>
    <w:rsid w:val="00145CC2"/>
    <w:rsid w:val="00145EB8"/>
    <w:rsid w:val="00146454"/>
    <w:rsid w:val="0014645E"/>
    <w:rsid w:val="001464B2"/>
    <w:rsid w:val="00146949"/>
    <w:rsid w:val="00146B80"/>
    <w:rsid w:val="00146D31"/>
    <w:rsid w:val="00147043"/>
    <w:rsid w:val="00147110"/>
    <w:rsid w:val="0014735A"/>
    <w:rsid w:val="00147385"/>
    <w:rsid w:val="001474F8"/>
    <w:rsid w:val="00147524"/>
    <w:rsid w:val="00147989"/>
    <w:rsid w:val="00147BBF"/>
    <w:rsid w:val="00147C97"/>
    <w:rsid w:val="001501FA"/>
    <w:rsid w:val="0015026E"/>
    <w:rsid w:val="001504BA"/>
    <w:rsid w:val="00150643"/>
    <w:rsid w:val="00150691"/>
    <w:rsid w:val="00150896"/>
    <w:rsid w:val="00150A23"/>
    <w:rsid w:val="00150AE2"/>
    <w:rsid w:val="00150FE2"/>
    <w:rsid w:val="00151013"/>
    <w:rsid w:val="0015105D"/>
    <w:rsid w:val="0015113A"/>
    <w:rsid w:val="00151459"/>
    <w:rsid w:val="00151635"/>
    <w:rsid w:val="001516D6"/>
    <w:rsid w:val="00151703"/>
    <w:rsid w:val="0015181B"/>
    <w:rsid w:val="00151989"/>
    <w:rsid w:val="00151DA5"/>
    <w:rsid w:val="00152011"/>
    <w:rsid w:val="0015224A"/>
    <w:rsid w:val="001523F3"/>
    <w:rsid w:val="001524D3"/>
    <w:rsid w:val="001524D4"/>
    <w:rsid w:val="0015296A"/>
    <w:rsid w:val="00152B2C"/>
    <w:rsid w:val="00152BE6"/>
    <w:rsid w:val="00152C39"/>
    <w:rsid w:val="00152D64"/>
    <w:rsid w:val="00152E5D"/>
    <w:rsid w:val="00152EF8"/>
    <w:rsid w:val="00152FA8"/>
    <w:rsid w:val="001530EA"/>
    <w:rsid w:val="0015324A"/>
    <w:rsid w:val="0015362B"/>
    <w:rsid w:val="00153738"/>
    <w:rsid w:val="001539B5"/>
    <w:rsid w:val="001539CA"/>
    <w:rsid w:val="00153BBD"/>
    <w:rsid w:val="00153C4A"/>
    <w:rsid w:val="00153D8C"/>
    <w:rsid w:val="00153F8F"/>
    <w:rsid w:val="00154841"/>
    <w:rsid w:val="00154844"/>
    <w:rsid w:val="00154A6F"/>
    <w:rsid w:val="00154AAC"/>
    <w:rsid w:val="00154D02"/>
    <w:rsid w:val="00154F6A"/>
    <w:rsid w:val="00155237"/>
    <w:rsid w:val="001553D2"/>
    <w:rsid w:val="001553FF"/>
    <w:rsid w:val="001555C3"/>
    <w:rsid w:val="0015570E"/>
    <w:rsid w:val="00155732"/>
    <w:rsid w:val="00155BE9"/>
    <w:rsid w:val="00155C15"/>
    <w:rsid w:val="00155CB6"/>
    <w:rsid w:val="00156534"/>
    <w:rsid w:val="0015669E"/>
    <w:rsid w:val="00156705"/>
    <w:rsid w:val="00156B45"/>
    <w:rsid w:val="00156C37"/>
    <w:rsid w:val="0015718B"/>
    <w:rsid w:val="0015738E"/>
    <w:rsid w:val="001573DD"/>
    <w:rsid w:val="0015760A"/>
    <w:rsid w:val="001576CF"/>
    <w:rsid w:val="00157A41"/>
    <w:rsid w:val="00157D1A"/>
    <w:rsid w:val="00160730"/>
    <w:rsid w:val="001608FB"/>
    <w:rsid w:val="00160950"/>
    <w:rsid w:val="00160BC6"/>
    <w:rsid w:val="00160C14"/>
    <w:rsid w:val="00160CDC"/>
    <w:rsid w:val="00160CF2"/>
    <w:rsid w:val="00160F87"/>
    <w:rsid w:val="00160FAB"/>
    <w:rsid w:val="001611EC"/>
    <w:rsid w:val="001612AF"/>
    <w:rsid w:val="001616FD"/>
    <w:rsid w:val="00161842"/>
    <w:rsid w:val="00161C0A"/>
    <w:rsid w:val="001620C1"/>
    <w:rsid w:val="001620D5"/>
    <w:rsid w:val="00162106"/>
    <w:rsid w:val="001623CE"/>
    <w:rsid w:val="001629DE"/>
    <w:rsid w:val="00162B70"/>
    <w:rsid w:val="001631BC"/>
    <w:rsid w:val="001634BA"/>
    <w:rsid w:val="00163666"/>
    <w:rsid w:val="001636F8"/>
    <w:rsid w:val="0016371A"/>
    <w:rsid w:val="001639BD"/>
    <w:rsid w:val="00163CAA"/>
    <w:rsid w:val="00163D12"/>
    <w:rsid w:val="00164019"/>
    <w:rsid w:val="001640C9"/>
    <w:rsid w:val="00164258"/>
    <w:rsid w:val="001642BE"/>
    <w:rsid w:val="00164B33"/>
    <w:rsid w:val="00164C59"/>
    <w:rsid w:val="00165061"/>
    <w:rsid w:val="001650C1"/>
    <w:rsid w:val="001650F7"/>
    <w:rsid w:val="001651F3"/>
    <w:rsid w:val="0016525B"/>
    <w:rsid w:val="00165274"/>
    <w:rsid w:val="001652B8"/>
    <w:rsid w:val="001652E8"/>
    <w:rsid w:val="00165A28"/>
    <w:rsid w:val="00165BA6"/>
    <w:rsid w:val="00166528"/>
    <w:rsid w:val="00166B41"/>
    <w:rsid w:val="00166B78"/>
    <w:rsid w:val="00166C45"/>
    <w:rsid w:val="0016711D"/>
    <w:rsid w:val="0016714E"/>
    <w:rsid w:val="00167325"/>
    <w:rsid w:val="00167601"/>
    <w:rsid w:val="0016774B"/>
    <w:rsid w:val="00167775"/>
    <w:rsid w:val="001679D7"/>
    <w:rsid w:val="00167B7E"/>
    <w:rsid w:val="00167D13"/>
    <w:rsid w:val="00167D97"/>
    <w:rsid w:val="00167EB9"/>
    <w:rsid w:val="001702C2"/>
    <w:rsid w:val="00170598"/>
    <w:rsid w:val="001706A6"/>
    <w:rsid w:val="001706EC"/>
    <w:rsid w:val="001709D4"/>
    <w:rsid w:val="001709DD"/>
    <w:rsid w:val="001709EF"/>
    <w:rsid w:val="00170F52"/>
    <w:rsid w:val="00171473"/>
    <w:rsid w:val="001714EF"/>
    <w:rsid w:val="0017173C"/>
    <w:rsid w:val="00171A6C"/>
    <w:rsid w:val="00171A9B"/>
    <w:rsid w:val="00171B43"/>
    <w:rsid w:val="00171E09"/>
    <w:rsid w:val="001720F5"/>
    <w:rsid w:val="0017223B"/>
    <w:rsid w:val="001723B5"/>
    <w:rsid w:val="0017268C"/>
    <w:rsid w:val="00172BB9"/>
    <w:rsid w:val="00172F00"/>
    <w:rsid w:val="00173439"/>
    <w:rsid w:val="00173791"/>
    <w:rsid w:val="00173943"/>
    <w:rsid w:val="00173AEF"/>
    <w:rsid w:val="00173F63"/>
    <w:rsid w:val="001743FB"/>
    <w:rsid w:val="001744C1"/>
    <w:rsid w:val="001745B7"/>
    <w:rsid w:val="001745C9"/>
    <w:rsid w:val="00174655"/>
    <w:rsid w:val="0017483B"/>
    <w:rsid w:val="00174C0C"/>
    <w:rsid w:val="00175005"/>
    <w:rsid w:val="00175236"/>
    <w:rsid w:val="001752A0"/>
    <w:rsid w:val="0017545C"/>
    <w:rsid w:val="001756B3"/>
    <w:rsid w:val="001757AD"/>
    <w:rsid w:val="001757DD"/>
    <w:rsid w:val="00175BC3"/>
    <w:rsid w:val="001760EE"/>
    <w:rsid w:val="001763DA"/>
    <w:rsid w:val="0017647F"/>
    <w:rsid w:val="0017681D"/>
    <w:rsid w:val="00176823"/>
    <w:rsid w:val="00176834"/>
    <w:rsid w:val="00176926"/>
    <w:rsid w:val="001769B2"/>
    <w:rsid w:val="00176B0A"/>
    <w:rsid w:val="00176ED7"/>
    <w:rsid w:val="00176F57"/>
    <w:rsid w:val="00177029"/>
    <w:rsid w:val="0017795B"/>
    <w:rsid w:val="00177A40"/>
    <w:rsid w:val="00177AA6"/>
    <w:rsid w:val="00177AF7"/>
    <w:rsid w:val="00177D4B"/>
    <w:rsid w:val="001802E7"/>
    <w:rsid w:val="001802EC"/>
    <w:rsid w:val="001807AA"/>
    <w:rsid w:val="001807C0"/>
    <w:rsid w:val="001809F2"/>
    <w:rsid w:val="00180A69"/>
    <w:rsid w:val="00180A94"/>
    <w:rsid w:val="00180AD8"/>
    <w:rsid w:val="00181280"/>
    <w:rsid w:val="0018167D"/>
    <w:rsid w:val="001818A3"/>
    <w:rsid w:val="00181CBC"/>
    <w:rsid w:val="00181DCA"/>
    <w:rsid w:val="00181E34"/>
    <w:rsid w:val="001820F2"/>
    <w:rsid w:val="001821BF"/>
    <w:rsid w:val="001826C4"/>
    <w:rsid w:val="00182717"/>
    <w:rsid w:val="001829E8"/>
    <w:rsid w:val="00182D9E"/>
    <w:rsid w:val="00182F6C"/>
    <w:rsid w:val="001831AF"/>
    <w:rsid w:val="001831DA"/>
    <w:rsid w:val="00183271"/>
    <w:rsid w:val="001833DA"/>
    <w:rsid w:val="00183624"/>
    <w:rsid w:val="0018380C"/>
    <w:rsid w:val="00183BC5"/>
    <w:rsid w:val="001843B1"/>
    <w:rsid w:val="00184451"/>
    <w:rsid w:val="0018445C"/>
    <w:rsid w:val="001845D9"/>
    <w:rsid w:val="00184794"/>
    <w:rsid w:val="00184798"/>
    <w:rsid w:val="001847BE"/>
    <w:rsid w:val="00184962"/>
    <w:rsid w:val="00184A05"/>
    <w:rsid w:val="00184A9B"/>
    <w:rsid w:val="00184E5D"/>
    <w:rsid w:val="00184E6D"/>
    <w:rsid w:val="0018502E"/>
    <w:rsid w:val="001853B4"/>
    <w:rsid w:val="00185944"/>
    <w:rsid w:val="00185F21"/>
    <w:rsid w:val="00186208"/>
    <w:rsid w:val="00186318"/>
    <w:rsid w:val="0018669A"/>
    <w:rsid w:val="001866AC"/>
    <w:rsid w:val="00186764"/>
    <w:rsid w:val="00186835"/>
    <w:rsid w:val="001868BF"/>
    <w:rsid w:val="00186F9C"/>
    <w:rsid w:val="001870F9"/>
    <w:rsid w:val="0018731D"/>
    <w:rsid w:val="0018745F"/>
    <w:rsid w:val="001875A8"/>
    <w:rsid w:val="001877D8"/>
    <w:rsid w:val="00187941"/>
    <w:rsid w:val="00187BA8"/>
    <w:rsid w:val="00187C35"/>
    <w:rsid w:val="00187C54"/>
    <w:rsid w:val="00187EFA"/>
    <w:rsid w:val="00187F45"/>
    <w:rsid w:val="0019053D"/>
    <w:rsid w:val="001905EE"/>
    <w:rsid w:val="00190AEC"/>
    <w:rsid w:val="00190BB3"/>
    <w:rsid w:val="00190D04"/>
    <w:rsid w:val="00190D12"/>
    <w:rsid w:val="0019113A"/>
    <w:rsid w:val="00191262"/>
    <w:rsid w:val="001912DD"/>
    <w:rsid w:val="001914A4"/>
    <w:rsid w:val="00191556"/>
    <w:rsid w:val="00191564"/>
    <w:rsid w:val="0019156E"/>
    <w:rsid w:val="0019167A"/>
    <w:rsid w:val="001916A1"/>
    <w:rsid w:val="00191727"/>
    <w:rsid w:val="00191BB3"/>
    <w:rsid w:val="00191C35"/>
    <w:rsid w:val="00191DED"/>
    <w:rsid w:val="00192398"/>
    <w:rsid w:val="00192527"/>
    <w:rsid w:val="001926A4"/>
    <w:rsid w:val="00192C92"/>
    <w:rsid w:val="00192DCD"/>
    <w:rsid w:val="0019363B"/>
    <w:rsid w:val="001938A7"/>
    <w:rsid w:val="00193DCA"/>
    <w:rsid w:val="00193DD4"/>
    <w:rsid w:val="00193E3F"/>
    <w:rsid w:val="001945D2"/>
    <w:rsid w:val="00194B35"/>
    <w:rsid w:val="00194C6F"/>
    <w:rsid w:val="00194CFA"/>
    <w:rsid w:val="00194D95"/>
    <w:rsid w:val="00194F23"/>
    <w:rsid w:val="0019506A"/>
    <w:rsid w:val="001950C6"/>
    <w:rsid w:val="001951C7"/>
    <w:rsid w:val="00195464"/>
    <w:rsid w:val="001956AF"/>
    <w:rsid w:val="00195B6B"/>
    <w:rsid w:val="00195D65"/>
    <w:rsid w:val="00196137"/>
    <w:rsid w:val="00196285"/>
    <w:rsid w:val="001968AF"/>
    <w:rsid w:val="001969C8"/>
    <w:rsid w:val="001969D9"/>
    <w:rsid w:val="00196A2B"/>
    <w:rsid w:val="00196AC4"/>
    <w:rsid w:val="00196BF4"/>
    <w:rsid w:val="00196DC8"/>
    <w:rsid w:val="001970DB"/>
    <w:rsid w:val="001973AB"/>
    <w:rsid w:val="0019769E"/>
    <w:rsid w:val="001976A3"/>
    <w:rsid w:val="00197874"/>
    <w:rsid w:val="001978A2"/>
    <w:rsid w:val="00197C2A"/>
    <w:rsid w:val="00197F46"/>
    <w:rsid w:val="001A0305"/>
    <w:rsid w:val="001A04C6"/>
    <w:rsid w:val="001A05BA"/>
    <w:rsid w:val="001A0730"/>
    <w:rsid w:val="001A0A33"/>
    <w:rsid w:val="001A0D76"/>
    <w:rsid w:val="001A0D97"/>
    <w:rsid w:val="001A0DE4"/>
    <w:rsid w:val="001A0F2F"/>
    <w:rsid w:val="001A10A2"/>
    <w:rsid w:val="001A14BC"/>
    <w:rsid w:val="001A1C13"/>
    <w:rsid w:val="001A1D9D"/>
    <w:rsid w:val="001A2004"/>
    <w:rsid w:val="001A22CC"/>
    <w:rsid w:val="001A257D"/>
    <w:rsid w:val="001A25F8"/>
    <w:rsid w:val="001A28ED"/>
    <w:rsid w:val="001A293E"/>
    <w:rsid w:val="001A2940"/>
    <w:rsid w:val="001A29FF"/>
    <w:rsid w:val="001A2C70"/>
    <w:rsid w:val="001A2D9C"/>
    <w:rsid w:val="001A2FBD"/>
    <w:rsid w:val="001A2FE0"/>
    <w:rsid w:val="001A326B"/>
    <w:rsid w:val="001A332B"/>
    <w:rsid w:val="001A33B3"/>
    <w:rsid w:val="001A3733"/>
    <w:rsid w:val="001A4072"/>
    <w:rsid w:val="001A43CB"/>
    <w:rsid w:val="001A47A8"/>
    <w:rsid w:val="001A4832"/>
    <w:rsid w:val="001A4A06"/>
    <w:rsid w:val="001A4A09"/>
    <w:rsid w:val="001A4A23"/>
    <w:rsid w:val="001A4C06"/>
    <w:rsid w:val="001A4C6A"/>
    <w:rsid w:val="001A4E8C"/>
    <w:rsid w:val="001A5484"/>
    <w:rsid w:val="001A54B8"/>
    <w:rsid w:val="001A57F7"/>
    <w:rsid w:val="001A5CD5"/>
    <w:rsid w:val="001A5DD9"/>
    <w:rsid w:val="001A63AE"/>
    <w:rsid w:val="001A6403"/>
    <w:rsid w:val="001A6468"/>
    <w:rsid w:val="001A65B4"/>
    <w:rsid w:val="001A66CA"/>
    <w:rsid w:val="001A6C76"/>
    <w:rsid w:val="001A6D7C"/>
    <w:rsid w:val="001A72AF"/>
    <w:rsid w:val="001A72B1"/>
    <w:rsid w:val="001A736A"/>
    <w:rsid w:val="001A7870"/>
    <w:rsid w:val="001A795B"/>
    <w:rsid w:val="001A7966"/>
    <w:rsid w:val="001A79C4"/>
    <w:rsid w:val="001A7A18"/>
    <w:rsid w:val="001A7A2C"/>
    <w:rsid w:val="001A7A65"/>
    <w:rsid w:val="001A7C97"/>
    <w:rsid w:val="001A7D8C"/>
    <w:rsid w:val="001B0BBA"/>
    <w:rsid w:val="001B10CA"/>
    <w:rsid w:val="001B133B"/>
    <w:rsid w:val="001B13A0"/>
    <w:rsid w:val="001B1552"/>
    <w:rsid w:val="001B15B3"/>
    <w:rsid w:val="001B16FC"/>
    <w:rsid w:val="001B18E8"/>
    <w:rsid w:val="001B1AF8"/>
    <w:rsid w:val="001B1D0B"/>
    <w:rsid w:val="001B1F39"/>
    <w:rsid w:val="001B20A2"/>
    <w:rsid w:val="001B226E"/>
    <w:rsid w:val="001B241A"/>
    <w:rsid w:val="001B2552"/>
    <w:rsid w:val="001B2576"/>
    <w:rsid w:val="001B29CF"/>
    <w:rsid w:val="001B2BB8"/>
    <w:rsid w:val="001B2FCE"/>
    <w:rsid w:val="001B30E4"/>
    <w:rsid w:val="001B31F7"/>
    <w:rsid w:val="001B328B"/>
    <w:rsid w:val="001B3A0F"/>
    <w:rsid w:val="001B3D6C"/>
    <w:rsid w:val="001B3D8D"/>
    <w:rsid w:val="001B3FA0"/>
    <w:rsid w:val="001B4200"/>
    <w:rsid w:val="001B421F"/>
    <w:rsid w:val="001B425B"/>
    <w:rsid w:val="001B42F2"/>
    <w:rsid w:val="001B469E"/>
    <w:rsid w:val="001B4A64"/>
    <w:rsid w:val="001B4BB6"/>
    <w:rsid w:val="001B4CF2"/>
    <w:rsid w:val="001B5247"/>
    <w:rsid w:val="001B5498"/>
    <w:rsid w:val="001B575B"/>
    <w:rsid w:val="001B5820"/>
    <w:rsid w:val="001B5B8B"/>
    <w:rsid w:val="001B638A"/>
    <w:rsid w:val="001B6978"/>
    <w:rsid w:val="001B6B2B"/>
    <w:rsid w:val="001B71DA"/>
    <w:rsid w:val="001B73BE"/>
    <w:rsid w:val="001B746B"/>
    <w:rsid w:val="001B758F"/>
    <w:rsid w:val="001B7596"/>
    <w:rsid w:val="001B76BA"/>
    <w:rsid w:val="001B779B"/>
    <w:rsid w:val="001B7867"/>
    <w:rsid w:val="001B797C"/>
    <w:rsid w:val="001B7ABA"/>
    <w:rsid w:val="001B7D19"/>
    <w:rsid w:val="001B7D1D"/>
    <w:rsid w:val="001C0384"/>
    <w:rsid w:val="001C040C"/>
    <w:rsid w:val="001C0541"/>
    <w:rsid w:val="001C05FA"/>
    <w:rsid w:val="001C06A0"/>
    <w:rsid w:val="001C0862"/>
    <w:rsid w:val="001C0AA5"/>
    <w:rsid w:val="001C0B27"/>
    <w:rsid w:val="001C0BE7"/>
    <w:rsid w:val="001C0ECE"/>
    <w:rsid w:val="001C0F7B"/>
    <w:rsid w:val="001C10C5"/>
    <w:rsid w:val="001C1318"/>
    <w:rsid w:val="001C14D0"/>
    <w:rsid w:val="001C1521"/>
    <w:rsid w:val="001C1A5F"/>
    <w:rsid w:val="001C1ADA"/>
    <w:rsid w:val="001C204B"/>
    <w:rsid w:val="001C2618"/>
    <w:rsid w:val="001C27F3"/>
    <w:rsid w:val="001C29A7"/>
    <w:rsid w:val="001C3106"/>
    <w:rsid w:val="001C3454"/>
    <w:rsid w:val="001C3462"/>
    <w:rsid w:val="001C35FE"/>
    <w:rsid w:val="001C3697"/>
    <w:rsid w:val="001C3804"/>
    <w:rsid w:val="001C3D56"/>
    <w:rsid w:val="001C4068"/>
    <w:rsid w:val="001C4361"/>
    <w:rsid w:val="001C46D1"/>
    <w:rsid w:val="001C48B2"/>
    <w:rsid w:val="001C4904"/>
    <w:rsid w:val="001C4985"/>
    <w:rsid w:val="001C49B1"/>
    <w:rsid w:val="001C4AF9"/>
    <w:rsid w:val="001C4EA8"/>
    <w:rsid w:val="001C4F42"/>
    <w:rsid w:val="001C514B"/>
    <w:rsid w:val="001C530C"/>
    <w:rsid w:val="001C53B8"/>
    <w:rsid w:val="001C5693"/>
    <w:rsid w:val="001C56D2"/>
    <w:rsid w:val="001C58F3"/>
    <w:rsid w:val="001C5AFC"/>
    <w:rsid w:val="001C5DA3"/>
    <w:rsid w:val="001C5F2D"/>
    <w:rsid w:val="001C62BB"/>
    <w:rsid w:val="001C6387"/>
    <w:rsid w:val="001C6915"/>
    <w:rsid w:val="001C6AD0"/>
    <w:rsid w:val="001C6B07"/>
    <w:rsid w:val="001C6C48"/>
    <w:rsid w:val="001C6E46"/>
    <w:rsid w:val="001C6E75"/>
    <w:rsid w:val="001C7039"/>
    <w:rsid w:val="001C738B"/>
    <w:rsid w:val="001C78B3"/>
    <w:rsid w:val="001C7B72"/>
    <w:rsid w:val="001C7BAB"/>
    <w:rsid w:val="001D0036"/>
    <w:rsid w:val="001D00B9"/>
    <w:rsid w:val="001D015A"/>
    <w:rsid w:val="001D01D3"/>
    <w:rsid w:val="001D02B5"/>
    <w:rsid w:val="001D02F5"/>
    <w:rsid w:val="001D06BA"/>
    <w:rsid w:val="001D09E7"/>
    <w:rsid w:val="001D0A49"/>
    <w:rsid w:val="001D0B5A"/>
    <w:rsid w:val="001D0D71"/>
    <w:rsid w:val="001D0D86"/>
    <w:rsid w:val="001D0E0C"/>
    <w:rsid w:val="001D0F19"/>
    <w:rsid w:val="001D0FA1"/>
    <w:rsid w:val="001D1093"/>
    <w:rsid w:val="001D11C1"/>
    <w:rsid w:val="001D11FC"/>
    <w:rsid w:val="001D12B5"/>
    <w:rsid w:val="001D1A49"/>
    <w:rsid w:val="001D1A78"/>
    <w:rsid w:val="001D1E18"/>
    <w:rsid w:val="001D1F96"/>
    <w:rsid w:val="001D2101"/>
    <w:rsid w:val="001D23FC"/>
    <w:rsid w:val="001D2713"/>
    <w:rsid w:val="001D2853"/>
    <w:rsid w:val="001D2928"/>
    <w:rsid w:val="001D29FB"/>
    <w:rsid w:val="001D2AC2"/>
    <w:rsid w:val="001D2EBE"/>
    <w:rsid w:val="001D2FA1"/>
    <w:rsid w:val="001D302B"/>
    <w:rsid w:val="001D3AA3"/>
    <w:rsid w:val="001D3AE9"/>
    <w:rsid w:val="001D3C28"/>
    <w:rsid w:val="001D3E2A"/>
    <w:rsid w:val="001D3EAC"/>
    <w:rsid w:val="001D3EDB"/>
    <w:rsid w:val="001D3F69"/>
    <w:rsid w:val="001D40B8"/>
    <w:rsid w:val="001D4173"/>
    <w:rsid w:val="001D42CD"/>
    <w:rsid w:val="001D4302"/>
    <w:rsid w:val="001D4480"/>
    <w:rsid w:val="001D477F"/>
    <w:rsid w:val="001D493F"/>
    <w:rsid w:val="001D50AA"/>
    <w:rsid w:val="001D54A3"/>
    <w:rsid w:val="001D54E8"/>
    <w:rsid w:val="001D55C8"/>
    <w:rsid w:val="001D5FFA"/>
    <w:rsid w:val="001D6600"/>
    <w:rsid w:val="001D6681"/>
    <w:rsid w:val="001D690A"/>
    <w:rsid w:val="001D69AA"/>
    <w:rsid w:val="001D6AFA"/>
    <w:rsid w:val="001D6B15"/>
    <w:rsid w:val="001D6D53"/>
    <w:rsid w:val="001D6F01"/>
    <w:rsid w:val="001D6F54"/>
    <w:rsid w:val="001D724E"/>
    <w:rsid w:val="001D72FF"/>
    <w:rsid w:val="001D7357"/>
    <w:rsid w:val="001D735C"/>
    <w:rsid w:val="001D7463"/>
    <w:rsid w:val="001D75DE"/>
    <w:rsid w:val="001D7A26"/>
    <w:rsid w:val="001D7EF0"/>
    <w:rsid w:val="001E008C"/>
    <w:rsid w:val="001E03BE"/>
    <w:rsid w:val="001E05C7"/>
    <w:rsid w:val="001E0952"/>
    <w:rsid w:val="001E0A2F"/>
    <w:rsid w:val="001E0A95"/>
    <w:rsid w:val="001E0AB9"/>
    <w:rsid w:val="001E0C65"/>
    <w:rsid w:val="001E0EC7"/>
    <w:rsid w:val="001E0F32"/>
    <w:rsid w:val="001E12D9"/>
    <w:rsid w:val="001E13C2"/>
    <w:rsid w:val="001E152E"/>
    <w:rsid w:val="001E16A1"/>
    <w:rsid w:val="001E16A7"/>
    <w:rsid w:val="001E182B"/>
    <w:rsid w:val="001E1906"/>
    <w:rsid w:val="001E1927"/>
    <w:rsid w:val="001E22B6"/>
    <w:rsid w:val="001E2650"/>
    <w:rsid w:val="001E279A"/>
    <w:rsid w:val="001E2B2B"/>
    <w:rsid w:val="001E2C5A"/>
    <w:rsid w:val="001E2D66"/>
    <w:rsid w:val="001E30C6"/>
    <w:rsid w:val="001E3174"/>
    <w:rsid w:val="001E331C"/>
    <w:rsid w:val="001E381E"/>
    <w:rsid w:val="001E38CC"/>
    <w:rsid w:val="001E3AF9"/>
    <w:rsid w:val="001E3DFB"/>
    <w:rsid w:val="001E3FF0"/>
    <w:rsid w:val="001E41FB"/>
    <w:rsid w:val="001E4449"/>
    <w:rsid w:val="001E44A0"/>
    <w:rsid w:val="001E456B"/>
    <w:rsid w:val="001E484C"/>
    <w:rsid w:val="001E493E"/>
    <w:rsid w:val="001E49F4"/>
    <w:rsid w:val="001E49FB"/>
    <w:rsid w:val="001E4C45"/>
    <w:rsid w:val="001E4F7C"/>
    <w:rsid w:val="001E5050"/>
    <w:rsid w:val="001E5467"/>
    <w:rsid w:val="001E552E"/>
    <w:rsid w:val="001E5604"/>
    <w:rsid w:val="001E577C"/>
    <w:rsid w:val="001E5E9D"/>
    <w:rsid w:val="001E61CD"/>
    <w:rsid w:val="001E6277"/>
    <w:rsid w:val="001E62F7"/>
    <w:rsid w:val="001E6407"/>
    <w:rsid w:val="001E673A"/>
    <w:rsid w:val="001E6794"/>
    <w:rsid w:val="001E695B"/>
    <w:rsid w:val="001E69E2"/>
    <w:rsid w:val="001E6C2A"/>
    <w:rsid w:val="001E6DB6"/>
    <w:rsid w:val="001E6E66"/>
    <w:rsid w:val="001E725D"/>
    <w:rsid w:val="001E7B4E"/>
    <w:rsid w:val="001F00BD"/>
    <w:rsid w:val="001F00E0"/>
    <w:rsid w:val="001F03B3"/>
    <w:rsid w:val="001F03B5"/>
    <w:rsid w:val="001F0CA4"/>
    <w:rsid w:val="001F0DC9"/>
    <w:rsid w:val="001F14C3"/>
    <w:rsid w:val="001F1502"/>
    <w:rsid w:val="001F1585"/>
    <w:rsid w:val="001F1661"/>
    <w:rsid w:val="001F16A8"/>
    <w:rsid w:val="001F16C6"/>
    <w:rsid w:val="001F1702"/>
    <w:rsid w:val="001F1A42"/>
    <w:rsid w:val="001F1A46"/>
    <w:rsid w:val="001F1BCA"/>
    <w:rsid w:val="001F1F75"/>
    <w:rsid w:val="001F2247"/>
    <w:rsid w:val="001F22DA"/>
    <w:rsid w:val="001F22E3"/>
    <w:rsid w:val="001F235C"/>
    <w:rsid w:val="001F23DD"/>
    <w:rsid w:val="001F2523"/>
    <w:rsid w:val="001F2659"/>
    <w:rsid w:val="001F265B"/>
    <w:rsid w:val="001F2723"/>
    <w:rsid w:val="001F282C"/>
    <w:rsid w:val="001F31AE"/>
    <w:rsid w:val="001F32F9"/>
    <w:rsid w:val="001F3A6B"/>
    <w:rsid w:val="001F3E49"/>
    <w:rsid w:val="001F41BE"/>
    <w:rsid w:val="001F4285"/>
    <w:rsid w:val="001F42A0"/>
    <w:rsid w:val="001F4322"/>
    <w:rsid w:val="001F4549"/>
    <w:rsid w:val="001F4573"/>
    <w:rsid w:val="001F480D"/>
    <w:rsid w:val="001F48B4"/>
    <w:rsid w:val="001F48CC"/>
    <w:rsid w:val="001F4AB8"/>
    <w:rsid w:val="001F4B4D"/>
    <w:rsid w:val="001F4C81"/>
    <w:rsid w:val="001F4EB3"/>
    <w:rsid w:val="001F539E"/>
    <w:rsid w:val="001F53E1"/>
    <w:rsid w:val="001F545B"/>
    <w:rsid w:val="001F565F"/>
    <w:rsid w:val="001F5711"/>
    <w:rsid w:val="001F572A"/>
    <w:rsid w:val="001F5826"/>
    <w:rsid w:val="001F5880"/>
    <w:rsid w:val="001F5A6A"/>
    <w:rsid w:val="001F5CA9"/>
    <w:rsid w:val="001F5CFC"/>
    <w:rsid w:val="001F5F8F"/>
    <w:rsid w:val="001F61B5"/>
    <w:rsid w:val="001F6223"/>
    <w:rsid w:val="001F628C"/>
    <w:rsid w:val="001F62AD"/>
    <w:rsid w:val="001F6365"/>
    <w:rsid w:val="001F639D"/>
    <w:rsid w:val="001F65AB"/>
    <w:rsid w:val="001F66D4"/>
    <w:rsid w:val="001F6AD4"/>
    <w:rsid w:val="001F6D0C"/>
    <w:rsid w:val="001F6E41"/>
    <w:rsid w:val="001F6F2B"/>
    <w:rsid w:val="001F7189"/>
    <w:rsid w:val="001F7404"/>
    <w:rsid w:val="001F7528"/>
    <w:rsid w:val="00200215"/>
    <w:rsid w:val="002003E0"/>
    <w:rsid w:val="00200B4E"/>
    <w:rsid w:val="00200C49"/>
    <w:rsid w:val="00200F5F"/>
    <w:rsid w:val="00201052"/>
    <w:rsid w:val="00201151"/>
    <w:rsid w:val="0020121C"/>
    <w:rsid w:val="00201502"/>
    <w:rsid w:val="00201AEA"/>
    <w:rsid w:val="00201B30"/>
    <w:rsid w:val="002022E9"/>
    <w:rsid w:val="00202D95"/>
    <w:rsid w:val="00202EE4"/>
    <w:rsid w:val="00203303"/>
    <w:rsid w:val="0020332A"/>
    <w:rsid w:val="00203454"/>
    <w:rsid w:val="002035C8"/>
    <w:rsid w:val="00203A76"/>
    <w:rsid w:val="002041E2"/>
    <w:rsid w:val="00204499"/>
    <w:rsid w:val="002047F1"/>
    <w:rsid w:val="00204F2A"/>
    <w:rsid w:val="00204F91"/>
    <w:rsid w:val="00205172"/>
    <w:rsid w:val="0020523B"/>
    <w:rsid w:val="002056C3"/>
    <w:rsid w:val="00205956"/>
    <w:rsid w:val="00205AE3"/>
    <w:rsid w:val="00205D1D"/>
    <w:rsid w:val="00205DA2"/>
    <w:rsid w:val="00205FE9"/>
    <w:rsid w:val="0020655E"/>
    <w:rsid w:val="002067F7"/>
    <w:rsid w:val="00206807"/>
    <w:rsid w:val="002068E4"/>
    <w:rsid w:val="00206921"/>
    <w:rsid w:val="00206973"/>
    <w:rsid w:val="00206ED1"/>
    <w:rsid w:val="00207101"/>
    <w:rsid w:val="002072F0"/>
    <w:rsid w:val="00207432"/>
    <w:rsid w:val="00207563"/>
    <w:rsid w:val="00207978"/>
    <w:rsid w:val="00207B3E"/>
    <w:rsid w:val="0021027C"/>
    <w:rsid w:val="00210458"/>
    <w:rsid w:val="002106BD"/>
    <w:rsid w:val="002107B2"/>
    <w:rsid w:val="00210949"/>
    <w:rsid w:val="00210A34"/>
    <w:rsid w:val="00210AA2"/>
    <w:rsid w:val="002112B1"/>
    <w:rsid w:val="0021159D"/>
    <w:rsid w:val="00211877"/>
    <w:rsid w:val="00211D1B"/>
    <w:rsid w:val="00211DFE"/>
    <w:rsid w:val="00211F40"/>
    <w:rsid w:val="00212039"/>
    <w:rsid w:val="00212109"/>
    <w:rsid w:val="0021238E"/>
    <w:rsid w:val="0021242B"/>
    <w:rsid w:val="002124C3"/>
    <w:rsid w:val="002126E5"/>
    <w:rsid w:val="00212C09"/>
    <w:rsid w:val="00212C6B"/>
    <w:rsid w:val="00212E1B"/>
    <w:rsid w:val="00212FAF"/>
    <w:rsid w:val="00213946"/>
    <w:rsid w:val="00213A6A"/>
    <w:rsid w:val="00213AF8"/>
    <w:rsid w:val="00213EDB"/>
    <w:rsid w:val="00214188"/>
    <w:rsid w:val="00214390"/>
    <w:rsid w:val="00214449"/>
    <w:rsid w:val="00214651"/>
    <w:rsid w:val="002146E2"/>
    <w:rsid w:val="00214782"/>
    <w:rsid w:val="002149A2"/>
    <w:rsid w:val="00214A42"/>
    <w:rsid w:val="00214AB6"/>
    <w:rsid w:val="00214B2F"/>
    <w:rsid w:val="00214C23"/>
    <w:rsid w:val="002153E1"/>
    <w:rsid w:val="00215422"/>
    <w:rsid w:val="00215430"/>
    <w:rsid w:val="002156F2"/>
    <w:rsid w:val="002156F5"/>
    <w:rsid w:val="00215A78"/>
    <w:rsid w:val="00215B11"/>
    <w:rsid w:val="00215C59"/>
    <w:rsid w:val="00215CC8"/>
    <w:rsid w:val="0021603D"/>
    <w:rsid w:val="002161B7"/>
    <w:rsid w:val="0021621A"/>
    <w:rsid w:val="0021630F"/>
    <w:rsid w:val="002169DE"/>
    <w:rsid w:val="00217010"/>
    <w:rsid w:val="00217312"/>
    <w:rsid w:val="00217462"/>
    <w:rsid w:val="00217481"/>
    <w:rsid w:val="002176DD"/>
    <w:rsid w:val="0021787E"/>
    <w:rsid w:val="00217B40"/>
    <w:rsid w:val="00217DA5"/>
    <w:rsid w:val="00217F9A"/>
    <w:rsid w:val="00217FEA"/>
    <w:rsid w:val="00220152"/>
    <w:rsid w:val="002201FB"/>
    <w:rsid w:val="002203BD"/>
    <w:rsid w:val="002203EC"/>
    <w:rsid w:val="002205B4"/>
    <w:rsid w:val="00220748"/>
    <w:rsid w:val="00220820"/>
    <w:rsid w:val="00220853"/>
    <w:rsid w:val="0022092E"/>
    <w:rsid w:val="00220DB0"/>
    <w:rsid w:val="00220F4F"/>
    <w:rsid w:val="0022103E"/>
    <w:rsid w:val="0022114D"/>
    <w:rsid w:val="002212E1"/>
    <w:rsid w:val="002212E2"/>
    <w:rsid w:val="002215A0"/>
    <w:rsid w:val="00221999"/>
    <w:rsid w:val="00221C1E"/>
    <w:rsid w:val="00221CD9"/>
    <w:rsid w:val="00221E42"/>
    <w:rsid w:val="00221E58"/>
    <w:rsid w:val="00221F60"/>
    <w:rsid w:val="0022250C"/>
    <w:rsid w:val="00223277"/>
    <w:rsid w:val="002233FB"/>
    <w:rsid w:val="00223548"/>
    <w:rsid w:val="002236F8"/>
    <w:rsid w:val="002239AF"/>
    <w:rsid w:val="00223A80"/>
    <w:rsid w:val="00223B3B"/>
    <w:rsid w:val="00223C04"/>
    <w:rsid w:val="00223C35"/>
    <w:rsid w:val="00223E08"/>
    <w:rsid w:val="00223F39"/>
    <w:rsid w:val="002240CC"/>
    <w:rsid w:val="0022445B"/>
    <w:rsid w:val="002245E6"/>
    <w:rsid w:val="00224C70"/>
    <w:rsid w:val="00224D28"/>
    <w:rsid w:val="00224EA5"/>
    <w:rsid w:val="00224F24"/>
    <w:rsid w:val="00224F38"/>
    <w:rsid w:val="002250EB"/>
    <w:rsid w:val="0022547E"/>
    <w:rsid w:val="0022563B"/>
    <w:rsid w:val="0022566D"/>
    <w:rsid w:val="00225869"/>
    <w:rsid w:val="00225C4B"/>
    <w:rsid w:val="00225C76"/>
    <w:rsid w:val="00225CEF"/>
    <w:rsid w:val="00225D99"/>
    <w:rsid w:val="00225DB8"/>
    <w:rsid w:val="00225EA5"/>
    <w:rsid w:val="0022608F"/>
    <w:rsid w:val="002263B4"/>
    <w:rsid w:val="002268BC"/>
    <w:rsid w:val="00226B77"/>
    <w:rsid w:val="00226D30"/>
    <w:rsid w:val="00227028"/>
    <w:rsid w:val="002270FA"/>
    <w:rsid w:val="00227267"/>
    <w:rsid w:val="002273C3"/>
    <w:rsid w:val="002273EA"/>
    <w:rsid w:val="002274D6"/>
    <w:rsid w:val="00227571"/>
    <w:rsid w:val="002275F4"/>
    <w:rsid w:val="00227B7A"/>
    <w:rsid w:val="00227BA0"/>
    <w:rsid w:val="0023005B"/>
    <w:rsid w:val="00230807"/>
    <w:rsid w:val="0023084C"/>
    <w:rsid w:val="00230919"/>
    <w:rsid w:val="00230CCE"/>
    <w:rsid w:val="00230D4B"/>
    <w:rsid w:val="00231050"/>
    <w:rsid w:val="0023154C"/>
    <w:rsid w:val="00231550"/>
    <w:rsid w:val="00231D03"/>
    <w:rsid w:val="00231DD6"/>
    <w:rsid w:val="00231F48"/>
    <w:rsid w:val="0023229E"/>
    <w:rsid w:val="002322BA"/>
    <w:rsid w:val="002323FE"/>
    <w:rsid w:val="002325D2"/>
    <w:rsid w:val="00232DC1"/>
    <w:rsid w:val="00233AD8"/>
    <w:rsid w:val="00233B1F"/>
    <w:rsid w:val="00233CDB"/>
    <w:rsid w:val="00233F47"/>
    <w:rsid w:val="00234659"/>
    <w:rsid w:val="0023465F"/>
    <w:rsid w:val="00234665"/>
    <w:rsid w:val="00234880"/>
    <w:rsid w:val="00234D1D"/>
    <w:rsid w:val="00234D8E"/>
    <w:rsid w:val="00234E55"/>
    <w:rsid w:val="00234FDC"/>
    <w:rsid w:val="0023538D"/>
    <w:rsid w:val="00235401"/>
    <w:rsid w:val="002355EE"/>
    <w:rsid w:val="00235789"/>
    <w:rsid w:val="00235B37"/>
    <w:rsid w:val="00235E0E"/>
    <w:rsid w:val="00235EAA"/>
    <w:rsid w:val="00235F28"/>
    <w:rsid w:val="00235F2B"/>
    <w:rsid w:val="00235FC2"/>
    <w:rsid w:val="00235FDB"/>
    <w:rsid w:val="0023612F"/>
    <w:rsid w:val="00236232"/>
    <w:rsid w:val="00236262"/>
    <w:rsid w:val="0023626C"/>
    <w:rsid w:val="002362F7"/>
    <w:rsid w:val="002364DD"/>
    <w:rsid w:val="002366CB"/>
    <w:rsid w:val="002368E8"/>
    <w:rsid w:val="00236971"/>
    <w:rsid w:val="00236DD4"/>
    <w:rsid w:val="00236E4D"/>
    <w:rsid w:val="00237097"/>
    <w:rsid w:val="00237341"/>
    <w:rsid w:val="00237637"/>
    <w:rsid w:val="0023792C"/>
    <w:rsid w:val="0023796B"/>
    <w:rsid w:val="00237A49"/>
    <w:rsid w:val="00237AF9"/>
    <w:rsid w:val="00237B55"/>
    <w:rsid w:val="00237BAC"/>
    <w:rsid w:val="00237D88"/>
    <w:rsid w:val="00237F41"/>
    <w:rsid w:val="00237F4D"/>
    <w:rsid w:val="00237FD7"/>
    <w:rsid w:val="00240054"/>
    <w:rsid w:val="00240123"/>
    <w:rsid w:val="00240878"/>
    <w:rsid w:val="002413CB"/>
    <w:rsid w:val="00241804"/>
    <w:rsid w:val="00241B22"/>
    <w:rsid w:val="00241F0B"/>
    <w:rsid w:val="00241F75"/>
    <w:rsid w:val="00241FF7"/>
    <w:rsid w:val="002420D5"/>
    <w:rsid w:val="0024210E"/>
    <w:rsid w:val="00242125"/>
    <w:rsid w:val="002421C3"/>
    <w:rsid w:val="00242345"/>
    <w:rsid w:val="00242566"/>
    <w:rsid w:val="0024260E"/>
    <w:rsid w:val="00242A7E"/>
    <w:rsid w:val="00242B1C"/>
    <w:rsid w:val="00242D45"/>
    <w:rsid w:val="00242DBE"/>
    <w:rsid w:val="002430D8"/>
    <w:rsid w:val="0024318B"/>
    <w:rsid w:val="002432E2"/>
    <w:rsid w:val="002432F5"/>
    <w:rsid w:val="00243576"/>
    <w:rsid w:val="0024362D"/>
    <w:rsid w:val="002437C5"/>
    <w:rsid w:val="00243887"/>
    <w:rsid w:val="002438CC"/>
    <w:rsid w:val="00243AD3"/>
    <w:rsid w:val="00243B49"/>
    <w:rsid w:val="00244117"/>
    <w:rsid w:val="002443AE"/>
    <w:rsid w:val="002445A4"/>
    <w:rsid w:val="002445DA"/>
    <w:rsid w:val="002448D9"/>
    <w:rsid w:val="002449E2"/>
    <w:rsid w:val="00244A19"/>
    <w:rsid w:val="00244A8C"/>
    <w:rsid w:val="00244AA3"/>
    <w:rsid w:val="00244C22"/>
    <w:rsid w:val="00244C8B"/>
    <w:rsid w:val="00244DB9"/>
    <w:rsid w:val="00244E5E"/>
    <w:rsid w:val="00244F14"/>
    <w:rsid w:val="00244F6F"/>
    <w:rsid w:val="00245070"/>
    <w:rsid w:val="0024512A"/>
    <w:rsid w:val="00245171"/>
    <w:rsid w:val="00245591"/>
    <w:rsid w:val="0024582C"/>
    <w:rsid w:val="00245C59"/>
    <w:rsid w:val="00245D4E"/>
    <w:rsid w:val="002462EE"/>
    <w:rsid w:val="0024630F"/>
    <w:rsid w:val="002464EB"/>
    <w:rsid w:val="002465E5"/>
    <w:rsid w:val="002466BA"/>
    <w:rsid w:val="00246844"/>
    <w:rsid w:val="00246E02"/>
    <w:rsid w:val="00246EA0"/>
    <w:rsid w:val="00247152"/>
    <w:rsid w:val="00247427"/>
    <w:rsid w:val="0024759C"/>
    <w:rsid w:val="00247A34"/>
    <w:rsid w:val="00247B1F"/>
    <w:rsid w:val="00247D89"/>
    <w:rsid w:val="00247F95"/>
    <w:rsid w:val="0025017D"/>
    <w:rsid w:val="002501BA"/>
    <w:rsid w:val="00250541"/>
    <w:rsid w:val="00250D82"/>
    <w:rsid w:val="00251320"/>
    <w:rsid w:val="00251662"/>
    <w:rsid w:val="002518D8"/>
    <w:rsid w:val="00251AAF"/>
    <w:rsid w:val="0025226B"/>
    <w:rsid w:val="00252939"/>
    <w:rsid w:val="00252A02"/>
    <w:rsid w:val="00252A3E"/>
    <w:rsid w:val="00252AA7"/>
    <w:rsid w:val="00252EFC"/>
    <w:rsid w:val="002531D5"/>
    <w:rsid w:val="00253247"/>
    <w:rsid w:val="0025324A"/>
    <w:rsid w:val="00253264"/>
    <w:rsid w:val="00253272"/>
    <w:rsid w:val="002532A4"/>
    <w:rsid w:val="002532FA"/>
    <w:rsid w:val="00253414"/>
    <w:rsid w:val="00253869"/>
    <w:rsid w:val="00253981"/>
    <w:rsid w:val="00253CB9"/>
    <w:rsid w:val="00253E18"/>
    <w:rsid w:val="0025408A"/>
    <w:rsid w:val="00254214"/>
    <w:rsid w:val="0025469A"/>
    <w:rsid w:val="00254E72"/>
    <w:rsid w:val="00255291"/>
    <w:rsid w:val="00255350"/>
    <w:rsid w:val="002554DF"/>
    <w:rsid w:val="00255612"/>
    <w:rsid w:val="00255678"/>
    <w:rsid w:val="002557EC"/>
    <w:rsid w:val="00255876"/>
    <w:rsid w:val="00255B53"/>
    <w:rsid w:val="00255B73"/>
    <w:rsid w:val="00255CFB"/>
    <w:rsid w:val="00255D35"/>
    <w:rsid w:val="00255F21"/>
    <w:rsid w:val="00255FDC"/>
    <w:rsid w:val="0025612C"/>
    <w:rsid w:val="002561C7"/>
    <w:rsid w:val="00256475"/>
    <w:rsid w:val="002565F5"/>
    <w:rsid w:val="002567EB"/>
    <w:rsid w:val="0025688F"/>
    <w:rsid w:val="002568ED"/>
    <w:rsid w:val="0025694B"/>
    <w:rsid w:val="00256F25"/>
    <w:rsid w:val="00256F40"/>
    <w:rsid w:val="002570D5"/>
    <w:rsid w:val="00257120"/>
    <w:rsid w:val="002571F5"/>
    <w:rsid w:val="002576E4"/>
    <w:rsid w:val="002579AF"/>
    <w:rsid w:val="00257AFE"/>
    <w:rsid w:val="00257CDE"/>
    <w:rsid w:val="0026029C"/>
    <w:rsid w:val="002602D8"/>
    <w:rsid w:val="002602EE"/>
    <w:rsid w:val="002603F9"/>
    <w:rsid w:val="00260A29"/>
    <w:rsid w:val="00260A72"/>
    <w:rsid w:val="00260D7D"/>
    <w:rsid w:val="002612C1"/>
    <w:rsid w:val="00261333"/>
    <w:rsid w:val="002615AA"/>
    <w:rsid w:val="00261648"/>
    <w:rsid w:val="00261871"/>
    <w:rsid w:val="00261991"/>
    <w:rsid w:val="00261FF7"/>
    <w:rsid w:val="002620B4"/>
    <w:rsid w:val="0026221E"/>
    <w:rsid w:val="002622E6"/>
    <w:rsid w:val="002624BA"/>
    <w:rsid w:val="00262B0D"/>
    <w:rsid w:val="002630E1"/>
    <w:rsid w:val="00263340"/>
    <w:rsid w:val="002634D3"/>
    <w:rsid w:val="00263714"/>
    <w:rsid w:val="0026393A"/>
    <w:rsid w:val="00263A7C"/>
    <w:rsid w:val="00263BF1"/>
    <w:rsid w:val="00263DB8"/>
    <w:rsid w:val="00263DC6"/>
    <w:rsid w:val="002640DD"/>
    <w:rsid w:val="002641AD"/>
    <w:rsid w:val="002644D2"/>
    <w:rsid w:val="0026469E"/>
    <w:rsid w:val="00264B2E"/>
    <w:rsid w:val="00264C8E"/>
    <w:rsid w:val="00264E27"/>
    <w:rsid w:val="00264E4F"/>
    <w:rsid w:val="00265555"/>
    <w:rsid w:val="0026561E"/>
    <w:rsid w:val="002656C1"/>
    <w:rsid w:val="00265C5D"/>
    <w:rsid w:val="00265D38"/>
    <w:rsid w:val="00265D9F"/>
    <w:rsid w:val="00265FDC"/>
    <w:rsid w:val="002660D9"/>
    <w:rsid w:val="002665CE"/>
    <w:rsid w:val="00266691"/>
    <w:rsid w:val="00266825"/>
    <w:rsid w:val="00266832"/>
    <w:rsid w:val="00266B38"/>
    <w:rsid w:val="00266CFA"/>
    <w:rsid w:val="00266DDE"/>
    <w:rsid w:val="00266F47"/>
    <w:rsid w:val="00267041"/>
    <w:rsid w:val="002670BB"/>
    <w:rsid w:val="0026735B"/>
    <w:rsid w:val="00267543"/>
    <w:rsid w:val="002675DF"/>
    <w:rsid w:val="00267800"/>
    <w:rsid w:val="00267878"/>
    <w:rsid w:val="00267882"/>
    <w:rsid w:val="00267AF8"/>
    <w:rsid w:val="00267BAD"/>
    <w:rsid w:val="00267BE9"/>
    <w:rsid w:val="00267BEC"/>
    <w:rsid w:val="00267C08"/>
    <w:rsid w:val="00267D48"/>
    <w:rsid w:val="00267E2A"/>
    <w:rsid w:val="00267E43"/>
    <w:rsid w:val="002701D9"/>
    <w:rsid w:val="00270244"/>
    <w:rsid w:val="00270452"/>
    <w:rsid w:val="002705B4"/>
    <w:rsid w:val="00270790"/>
    <w:rsid w:val="00270889"/>
    <w:rsid w:val="002708B7"/>
    <w:rsid w:val="002708DB"/>
    <w:rsid w:val="00270955"/>
    <w:rsid w:val="002709B0"/>
    <w:rsid w:val="00270B53"/>
    <w:rsid w:val="00270B54"/>
    <w:rsid w:val="0027108D"/>
    <w:rsid w:val="002710BA"/>
    <w:rsid w:val="00271125"/>
    <w:rsid w:val="00271223"/>
    <w:rsid w:val="002717D6"/>
    <w:rsid w:val="00271BE0"/>
    <w:rsid w:val="00271E5E"/>
    <w:rsid w:val="00272125"/>
    <w:rsid w:val="00272283"/>
    <w:rsid w:val="00272361"/>
    <w:rsid w:val="00272392"/>
    <w:rsid w:val="00272565"/>
    <w:rsid w:val="002725BE"/>
    <w:rsid w:val="00272BD8"/>
    <w:rsid w:val="00272C5C"/>
    <w:rsid w:val="00272E7C"/>
    <w:rsid w:val="00273936"/>
    <w:rsid w:val="00273FE0"/>
    <w:rsid w:val="0027424A"/>
    <w:rsid w:val="002742F9"/>
    <w:rsid w:val="00274662"/>
    <w:rsid w:val="00274851"/>
    <w:rsid w:val="002749C8"/>
    <w:rsid w:val="00274DF4"/>
    <w:rsid w:val="00274E69"/>
    <w:rsid w:val="00275091"/>
    <w:rsid w:val="002750BD"/>
    <w:rsid w:val="0027570C"/>
    <w:rsid w:val="002757F0"/>
    <w:rsid w:val="0027581C"/>
    <w:rsid w:val="00275B9D"/>
    <w:rsid w:val="00275BC5"/>
    <w:rsid w:val="00275C8B"/>
    <w:rsid w:val="00275C8D"/>
    <w:rsid w:val="00276443"/>
    <w:rsid w:val="002765ED"/>
    <w:rsid w:val="00276850"/>
    <w:rsid w:val="00276B98"/>
    <w:rsid w:val="00277303"/>
    <w:rsid w:val="0027752B"/>
    <w:rsid w:val="002776B6"/>
    <w:rsid w:val="002777A6"/>
    <w:rsid w:val="00277A57"/>
    <w:rsid w:val="00277B52"/>
    <w:rsid w:val="00277DFC"/>
    <w:rsid w:val="00277EE0"/>
    <w:rsid w:val="0028016B"/>
    <w:rsid w:val="00280184"/>
    <w:rsid w:val="00280295"/>
    <w:rsid w:val="002802E5"/>
    <w:rsid w:val="00280309"/>
    <w:rsid w:val="0028035C"/>
    <w:rsid w:val="0028041B"/>
    <w:rsid w:val="00280696"/>
    <w:rsid w:val="002807B1"/>
    <w:rsid w:val="002807EE"/>
    <w:rsid w:val="00280898"/>
    <w:rsid w:val="00280984"/>
    <w:rsid w:val="00280EF5"/>
    <w:rsid w:val="0028117F"/>
    <w:rsid w:val="0028170D"/>
    <w:rsid w:val="00281A2C"/>
    <w:rsid w:val="00281BFF"/>
    <w:rsid w:val="00281C67"/>
    <w:rsid w:val="00281CD0"/>
    <w:rsid w:val="00281E87"/>
    <w:rsid w:val="0028214A"/>
    <w:rsid w:val="00282154"/>
    <w:rsid w:val="002825DA"/>
    <w:rsid w:val="00282761"/>
    <w:rsid w:val="0028286D"/>
    <w:rsid w:val="00282D79"/>
    <w:rsid w:val="00282D80"/>
    <w:rsid w:val="00282D8E"/>
    <w:rsid w:val="0028346A"/>
    <w:rsid w:val="002834B4"/>
    <w:rsid w:val="00283546"/>
    <w:rsid w:val="002837C7"/>
    <w:rsid w:val="0028383A"/>
    <w:rsid w:val="00283D85"/>
    <w:rsid w:val="00283DD3"/>
    <w:rsid w:val="00283E28"/>
    <w:rsid w:val="00283E89"/>
    <w:rsid w:val="00283EF9"/>
    <w:rsid w:val="0028401B"/>
    <w:rsid w:val="00284099"/>
    <w:rsid w:val="00284151"/>
    <w:rsid w:val="002842D6"/>
    <w:rsid w:val="002844F6"/>
    <w:rsid w:val="00284579"/>
    <w:rsid w:val="002846FB"/>
    <w:rsid w:val="00284B6A"/>
    <w:rsid w:val="00284CB4"/>
    <w:rsid w:val="00284CD1"/>
    <w:rsid w:val="00284DBD"/>
    <w:rsid w:val="0028502C"/>
    <w:rsid w:val="002851F9"/>
    <w:rsid w:val="00285268"/>
    <w:rsid w:val="0028543C"/>
    <w:rsid w:val="002856CC"/>
    <w:rsid w:val="00285945"/>
    <w:rsid w:val="00285BE7"/>
    <w:rsid w:val="00285C09"/>
    <w:rsid w:val="00285CF9"/>
    <w:rsid w:val="00285D7C"/>
    <w:rsid w:val="00285E15"/>
    <w:rsid w:val="0028608D"/>
    <w:rsid w:val="00286487"/>
    <w:rsid w:val="0028686E"/>
    <w:rsid w:val="00286887"/>
    <w:rsid w:val="00286A67"/>
    <w:rsid w:val="00286D24"/>
    <w:rsid w:val="00286E5F"/>
    <w:rsid w:val="002870B7"/>
    <w:rsid w:val="002873BA"/>
    <w:rsid w:val="0028757E"/>
    <w:rsid w:val="00287B86"/>
    <w:rsid w:val="00287DB0"/>
    <w:rsid w:val="00290413"/>
    <w:rsid w:val="0029067D"/>
    <w:rsid w:val="002907DD"/>
    <w:rsid w:val="00290AAD"/>
    <w:rsid w:val="00290BD0"/>
    <w:rsid w:val="00290D36"/>
    <w:rsid w:val="00290E87"/>
    <w:rsid w:val="00291045"/>
    <w:rsid w:val="0029107D"/>
    <w:rsid w:val="002911AA"/>
    <w:rsid w:val="00291566"/>
    <w:rsid w:val="00291824"/>
    <w:rsid w:val="0029193B"/>
    <w:rsid w:val="00291B85"/>
    <w:rsid w:val="00291BC1"/>
    <w:rsid w:val="00292099"/>
    <w:rsid w:val="00292100"/>
    <w:rsid w:val="00292332"/>
    <w:rsid w:val="0029262D"/>
    <w:rsid w:val="00292854"/>
    <w:rsid w:val="00292973"/>
    <w:rsid w:val="002929BC"/>
    <w:rsid w:val="00292C93"/>
    <w:rsid w:val="00292CA9"/>
    <w:rsid w:val="002931DE"/>
    <w:rsid w:val="00293203"/>
    <w:rsid w:val="002933A9"/>
    <w:rsid w:val="002935D6"/>
    <w:rsid w:val="002937AE"/>
    <w:rsid w:val="002937C4"/>
    <w:rsid w:val="00293974"/>
    <w:rsid w:val="002939C9"/>
    <w:rsid w:val="00293B50"/>
    <w:rsid w:val="00293B85"/>
    <w:rsid w:val="00293CB4"/>
    <w:rsid w:val="002942C8"/>
    <w:rsid w:val="002945B0"/>
    <w:rsid w:val="002946BB"/>
    <w:rsid w:val="002946E1"/>
    <w:rsid w:val="002949D4"/>
    <w:rsid w:val="00294A94"/>
    <w:rsid w:val="00294D9A"/>
    <w:rsid w:val="00294F70"/>
    <w:rsid w:val="002950DD"/>
    <w:rsid w:val="00295269"/>
    <w:rsid w:val="00295464"/>
    <w:rsid w:val="002956E6"/>
    <w:rsid w:val="002957F7"/>
    <w:rsid w:val="0029582C"/>
    <w:rsid w:val="00295973"/>
    <w:rsid w:val="00295B43"/>
    <w:rsid w:val="00295CEA"/>
    <w:rsid w:val="00295D31"/>
    <w:rsid w:val="00295EDE"/>
    <w:rsid w:val="002962AB"/>
    <w:rsid w:val="00296866"/>
    <w:rsid w:val="0029693E"/>
    <w:rsid w:val="00296C4C"/>
    <w:rsid w:val="00296E8C"/>
    <w:rsid w:val="00297065"/>
    <w:rsid w:val="002970A4"/>
    <w:rsid w:val="002974C9"/>
    <w:rsid w:val="002975F3"/>
    <w:rsid w:val="00297A19"/>
    <w:rsid w:val="00297B30"/>
    <w:rsid w:val="00297DF1"/>
    <w:rsid w:val="002A031C"/>
    <w:rsid w:val="002A0362"/>
    <w:rsid w:val="002A0B04"/>
    <w:rsid w:val="002A1348"/>
    <w:rsid w:val="002A175D"/>
    <w:rsid w:val="002A1AFE"/>
    <w:rsid w:val="002A1D12"/>
    <w:rsid w:val="002A2798"/>
    <w:rsid w:val="002A2CAA"/>
    <w:rsid w:val="002A2D14"/>
    <w:rsid w:val="002A308C"/>
    <w:rsid w:val="002A32CE"/>
    <w:rsid w:val="002A3402"/>
    <w:rsid w:val="002A36B6"/>
    <w:rsid w:val="002A3886"/>
    <w:rsid w:val="002A3BEF"/>
    <w:rsid w:val="002A3C6A"/>
    <w:rsid w:val="002A3DF4"/>
    <w:rsid w:val="002A41CB"/>
    <w:rsid w:val="002A4386"/>
    <w:rsid w:val="002A48FD"/>
    <w:rsid w:val="002A4A07"/>
    <w:rsid w:val="002A4DE9"/>
    <w:rsid w:val="002A4FA0"/>
    <w:rsid w:val="002A5054"/>
    <w:rsid w:val="002A542D"/>
    <w:rsid w:val="002A569B"/>
    <w:rsid w:val="002A57B9"/>
    <w:rsid w:val="002A58F6"/>
    <w:rsid w:val="002A5911"/>
    <w:rsid w:val="002A5AF1"/>
    <w:rsid w:val="002A5B6E"/>
    <w:rsid w:val="002A5D76"/>
    <w:rsid w:val="002A5DA0"/>
    <w:rsid w:val="002A5F9F"/>
    <w:rsid w:val="002A6093"/>
    <w:rsid w:val="002A613D"/>
    <w:rsid w:val="002A6142"/>
    <w:rsid w:val="002A62FA"/>
    <w:rsid w:val="002A68D7"/>
    <w:rsid w:val="002A6BEA"/>
    <w:rsid w:val="002A6BEC"/>
    <w:rsid w:val="002A6C5F"/>
    <w:rsid w:val="002A6C93"/>
    <w:rsid w:val="002A6CF2"/>
    <w:rsid w:val="002A6DF3"/>
    <w:rsid w:val="002A71DC"/>
    <w:rsid w:val="002A7375"/>
    <w:rsid w:val="002A75D5"/>
    <w:rsid w:val="002A7924"/>
    <w:rsid w:val="002A7B09"/>
    <w:rsid w:val="002A7C85"/>
    <w:rsid w:val="002A7D06"/>
    <w:rsid w:val="002A7FBA"/>
    <w:rsid w:val="002B00AB"/>
    <w:rsid w:val="002B0819"/>
    <w:rsid w:val="002B089E"/>
    <w:rsid w:val="002B0C3C"/>
    <w:rsid w:val="002B0F2E"/>
    <w:rsid w:val="002B16BA"/>
    <w:rsid w:val="002B1767"/>
    <w:rsid w:val="002B176C"/>
    <w:rsid w:val="002B1859"/>
    <w:rsid w:val="002B19FC"/>
    <w:rsid w:val="002B1A9F"/>
    <w:rsid w:val="002B1CA2"/>
    <w:rsid w:val="002B1CE7"/>
    <w:rsid w:val="002B1DAC"/>
    <w:rsid w:val="002B1DB3"/>
    <w:rsid w:val="002B1EFC"/>
    <w:rsid w:val="002B20AE"/>
    <w:rsid w:val="002B23F5"/>
    <w:rsid w:val="002B2730"/>
    <w:rsid w:val="002B2759"/>
    <w:rsid w:val="002B2784"/>
    <w:rsid w:val="002B2922"/>
    <w:rsid w:val="002B2993"/>
    <w:rsid w:val="002B2AEC"/>
    <w:rsid w:val="002B2B97"/>
    <w:rsid w:val="002B2D75"/>
    <w:rsid w:val="002B30EC"/>
    <w:rsid w:val="002B311A"/>
    <w:rsid w:val="002B3876"/>
    <w:rsid w:val="002B3F0B"/>
    <w:rsid w:val="002B41D8"/>
    <w:rsid w:val="002B446F"/>
    <w:rsid w:val="002B453D"/>
    <w:rsid w:val="002B47BA"/>
    <w:rsid w:val="002B4823"/>
    <w:rsid w:val="002B498A"/>
    <w:rsid w:val="002B49AC"/>
    <w:rsid w:val="002B4B8C"/>
    <w:rsid w:val="002B4D83"/>
    <w:rsid w:val="002B4D96"/>
    <w:rsid w:val="002B4EE8"/>
    <w:rsid w:val="002B5101"/>
    <w:rsid w:val="002B53A0"/>
    <w:rsid w:val="002B53F9"/>
    <w:rsid w:val="002B553C"/>
    <w:rsid w:val="002B5604"/>
    <w:rsid w:val="002B57E8"/>
    <w:rsid w:val="002B5880"/>
    <w:rsid w:val="002B59C7"/>
    <w:rsid w:val="002B5AC6"/>
    <w:rsid w:val="002B5E20"/>
    <w:rsid w:val="002B5E88"/>
    <w:rsid w:val="002B5F74"/>
    <w:rsid w:val="002B5FCE"/>
    <w:rsid w:val="002B5FE7"/>
    <w:rsid w:val="002B61A9"/>
    <w:rsid w:val="002B61E7"/>
    <w:rsid w:val="002B63B9"/>
    <w:rsid w:val="002B64B0"/>
    <w:rsid w:val="002B6709"/>
    <w:rsid w:val="002B677B"/>
    <w:rsid w:val="002B69FC"/>
    <w:rsid w:val="002B6AF9"/>
    <w:rsid w:val="002B6CAB"/>
    <w:rsid w:val="002B6D25"/>
    <w:rsid w:val="002B720B"/>
    <w:rsid w:val="002B72BE"/>
    <w:rsid w:val="002B7393"/>
    <w:rsid w:val="002B7422"/>
    <w:rsid w:val="002B7455"/>
    <w:rsid w:val="002B747C"/>
    <w:rsid w:val="002B74A2"/>
    <w:rsid w:val="002B7518"/>
    <w:rsid w:val="002B75D5"/>
    <w:rsid w:val="002B7DB4"/>
    <w:rsid w:val="002C0102"/>
    <w:rsid w:val="002C0187"/>
    <w:rsid w:val="002C048D"/>
    <w:rsid w:val="002C05D1"/>
    <w:rsid w:val="002C0784"/>
    <w:rsid w:val="002C08C5"/>
    <w:rsid w:val="002C0985"/>
    <w:rsid w:val="002C0AB6"/>
    <w:rsid w:val="002C0F97"/>
    <w:rsid w:val="002C0FA3"/>
    <w:rsid w:val="002C0FC9"/>
    <w:rsid w:val="002C101C"/>
    <w:rsid w:val="002C133F"/>
    <w:rsid w:val="002C1374"/>
    <w:rsid w:val="002C1C54"/>
    <w:rsid w:val="002C205A"/>
    <w:rsid w:val="002C2235"/>
    <w:rsid w:val="002C2365"/>
    <w:rsid w:val="002C237D"/>
    <w:rsid w:val="002C2417"/>
    <w:rsid w:val="002C2453"/>
    <w:rsid w:val="002C2681"/>
    <w:rsid w:val="002C26D6"/>
    <w:rsid w:val="002C2E94"/>
    <w:rsid w:val="002C2F87"/>
    <w:rsid w:val="002C32CC"/>
    <w:rsid w:val="002C3496"/>
    <w:rsid w:val="002C3562"/>
    <w:rsid w:val="002C35EF"/>
    <w:rsid w:val="002C37B5"/>
    <w:rsid w:val="002C3988"/>
    <w:rsid w:val="002C3B98"/>
    <w:rsid w:val="002C3E08"/>
    <w:rsid w:val="002C42BD"/>
    <w:rsid w:val="002C449E"/>
    <w:rsid w:val="002C45BC"/>
    <w:rsid w:val="002C4C29"/>
    <w:rsid w:val="002C4FAF"/>
    <w:rsid w:val="002C50F6"/>
    <w:rsid w:val="002C539F"/>
    <w:rsid w:val="002C53B6"/>
    <w:rsid w:val="002C5492"/>
    <w:rsid w:val="002C558A"/>
    <w:rsid w:val="002C55DB"/>
    <w:rsid w:val="002C58BE"/>
    <w:rsid w:val="002C5CE0"/>
    <w:rsid w:val="002C5F5D"/>
    <w:rsid w:val="002C60CC"/>
    <w:rsid w:val="002C6274"/>
    <w:rsid w:val="002C630B"/>
    <w:rsid w:val="002C6629"/>
    <w:rsid w:val="002C6653"/>
    <w:rsid w:val="002C6768"/>
    <w:rsid w:val="002C6951"/>
    <w:rsid w:val="002C6FF7"/>
    <w:rsid w:val="002C70A3"/>
    <w:rsid w:val="002C70A6"/>
    <w:rsid w:val="002C776D"/>
    <w:rsid w:val="002C77E7"/>
    <w:rsid w:val="002C79F4"/>
    <w:rsid w:val="002C7A50"/>
    <w:rsid w:val="002C7F8C"/>
    <w:rsid w:val="002D02EF"/>
    <w:rsid w:val="002D0311"/>
    <w:rsid w:val="002D037C"/>
    <w:rsid w:val="002D0435"/>
    <w:rsid w:val="002D04A3"/>
    <w:rsid w:val="002D081B"/>
    <w:rsid w:val="002D0870"/>
    <w:rsid w:val="002D0880"/>
    <w:rsid w:val="002D08C2"/>
    <w:rsid w:val="002D0D7A"/>
    <w:rsid w:val="002D0E98"/>
    <w:rsid w:val="002D1094"/>
    <w:rsid w:val="002D13F9"/>
    <w:rsid w:val="002D1611"/>
    <w:rsid w:val="002D1795"/>
    <w:rsid w:val="002D18BC"/>
    <w:rsid w:val="002D1C6C"/>
    <w:rsid w:val="002D1F5E"/>
    <w:rsid w:val="002D2366"/>
    <w:rsid w:val="002D23F0"/>
    <w:rsid w:val="002D2559"/>
    <w:rsid w:val="002D25F9"/>
    <w:rsid w:val="002D26A3"/>
    <w:rsid w:val="002D275C"/>
    <w:rsid w:val="002D29C0"/>
    <w:rsid w:val="002D29FE"/>
    <w:rsid w:val="002D2CB6"/>
    <w:rsid w:val="002D31DA"/>
    <w:rsid w:val="002D33F8"/>
    <w:rsid w:val="002D35BD"/>
    <w:rsid w:val="002D36D6"/>
    <w:rsid w:val="002D380D"/>
    <w:rsid w:val="002D3A5E"/>
    <w:rsid w:val="002D3C24"/>
    <w:rsid w:val="002D3CD9"/>
    <w:rsid w:val="002D3E6F"/>
    <w:rsid w:val="002D3F79"/>
    <w:rsid w:val="002D4035"/>
    <w:rsid w:val="002D404F"/>
    <w:rsid w:val="002D435B"/>
    <w:rsid w:val="002D4742"/>
    <w:rsid w:val="002D482E"/>
    <w:rsid w:val="002D4C83"/>
    <w:rsid w:val="002D4ED6"/>
    <w:rsid w:val="002D5015"/>
    <w:rsid w:val="002D5122"/>
    <w:rsid w:val="002D5434"/>
    <w:rsid w:val="002D546D"/>
    <w:rsid w:val="002D5633"/>
    <w:rsid w:val="002D59A9"/>
    <w:rsid w:val="002D5A75"/>
    <w:rsid w:val="002D5BA1"/>
    <w:rsid w:val="002D5C1B"/>
    <w:rsid w:val="002D5EC6"/>
    <w:rsid w:val="002D5F0E"/>
    <w:rsid w:val="002D6084"/>
    <w:rsid w:val="002D61FF"/>
    <w:rsid w:val="002D623B"/>
    <w:rsid w:val="002D63A9"/>
    <w:rsid w:val="002D6670"/>
    <w:rsid w:val="002D675F"/>
    <w:rsid w:val="002D678B"/>
    <w:rsid w:val="002D6875"/>
    <w:rsid w:val="002D71F9"/>
    <w:rsid w:val="002D7269"/>
    <w:rsid w:val="002D7B27"/>
    <w:rsid w:val="002D7D8F"/>
    <w:rsid w:val="002D7DA8"/>
    <w:rsid w:val="002E0324"/>
    <w:rsid w:val="002E0804"/>
    <w:rsid w:val="002E087B"/>
    <w:rsid w:val="002E09BB"/>
    <w:rsid w:val="002E0BD1"/>
    <w:rsid w:val="002E0E50"/>
    <w:rsid w:val="002E0E59"/>
    <w:rsid w:val="002E11B4"/>
    <w:rsid w:val="002E1571"/>
    <w:rsid w:val="002E1738"/>
    <w:rsid w:val="002E191C"/>
    <w:rsid w:val="002E1932"/>
    <w:rsid w:val="002E19D4"/>
    <w:rsid w:val="002E19DC"/>
    <w:rsid w:val="002E1D05"/>
    <w:rsid w:val="002E1EF0"/>
    <w:rsid w:val="002E20C7"/>
    <w:rsid w:val="002E20E6"/>
    <w:rsid w:val="002E2429"/>
    <w:rsid w:val="002E26E5"/>
    <w:rsid w:val="002E2938"/>
    <w:rsid w:val="002E2C0F"/>
    <w:rsid w:val="002E2C83"/>
    <w:rsid w:val="002E2D7F"/>
    <w:rsid w:val="002E2FE1"/>
    <w:rsid w:val="002E3201"/>
    <w:rsid w:val="002E3355"/>
    <w:rsid w:val="002E3411"/>
    <w:rsid w:val="002E358B"/>
    <w:rsid w:val="002E358C"/>
    <w:rsid w:val="002E3B0D"/>
    <w:rsid w:val="002E3CB5"/>
    <w:rsid w:val="002E3D16"/>
    <w:rsid w:val="002E3E86"/>
    <w:rsid w:val="002E3FE8"/>
    <w:rsid w:val="002E40C3"/>
    <w:rsid w:val="002E40C5"/>
    <w:rsid w:val="002E4132"/>
    <w:rsid w:val="002E479F"/>
    <w:rsid w:val="002E4926"/>
    <w:rsid w:val="002E49D6"/>
    <w:rsid w:val="002E534F"/>
    <w:rsid w:val="002E5522"/>
    <w:rsid w:val="002E556C"/>
    <w:rsid w:val="002E5572"/>
    <w:rsid w:val="002E557A"/>
    <w:rsid w:val="002E55BC"/>
    <w:rsid w:val="002E5B06"/>
    <w:rsid w:val="002E5BE1"/>
    <w:rsid w:val="002E5DD6"/>
    <w:rsid w:val="002E63CE"/>
    <w:rsid w:val="002E6705"/>
    <w:rsid w:val="002E6759"/>
    <w:rsid w:val="002E6AC5"/>
    <w:rsid w:val="002E6F44"/>
    <w:rsid w:val="002E6F7D"/>
    <w:rsid w:val="002E7195"/>
    <w:rsid w:val="002E719E"/>
    <w:rsid w:val="002E74FF"/>
    <w:rsid w:val="002E78A8"/>
    <w:rsid w:val="002E7B27"/>
    <w:rsid w:val="002F0026"/>
    <w:rsid w:val="002F0296"/>
    <w:rsid w:val="002F02D4"/>
    <w:rsid w:val="002F03A4"/>
    <w:rsid w:val="002F0456"/>
    <w:rsid w:val="002F04DA"/>
    <w:rsid w:val="002F06F0"/>
    <w:rsid w:val="002F0AB7"/>
    <w:rsid w:val="002F0B83"/>
    <w:rsid w:val="002F0DFA"/>
    <w:rsid w:val="002F0E60"/>
    <w:rsid w:val="002F1305"/>
    <w:rsid w:val="002F1456"/>
    <w:rsid w:val="002F1675"/>
    <w:rsid w:val="002F1F64"/>
    <w:rsid w:val="002F2348"/>
    <w:rsid w:val="002F2377"/>
    <w:rsid w:val="002F283B"/>
    <w:rsid w:val="002F284E"/>
    <w:rsid w:val="002F2CDF"/>
    <w:rsid w:val="002F2E4B"/>
    <w:rsid w:val="002F2F25"/>
    <w:rsid w:val="002F2F4D"/>
    <w:rsid w:val="002F4083"/>
    <w:rsid w:val="002F492C"/>
    <w:rsid w:val="002F493D"/>
    <w:rsid w:val="002F4A42"/>
    <w:rsid w:val="002F4AB3"/>
    <w:rsid w:val="002F4C75"/>
    <w:rsid w:val="002F4CD6"/>
    <w:rsid w:val="002F4D3F"/>
    <w:rsid w:val="002F4E12"/>
    <w:rsid w:val="002F4E9D"/>
    <w:rsid w:val="002F4FE6"/>
    <w:rsid w:val="002F5222"/>
    <w:rsid w:val="002F522A"/>
    <w:rsid w:val="002F5362"/>
    <w:rsid w:val="002F54E1"/>
    <w:rsid w:val="002F5886"/>
    <w:rsid w:val="002F5952"/>
    <w:rsid w:val="002F5A36"/>
    <w:rsid w:val="002F5A4E"/>
    <w:rsid w:val="002F5FCA"/>
    <w:rsid w:val="002F6102"/>
    <w:rsid w:val="002F6194"/>
    <w:rsid w:val="002F63AC"/>
    <w:rsid w:val="002F65C7"/>
    <w:rsid w:val="002F66C2"/>
    <w:rsid w:val="002F67F4"/>
    <w:rsid w:val="002F6CDD"/>
    <w:rsid w:val="002F6EA7"/>
    <w:rsid w:val="002F6EEB"/>
    <w:rsid w:val="002F6F0E"/>
    <w:rsid w:val="002F71F0"/>
    <w:rsid w:val="002F71F8"/>
    <w:rsid w:val="002F720C"/>
    <w:rsid w:val="002F7539"/>
    <w:rsid w:val="002F75D0"/>
    <w:rsid w:val="002F767E"/>
    <w:rsid w:val="002F7D29"/>
    <w:rsid w:val="003000C9"/>
    <w:rsid w:val="00300185"/>
    <w:rsid w:val="0030050A"/>
    <w:rsid w:val="00300867"/>
    <w:rsid w:val="00300931"/>
    <w:rsid w:val="00300A0B"/>
    <w:rsid w:val="00300A2D"/>
    <w:rsid w:val="00300A5C"/>
    <w:rsid w:val="00300C14"/>
    <w:rsid w:val="00300E45"/>
    <w:rsid w:val="00300E65"/>
    <w:rsid w:val="003010F6"/>
    <w:rsid w:val="003012EA"/>
    <w:rsid w:val="003013E8"/>
    <w:rsid w:val="003019C2"/>
    <w:rsid w:val="00301A9D"/>
    <w:rsid w:val="00301C50"/>
    <w:rsid w:val="00301CCC"/>
    <w:rsid w:val="00301E35"/>
    <w:rsid w:val="003020CA"/>
    <w:rsid w:val="00302114"/>
    <w:rsid w:val="00302212"/>
    <w:rsid w:val="003022BF"/>
    <w:rsid w:val="0030237F"/>
    <w:rsid w:val="00302716"/>
    <w:rsid w:val="0030299D"/>
    <w:rsid w:val="00302A00"/>
    <w:rsid w:val="00302C8D"/>
    <w:rsid w:val="00302D37"/>
    <w:rsid w:val="00302D7F"/>
    <w:rsid w:val="00302EE2"/>
    <w:rsid w:val="00303225"/>
    <w:rsid w:val="00303245"/>
    <w:rsid w:val="003033AA"/>
    <w:rsid w:val="003033CC"/>
    <w:rsid w:val="00303B36"/>
    <w:rsid w:val="00303B44"/>
    <w:rsid w:val="00303BA7"/>
    <w:rsid w:val="00303BCA"/>
    <w:rsid w:val="00303C6E"/>
    <w:rsid w:val="00303C99"/>
    <w:rsid w:val="00303E06"/>
    <w:rsid w:val="00303F87"/>
    <w:rsid w:val="0030422F"/>
    <w:rsid w:val="00304238"/>
    <w:rsid w:val="00304414"/>
    <w:rsid w:val="0030462C"/>
    <w:rsid w:val="0030472E"/>
    <w:rsid w:val="00304C12"/>
    <w:rsid w:val="00304C15"/>
    <w:rsid w:val="003051FA"/>
    <w:rsid w:val="003051FC"/>
    <w:rsid w:val="003052D6"/>
    <w:rsid w:val="0030536E"/>
    <w:rsid w:val="0030588D"/>
    <w:rsid w:val="00305F0A"/>
    <w:rsid w:val="003061A1"/>
    <w:rsid w:val="003062AA"/>
    <w:rsid w:val="00306608"/>
    <w:rsid w:val="003066C1"/>
    <w:rsid w:val="0030670C"/>
    <w:rsid w:val="0030674C"/>
    <w:rsid w:val="00306799"/>
    <w:rsid w:val="0030683B"/>
    <w:rsid w:val="00306B95"/>
    <w:rsid w:val="00306E7F"/>
    <w:rsid w:val="003071BD"/>
    <w:rsid w:val="00307573"/>
    <w:rsid w:val="00307BE2"/>
    <w:rsid w:val="00307E29"/>
    <w:rsid w:val="00307E30"/>
    <w:rsid w:val="00307FAE"/>
    <w:rsid w:val="0031046C"/>
    <w:rsid w:val="0031054A"/>
    <w:rsid w:val="00310586"/>
    <w:rsid w:val="00310695"/>
    <w:rsid w:val="00310883"/>
    <w:rsid w:val="00310AA1"/>
    <w:rsid w:val="00310D0C"/>
    <w:rsid w:val="00310FCB"/>
    <w:rsid w:val="003110FD"/>
    <w:rsid w:val="00311249"/>
    <w:rsid w:val="0031130B"/>
    <w:rsid w:val="0031164E"/>
    <w:rsid w:val="00311822"/>
    <w:rsid w:val="00311A64"/>
    <w:rsid w:val="00311C90"/>
    <w:rsid w:val="00311DE5"/>
    <w:rsid w:val="00311DF6"/>
    <w:rsid w:val="00311E48"/>
    <w:rsid w:val="003121BA"/>
    <w:rsid w:val="00312266"/>
    <w:rsid w:val="003122BC"/>
    <w:rsid w:val="0031239B"/>
    <w:rsid w:val="00312AB1"/>
    <w:rsid w:val="00312BA1"/>
    <w:rsid w:val="00312E44"/>
    <w:rsid w:val="00313101"/>
    <w:rsid w:val="003133CF"/>
    <w:rsid w:val="003134B9"/>
    <w:rsid w:val="0031397D"/>
    <w:rsid w:val="00313F24"/>
    <w:rsid w:val="00313F70"/>
    <w:rsid w:val="00313F72"/>
    <w:rsid w:val="00313FBA"/>
    <w:rsid w:val="00314079"/>
    <w:rsid w:val="003144E4"/>
    <w:rsid w:val="00314622"/>
    <w:rsid w:val="003147E7"/>
    <w:rsid w:val="003148D6"/>
    <w:rsid w:val="003149C8"/>
    <w:rsid w:val="00314C60"/>
    <w:rsid w:val="00314D29"/>
    <w:rsid w:val="00314DE3"/>
    <w:rsid w:val="0031527F"/>
    <w:rsid w:val="0031562C"/>
    <w:rsid w:val="003156CA"/>
    <w:rsid w:val="00315BCC"/>
    <w:rsid w:val="00315C20"/>
    <w:rsid w:val="00315CDC"/>
    <w:rsid w:val="0031646C"/>
    <w:rsid w:val="00316534"/>
    <w:rsid w:val="003168F1"/>
    <w:rsid w:val="00316978"/>
    <w:rsid w:val="00316BDE"/>
    <w:rsid w:val="00316C5B"/>
    <w:rsid w:val="00316DBB"/>
    <w:rsid w:val="00316DDE"/>
    <w:rsid w:val="00316E73"/>
    <w:rsid w:val="00316E77"/>
    <w:rsid w:val="00317154"/>
    <w:rsid w:val="0031716F"/>
    <w:rsid w:val="00317313"/>
    <w:rsid w:val="003175FC"/>
    <w:rsid w:val="003178E9"/>
    <w:rsid w:val="0031799B"/>
    <w:rsid w:val="00317B86"/>
    <w:rsid w:val="00317D80"/>
    <w:rsid w:val="00317D83"/>
    <w:rsid w:val="00317EB2"/>
    <w:rsid w:val="003200B2"/>
    <w:rsid w:val="00320583"/>
    <w:rsid w:val="00320A6C"/>
    <w:rsid w:val="00320B3C"/>
    <w:rsid w:val="00320B60"/>
    <w:rsid w:val="00320C5F"/>
    <w:rsid w:val="00320F08"/>
    <w:rsid w:val="00321276"/>
    <w:rsid w:val="00321532"/>
    <w:rsid w:val="003216AD"/>
    <w:rsid w:val="003219D0"/>
    <w:rsid w:val="00321CB4"/>
    <w:rsid w:val="00321D23"/>
    <w:rsid w:val="00321DD4"/>
    <w:rsid w:val="00321E37"/>
    <w:rsid w:val="00321F20"/>
    <w:rsid w:val="003222F8"/>
    <w:rsid w:val="0032247A"/>
    <w:rsid w:val="00322780"/>
    <w:rsid w:val="00322789"/>
    <w:rsid w:val="003227B7"/>
    <w:rsid w:val="00322A33"/>
    <w:rsid w:val="00322BC9"/>
    <w:rsid w:val="00322DA0"/>
    <w:rsid w:val="00322F8E"/>
    <w:rsid w:val="003234A1"/>
    <w:rsid w:val="003234B0"/>
    <w:rsid w:val="003237C5"/>
    <w:rsid w:val="003237CB"/>
    <w:rsid w:val="0032383D"/>
    <w:rsid w:val="00323BF9"/>
    <w:rsid w:val="00323CEC"/>
    <w:rsid w:val="00323EEC"/>
    <w:rsid w:val="003240D7"/>
    <w:rsid w:val="003240F4"/>
    <w:rsid w:val="00324418"/>
    <w:rsid w:val="003244DD"/>
    <w:rsid w:val="003249D9"/>
    <w:rsid w:val="00324D31"/>
    <w:rsid w:val="003250F0"/>
    <w:rsid w:val="00325223"/>
    <w:rsid w:val="003258EA"/>
    <w:rsid w:val="00325D62"/>
    <w:rsid w:val="00325E19"/>
    <w:rsid w:val="00326033"/>
    <w:rsid w:val="0032611D"/>
    <w:rsid w:val="00326755"/>
    <w:rsid w:val="00326829"/>
    <w:rsid w:val="00326A0D"/>
    <w:rsid w:val="00326C05"/>
    <w:rsid w:val="00326DE2"/>
    <w:rsid w:val="00326E7B"/>
    <w:rsid w:val="00326E89"/>
    <w:rsid w:val="00326E95"/>
    <w:rsid w:val="00327089"/>
    <w:rsid w:val="00327124"/>
    <w:rsid w:val="00327264"/>
    <w:rsid w:val="003273F2"/>
    <w:rsid w:val="003276D4"/>
    <w:rsid w:val="00327861"/>
    <w:rsid w:val="00327C5A"/>
    <w:rsid w:val="00327D29"/>
    <w:rsid w:val="00327ED8"/>
    <w:rsid w:val="00327F45"/>
    <w:rsid w:val="003300B7"/>
    <w:rsid w:val="00330266"/>
    <w:rsid w:val="00330441"/>
    <w:rsid w:val="003304EF"/>
    <w:rsid w:val="00330A18"/>
    <w:rsid w:val="00330DF3"/>
    <w:rsid w:val="00330E17"/>
    <w:rsid w:val="00331074"/>
    <w:rsid w:val="003310EE"/>
    <w:rsid w:val="00331112"/>
    <w:rsid w:val="0033121F"/>
    <w:rsid w:val="003319F4"/>
    <w:rsid w:val="00331CD9"/>
    <w:rsid w:val="00331FA4"/>
    <w:rsid w:val="0033228B"/>
    <w:rsid w:val="0033243A"/>
    <w:rsid w:val="0033253F"/>
    <w:rsid w:val="00332766"/>
    <w:rsid w:val="00332864"/>
    <w:rsid w:val="00332A01"/>
    <w:rsid w:val="00332BE3"/>
    <w:rsid w:val="00332FA7"/>
    <w:rsid w:val="00333607"/>
    <w:rsid w:val="00333619"/>
    <w:rsid w:val="0033361F"/>
    <w:rsid w:val="00333678"/>
    <w:rsid w:val="00333689"/>
    <w:rsid w:val="00333973"/>
    <w:rsid w:val="00333D47"/>
    <w:rsid w:val="00333EF4"/>
    <w:rsid w:val="00333F14"/>
    <w:rsid w:val="00333FC3"/>
    <w:rsid w:val="003342E3"/>
    <w:rsid w:val="0033449F"/>
    <w:rsid w:val="003348A0"/>
    <w:rsid w:val="00334B50"/>
    <w:rsid w:val="00334CD6"/>
    <w:rsid w:val="00334F02"/>
    <w:rsid w:val="0033509A"/>
    <w:rsid w:val="0033511D"/>
    <w:rsid w:val="003355B8"/>
    <w:rsid w:val="00335638"/>
    <w:rsid w:val="003358D8"/>
    <w:rsid w:val="00335986"/>
    <w:rsid w:val="00335D8D"/>
    <w:rsid w:val="00335EF2"/>
    <w:rsid w:val="00335FF0"/>
    <w:rsid w:val="0033615E"/>
    <w:rsid w:val="0033634A"/>
    <w:rsid w:val="003365FE"/>
    <w:rsid w:val="003368EF"/>
    <w:rsid w:val="00336992"/>
    <w:rsid w:val="00336C76"/>
    <w:rsid w:val="00336E52"/>
    <w:rsid w:val="00336E90"/>
    <w:rsid w:val="00336FFB"/>
    <w:rsid w:val="00337124"/>
    <w:rsid w:val="003371CB"/>
    <w:rsid w:val="003371D9"/>
    <w:rsid w:val="00337212"/>
    <w:rsid w:val="00337331"/>
    <w:rsid w:val="003375D6"/>
    <w:rsid w:val="003375E9"/>
    <w:rsid w:val="003376A3"/>
    <w:rsid w:val="0033798A"/>
    <w:rsid w:val="00340025"/>
    <w:rsid w:val="0034002B"/>
    <w:rsid w:val="00340113"/>
    <w:rsid w:val="00340221"/>
    <w:rsid w:val="00340406"/>
    <w:rsid w:val="00340C5E"/>
    <w:rsid w:val="00340E08"/>
    <w:rsid w:val="00340E39"/>
    <w:rsid w:val="00340F16"/>
    <w:rsid w:val="00341087"/>
    <w:rsid w:val="00341326"/>
    <w:rsid w:val="00341381"/>
    <w:rsid w:val="0034164A"/>
    <w:rsid w:val="00341798"/>
    <w:rsid w:val="00341936"/>
    <w:rsid w:val="00341DB1"/>
    <w:rsid w:val="00341EA7"/>
    <w:rsid w:val="0034202A"/>
    <w:rsid w:val="00342678"/>
    <w:rsid w:val="00342859"/>
    <w:rsid w:val="00342C7E"/>
    <w:rsid w:val="00342DFE"/>
    <w:rsid w:val="00342F33"/>
    <w:rsid w:val="00342F7E"/>
    <w:rsid w:val="003430E5"/>
    <w:rsid w:val="00343116"/>
    <w:rsid w:val="003431A8"/>
    <w:rsid w:val="00343298"/>
    <w:rsid w:val="003433D9"/>
    <w:rsid w:val="0034349D"/>
    <w:rsid w:val="003436C9"/>
    <w:rsid w:val="0034380F"/>
    <w:rsid w:val="00343B9A"/>
    <w:rsid w:val="00343D70"/>
    <w:rsid w:val="003444B5"/>
    <w:rsid w:val="00344733"/>
    <w:rsid w:val="00344798"/>
    <w:rsid w:val="0034498E"/>
    <w:rsid w:val="00344A68"/>
    <w:rsid w:val="00344F3C"/>
    <w:rsid w:val="0034504E"/>
    <w:rsid w:val="0034507F"/>
    <w:rsid w:val="003450F6"/>
    <w:rsid w:val="0034556F"/>
    <w:rsid w:val="00345589"/>
    <w:rsid w:val="00345704"/>
    <w:rsid w:val="0034573A"/>
    <w:rsid w:val="003458D6"/>
    <w:rsid w:val="00345FC0"/>
    <w:rsid w:val="003463DA"/>
    <w:rsid w:val="00346633"/>
    <w:rsid w:val="003467C7"/>
    <w:rsid w:val="003468F5"/>
    <w:rsid w:val="00346B0E"/>
    <w:rsid w:val="00346BAF"/>
    <w:rsid w:val="00346D0E"/>
    <w:rsid w:val="0034712A"/>
    <w:rsid w:val="0034723F"/>
    <w:rsid w:val="00347428"/>
    <w:rsid w:val="0034746F"/>
    <w:rsid w:val="00347711"/>
    <w:rsid w:val="003478A2"/>
    <w:rsid w:val="00347A03"/>
    <w:rsid w:val="00347ABD"/>
    <w:rsid w:val="00347C4E"/>
    <w:rsid w:val="0035002A"/>
    <w:rsid w:val="0035070C"/>
    <w:rsid w:val="0035078F"/>
    <w:rsid w:val="00350797"/>
    <w:rsid w:val="00350D6B"/>
    <w:rsid w:val="00350D9C"/>
    <w:rsid w:val="00350F08"/>
    <w:rsid w:val="0035124D"/>
    <w:rsid w:val="003512BE"/>
    <w:rsid w:val="003516C8"/>
    <w:rsid w:val="00351A84"/>
    <w:rsid w:val="00351EE9"/>
    <w:rsid w:val="00352098"/>
    <w:rsid w:val="00352213"/>
    <w:rsid w:val="0035230D"/>
    <w:rsid w:val="003523C4"/>
    <w:rsid w:val="00352408"/>
    <w:rsid w:val="00352673"/>
    <w:rsid w:val="003526D9"/>
    <w:rsid w:val="0035279F"/>
    <w:rsid w:val="003529BA"/>
    <w:rsid w:val="00352A88"/>
    <w:rsid w:val="00352F1A"/>
    <w:rsid w:val="00352FB9"/>
    <w:rsid w:val="00353797"/>
    <w:rsid w:val="003537BC"/>
    <w:rsid w:val="00353932"/>
    <w:rsid w:val="00353B29"/>
    <w:rsid w:val="0035401D"/>
    <w:rsid w:val="003544C5"/>
    <w:rsid w:val="0035469A"/>
    <w:rsid w:val="003547DA"/>
    <w:rsid w:val="00354B4F"/>
    <w:rsid w:val="00354E46"/>
    <w:rsid w:val="003550F2"/>
    <w:rsid w:val="0035559C"/>
    <w:rsid w:val="003556A4"/>
    <w:rsid w:val="00355876"/>
    <w:rsid w:val="00355C76"/>
    <w:rsid w:val="0035605E"/>
    <w:rsid w:val="0035612D"/>
    <w:rsid w:val="0035622D"/>
    <w:rsid w:val="00356506"/>
    <w:rsid w:val="00356727"/>
    <w:rsid w:val="0035685C"/>
    <w:rsid w:val="003568A1"/>
    <w:rsid w:val="003569A1"/>
    <w:rsid w:val="003569D6"/>
    <w:rsid w:val="00356DE4"/>
    <w:rsid w:val="00356F63"/>
    <w:rsid w:val="00356F75"/>
    <w:rsid w:val="003570D8"/>
    <w:rsid w:val="00357330"/>
    <w:rsid w:val="0035756C"/>
    <w:rsid w:val="00357723"/>
    <w:rsid w:val="0036017C"/>
    <w:rsid w:val="0036050B"/>
    <w:rsid w:val="00360721"/>
    <w:rsid w:val="003607FE"/>
    <w:rsid w:val="0036084A"/>
    <w:rsid w:val="00360A75"/>
    <w:rsid w:val="00360DBF"/>
    <w:rsid w:val="00360E0F"/>
    <w:rsid w:val="00360F0C"/>
    <w:rsid w:val="00360F15"/>
    <w:rsid w:val="00361134"/>
    <w:rsid w:val="0036148A"/>
    <w:rsid w:val="003614D5"/>
    <w:rsid w:val="0036156C"/>
    <w:rsid w:val="0036167F"/>
    <w:rsid w:val="0036177F"/>
    <w:rsid w:val="00361CD4"/>
    <w:rsid w:val="00361D43"/>
    <w:rsid w:val="00361FD4"/>
    <w:rsid w:val="0036270C"/>
    <w:rsid w:val="003629F9"/>
    <w:rsid w:val="00362D41"/>
    <w:rsid w:val="00362E40"/>
    <w:rsid w:val="003632CF"/>
    <w:rsid w:val="003634C1"/>
    <w:rsid w:val="00363A1E"/>
    <w:rsid w:val="00363CBE"/>
    <w:rsid w:val="00363D23"/>
    <w:rsid w:val="00363DD0"/>
    <w:rsid w:val="00363EE0"/>
    <w:rsid w:val="003641BD"/>
    <w:rsid w:val="003642DE"/>
    <w:rsid w:val="003643CD"/>
    <w:rsid w:val="0036458C"/>
    <w:rsid w:val="003645F0"/>
    <w:rsid w:val="003647C3"/>
    <w:rsid w:val="00364922"/>
    <w:rsid w:val="00365062"/>
    <w:rsid w:val="00365190"/>
    <w:rsid w:val="00365481"/>
    <w:rsid w:val="00365675"/>
    <w:rsid w:val="003659A4"/>
    <w:rsid w:val="00365C25"/>
    <w:rsid w:val="00366260"/>
    <w:rsid w:val="003663F0"/>
    <w:rsid w:val="00366416"/>
    <w:rsid w:val="00366457"/>
    <w:rsid w:val="003665BB"/>
    <w:rsid w:val="003666F8"/>
    <w:rsid w:val="00366990"/>
    <w:rsid w:val="003669B3"/>
    <w:rsid w:val="00366A15"/>
    <w:rsid w:val="00366B83"/>
    <w:rsid w:val="00366FA4"/>
    <w:rsid w:val="0036724B"/>
    <w:rsid w:val="003672E7"/>
    <w:rsid w:val="00367824"/>
    <w:rsid w:val="003700FC"/>
    <w:rsid w:val="0037014A"/>
    <w:rsid w:val="00370503"/>
    <w:rsid w:val="003706AC"/>
    <w:rsid w:val="0037076E"/>
    <w:rsid w:val="00370833"/>
    <w:rsid w:val="00370BDA"/>
    <w:rsid w:val="00370D17"/>
    <w:rsid w:val="00370D96"/>
    <w:rsid w:val="00370ECD"/>
    <w:rsid w:val="00371187"/>
    <w:rsid w:val="003711D9"/>
    <w:rsid w:val="003711ED"/>
    <w:rsid w:val="0037126C"/>
    <w:rsid w:val="00371454"/>
    <w:rsid w:val="003714C2"/>
    <w:rsid w:val="003715CB"/>
    <w:rsid w:val="00371604"/>
    <w:rsid w:val="003716AA"/>
    <w:rsid w:val="003720F0"/>
    <w:rsid w:val="003725F6"/>
    <w:rsid w:val="00372633"/>
    <w:rsid w:val="003728BA"/>
    <w:rsid w:val="00372C40"/>
    <w:rsid w:val="00372CD7"/>
    <w:rsid w:val="00372E37"/>
    <w:rsid w:val="00372FB4"/>
    <w:rsid w:val="003730A1"/>
    <w:rsid w:val="0037314E"/>
    <w:rsid w:val="003733CF"/>
    <w:rsid w:val="003734C3"/>
    <w:rsid w:val="00373693"/>
    <w:rsid w:val="0037371E"/>
    <w:rsid w:val="00373833"/>
    <w:rsid w:val="0037394D"/>
    <w:rsid w:val="00373A85"/>
    <w:rsid w:val="00373BA1"/>
    <w:rsid w:val="00373BCD"/>
    <w:rsid w:val="00373E03"/>
    <w:rsid w:val="00374498"/>
    <w:rsid w:val="003747CA"/>
    <w:rsid w:val="00374938"/>
    <w:rsid w:val="00374A58"/>
    <w:rsid w:val="00374BB3"/>
    <w:rsid w:val="00374D6D"/>
    <w:rsid w:val="00374E13"/>
    <w:rsid w:val="00374F5E"/>
    <w:rsid w:val="0037550A"/>
    <w:rsid w:val="00375747"/>
    <w:rsid w:val="0037595D"/>
    <w:rsid w:val="0037602C"/>
    <w:rsid w:val="0037616B"/>
    <w:rsid w:val="0037657B"/>
    <w:rsid w:val="003767CB"/>
    <w:rsid w:val="00376A06"/>
    <w:rsid w:val="00376C64"/>
    <w:rsid w:val="00376EEC"/>
    <w:rsid w:val="003771B2"/>
    <w:rsid w:val="00377488"/>
    <w:rsid w:val="003777CA"/>
    <w:rsid w:val="00377944"/>
    <w:rsid w:val="00377982"/>
    <w:rsid w:val="00377A43"/>
    <w:rsid w:val="00377AC8"/>
    <w:rsid w:val="003801E9"/>
    <w:rsid w:val="003804C1"/>
    <w:rsid w:val="0038094A"/>
    <w:rsid w:val="00380955"/>
    <w:rsid w:val="003809AF"/>
    <w:rsid w:val="00380C1A"/>
    <w:rsid w:val="00380C63"/>
    <w:rsid w:val="00380E7E"/>
    <w:rsid w:val="00380EA0"/>
    <w:rsid w:val="0038114B"/>
    <w:rsid w:val="003814E3"/>
    <w:rsid w:val="00381538"/>
    <w:rsid w:val="0038164C"/>
    <w:rsid w:val="00381825"/>
    <w:rsid w:val="00381A30"/>
    <w:rsid w:val="00381BB4"/>
    <w:rsid w:val="00381C99"/>
    <w:rsid w:val="00381CBF"/>
    <w:rsid w:val="00381D8A"/>
    <w:rsid w:val="00382294"/>
    <w:rsid w:val="003822BF"/>
    <w:rsid w:val="003822E4"/>
    <w:rsid w:val="003827EC"/>
    <w:rsid w:val="0038296C"/>
    <w:rsid w:val="003829BA"/>
    <w:rsid w:val="003829E7"/>
    <w:rsid w:val="003830C8"/>
    <w:rsid w:val="00383A61"/>
    <w:rsid w:val="00383A8D"/>
    <w:rsid w:val="003840B7"/>
    <w:rsid w:val="003842BB"/>
    <w:rsid w:val="00384350"/>
    <w:rsid w:val="00384669"/>
    <w:rsid w:val="003849AC"/>
    <w:rsid w:val="00384C41"/>
    <w:rsid w:val="00384DB6"/>
    <w:rsid w:val="00384E94"/>
    <w:rsid w:val="00384EA2"/>
    <w:rsid w:val="00384EE6"/>
    <w:rsid w:val="0038502A"/>
    <w:rsid w:val="00385347"/>
    <w:rsid w:val="0038543B"/>
    <w:rsid w:val="003854C3"/>
    <w:rsid w:val="00385509"/>
    <w:rsid w:val="003855B9"/>
    <w:rsid w:val="00385663"/>
    <w:rsid w:val="003857CC"/>
    <w:rsid w:val="00385B32"/>
    <w:rsid w:val="00385D51"/>
    <w:rsid w:val="00385DBE"/>
    <w:rsid w:val="00386080"/>
    <w:rsid w:val="00386269"/>
    <w:rsid w:val="00386481"/>
    <w:rsid w:val="0038650D"/>
    <w:rsid w:val="00386519"/>
    <w:rsid w:val="003865AE"/>
    <w:rsid w:val="00386621"/>
    <w:rsid w:val="00386AA7"/>
    <w:rsid w:val="00386BCB"/>
    <w:rsid w:val="00386E84"/>
    <w:rsid w:val="00386F26"/>
    <w:rsid w:val="0038702D"/>
    <w:rsid w:val="003871A1"/>
    <w:rsid w:val="00387316"/>
    <w:rsid w:val="003874CA"/>
    <w:rsid w:val="00387585"/>
    <w:rsid w:val="003878A1"/>
    <w:rsid w:val="00387CAA"/>
    <w:rsid w:val="003903BC"/>
    <w:rsid w:val="0039040A"/>
    <w:rsid w:val="00390614"/>
    <w:rsid w:val="00390615"/>
    <w:rsid w:val="00390A55"/>
    <w:rsid w:val="00390A90"/>
    <w:rsid w:val="00390B8B"/>
    <w:rsid w:val="00390C47"/>
    <w:rsid w:val="00390D6D"/>
    <w:rsid w:val="00390E8C"/>
    <w:rsid w:val="00390ED8"/>
    <w:rsid w:val="003914EC"/>
    <w:rsid w:val="003916FF"/>
    <w:rsid w:val="00391766"/>
    <w:rsid w:val="003919AE"/>
    <w:rsid w:val="00391A40"/>
    <w:rsid w:val="00391D46"/>
    <w:rsid w:val="00392199"/>
    <w:rsid w:val="0039247B"/>
    <w:rsid w:val="0039251E"/>
    <w:rsid w:val="0039288C"/>
    <w:rsid w:val="00392DDB"/>
    <w:rsid w:val="00392FCB"/>
    <w:rsid w:val="00393078"/>
    <w:rsid w:val="003932C7"/>
    <w:rsid w:val="003932E1"/>
    <w:rsid w:val="003933A0"/>
    <w:rsid w:val="0039356F"/>
    <w:rsid w:val="00393962"/>
    <w:rsid w:val="00393975"/>
    <w:rsid w:val="00393C19"/>
    <w:rsid w:val="00393DD4"/>
    <w:rsid w:val="0039422C"/>
    <w:rsid w:val="00394346"/>
    <w:rsid w:val="003943E5"/>
    <w:rsid w:val="00394408"/>
    <w:rsid w:val="00394907"/>
    <w:rsid w:val="00394A17"/>
    <w:rsid w:val="00394BF4"/>
    <w:rsid w:val="00394D8F"/>
    <w:rsid w:val="0039504D"/>
    <w:rsid w:val="00395134"/>
    <w:rsid w:val="003952F6"/>
    <w:rsid w:val="00395417"/>
    <w:rsid w:val="003954A4"/>
    <w:rsid w:val="003956CE"/>
    <w:rsid w:val="00395983"/>
    <w:rsid w:val="00395A85"/>
    <w:rsid w:val="00395BB6"/>
    <w:rsid w:val="00395D45"/>
    <w:rsid w:val="00395F98"/>
    <w:rsid w:val="00396080"/>
    <w:rsid w:val="00396143"/>
    <w:rsid w:val="003961F4"/>
    <w:rsid w:val="00396297"/>
    <w:rsid w:val="0039653A"/>
    <w:rsid w:val="00396644"/>
    <w:rsid w:val="00396840"/>
    <w:rsid w:val="00396852"/>
    <w:rsid w:val="003969D4"/>
    <w:rsid w:val="00396AEB"/>
    <w:rsid w:val="00396C30"/>
    <w:rsid w:val="00396C65"/>
    <w:rsid w:val="00396D46"/>
    <w:rsid w:val="00396D6E"/>
    <w:rsid w:val="00396F2B"/>
    <w:rsid w:val="00397110"/>
    <w:rsid w:val="003973B8"/>
    <w:rsid w:val="003974DC"/>
    <w:rsid w:val="003977CD"/>
    <w:rsid w:val="003977DF"/>
    <w:rsid w:val="00397907"/>
    <w:rsid w:val="00397AFC"/>
    <w:rsid w:val="00397EA0"/>
    <w:rsid w:val="00397ECD"/>
    <w:rsid w:val="003A020B"/>
    <w:rsid w:val="003A0259"/>
    <w:rsid w:val="003A0382"/>
    <w:rsid w:val="003A06CF"/>
    <w:rsid w:val="003A0C68"/>
    <w:rsid w:val="003A10F4"/>
    <w:rsid w:val="003A1212"/>
    <w:rsid w:val="003A142F"/>
    <w:rsid w:val="003A1518"/>
    <w:rsid w:val="003A1715"/>
    <w:rsid w:val="003A1906"/>
    <w:rsid w:val="003A1997"/>
    <w:rsid w:val="003A1BC6"/>
    <w:rsid w:val="003A1D27"/>
    <w:rsid w:val="003A21D9"/>
    <w:rsid w:val="003A222C"/>
    <w:rsid w:val="003A295D"/>
    <w:rsid w:val="003A2968"/>
    <w:rsid w:val="003A2AB4"/>
    <w:rsid w:val="003A2B87"/>
    <w:rsid w:val="003A2BE2"/>
    <w:rsid w:val="003A2C40"/>
    <w:rsid w:val="003A2E30"/>
    <w:rsid w:val="003A2F89"/>
    <w:rsid w:val="003A2F97"/>
    <w:rsid w:val="003A2FA0"/>
    <w:rsid w:val="003A3416"/>
    <w:rsid w:val="003A3592"/>
    <w:rsid w:val="003A3843"/>
    <w:rsid w:val="003A396C"/>
    <w:rsid w:val="003A39DC"/>
    <w:rsid w:val="003A3CB3"/>
    <w:rsid w:val="003A3DE4"/>
    <w:rsid w:val="003A409C"/>
    <w:rsid w:val="003A4127"/>
    <w:rsid w:val="003A42DE"/>
    <w:rsid w:val="003A4A43"/>
    <w:rsid w:val="003A4C31"/>
    <w:rsid w:val="003A4E6F"/>
    <w:rsid w:val="003A4E9A"/>
    <w:rsid w:val="003A4FF2"/>
    <w:rsid w:val="003A505A"/>
    <w:rsid w:val="003A50EA"/>
    <w:rsid w:val="003A5212"/>
    <w:rsid w:val="003A530F"/>
    <w:rsid w:val="003A588D"/>
    <w:rsid w:val="003A5917"/>
    <w:rsid w:val="003A5A1E"/>
    <w:rsid w:val="003A6268"/>
    <w:rsid w:val="003A69DF"/>
    <w:rsid w:val="003A6C32"/>
    <w:rsid w:val="003A6D7E"/>
    <w:rsid w:val="003A6E97"/>
    <w:rsid w:val="003A6EA9"/>
    <w:rsid w:val="003A70DF"/>
    <w:rsid w:val="003A758F"/>
    <w:rsid w:val="003A7608"/>
    <w:rsid w:val="003A761B"/>
    <w:rsid w:val="003A76D5"/>
    <w:rsid w:val="003A79FB"/>
    <w:rsid w:val="003A7ABA"/>
    <w:rsid w:val="003A7C8C"/>
    <w:rsid w:val="003B040B"/>
    <w:rsid w:val="003B05AB"/>
    <w:rsid w:val="003B0769"/>
    <w:rsid w:val="003B079F"/>
    <w:rsid w:val="003B08F0"/>
    <w:rsid w:val="003B0AFC"/>
    <w:rsid w:val="003B0B7E"/>
    <w:rsid w:val="003B0C88"/>
    <w:rsid w:val="003B0E80"/>
    <w:rsid w:val="003B11F8"/>
    <w:rsid w:val="003B17D0"/>
    <w:rsid w:val="003B189F"/>
    <w:rsid w:val="003B190C"/>
    <w:rsid w:val="003B1932"/>
    <w:rsid w:val="003B1DE2"/>
    <w:rsid w:val="003B2051"/>
    <w:rsid w:val="003B2256"/>
    <w:rsid w:val="003B24B5"/>
    <w:rsid w:val="003B24EC"/>
    <w:rsid w:val="003B256A"/>
    <w:rsid w:val="003B2614"/>
    <w:rsid w:val="003B2818"/>
    <w:rsid w:val="003B29D1"/>
    <w:rsid w:val="003B2BEB"/>
    <w:rsid w:val="003B2C32"/>
    <w:rsid w:val="003B2D10"/>
    <w:rsid w:val="003B2D13"/>
    <w:rsid w:val="003B3162"/>
    <w:rsid w:val="003B34AD"/>
    <w:rsid w:val="003B3506"/>
    <w:rsid w:val="003B357D"/>
    <w:rsid w:val="003B389F"/>
    <w:rsid w:val="003B397A"/>
    <w:rsid w:val="003B3AEB"/>
    <w:rsid w:val="003B3C72"/>
    <w:rsid w:val="003B3D72"/>
    <w:rsid w:val="003B3E9C"/>
    <w:rsid w:val="003B3EC8"/>
    <w:rsid w:val="003B4016"/>
    <w:rsid w:val="003B415E"/>
    <w:rsid w:val="003B41FB"/>
    <w:rsid w:val="003B425D"/>
    <w:rsid w:val="003B435B"/>
    <w:rsid w:val="003B4AD4"/>
    <w:rsid w:val="003B4B51"/>
    <w:rsid w:val="003B4BF6"/>
    <w:rsid w:val="003B4DC0"/>
    <w:rsid w:val="003B5257"/>
    <w:rsid w:val="003B57B3"/>
    <w:rsid w:val="003B5E05"/>
    <w:rsid w:val="003B5EDE"/>
    <w:rsid w:val="003B5F47"/>
    <w:rsid w:val="003B631C"/>
    <w:rsid w:val="003B6597"/>
    <w:rsid w:val="003B666A"/>
    <w:rsid w:val="003B6736"/>
    <w:rsid w:val="003B6E97"/>
    <w:rsid w:val="003B7893"/>
    <w:rsid w:val="003B79A9"/>
    <w:rsid w:val="003B7B1C"/>
    <w:rsid w:val="003B7F64"/>
    <w:rsid w:val="003B7FB3"/>
    <w:rsid w:val="003C01C9"/>
    <w:rsid w:val="003C0204"/>
    <w:rsid w:val="003C0630"/>
    <w:rsid w:val="003C0CD1"/>
    <w:rsid w:val="003C0E08"/>
    <w:rsid w:val="003C0E59"/>
    <w:rsid w:val="003C0FC4"/>
    <w:rsid w:val="003C12F7"/>
    <w:rsid w:val="003C1A0D"/>
    <w:rsid w:val="003C1A90"/>
    <w:rsid w:val="003C1E3D"/>
    <w:rsid w:val="003C1E62"/>
    <w:rsid w:val="003C1E6F"/>
    <w:rsid w:val="003C2052"/>
    <w:rsid w:val="003C2176"/>
    <w:rsid w:val="003C21A1"/>
    <w:rsid w:val="003C2406"/>
    <w:rsid w:val="003C24CC"/>
    <w:rsid w:val="003C24E7"/>
    <w:rsid w:val="003C2724"/>
    <w:rsid w:val="003C290C"/>
    <w:rsid w:val="003C2974"/>
    <w:rsid w:val="003C2A6C"/>
    <w:rsid w:val="003C326A"/>
    <w:rsid w:val="003C32A0"/>
    <w:rsid w:val="003C33A8"/>
    <w:rsid w:val="003C3566"/>
    <w:rsid w:val="003C3583"/>
    <w:rsid w:val="003C380B"/>
    <w:rsid w:val="003C38EF"/>
    <w:rsid w:val="003C3939"/>
    <w:rsid w:val="003C39F9"/>
    <w:rsid w:val="003C3B8D"/>
    <w:rsid w:val="003C3FFC"/>
    <w:rsid w:val="003C40C9"/>
    <w:rsid w:val="003C4159"/>
    <w:rsid w:val="003C42C4"/>
    <w:rsid w:val="003C4583"/>
    <w:rsid w:val="003C45B2"/>
    <w:rsid w:val="003C476A"/>
    <w:rsid w:val="003C48D6"/>
    <w:rsid w:val="003C4A12"/>
    <w:rsid w:val="003C4BF2"/>
    <w:rsid w:val="003C4E42"/>
    <w:rsid w:val="003C4EC2"/>
    <w:rsid w:val="003C5069"/>
    <w:rsid w:val="003C5123"/>
    <w:rsid w:val="003C521C"/>
    <w:rsid w:val="003C53E7"/>
    <w:rsid w:val="003C55D5"/>
    <w:rsid w:val="003C55DD"/>
    <w:rsid w:val="003C584A"/>
    <w:rsid w:val="003C58B8"/>
    <w:rsid w:val="003C5966"/>
    <w:rsid w:val="003C5980"/>
    <w:rsid w:val="003C59FE"/>
    <w:rsid w:val="003C5BDB"/>
    <w:rsid w:val="003C6383"/>
    <w:rsid w:val="003C650F"/>
    <w:rsid w:val="003C6676"/>
    <w:rsid w:val="003C670F"/>
    <w:rsid w:val="003C6768"/>
    <w:rsid w:val="003C67A1"/>
    <w:rsid w:val="003C6A89"/>
    <w:rsid w:val="003C6B19"/>
    <w:rsid w:val="003C6BAE"/>
    <w:rsid w:val="003C6C94"/>
    <w:rsid w:val="003C6EA2"/>
    <w:rsid w:val="003C6ED4"/>
    <w:rsid w:val="003C7275"/>
    <w:rsid w:val="003C7613"/>
    <w:rsid w:val="003C77CB"/>
    <w:rsid w:val="003C78D7"/>
    <w:rsid w:val="003C7CF4"/>
    <w:rsid w:val="003D013C"/>
    <w:rsid w:val="003D01E0"/>
    <w:rsid w:val="003D031B"/>
    <w:rsid w:val="003D0406"/>
    <w:rsid w:val="003D077B"/>
    <w:rsid w:val="003D08F4"/>
    <w:rsid w:val="003D0996"/>
    <w:rsid w:val="003D0C02"/>
    <w:rsid w:val="003D0CE3"/>
    <w:rsid w:val="003D0E85"/>
    <w:rsid w:val="003D118D"/>
    <w:rsid w:val="003D11D9"/>
    <w:rsid w:val="003D12EB"/>
    <w:rsid w:val="003D1319"/>
    <w:rsid w:val="003D13D8"/>
    <w:rsid w:val="003D13E4"/>
    <w:rsid w:val="003D1528"/>
    <w:rsid w:val="003D152B"/>
    <w:rsid w:val="003D153B"/>
    <w:rsid w:val="003D1707"/>
    <w:rsid w:val="003D183A"/>
    <w:rsid w:val="003D1989"/>
    <w:rsid w:val="003D1B5D"/>
    <w:rsid w:val="003D20B2"/>
    <w:rsid w:val="003D2626"/>
    <w:rsid w:val="003D2772"/>
    <w:rsid w:val="003D2778"/>
    <w:rsid w:val="003D29FC"/>
    <w:rsid w:val="003D2CF8"/>
    <w:rsid w:val="003D3001"/>
    <w:rsid w:val="003D30AA"/>
    <w:rsid w:val="003D30C9"/>
    <w:rsid w:val="003D31E5"/>
    <w:rsid w:val="003D3856"/>
    <w:rsid w:val="003D3AFA"/>
    <w:rsid w:val="003D3E6D"/>
    <w:rsid w:val="003D4121"/>
    <w:rsid w:val="003D4183"/>
    <w:rsid w:val="003D418B"/>
    <w:rsid w:val="003D41FD"/>
    <w:rsid w:val="003D4290"/>
    <w:rsid w:val="003D42C3"/>
    <w:rsid w:val="003D4425"/>
    <w:rsid w:val="003D4C7D"/>
    <w:rsid w:val="003D4D93"/>
    <w:rsid w:val="003D4DAC"/>
    <w:rsid w:val="003D4F59"/>
    <w:rsid w:val="003D55B5"/>
    <w:rsid w:val="003D560E"/>
    <w:rsid w:val="003D56E9"/>
    <w:rsid w:val="003D56F1"/>
    <w:rsid w:val="003D58B4"/>
    <w:rsid w:val="003D5A04"/>
    <w:rsid w:val="003D5B49"/>
    <w:rsid w:val="003D5BCE"/>
    <w:rsid w:val="003D5C25"/>
    <w:rsid w:val="003D5F22"/>
    <w:rsid w:val="003D6077"/>
    <w:rsid w:val="003D60CC"/>
    <w:rsid w:val="003D624B"/>
    <w:rsid w:val="003D6303"/>
    <w:rsid w:val="003D6657"/>
    <w:rsid w:val="003D6BE3"/>
    <w:rsid w:val="003D6CA1"/>
    <w:rsid w:val="003D6D5E"/>
    <w:rsid w:val="003D6F09"/>
    <w:rsid w:val="003D6FFC"/>
    <w:rsid w:val="003D70CB"/>
    <w:rsid w:val="003D7115"/>
    <w:rsid w:val="003D7242"/>
    <w:rsid w:val="003D75B7"/>
    <w:rsid w:val="003D77B4"/>
    <w:rsid w:val="003D7812"/>
    <w:rsid w:val="003D7B98"/>
    <w:rsid w:val="003D7CDC"/>
    <w:rsid w:val="003D7D21"/>
    <w:rsid w:val="003D7D5F"/>
    <w:rsid w:val="003E0469"/>
    <w:rsid w:val="003E0674"/>
    <w:rsid w:val="003E07BF"/>
    <w:rsid w:val="003E096B"/>
    <w:rsid w:val="003E0C16"/>
    <w:rsid w:val="003E101F"/>
    <w:rsid w:val="003E111E"/>
    <w:rsid w:val="003E1281"/>
    <w:rsid w:val="003E15BF"/>
    <w:rsid w:val="003E16D0"/>
    <w:rsid w:val="003E1AEF"/>
    <w:rsid w:val="003E1D19"/>
    <w:rsid w:val="003E1F30"/>
    <w:rsid w:val="003E2000"/>
    <w:rsid w:val="003E22EA"/>
    <w:rsid w:val="003E2321"/>
    <w:rsid w:val="003E24C8"/>
    <w:rsid w:val="003E267F"/>
    <w:rsid w:val="003E28C3"/>
    <w:rsid w:val="003E2E99"/>
    <w:rsid w:val="003E3014"/>
    <w:rsid w:val="003E321C"/>
    <w:rsid w:val="003E34C7"/>
    <w:rsid w:val="003E3582"/>
    <w:rsid w:val="003E376C"/>
    <w:rsid w:val="003E3A5E"/>
    <w:rsid w:val="003E3D4E"/>
    <w:rsid w:val="003E3D9A"/>
    <w:rsid w:val="003E3F7C"/>
    <w:rsid w:val="003E4062"/>
    <w:rsid w:val="003E40E5"/>
    <w:rsid w:val="003E419A"/>
    <w:rsid w:val="003E4385"/>
    <w:rsid w:val="003E456F"/>
    <w:rsid w:val="003E45E3"/>
    <w:rsid w:val="003E463F"/>
    <w:rsid w:val="003E46FC"/>
    <w:rsid w:val="003E492E"/>
    <w:rsid w:val="003E4BD9"/>
    <w:rsid w:val="003E4DF6"/>
    <w:rsid w:val="003E4F3B"/>
    <w:rsid w:val="003E5445"/>
    <w:rsid w:val="003E549D"/>
    <w:rsid w:val="003E575D"/>
    <w:rsid w:val="003E58A3"/>
    <w:rsid w:val="003E594F"/>
    <w:rsid w:val="003E59DB"/>
    <w:rsid w:val="003E5B3B"/>
    <w:rsid w:val="003E5DAF"/>
    <w:rsid w:val="003E5E7A"/>
    <w:rsid w:val="003E61AE"/>
    <w:rsid w:val="003E62C6"/>
    <w:rsid w:val="003E6321"/>
    <w:rsid w:val="003E6376"/>
    <w:rsid w:val="003E63BE"/>
    <w:rsid w:val="003E63F6"/>
    <w:rsid w:val="003E643F"/>
    <w:rsid w:val="003E64D8"/>
    <w:rsid w:val="003E694A"/>
    <w:rsid w:val="003E6A15"/>
    <w:rsid w:val="003E6DC1"/>
    <w:rsid w:val="003E6E07"/>
    <w:rsid w:val="003E6E10"/>
    <w:rsid w:val="003E72A0"/>
    <w:rsid w:val="003E72BC"/>
    <w:rsid w:val="003E733A"/>
    <w:rsid w:val="003E751C"/>
    <w:rsid w:val="003E77B1"/>
    <w:rsid w:val="003E77CF"/>
    <w:rsid w:val="003E7B29"/>
    <w:rsid w:val="003E7C9B"/>
    <w:rsid w:val="003E7F4F"/>
    <w:rsid w:val="003F026E"/>
    <w:rsid w:val="003F02E5"/>
    <w:rsid w:val="003F0390"/>
    <w:rsid w:val="003F0773"/>
    <w:rsid w:val="003F094E"/>
    <w:rsid w:val="003F0B3D"/>
    <w:rsid w:val="003F0BCD"/>
    <w:rsid w:val="003F1261"/>
    <w:rsid w:val="003F154E"/>
    <w:rsid w:val="003F162F"/>
    <w:rsid w:val="003F174F"/>
    <w:rsid w:val="003F1B53"/>
    <w:rsid w:val="003F1C9D"/>
    <w:rsid w:val="003F2096"/>
    <w:rsid w:val="003F2237"/>
    <w:rsid w:val="003F2441"/>
    <w:rsid w:val="003F2BA1"/>
    <w:rsid w:val="003F2F2C"/>
    <w:rsid w:val="003F35FD"/>
    <w:rsid w:val="003F38AE"/>
    <w:rsid w:val="003F39A4"/>
    <w:rsid w:val="003F3AEC"/>
    <w:rsid w:val="003F3C69"/>
    <w:rsid w:val="003F4AAA"/>
    <w:rsid w:val="003F4E78"/>
    <w:rsid w:val="003F5225"/>
    <w:rsid w:val="003F565F"/>
    <w:rsid w:val="003F5988"/>
    <w:rsid w:val="003F599F"/>
    <w:rsid w:val="003F5B6F"/>
    <w:rsid w:val="003F5E46"/>
    <w:rsid w:val="003F6054"/>
    <w:rsid w:val="003F6355"/>
    <w:rsid w:val="003F6368"/>
    <w:rsid w:val="003F64FE"/>
    <w:rsid w:val="003F6562"/>
    <w:rsid w:val="003F6686"/>
    <w:rsid w:val="003F6AD1"/>
    <w:rsid w:val="003F739E"/>
    <w:rsid w:val="003F73F5"/>
    <w:rsid w:val="003F7460"/>
    <w:rsid w:val="003F7575"/>
    <w:rsid w:val="003F7786"/>
    <w:rsid w:val="003F7C1C"/>
    <w:rsid w:val="003F7C61"/>
    <w:rsid w:val="003F7DD8"/>
    <w:rsid w:val="003F7F3A"/>
    <w:rsid w:val="003F7FFD"/>
    <w:rsid w:val="00400005"/>
    <w:rsid w:val="00400099"/>
    <w:rsid w:val="004000BB"/>
    <w:rsid w:val="00400272"/>
    <w:rsid w:val="00400280"/>
    <w:rsid w:val="0040044C"/>
    <w:rsid w:val="00400624"/>
    <w:rsid w:val="00400827"/>
    <w:rsid w:val="00400A6C"/>
    <w:rsid w:val="00400B7A"/>
    <w:rsid w:val="0040148E"/>
    <w:rsid w:val="004014DD"/>
    <w:rsid w:val="004014F9"/>
    <w:rsid w:val="004014FE"/>
    <w:rsid w:val="004017A0"/>
    <w:rsid w:val="004017D5"/>
    <w:rsid w:val="004019FC"/>
    <w:rsid w:val="00401AC2"/>
    <w:rsid w:val="00401C7F"/>
    <w:rsid w:val="00401CB1"/>
    <w:rsid w:val="00402012"/>
    <w:rsid w:val="0040226E"/>
    <w:rsid w:val="00402472"/>
    <w:rsid w:val="004025B1"/>
    <w:rsid w:val="00402AC0"/>
    <w:rsid w:val="00402AE5"/>
    <w:rsid w:val="00402BF8"/>
    <w:rsid w:val="00402C83"/>
    <w:rsid w:val="00402DF8"/>
    <w:rsid w:val="00402F4F"/>
    <w:rsid w:val="00403151"/>
    <w:rsid w:val="00403467"/>
    <w:rsid w:val="00403651"/>
    <w:rsid w:val="0040371B"/>
    <w:rsid w:val="004038CD"/>
    <w:rsid w:val="00403C1A"/>
    <w:rsid w:val="00403DFE"/>
    <w:rsid w:val="0040403A"/>
    <w:rsid w:val="0040409E"/>
    <w:rsid w:val="004047BE"/>
    <w:rsid w:val="0040493F"/>
    <w:rsid w:val="00404946"/>
    <w:rsid w:val="00404CD7"/>
    <w:rsid w:val="00404ED3"/>
    <w:rsid w:val="00404F13"/>
    <w:rsid w:val="00404F8F"/>
    <w:rsid w:val="00405258"/>
    <w:rsid w:val="0040538B"/>
    <w:rsid w:val="0040540E"/>
    <w:rsid w:val="00405446"/>
    <w:rsid w:val="00405540"/>
    <w:rsid w:val="00405860"/>
    <w:rsid w:val="004059CD"/>
    <w:rsid w:val="004059FB"/>
    <w:rsid w:val="00405B7B"/>
    <w:rsid w:val="00405DDD"/>
    <w:rsid w:val="0040624C"/>
    <w:rsid w:val="00406345"/>
    <w:rsid w:val="00406585"/>
    <w:rsid w:val="00406678"/>
    <w:rsid w:val="00406689"/>
    <w:rsid w:val="00406926"/>
    <w:rsid w:val="00406A54"/>
    <w:rsid w:val="00406ADB"/>
    <w:rsid w:val="00406DEC"/>
    <w:rsid w:val="00406EA6"/>
    <w:rsid w:val="00406F38"/>
    <w:rsid w:val="0040711E"/>
    <w:rsid w:val="0040752D"/>
    <w:rsid w:val="00407694"/>
    <w:rsid w:val="004076EE"/>
    <w:rsid w:val="00407803"/>
    <w:rsid w:val="004078C5"/>
    <w:rsid w:val="00407BA4"/>
    <w:rsid w:val="00410127"/>
    <w:rsid w:val="00410232"/>
    <w:rsid w:val="00410312"/>
    <w:rsid w:val="00410602"/>
    <w:rsid w:val="0041060E"/>
    <w:rsid w:val="0041067B"/>
    <w:rsid w:val="004106D3"/>
    <w:rsid w:val="00410E60"/>
    <w:rsid w:val="004110B0"/>
    <w:rsid w:val="004110C4"/>
    <w:rsid w:val="00411123"/>
    <w:rsid w:val="0041116A"/>
    <w:rsid w:val="0041123C"/>
    <w:rsid w:val="004113C6"/>
    <w:rsid w:val="00411495"/>
    <w:rsid w:val="004114C1"/>
    <w:rsid w:val="00411557"/>
    <w:rsid w:val="004115C8"/>
    <w:rsid w:val="004115FC"/>
    <w:rsid w:val="00411D3D"/>
    <w:rsid w:val="00411E70"/>
    <w:rsid w:val="00411EB4"/>
    <w:rsid w:val="00411EE4"/>
    <w:rsid w:val="004120C2"/>
    <w:rsid w:val="004120D5"/>
    <w:rsid w:val="00412182"/>
    <w:rsid w:val="004121B8"/>
    <w:rsid w:val="00412376"/>
    <w:rsid w:val="0041257B"/>
    <w:rsid w:val="00412B37"/>
    <w:rsid w:val="00412B8E"/>
    <w:rsid w:val="00412C36"/>
    <w:rsid w:val="00413284"/>
    <w:rsid w:val="00413291"/>
    <w:rsid w:val="004135DC"/>
    <w:rsid w:val="004136BA"/>
    <w:rsid w:val="004138D6"/>
    <w:rsid w:val="00413979"/>
    <w:rsid w:val="00413D3D"/>
    <w:rsid w:val="00413F48"/>
    <w:rsid w:val="0041405C"/>
    <w:rsid w:val="004143D2"/>
    <w:rsid w:val="00414A2F"/>
    <w:rsid w:val="00414AFE"/>
    <w:rsid w:val="00414FC2"/>
    <w:rsid w:val="00415237"/>
    <w:rsid w:val="0041530A"/>
    <w:rsid w:val="00415424"/>
    <w:rsid w:val="004157A5"/>
    <w:rsid w:val="004157D1"/>
    <w:rsid w:val="004158B5"/>
    <w:rsid w:val="00415976"/>
    <w:rsid w:val="00415B52"/>
    <w:rsid w:val="00415C81"/>
    <w:rsid w:val="00415CCF"/>
    <w:rsid w:val="00415DC7"/>
    <w:rsid w:val="00415EC4"/>
    <w:rsid w:val="00416099"/>
    <w:rsid w:val="0041626B"/>
    <w:rsid w:val="0041651C"/>
    <w:rsid w:val="00416552"/>
    <w:rsid w:val="00416CA0"/>
    <w:rsid w:val="0041721F"/>
    <w:rsid w:val="00417620"/>
    <w:rsid w:val="0041786B"/>
    <w:rsid w:val="00417D1C"/>
    <w:rsid w:val="0042037B"/>
    <w:rsid w:val="004204DF"/>
    <w:rsid w:val="004205EF"/>
    <w:rsid w:val="00420630"/>
    <w:rsid w:val="00420898"/>
    <w:rsid w:val="004208D8"/>
    <w:rsid w:val="00420E35"/>
    <w:rsid w:val="004211F7"/>
    <w:rsid w:val="00421343"/>
    <w:rsid w:val="004219EC"/>
    <w:rsid w:val="00421A1F"/>
    <w:rsid w:val="00421B23"/>
    <w:rsid w:val="004221BB"/>
    <w:rsid w:val="00422229"/>
    <w:rsid w:val="00422549"/>
    <w:rsid w:val="00422597"/>
    <w:rsid w:val="0042275F"/>
    <w:rsid w:val="00422D4F"/>
    <w:rsid w:val="00422F9B"/>
    <w:rsid w:val="004230DA"/>
    <w:rsid w:val="004231B2"/>
    <w:rsid w:val="004237B7"/>
    <w:rsid w:val="004238BE"/>
    <w:rsid w:val="004238FF"/>
    <w:rsid w:val="00424149"/>
    <w:rsid w:val="00424204"/>
    <w:rsid w:val="0042464A"/>
    <w:rsid w:val="0042497C"/>
    <w:rsid w:val="00424C8F"/>
    <w:rsid w:val="00424E1D"/>
    <w:rsid w:val="00425070"/>
    <w:rsid w:val="004251D4"/>
    <w:rsid w:val="004252F4"/>
    <w:rsid w:val="004255CE"/>
    <w:rsid w:val="00425641"/>
    <w:rsid w:val="00425714"/>
    <w:rsid w:val="004257B0"/>
    <w:rsid w:val="00425C32"/>
    <w:rsid w:val="00426172"/>
    <w:rsid w:val="00426190"/>
    <w:rsid w:val="004262F1"/>
    <w:rsid w:val="00426383"/>
    <w:rsid w:val="004264EE"/>
    <w:rsid w:val="0042650C"/>
    <w:rsid w:val="004266ED"/>
    <w:rsid w:val="00426700"/>
    <w:rsid w:val="00426C67"/>
    <w:rsid w:val="00426CB3"/>
    <w:rsid w:val="00426E32"/>
    <w:rsid w:val="004276CB"/>
    <w:rsid w:val="004279C5"/>
    <w:rsid w:val="00430442"/>
    <w:rsid w:val="0043086D"/>
    <w:rsid w:val="00431071"/>
    <w:rsid w:val="004310A8"/>
    <w:rsid w:val="0043119A"/>
    <w:rsid w:val="004312FF"/>
    <w:rsid w:val="00431602"/>
    <w:rsid w:val="0043192D"/>
    <w:rsid w:val="00431C63"/>
    <w:rsid w:val="00431CEA"/>
    <w:rsid w:val="00431D1B"/>
    <w:rsid w:val="00431FFB"/>
    <w:rsid w:val="00432556"/>
    <w:rsid w:val="0043268C"/>
    <w:rsid w:val="00432AB7"/>
    <w:rsid w:val="00432EDE"/>
    <w:rsid w:val="0043320E"/>
    <w:rsid w:val="0043323F"/>
    <w:rsid w:val="0043334F"/>
    <w:rsid w:val="00433474"/>
    <w:rsid w:val="004334CB"/>
    <w:rsid w:val="004338A9"/>
    <w:rsid w:val="00433B5A"/>
    <w:rsid w:val="00433D0F"/>
    <w:rsid w:val="00433D1A"/>
    <w:rsid w:val="00433DF2"/>
    <w:rsid w:val="00433E19"/>
    <w:rsid w:val="00433EC1"/>
    <w:rsid w:val="0043409E"/>
    <w:rsid w:val="004341F5"/>
    <w:rsid w:val="004343E6"/>
    <w:rsid w:val="00434AB3"/>
    <w:rsid w:val="00434BA3"/>
    <w:rsid w:val="00434FC5"/>
    <w:rsid w:val="00435A24"/>
    <w:rsid w:val="00435B7B"/>
    <w:rsid w:val="00435C12"/>
    <w:rsid w:val="00435CA3"/>
    <w:rsid w:val="00435DAF"/>
    <w:rsid w:val="00435F87"/>
    <w:rsid w:val="00436471"/>
    <w:rsid w:val="004364A5"/>
    <w:rsid w:val="0043665C"/>
    <w:rsid w:val="00436729"/>
    <w:rsid w:val="00436740"/>
    <w:rsid w:val="004367FC"/>
    <w:rsid w:val="00436933"/>
    <w:rsid w:val="004369C2"/>
    <w:rsid w:val="00436E30"/>
    <w:rsid w:val="00436F52"/>
    <w:rsid w:val="004374E8"/>
    <w:rsid w:val="0043757B"/>
    <w:rsid w:val="00437938"/>
    <w:rsid w:val="00437B81"/>
    <w:rsid w:val="004400D0"/>
    <w:rsid w:val="004402F3"/>
    <w:rsid w:val="0044095F"/>
    <w:rsid w:val="004415A3"/>
    <w:rsid w:val="0044186F"/>
    <w:rsid w:val="00441A8B"/>
    <w:rsid w:val="00441CD9"/>
    <w:rsid w:val="00441FC3"/>
    <w:rsid w:val="00442089"/>
    <w:rsid w:val="00442581"/>
    <w:rsid w:val="00442709"/>
    <w:rsid w:val="00442932"/>
    <w:rsid w:val="00442C94"/>
    <w:rsid w:val="00442DF1"/>
    <w:rsid w:val="00443052"/>
    <w:rsid w:val="0044309A"/>
    <w:rsid w:val="004431D1"/>
    <w:rsid w:val="004433A8"/>
    <w:rsid w:val="00443600"/>
    <w:rsid w:val="00443A87"/>
    <w:rsid w:val="00443B96"/>
    <w:rsid w:val="00443CF0"/>
    <w:rsid w:val="00443CFF"/>
    <w:rsid w:val="00443D52"/>
    <w:rsid w:val="00443EFE"/>
    <w:rsid w:val="0044408D"/>
    <w:rsid w:val="00444100"/>
    <w:rsid w:val="004443C1"/>
    <w:rsid w:val="00444578"/>
    <w:rsid w:val="004448CA"/>
    <w:rsid w:val="004449F8"/>
    <w:rsid w:val="00444F3F"/>
    <w:rsid w:val="004450C1"/>
    <w:rsid w:val="004451AC"/>
    <w:rsid w:val="00445303"/>
    <w:rsid w:val="0044537E"/>
    <w:rsid w:val="00445407"/>
    <w:rsid w:val="0044550F"/>
    <w:rsid w:val="0044552C"/>
    <w:rsid w:val="00445550"/>
    <w:rsid w:val="004455F2"/>
    <w:rsid w:val="004456E7"/>
    <w:rsid w:val="00445714"/>
    <w:rsid w:val="00445AC1"/>
    <w:rsid w:val="00445AE7"/>
    <w:rsid w:val="00445B02"/>
    <w:rsid w:val="00445BC4"/>
    <w:rsid w:val="00445CAE"/>
    <w:rsid w:val="00445CB9"/>
    <w:rsid w:val="00445F14"/>
    <w:rsid w:val="00446312"/>
    <w:rsid w:val="004464D9"/>
    <w:rsid w:val="00446929"/>
    <w:rsid w:val="00446960"/>
    <w:rsid w:val="004469BB"/>
    <w:rsid w:val="00446A32"/>
    <w:rsid w:val="00447091"/>
    <w:rsid w:val="0044715A"/>
    <w:rsid w:val="004472CB"/>
    <w:rsid w:val="00447349"/>
    <w:rsid w:val="00447590"/>
    <w:rsid w:val="004476AC"/>
    <w:rsid w:val="00447796"/>
    <w:rsid w:val="004478DE"/>
    <w:rsid w:val="00447933"/>
    <w:rsid w:val="004479A8"/>
    <w:rsid w:val="00447B5C"/>
    <w:rsid w:val="00447C5C"/>
    <w:rsid w:val="00447FB3"/>
    <w:rsid w:val="00450049"/>
    <w:rsid w:val="004502B5"/>
    <w:rsid w:val="0045038F"/>
    <w:rsid w:val="004506BE"/>
    <w:rsid w:val="0045077D"/>
    <w:rsid w:val="004507EF"/>
    <w:rsid w:val="004509F1"/>
    <w:rsid w:val="00450D3E"/>
    <w:rsid w:val="00450DA4"/>
    <w:rsid w:val="004510D8"/>
    <w:rsid w:val="0045141C"/>
    <w:rsid w:val="0045169F"/>
    <w:rsid w:val="00451822"/>
    <w:rsid w:val="00451A49"/>
    <w:rsid w:val="00451AF6"/>
    <w:rsid w:val="00451B2A"/>
    <w:rsid w:val="00451C2B"/>
    <w:rsid w:val="00451E8D"/>
    <w:rsid w:val="004524A6"/>
    <w:rsid w:val="004525C3"/>
    <w:rsid w:val="004527A1"/>
    <w:rsid w:val="004527E0"/>
    <w:rsid w:val="00452CE5"/>
    <w:rsid w:val="00452FA0"/>
    <w:rsid w:val="00453440"/>
    <w:rsid w:val="00453486"/>
    <w:rsid w:val="0045371F"/>
    <w:rsid w:val="004539C9"/>
    <w:rsid w:val="00453A26"/>
    <w:rsid w:val="00453DF2"/>
    <w:rsid w:val="00454070"/>
    <w:rsid w:val="004540CA"/>
    <w:rsid w:val="00454407"/>
    <w:rsid w:val="004545E5"/>
    <w:rsid w:val="004546F5"/>
    <w:rsid w:val="00454758"/>
    <w:rsid w:val="0045481C"/>
    <w:rsid w:val="00454B20"/>
    <w:rsid w:val="00454D28"/>
    <w:rsid w:val="00455194"/>
    <w:rsid w:val="00455592"/>
    <w:rsid w:val="0045562A"/>
    <w:rsid w:val="0045568C"/>
    <w:rsid w:val="00455985"/>
    <w:rsid w:val="0045598C"/>
    <w:rsid w:val="00455A49"/>
    <w:rsid w:val="00455BED"/>
    <w:rsid w:val="004561AC"/>
    <w:rsid w:val="004561ED"/>
    <w:rsid w:val="004561F0"/>
    <w:rsid w:val="0045628C"/>
    <w:rsid w:val="00456370"/>
    <w:rsid w:val="004563C3"/>
    <w:rsid w:val="00456457"/>
    <w:rsid w:val="004565A9"/>
    <w:rsid w:val="00456676"/>
    <w:rsid w:val="0045673F"/>
    <w:rsid w:val="00456BFB"/>
    <w:rsid w:val="00456CBF"/>
    <w:rsid w:val="00456D0D"/>
    <w:rsid w:val="00456FDF"/>
    <w:rsid w:val="004572ED"/>
    <w:rsid w:val="00457535"/>
    <w:rsid w:val="00457688"/>
    <w:rsid w:val="004577B3"/>
    <w:rsid w:val="00457AD1"/>
    <w:rsid w:val="00457AE5"/>
    <w:rsid w:val="00457C00"/>
    <w:rsid w:val="00457CC2"/>
    <w:rsid w:val="00457CEA"/>
    <w:rsid w:val="00457D91"/>
    <w:rsid w:val="00457E14"/>
    <w:rsid w:val="004601BF"/>
    <w:rsid w:val="00460500"/>
    <w:rsid w:val="0046077D"/>
    <w:rsid w:val="00460A1E"/>
    <w:rsid w:val="00460A2B"/>
    <w:rsid w:val="00460CA5"/>
    <w:rsid w:val="00460E5E"/>
    <w:rsid w:val="004612D3"/>
    <w:rsid w:val="0046187D"/>
    <w:rsid w:val="004618A7"/>
    <w:rsid w:val="004618FF"/>
    <w:rsid w:val="00461B99"/>
    <w:rsid w:val="00461EEC"/>
    <w:rsid w:val="00462018"/>
    <w:rsid w:val="004621D7"/>
    <w:rsid w:val="004623EE"/>
    <w:rsid w:val="0046244F"/>
    <w:rsid w:val="00462637"/>
    <w:rsid w:val="0046272A"/>
    <w:rsid w:val="00462A7E"/>
    <w:rsid w:val="00462B53"/>
    <w:rsid w:val="00462FB6"/>
    <w:rsid w:val="00463280"/>
    <w:rsid w:val="00463300"/>
    <w:rsid w:val="00463BEB"/>
    <w:rsid w:val="00463F20"/>
    <w:rsid w:val="00464024"/>
    <w:rsid w:val="004642F9"/>
    <w:rsid w:val="004646E5"/>
    <w:rsid w:val="00464988"/>
    <w:rsid w:val="00464CC8"/>
    <w:rsid w:val="00464D29"/>
    <w:rsid w:val="00464E2D"/>
    <w:rsid w:val="00464F69"/>
    <w:rsid w:val="00465418"/>
    <w:rsid w:val="004658F9"/>
    <w:rsid w:val="0046618A"/>
    <w:rsid w:val="004662B2"/>
    <w:rsid w:val="0046647E"/>
    <w:rsid w:val="0046666F"/>
    <w:rsid w:val="00466791"/>
    <w:rsid w:val="00466A60"/>
    <w:rsid w:val="00466C6B"/>
    <w:rsid w:val="00467132"/>
    <w:rsid w:val="00467538"/>
    <w:rsid w:val="004675FA"/>
    <w:rsid w:val="00467667"/>
    <w:rsid w:val="00467732"/>
    <w:rsid w:val="004678A0"/>
    <w:rsid w:val="0046796C"/>
    <w:rsid w:val="00467B4A"/>
    <w:rsid w:val="00467C96"/>
    <w:rsid w:val="00467E30"/>
    <w:rsid w:val="00470130"/>
    <w:rsid w:val="00470682"/>
    <w:rsid w:val="004707F1"/>
    <w:rsid w:val="004709B0"/>
    <w:rsid w:val="00470B58"/>
    <w:rsid w:val="0047111E"/>
    <w:rsid w:val="004714C0"/>
    <w:rsid w:val="004714E2"/>
    <w:rsid w:val="004715F1"/>
    <w:rsid w:val="0047171E"/>
    <w:rsid w:val="00471843"/>
    <w:rsid w:val="0047190B"/>
    <w:rsid w:val="00471D5E"/>
    <w:rsid w:val="00471E6C"/>
    <w:rsid w:val="00471F45"/>
    <w:rsid w:val="004723D6"/>
    <w:rsid w:val="004724C8"/>
    <w:rsid w:val="00472996"/>
    <w:rsid w:val="00472B3A"/>
    <w:rsid w:val="00472E7C"/>
    <w:rsid w:val="00472FFC"/>
    <w:rsid w:val="004730F8"/>
    <w:rsid w:val="0047344F"/>
    <w:rsid w:val="0047346B"/>
    <w:rsid w:val="0047355C"/>
    <w:rsid w:val="00473577"/>
    <w:rsid w:val="00473625"/>
    <w:rsid w:val="00473785"/>
    <w:rsid w:val="004737AA"/>
    <w:rsid w:val="004737C2"/>
    <w:rsid w:val="00473B51"/>
    <w:rsid w:val="00473BFB"/>
    <w:rsid w:val="00473F1E"/>
    <w:rsid w:val="00473F9F"/>
    <w:rsid w:val="00473FC6"/>
    <w:rsid w:val="00474088"/>
    <w:rsid w:val="0047408A"/>
    <w:rsid w:val="0047420A"/>
    <w:rsid w:val="004743C9"/>
    <w:rsid w:val="0047440F"/>
    <w:rsid w:val="004745A6"/>
    <w:rsid w:val="004745CF"/>
    <w:rsid w:val="0047474E"/>
    <w:rsid w:val="00474A71"/>
    <w:rsid w:val="00474B00"/>
    <w:rsid w:val="00474B20"/>
    <w:rsid w:val="0047569C"/>
    <w:rsid w:val="00475742"/>
    <w:rsid w:val="0047592E"/>
    <w:rsid w:val="00475A4D"/>
    <w:rsid w:val="00475F39"/>
    <w:rsid w:val="00475F51"/>
    <w:rsid w:val="00476075"/>
    <w:rsid w:val="00476146"/>
    <w:rsid w:val="004766B4"/>
    <w:rsid w:val="00476712"/>
    <w:rsid w:val="0047673E"/>
    <w:rsid w:val="00476974"/>
    <w:rsid w:val="00476AB6"/>
    <w:rsid w:val="00476C7C"/>
    <w:rsid w:val="00476D6A"/>
    <w:rsid w:val="00476D86"/>
    <w:rsid w:val="00476F37"/>
    <w:rsid w:val="00476F46"/>
    <w:rsid w:val="00477079"/>
    <w:rsid w:val="004772B7"/>
    <w:rsid w:val="004772C6"/>
    <w:rsid w:val="0047737F"/>
    <w:rsid w:val="004773AA"/>
    <w:rsid w:val="004773E9"/>
    <w:rsid w:val="00477586"/>
    <w:rsid w:val="00477AFE"/>
    <w:rsid w:val="00477CC5"/>
    <w:rsid w:val="004807C4"/>
    <w:rsid w:val="00480B14"/>
    <w:rsid w:val="00480B99"/>
    <w:rsid w:val="00480CCC"/>
    <w:rsid w:val="00480F4E"/>
    <w:rsid w:val="00481032"/>
    <w:rsid w:val="004810F3"/>
    <w:rsid w:val="004811F0"/>
    <w:rsid w:val="004813DF"/>
    <w:rsid w:val="00481439"/>
    <w:rsid w:val="004814C9"/>
    <w:rsid w:val="00481621"/>
    <w:rsid w:val="0048164F"/>
    <w:rsid w:val="0048176C"/>
    <w:rsid w:val="00481799"/>
    <w:rsid w:val="00481906"/>
    <w:rsid w:val="00481A45"/>
    <w:rsid w:val="00481E90"/>
    <w:rsid w:val="00482065"/>
    <w:rsid w:val="004822FD"/>
    <w:rsid w:val="0048235A"/>
    <w:rsid w:val="00482436"/>
    <w:rsid w:val="00482477"/>
    <w:rsid w:val="004824A0"/>
    <w:rsid w:val="0048274F"/>
    <w:rsid w:val="0048287A"/>
    <w:rsid w:val="00482A82"/>
    <w:rsid w:val="00482AB0"/>
    <w:rsid w:val="00482AB7"/>
    <w:rsid w:val="00482C48"/>
    <w:rsid w:val="00482CB8"/>
    <w:rsid w:val="00482CD3"/>
    <w:rsid w:val="00482FF6"/>
    <w:rsid w:val="00483480"/>
    <w:rsid w:val="0048363B"/>
    <w:rsid w:val="0048396C"/>
    <w:rsid w:val="00483B7E"/>
    <w:rsid w:val="00483B8D"/>
    <w:rsid w:val="00483BDB"/>
    <w:rsid w:val="00483C3C"/>
    <w:rsid w:val="00483DD6"/>
    <w:rsid w:val="00483E41"/>
    <w:rsid w:val="00483F38"/>
    <w:rsid w:val="00483F4F"/>
    <w:rsid w:val="00484100"/>
    <w:rsid w:val="00484146"/>
    <w:rsid w:val="004843D1"/>
    <w:rsid w:val="004843DB"/>
    <w:rsid w:val="0048442E"/>
    <w:rsid w:val="00484750"/>
    <w:rsid w:val="004848C0"/>
    <w:rsid w:val="0048499D"/>
    <w:rsid w:val="00485116"/>
    <w:rsid w:val="004855C6"/>
    <w:rsid w:val="00485669"/>
    <w:rsid w:val="0048568E"/>
    <w:rsid w:val="004857D0"/>
    <w:rsid w:val="0048586D"/>
    <w:rsid w:val="00485A02"/>
    <w:rsid w:val="00485CE8"/>
    <w:rsid w:val="00485E20"/>
    <w:rsid w:val="00485E80"/>
    <w:rsid w:val="0048610B"/>
    <w:rsid w:val="004861CF"/>
    <w:rsid w:val="00486325"/>
    <w:rsid w:val="00486612"/>
    <w:rsid w:val="004866EC"/>
    <w:rsid w:val="0048673B"/>
    <w:rsid w:val="004868DD"/>
    <w:rsid w:val="004868E5"/>
    <w:rsid w:val="00486A4B"/>
    <w:rsid w:val="00486FDC"/>
    <w:rsid w:val="0048703C"/>
    <w:rsid w:val="00487259"/>
    <w:rsid w:val="004874EE"/>
    <w:rsid w:val="00487590"/>
    <w:rsid w:val="004875E3"/>
    <w:rsid w:val="00487668"/>
    <w:rsid w:val="004876A9"/>
    <w:rsid w:val="0048770D"/>
    <w:rsid w:val="00487941"/>
    <w:rsid w:val="00487C3C"/>
    <w:rsid w:val="00487C4B"/>
    <w:rsid w:val="00487CD3"/>
    <w:rsid w:val="0049007A"/>
    <w:rsid w:val="00490124"/>
    <w:rsid w:val="0049066E"/>
    <w:rsid w:val="0049078B"/>
    <w:rsid w:val="00490946"/>
    <w:rsid w:val="00490AC5"/>
    <w:rsid w:val="00490B58"/>
    <w:rsid w:val="00490FC5"/>
    <w:rsid w:val="0049112A"/>
    <w:rsid w:val="00491297"/>
    <w:rsid w:val="004918DE"/>
    <w:rsid w:val="00491B85"/>
    <w:rsid w:val="00491BAB"/>
    <w:rsid w:val="00491BF3"/>
    <w:rsid w:val="00491C03"/>
    <w:rsid w:val="00491DF9"/>
    <w:rsid w:val="00491F7E"/>
    <w:rsid w:val="00492C33"/>
    <w:rsid w:val="00492DBE"/>
    <w:rsid w:val="00492E07"/>
    <w:rsid w:val="00492E58"/>
    <w:rsid w:val="00492E7F"/>
    <w:rsid w:val="00492ED0"/>
    <w:rsid w:val="00492F78"/>
    <w:rsid w:val="004931B6"/>
    <w:rsid w:val="0049344E"/>
    <w:rsid w:val="004936D2"/>
    <w:rsid w:val="004937C9"/>
    <w:rsid w:val="0049390A"/>
    <w:rsid w:val="00493A24"/>
    <w:rsid w:val="00493B8D"/>
    <w:rsid w:val="00493C94"/>
    <w:rsid w:val="00493F08"/>
    <w:rsid w:val="004941C4"/>
    <w:rsid w:val="004943C3"/>
    <w:rsid w:val="004945BC"/>
    <w:rsid w:val="00494CA7"/>
    <w:rsid w:val="00494D08"/>
    <w:rsid w:val="00494F04"/>
    <w:rsid w:val="00494F5C"/>
    <w:rsid w:val="00495300"/>
    <w:rsid w:val="0049530A"/>
    <w:rsid w:val="004954E6"/>
    <w:rsid w:val="00495670"/>
    <w:rsid w:val="004956D2"/>
    <w:rsid w:val="00495732"/>
    <w:rsid w:val="00495FE2"/>
    <w:rsid w:val="00496564"/>
    <w:rsid w:val="0049690F"/>
    <w:rsid w:val="00496914"/>
    <w:rsid w:val="004973DA"/>
    <w:rsid w:val="0049748D"/>
    <w:rsid w:val="004979CF"/>
    <w:rsid w:val="00497A85"/>
    <w:rsid w:val="00497C3E"/>
    <w:rsid w:val="00497DFA"/>
    <w:rsid w:val="004A0093"/>
    <w:rsid w:val="004A00B5"/>
    <w:rsid w:val="004A0174"/>
    <w:rsid w:val="004A0348"/>
    <w:rsid w:val="004A0527"/>
    <w:rsid w:val="004A054C"/>
    <w:rsid w:val="004A0594"/>
    <w:rsid w:val="004A0611"/>
    <w:rsid w:val="004A0772"/>
    <w:rsid w:val="004A0C7E"/>
    <w:rsid w:val="004A0F45"/>
    <w:rsid w:val="004A121E"/>
    <w:rsid w:val="004A1225"/>
    <w:rsid w:val="004A12CB"/>
    <w:rsid w:val="004A12E3"/>
    <w:rsid w:val="004A1589"/>
    <w:rsid w:val="004A1713"/>
    <w:rsid w:val="004A19D0"/>
    <w:rsid w:val="004A1AF7"/>
    <w:rsid w:val="004A2021"/>
    <w:rsid w:val="004A22A1"/>
    <w:rsid w:val="004A2448"/>
    <w:rsid w:val="004A259F"/>
    <w:rsid w:val="004A26C3"/>
    <w:rsid w:val="004A27EE"/>
    <w:rsid w:val="004A2869"/>
    <w:rsid w:val="004A29AA"/>
    <w:rsid w:val="004A2BD7"/>
    <w:rsid w:val="004A2DD8"/>
    <w:rsid w:val="004A312B"/>
    <w:rsid w:val="004A322F"/>
    <w:rsid w:val="004A33B0"/>
    <w:rsid w:val="004A3446"/>
    <w:rsid w:val="004A36CE"/>
    <w:rsid w:val="004A3838"/>
    <w:rsid w:val="004A38CE"/>
    <w:rsid w:val="004A3B37"/>
    <w:rsid w:val="004A3C7E"/>
    <w:rsid w:val="004A3DEC"/>
    <w:rsid w:val="004A3E61"/>
    <w:rsid w:val="004A4155"/>
    <w:rsid w:val="004A4310"/>
    <w:rsid w:val="004A435B"/>
    <w:rsid w:val="004A4CF1"/>
    <w:rsid w:val="004A4E6F"/>
    <w:rsid w:val="004A51CA"/>
    <w:rsid w:val="004A531C"/>
    <w:rsid w:val="004A5626"/>
    <w:rsid w:val="004A5724"/>
    <w:rsid w:val="004A57A7"/>
    <w:rsid w:val="004A57F6"/>
    <w:rsid w:val="004A57FE"/>
    <w:rsid w:val="004A5A02"/>
    <w:rsid w:val="004A5EA1"/>
    <w:rsid w:val="004A610A"/>
    <w:rsid w:val="004A61CF"/>
    <w:rsid w:val="004A63FA"/>
    <w:rsid w:val="004A6785"/>
    <w:rsid w:val="004A6A0A"/>
    <w:rsid w:val="004A6CBB"/>
    <w:rsid w:val="004A6CC8"/>
    <w:rsid w:val="004A6E90"/>
    <w:rsid w:val="004A6E92"/>
    <w:rsid w:val="004A7253"/>
    <w:rsid w:val="004A7422"/>
    <w:rsid w:val="004A7652"/>
    <w:rsid w:val="004A7EAB"/>
    <w:rsid w:val="004A7FD0"/>
    <w:rsid w:val="004A7FED"/>
    <w:rsid w:val="004B002B"/>
    <w:rsid w:val="004B00EA"/>
    <w:rsid w:val="004B04B7"/>
    <w:rsid w:val="004B0715"/>
    <w:rsid w:val="004B07B1"/>
    <w:rsid w:val="004B07B6"/>
    <w:rsid w:val="004B097C"/>
    <w:rsid w:val="004B0E28"/>
    <w:rsid w:val="004B1016"/>
    <w:rsid w:val="004B105A"/>
    <w:rsid w:val="004B10E5"/>
    <w:rsid w:val="004B123C"/>
    <w:rsid w:val="004B16B5"/>
    <w:rsid w:val="004B1822"/>
    <w:rsid w:val="004B1C0D"/>
    <w:rsid w:val="004B21F0"/>
    <w:rsid w:val="004B228D"/>
    <w:rsid w:val="004B22B3"/>
    <w:rsid w:val="004B29A7"/>
    <w:rsid w:val="004B2A55"/>
    <w:rsid w:val="004B2CD4"/>
    <w:rsid w:val="004B30DB"/>
    <w:rsid w:val="004B34CB"/>
    <w:rsid w:val="004B36B2"/>
    <w:rsid w:val="004B39C3"/>
    <w:rsid w:val="004B3A57"/>
    <w:rsid w:val="004B3FD9"/>
    <w:rsid w:val="004B412B"/>
    <w:rsid w:val="004B4613"/>
    <w:rsid w:val="004B4ADA"/>
    <w:rsid w:val="004B4C88"/>
    <w:rsid w:val="004B4EDF"/>
    <w:rsid w:val="004B4F44"/>
    <w:rsid w:val="004B4F5D"/>
    <w:rsid w:val="004B503C"/>
    <w:rsid w:val="004B5180"/>
    <w:rsid w:val="004B518F"/>
    <w:rsid w:val="004B51BF"/>
    <w:rsid w:val="004B536F"/>
    <w:rsid w:val="004B5850"/>
    <w:rsid w:val="004B59B7"/>
    <w:rsid w:val="004B5AE9"/>
    <w:rsid w:val="004B5B5D"/>
    <w:rsid w:val="004B5D25"/>
    <w:rsid w:val="004B60BA"/>
    <w:rsid w:val="004B623B"/>
    <w:rsid w:val="004B62C2"/>
    <w:rsid w:val="004B679B"/>
    <w:rsid w:val="004B6B54"/>
    <w:rsid w:val="004B6E1F"/>
    <w:rsid w:val="004B6E6E"/>
    <w:rsid w:val="004B70A4"/>
    <w:rsid w:val="004B7111"/>
    <w:rsid w:val="004B7148"/>
    <w:rsid w:val="004B720F"/>
    <w:rsid w:val="004B74E2"/>
    <w:rsid w:val="004B775E"/>
    <w:rsid w:val="004B7F8C"/>
    <w:rsid w:val="004C0048"/>
    <w:rsid w:val="004C01B9"/>
    <w:rsid w:val="004C053E"/>
    <w:rsid w:val="004C0A49"/>
    <w:rsid w:val="004C0B06"/>
    <w:rsid w:val="004C0B9E"/>
    <w:rsid w:val="004C0D53"/>
    <w:rsid w:val="004C0DD6"/>
    <w:rsid w:val="004C1C4B"/>
    <w:rsid w:val="004C1ECF"/>
    <w:rsid w:val="004C2050"/>
    <w:rsid w:val="004C20F9"/>
    <w:rsid w:val="004C23D3"/>
    <w:rsid w:val="004C2419"/>
    <w:rsid w:val="004C268A"/>
    <w:rsid w:val="004C2814"/>
    <w:rsid w:val="004C2CED"/>
    <w:rsid w:val="004C2D4B"/>
    <w:rsid w:val="004C2DBF"/>
    <w:rsid w:val="004C2FFB"/>
    <w:rsid w:val="004C35B0"/>
    <w:rsid w:val="004C363D"/>
    <w:rsid w:val="004C36AC"/>
    <w:rsid w:val="004C36C5"/>
    <w:rsid w:val="004C3780"/>
    <w:rsid w:val="004C3A1C"/>
    <w:rsid w:val="004C3A8C"/>
    <w:rsid w:val="004C3CB5"/>
    <w:rsid w:val="004C3F61"/>
    <w:rsid w:val="004C404D"/>
    <w:rsid w:val="004C43C3"/>
    <w:rsid w:val="004C47BA"/>
    <w:rsid w:val="004C47FF"/>
    <w:rsid w:val="004C4BA1"/>
    <w:rsid w:val="004C4BBE"/>
    <w:rsid w:val="004C4D42"/>
    <w:rsid w:val="004C4EAD"/>
    <w:rsid w:val="004C550A"/>
    <w:rsid w:val="004C5604"/>
    <w:rsid w:val="004C57BC"/>
    <w:rsid w:val="004C5C6D"/>
    <w:rsid w:val="004C5CCA"/>
    <w:rsid w:val="004C5E74"/>
    <w:rsid w:val="004C6371"/>
    <w:rsid w:val="004C63F6"/>
    <w:rsid w:val="004C6456"/>
    <w:rsid w:val="004C6839"/>
    <w:rsid w:val="004C68F8"/>
    <w:rsid w:val="004C6AC7"/>
    <w:rsid w:val="004C6B09"/>
    <w:rsid w:val="004C6C64"/>
    <w:rsid w:val="004C6FF3"/>
    <w:rsid w:val="004C7161"/>
    <w:rsid w:val="004C77A5"/>
    <w:rsid w:val="004C77AC"/>
    <w:rsid w:val="004C79AF"/>
    <w:rsid w:val="004C7F3B"/>
    <w:rsid w:val="004D0357"/>
    <w:rsid w:val="004D0512"/>
    <w:rsid w:val="004D08DF"/>
    <w:rsid w:val="004D0D3F"/>
    <w:rsid w:val="004D0E00"/>
    <w:rsid w:val="004D1070"/>
    <w:rsid w:val="004D1084"/>
    <w:rsid w:val="004D1444"/>
    <w:rsid w:val="004D1601"/>
    <w:rsid w:val="004D172C"/>
    <w:rsid w:val="004D1A04"/>
    <w:rsid w:val="004D1AB8"/>
    <w:rsid w:val="004D1E45"/>
    <w:rsid w:val="004D23C7"/>
    <w:rsid w:val="004D2875"/>
    <w:rsid w:val="004D294D"/>
    <w:rsid w:val="004D29A1"/>
    <w:rsid w:val="004D2B00"/>
    <w:rsid w:val="004D2B36"/>
    <w:rsid w:val="004D2B85"/>
    <w:rsid w:val="004D2C3C"/>
    <w:rsid w:val="004D2D4A"/>
    <w:rsid w:val="004D2DE9"/>
    <w:rsid w:val="004D342E"/>
    <w:rsid w:val="004D34B6"/>
    <w:rsid w:val="004D35FD"/>
    <w:rsid w:val="004D38E1"/>
    <w:rsid w:val="004D3B84"/>
    <w:rsid w:val="004D3CC3"/>
    <w:rsid w:val="004D3F4A"/>
    <w:rsid w:val="004D457D"/>
    <w:rsid w:val="004D45CF"/>
    <w:rsid w:val="004D488D"/>
    <w:rsid w:val="004D4C52"/>
    <w:rsid w:val="004D4E39"/>
    <w:rsid w:val="004D4F5E"/>
    <w:rsid w:val="004D50FF"/>
    <w:rsid w:val="004D539A"/>
    <w:rsid w:val="004D54A8"/>
    <w:rsid w:val="004D5694"/>
    <w:rsid w:val="004D5B04"/>
    <w:rsid w:val="004D5CB2"/>
    <w:rsid w:val="004D5CE6"/>
    <w:rsid w:val="004D5D95"/>
    <w:rsid w:val="004D6087"/>
    <w:rsid w:val="004D6139"/>
    <w:rsid w:val="004D6479"/>
    <w:rsid w:val="004D6514"/>
    <w:rsid w:val="004D65A2"/>
    <w:rsid w:val="004D6807"/>
    <w:rsid w:val="004D6A63"/>
    <w:rsid w:val="004D6A64"/>
    <w:rsid w:val="004D6BBB"/>
    <w:rsid w:val="004D6C7A"/>
    <w:rsid w:val="004D7051"/>
    <w:rsid w:val="004D721E"/>
    <w:rsid w:val="004D7838"/>
    <w:rsid w:val="004D7C37"/>
    <w:rsid w:val="004D7CCB"/>
    <w:rsid w:val="004D7D65"/>
    <w:rsid w:val="004E029B"/>
    <w:rsid w:val="004E065F"/>
    <w:rsid w:val="004E0AFF"/>
    <w:rsid w:val="004E0FD9"/>
    <w:rsid w:val="004E13BA"/>
    <w:rsid w:val="004E15A4"/>
    <w:rsid w:val="004E1635"/>
    <w:rsid w:val="004E1642"/>
    <w:rsid w:val="004E16D2"/>
    <w:rsid w:val="004E174C"/>
    <w:rsid w:val="004E1778"/>
    <w:rsid w:val="004E1C2D"/>
    <w:rsid w:val="004E1D8E"/>
    <w:rsid w:val="004E1D9B"/>
    <w:rsid w:val="004E216A"/>
    <w:rsid w:val="004E2560"/>
    <w:rsid w:val="004E26B4"/>
    <w:rsid w:val="004E2759"/>
    <w:rsid w:val="004E2FE0"/>
    <w:rsid w:val="004E3080"/>
    <w:rsid w:val="004E31DF"/>
    <w:rsid w:val="004E33C8"/>
    <w:rsid w:val="004E34F2"/>
    <w:rsid w:val="004E3B3D"/>
    <w:rsid w:val="004E3CC0"/>
    <w:rsid w:val="004E3D07"/>
    <w:rsid w:val="004E3D44"/>
    <w:rsid w:val="004E3D9B"/>
    <w:rsid w:val="004E3F22"/>
    <w:rsid w:val="004E3FB6"/>
    <w:rsid w:val="004E431E"/>
    <w:rsid w:val="004E43A2"/>
    <w:rsid w:val="004E44A4"/>
    <w:rsid w:val="004E47C8"/>
    <w:rsid w:val="004E47CF"/>
    <w:rsid w:val="004E4C28"/>
    <w:rsid w:val="004E4CCA"/>
    <w:rsid w:val="004E4DBE"/>
    <w:rsid w:val="004E4E6A"/>
    <w:rsid w:val="004E4F42"/>
    <w:rsid w:val="004E5076"/>
    <w:rsid w:val="004E520F"/>
    <w:rsid w:val="004E5625"/>
    <w:rsid w:val="004E56FD"/>
    <w:rsid w:val="004E5746"/>
    <w:rsid w:val="004E5861"/>
    <w:rsid w:val="004E5887"/>
    <w:rsid w:val="004E5AD1"/>
    <w:rsid w:val="004E5AED"/>
    <w:rsid w:val="004E5AF4"/>
    <w:rsid w:val="004E6361"/>
    <w:rsid w:val="004E64F0"/>
    <w:rsid w:val="004E6853"/>
    <w:rsid w:val="004E6916"/>
    <w:rsid w:val="004E6B47"/>
    <w:rsid w:val="004E6EC0"/>
    <w:rsid w:val="004E6F80"/>
    <w:rsid w:val="004E707D"/>
    <w:rsid w:val="004E754A"/>
    <w:rsid w:val="004E75AD"/>
    <w:rsid w:val="004E75F6"/>
    <w:rsid w:val="004E7A6A"/>
    <w:rsid w:val="004F0317"/>
    <w:rsid w:val="004F0319"/>
    <w:rsid w:val="004F063C"/>
    <w:rsid w:val="004F09EE"/>
    <w:rsid w:val="004F0A36"/>
    <w:rsid w:val="004F0D09"/>
    <w:rsid w:val="004F0DFC"/>
    <w:rsid w:val="004F0ECF"/>
    <w:rsid w:val="004F1028"/>
    <w:rsid w:val="004F11E5"/>
    <w:rsid w:val="004F131D"/>
    <w:rsid w:val="004F1830"/>
    <w:rsid w:val="004F18AB"/>
    <w:rsid w:val="004F18CA"/>
    <w:rsid w:val="004F1A26"/>
    <w:rsid w:val="004F1A8A"/>
    <w:rsid w:val="004F1F16"/>
    <w:rsid w:val="004F2122"/>
    <w:rsid w:val="004F215C"/>
    <w:rsid w:val="004F22B7"/>
    <w:rsid w:val="004F2697"/>
    <w:rsid w:val="004F2A9E"/>
    <w:rsid w:val="004F2AE6"/>
    <w:rsid w:val="004F2CF6"/>
    <w:rsid w:val="004F2D4A"/>
    <w:rsid w:val="004F2D75"/>
    <w:rsid w:val="004F2E15"/>
    <w:rsid w:val="004F2F30"/>
    <w:rsid w:val="004F317B"/>
    <w:rsid w:val="004F326F"/>
    <w:rsid w:val="004F33E4"/>
    <w:rsid w:val="004F33FC"/>
    <w:rsid w:val="004F3417"/>
    <w:rsid w:val="004F355F"/>
    <w:rsid w:val="004F35E9"/>
    <w:rsid w:val="004F395D"/>
    <w:rsid w:val="004F3C00"/>
    <w:rsid w:val="004F3E52"/>
    <w:rsid w:val="004F3F8C"/>
    <w:rsid w:val="004F4217"/>
    <w:rsid w:val="004F45DD"/>
    <w:rsid w:val="004F4BAC"/>
    <w:rsid w:val="004F4BE6"/>
    <w:rsid w:val="004F4CF1"/>
    <w:rsid w:val="004F4D82"/>
    <w:rsid w:val="004F4E2E"/>
    <w:rsid w:val="004F4E46"/>
    <w:rsid w:val="004F50FD"/>
    <w:rsid w:val="004F55EF"/>
    <w:rsid w:val="004F5AEC"/>
    <w:rsid w:val="004F5C46"/>
    <w:rsid w:val="004F5C7A"/>
    <w:rsid w:val="004F5D5D"/>
    <w:rsid w:val="004F5D92"/>
    <w:rsid w:val="004F5DE3"/>
    <w:rsid w:val="004F5FD6"/>
    <w:rsid w:val="004F6061"/>
    <w:rsid w:val="004F6082"/>
    <w:rsid w:val="004F66B6"/>
    <w:rsid w:val="004F6837"/>
    <w:rsid w:val="004F6881"/>
    <w:rsid w:val="004F6959"/>
    <w:rsid w:val="004F695A"/>
    <w:rsid w:val="004F6C12"/>
    <w:rsid w:val="004F6C44"/>
    <w:rsid w:val="004F6CB6"/>
    <w:rsid w:val="004F6E1F"/>
    <w:rsid w:val="004F72E5"/>
    <w:rsid w:val="004F73BB"/>
    <w:rsid w:val="004F7D67"/>
    <w:rsid w:val="004F7D9C"/>
    <w:rsid w:val="004F7E39"/>
    <w:rsid w:val="004F7E8C"/>
    <w:rsid w:val="005002AC"/>
    <w:rsid w:val="0050070A"/>
    <w:rsid w:val="00500731"/>
    <w:rsid w:val="00500771"/>
    <w:rsid w:val="00500772"/>
    <w:rsid w:val="00500967"/>
    <w:rsid w:val="00500B1C"/>
    <w:rsid w:val="00500BCC"/>
    <w:rsid w:val="00500D61"/>
    <w:rsid w:val="00500F8D"/>
    <w:rsid w:val="00501039"/>
    <w:rsid w:val="0050114D"/>
    <w:rsid w:val="005013C0"/>
    <w:rsid w:val="005014FF"/>
    <w:rsid w:val="00501720"/>
    <w:rsid w:val="005017B6"/>
    <w:rsid w:val="00501A72"/>
    <w:rsid w:val="00501D58"/>
    <w:rsid w:val="005021E6"/>
    <w:rsid w:val="00502387"/>
    <w:rsid w:val="00502752"/>
    <w:rsid w:val="005027EA"/>
    <w:rsid w:val="005027FD"/>
    <w:rsid w:val="00502F81"/>
    <w:rsid w:val="00503226"/>
    <w:rsid w:val="00503AED"/>
    <w:rsid w:val="00503C57"/>
    <w:rsid w:val="00503CB3"/>
    <w:rsid w:val="00503DF5"/>
    <w:rsid w:val="00504538"/>
    <w:rsid w:val="0050485F"/>
    <w:rsid w:val="005048C3"/>
    <w:rsid w:val="00504923"/>
    <w:rsid w:val="005049A0"/>
    <w:rsid w:val="00504C18"/>
    <w:rsid w:val="00504ECD"/>
    <w:rsid w:val="0050509E"/>
    <w:rsid w:val="005054C6"/>
    <w:rsid w:val="0050552A"/>
    <w:rsid w:val="005055CA"/>
    <w:rsid w:val="0050562B"/>
    <w:rsid w:val="00505CB0"/>
    <w:rsid w:val="00506102"/>
    <w:rsid w:val="005062CC"/>
    <w:rsid w:val="005064A8"/>
    <w:rsid w:val="00506529"/>
    <w:rsid w:val="0050666C"/>
    <w:rsid w:val="0050692B"/>
    <w:rsid w:val="00506B82"/>
    <w:rsid w:val="00506E42"/>
    <w:rsid w:val="00506E9C"/>
    <w:rsid w:val="00506F59"/>
    <w:rsid w:val="00506FBF"/>
    <w:rsid w:val="005070BD"/>
    <w:rsid w:val="00507300"/>
    <w:rsid w:val="005077A6"/>
    <w:rsid w:val="00507954"/>
    <w:rsid w:val="00507AFD"/>
    <w:rsid w:val="00507CB2"/>
    <w:rsid w:val="00507E27"/>
    <w:rsid w:val="00507E43"/>
    <w:rsid w:val="0051003F"/>
    <w:rsid w:val="00510097"/>
    <w:rsid w:val="00510428"/>
    <w:rsid w:val="00510668"/>
    <w:rsid w:val="0051069E"/>
    <w:rsid w:val="005109C1"/>
    <w:rsid w:val="00510C49"/>
    <w:rsid w:val="00510EB5"/>
    <w:rsid w:val="00510FB7"/>
    <w:rsid w:val="00511157"/>
    <w:rsid w:val="00511194"/>
    <w:rsid w:val="005111C7"/>
    <w:rsid w:val="00511398"/>
    <w:rsid w:val="0051151C"/>
    <w:rsid w:val="005116D5"/>
    <w:rsid w:val="005118F9"/>
    <w:rsid w:val="00511CA0"/>
    <w:rsid w:val="00511D89"/>
    <w:rsid w:val="005124A5"/>
    <w:rsid w:val="005125CE"/>
    <w:rsid w:val="00512779"/>
    <w:rsid w:val="0051279A"/>
    <w:rsid w:val="00512977"/>
    <w:rsid w:val="00512979"/>
    <w:rsid w:val="00512B55"/>
    <w:rsid w:val="00512C70"/>
    <w:rsid w:val="00512DA1"/>
    <w:rsid w:val="00513242"/>
    <w:rsid w:val="00513424"/>
    <w:rsid w:val="005134B7"/>
    <w:rsid w:val="005135AE"/>
    <w:rsid w:val="005135DA"/>
    <w:rsid w:val="00513747"/>
    <w:rsid w:val="00513900"/>
    <w:rsid w:val="005139A4"/>
    <w:rsid w:val="00514164"/>
    <w:rsid w:val="0051421E"/>
    <w:rsid w:val="00514433"/>
    <w:rsid w:val="005147AB"/>
    <w:rsid w:val="00514829"/>
    <w:rsid w:val="0051483C"/>
    <w:rsid w:val="00514AE5"/>
    <w:rsid w:val="00514AEC"/>
    <w:rsid w:val="00514CE5"/>
    <w:rsid w:val="00514DEF"/>
    <w:rsid w:val="00514EA8"/>
    <w:rsid w:val="00515309"/>
    <w:rsid w:val="00515707"/>
    <w:rsid w:val="005158CF"/>
    <w:rsid w:val="005159BA"/>
    <w:rsid w:val="00515BC3"/>
    <w:rsid w:val="00515CC8"/>
    <w:rsid w:val="005161C0"/>
    <w:rsid w:val="00516861"/>
    <w:rsid w:val="00516914"/>
    <w:rsid w:val="00516C61"/>
    <w:rsid w:val="00516E8E"/>
    <w:rsid w:val="00516F36"/>
    <w:rsid w:val="00517062"/>
    <w:rsid w:val="005171BC"/>
    <w:rsid w:val="00517244"/>
    <w:rsid w:val="005176B0"/>
    <w:rsid w:val="005176E8"/>
    <w:rsid w:val="00517D22"/>
    <w:rsid w:val="005201ED"/>
    <w:rsid w:val="00520321"/>
    <w:rsid w:val="00520329"/>
    <w:rsid w:val="0052073A"/>
    <w:rsid w:val="005209CE"/>
    <w:rsid w:val="00520A54"/>
    <w:rsid w:val="00520B5A"/>
    <w:rsid w:val="00520F21"/>
    <w:rsid w:val="00521032"/>
    <w:rsid w:val="005210E8"/>
    <w:rsid w:val="005211A5"/>
    <w:rsid w:val="005214AE"/>
    <w:rsid w:val="005217DC"/>
    <w:rsid w:val="00521B11"/>
    <w:rsid w:val="00521BDC"/>
    <w:rsid w:val="00521CE0"/>
    <w:rsid w:val="00521F7C"/>
    <w:rsid w:val="0052255B"/>
    <w:rsid w:val="005225C2"/>
    <w:rsid w:val="00522790"/>
    <w:rsid w:val="005227C9"/>
    <w:rsid w:val="005229C4"/>
    <w:rsid w:val="00522A46"/>
    <w:rsid w:val="00522D44"/>
    <w:rsid w:val="005231B2"/>
    <w:rsid w:val="005238F9"/>
    <w:rsid w:val="00523BE0"/>
    <w:rsid w:val="00523BED"/>
    <w:rsid w:val="00523EE1"/>
    <w:rsid w:val="00523EF4"/>
    <w:rsid w:val="00524064"/>
    <w:rsid w:val="0052436F"/>
    <w:rsid w:val="00524791"/>
    <w:rsid w:val="00524F08"/>
    <w:rsid w:val="00524F6D"/>
    <w:rsid w:val="00525024"/>
    <w:rsid w:val="0052503F"/>
    <w:rsid w:val="005252F0"/>
    <w:rsid w:val="00525671"/>
    <w:rsid w:val="00525FA1"/>
    <w:rsid w:val="0052600C"/>
    <w:rsid w:val="0052624E"/>
    <w:rsid w:val="005263B8"/>
    <w:rsid w:val="00526406"/>
    <w:rsid w:val="005265FF"/>
    <w:rsid w:val="00526911"/>
    <w:rsid w:val="00526B69"/>
    <w:rsid w:val="00526B9E"/>
    <w:rsid w:val="00526CB2"/>
    <w:rsid w:val="00526CE9"/>
    <w:rsid w:val="0052718E"/>
    <w:rsid w:val="0052729F"/>
    <w:rsid w:val="005272C7"/>
    <w:rsid w:val="005273EA"/>
    <w:rsid w:val="0052744A"/>
    <w:rsid w:val="005274E3"/>
    <w:rsid w:val="00527761"/>
    <w:rsid w:val="005278D0"/>
    <w:rsid w:val="00527A35"/>
    <w:rsid w:val="00527A4C"/>
    <w:rsid w:val="00527BB6"/>
    <w:rsid w:val="00527D8E"/>
    <w:rsid w:val="00527FF6"/>
    <w:rsid w:val="005302CB"/>
    <w:rsid w:val="00530399"/>
    <w:rsid w:val="0053076F"/>
    <w:rsid w:val="00530847"/>
    <w:rsid w:val="00530E81"/>
    <w:rsid w:val="00531220"/>
    <w:rsid w:val="005312A3"/>
    <w:rsid w:val="0053131F"/>
    <w:rsid w:val="00531590"/>
    <w:rsid w:val="00531874"/>
    <w:rsid w:val="005318B4"/>
    <w:rsid w:val="00531911"/>
    <w:rsid w:val="00531A7E"/>
    <w:rsid w:val="00531DE0"/>
    <w:rsid w:val="00532110"/>
    <w:rsid w:val="005322B4"/>
    <w:rsid w:val="005323E1"/>
    <w:rsid w:val="00532469"/>
    <w:rsid w:val="005324AC"/>
    <w:rsid w:val="00532587"/>
    <w:rsid w:val="005325BC"/>
    <w:rsid w:val="0053266E"/>
    <w:rsid w:val="00532720"/>
    <w:rsid w:val="005328B9"/>
    <w:rsid w:val="0053309C"/>
    <w:rsid w:val="00533379"/>
    <w:rsid w:val="00533812"/>
    <w:rsid w:val="00533F1C"/>
    <w:rsid w:val="005340E0"/>
    <w:rsid w:val="005342AC"/>
    <w:rsid w:val="00534441"/>
    <w:rsid w:val="0053471A"/>
    <w:rsid w:val="00534B65"/>
    <w:rsid w:val="00534B69"/>
    <w:rsid w:val="00535554"/>
    <w:rsid w:val="005356DA"/>
    <w:rsid w:val="0053572C"/>
    <w:rsid w:val="0053577D"/>
    <w:rsid w:val="00535ADD"/>
    <w:rsid w:val="00535FA9"/>
    <w:rsid w:val="00535FE9"/>
    <w:rsid w:val="0053649E"/>
    <w:rsid w:val="00536578"/>
    <w:rsid w:val="00536B9F"/>
    <w:rsid w:val="00536BC3"/>
    <w:rsid w:val="00536C33"/>
    <w:rsid w:val="00536CC4"/>
    <w:rsid w:val="00536D90"/>
    <w:rsid w:val="005373CD"/>
    <w:rsid w:val="005373D8"/>
    <w:rsid w:val="005375B9"/>
    <w:rsid w:val="005378DC"/>
    <w:rsid w:val="00537979"/>
    <w:rsid w:val="00537B66"/>
    <w:rsid w:val="00540008"/>
    <w:rsid w:val="00540091"/>
    <w:rsid w:val="005400E2"/>
    <w:rsid w:val="005401C8"/>
    <w:rsid w:val="00540395"/>
    <w:rsid w:val="005403C2"/>
    <w:rsid w:val="005406B3"/>
    <w:rsid w:val="005409BB"/>
    <w:rsid w:val="00540B10"/>
    <w:rsid w:val="00540B2F"/>
    <w:rsid w:val="00540B94"/>
    <w:rsid w:val="00540CFF"/>
    <w:rsid w:val="00540DA5"/>
    <w:rsid w:val="00540E81"/>
    <w:rsid w:val="0054103C"/>
    <w:rsid w:val="00541165"/>
    <w:rsid w:val="005412DC"/>
    <w:rsid w:val="00541351"/>
    <w:rsid w:val="00541502"/>
    <w:rsid w:val="0054169F"/>
    <w:rsid w:val="00541848"/>
    <w:rsid w:val="0054199D"/>
    <w:rsid w:val="00541B3F"/>
    <w:rsid w:val="00541BC8"/>
    <w:rsid w:val="00541BE2"/>
    <w:rsid w:val="00542060"/>
    <w:rsid w:val="005421D1"/>
    <w:rsid w:val="0054225E"/>
    <w:rsid w:val="005422B8"/>
    <w:rsid w:val="005423BE"/>
    <w:rsid w:val="0054251E"/>
    <w:rsid w:val="005425DF"/>
    <w:rsid w:val="00542AE8"/>
    <w:rsid w:val="00542D03"/>
    <w:rsid w:val="00542E3B"/>
    <w:rsid w:val="00542FA4"/>
    <w:rsid w:val="005430AB"/>
    <w:rsid w:val="005436D2"/>
    <w:rsid w:val="0054392D"/>
    <w:rsid w:val="00543AB2"/>
    <w:rsid w:val="00543AC7"/>
    <w:rsid w:val="00543B47"/>
    <w:rsid w:val="00543BA4"/>
    <w:rsid w:val="00543D1D"/>
    <w:rsid w:val="00544192"/>
    <w:rsid w:val="005441FC"/>
    <w:rsid w:val="00544220"/>
    <w:rsid w:val="005445A3"/>
    <w:rsid w:val="005446CC"/>
    <w:rsid w:val="00544847"/>
    <w:rsid w:val="00544909"/>
    <w:rsid w:val="005449AE"/>
    <w:rsid w:val="00544D2C"/>
    <w:rsid w:val="00544E84"/>
    <w:rsid w:val="0054509E"/>
    <w:rsid w:val="005451FB"/>
    <w:rsid w:val="0054555F"/>
    <w:rsid w:val="00545635"/>
    <w:rsid w:val="005457D1"/>
    <w:rsid w:val="005458C0"/>
    <w:rsid w:val="005459F2"/>
    <w:rsid w:val="00545A4B"/>
    <w:rsid w:val="00545CE1"/>
    <w:rsid w:val="00546071"/>
    <w:rsid w:val="0054608A"/>
    <w:rsid w:val="0054608E"/>
    <w:rsid w:val="00546BD0"/>
    <w:rsid w:val="00546F1C"/>
    <w:rsid w:val="0054739E"/>
    <w:rsid w:val="0054744D"/>
    <w:rsid w:val="00547453"/>
    <w:rsid w:val="00547657"/>
    <w:rsid w:val="00547A67"/>
    <w:rsid w:val="00547E4A"/>
    <w:rsid w:val="00550149"/>
    <w:rsid w:val="0055038E"/>
    <w:rsid w:val="005503D6"/>
    <w:rsid w:val="00550488"/>
    <w:rsid w:val="00550608"/>
    <w:rsid w:val="005507C4"/>
    <w:rsid w:val="00550D14"/>
    <w:rsid w:val="00550D3B"/>
    <w:rsid w:val="00550D73"/>
    <w:rsid w:val="005513E0"/>
    <w:rsid w:val="00551436"/>
    <w:rsid w:val="0055143F"/>
    <w:rsid w:val="005514BE"/>
    <w:rsid w:val="00551510"/>
    <w:rsid w:val="00551555"/>
    <w:rsid w:val="00551A88"/>
    <w:rsid w:val="00551C63"/>
    <w:rsid w:val="00551CBB"/>
    <w:rsid w:val="00551D49"/>
    <w:rsid w:val="005523DC"/>
    <w:rsid w:val="005524BB"/>
    <w:rsid w:val="00552506"/>
    <w:rsid w:val="0055263D"/>
    <w:rsid w:val="00552968"/>
    <w:rsid w:val="00552969"/>
    <w:rsid w:val="00552A10"/>
    <w:rsid w:val="00552D3F"/>
    <w:rsid w:val="00552FE5"/>
    <w:rsid w:val="005531A0"/>
    <w:rsid w:val="00553440"/>
    <w:rsid w:val="0055378D"/>
    <w:rsid w:val="00553E1A"/>
    <w:rsid w:val="005540B8"/>
    <w:rsid w:val="00554361"/>
    <w:rsid w:val="005547A9"/>
    <w:rsid w:val="005547DD"/>
    <w:rsid w:val="00554C10"/>
    <w:rsid w:val="00554DFB"/>
    <w:rsid w:val="005550D4"/>
    <w:rsid w:val="0055538F"/>
    <w:rsid w:val="005556BF"/>
    <w:rsid w:val="005556DA"/>
    <w:rsid w:val="005557C8"/>
    <w:rsid w:val="00555A6A"/>
    <w:rsid w:val="00555B95"/>
    <w:rsid w:val="00555CF8"/>
    <w:rsid w:val="00555EED"/>
    <w:rsid w:val="0055604E"/>
    <w:rsid w:val="005560D7"/>
    <w:rsid w:val="005563ED"/>
    <w:rsid w:val="0055642E"/>
    <w:rsid w:val="00556588"/>
    <w:rsid w:val="005568DC"/>
    <w:rsid w:val="00556A92"/>
    <w:rsid w:val="00556E8A"/>
    <w:rsid w:val="00556F51"/>
    <w:rsid w:val="00556FEB"/>
    <w:rsid w:val="00557043"/>
    <w:rsid w:val="005571FA"/>
    <w:rsid w:val="005574D6"/>
    <w:rsid w:val="00557658"/>
    <w:rsid w:val="0055781A"/>
    <w:rsid w:val="00557C97"/>
    <w:rsid w:val="00557E44"/>
    <w:rsid w:val="00560032"/>
    <w:rsid w:val="00560113"/>
    <w:rsid w:val="0056016A"/>
    <w:rsid w:val="0056048D"/>
    <w:rsid w:val="00560665"/>
    <w:rsid w:val="0056070D"/>
    <w:rsid w:val="00560726"/>
    <w:rsid w:val="00560CB7"/>
    <w:rsid w:val="0056179A"/>
    <w:rsid w:val="005617D9"/>
    <w:rsid w:val="00561F2F"/>
    <w:rsid w:val="005620C8"/>
    <w:rsid w:val="00562182"/>
    <w:rsid w:val="00562191"/>
    <w:rsid w:val="00562203"/>
    <w:rsid w:val="0056230B"/>
    <w:rsid w:val="00562431"/>
    <w:rsid w:val="0056247A"/>
    <w:rsid w:val="00562AD2"/>
    <w:rsid w:val="00562B3B"/>
    <w:rsid w:val="00562C6A"/>
    <w:rsid w:val="00563963"/>
    <w:rsid w:val="00563991"/>
    <w:rsid w:val="005639C5"/>
    <w:rsid w:val="00563B87"/>
    <w:rsid w:val="00563F0D"/>
    <w:rsid w:val="00563F5E"/>
    <w:rsid w:val="0056408F"/>
    <w:rsid w:val="00564294"/>
    <w:rsid w:val="00564628"/>
    <w:rsid w:val="00564C76"/>
    <w:rsid w:val="00564F2F"/>
    <w:rsid w:val="0056534B"/>
    <w:rsid w:val="005659CC"/>
    <w:rsid w:val="00565A29"/>
    <w:rsid w:val="00565D6A"/>
    <w:rsid w:val="00565FB3"/>
    <w:rsid w:val="005660AF"/>
    <w:rsid w:val="005660D4"/>
    <w:rsid w:val="00566224"/>
    <w:rsid w:val="005664C3"/>
    <w:rsid w:val="0056651E"/>
    <w:rsid w:val="005668CF"/>
    <w:rsid w:val="00566D4C"/>
    <w:rsid w:val="00566E1C"/>
    <w:rsid w:val="00566F2B"/>
    <w:rsid w:val="00566F73"/>
    <w:rsid w:val="005670E7"/>
    <w:rsid w:val="0056713D"/>
    <w:rsid w:val="00567647"/>
    <w:rsid w:val="00567E3F"/>
    <w:rsid w:val="00567F7F"/>
    <w:rsid w:val="00567FA9"/>
    <w:rsid w:val="005700A6"/>
    <w:rsid w:val="00570279"/>
    <w:rsid w:val="005702FC"/>
    <w:rsid w:val="00570660"/>
    <w:rsid w:val="00570988"/>
    <w:rsid w:val="005709C3"/>
    <w:rsid w:val="00570BB8"/>
    <w:rsid w:val="00570F26"/>
    <w:rsid w:val="00571061"/>
    <w:rsid w:val="005713A9"/>
    <w:rsid w:val="0057141D"/>
    <w:rsid w:val="0057141F"/>
    <w:rsid w:val="00571488"/>
    <w:rsid w:val="00571707"/>
    <w:rsid w:val="005719C1"/>
    <w:rsid w:val="005719C6"/>
    <w:rsid w:val="00571ABC"/>
    <w:rsid w:val="00571AC2"/>
    <w:rsid w:val="00571B7E"/>
    <w:rsid w:val="00571BEF"/>
    <w:rsid w:val="00571F12"/>
    <w:rsid w:val="00572384"/>
    <w:rsid w:val="00572405"/>
    <w:rsid w:val="00572A67"/>
    <w:rsid w:val="00572A8E"/>
    <w:rsid w:val="00572B70"/>
    <w:rsid w:val="00572CBA"/>
    <w:rsid w:val="00572F96"/>
    <w:rsid w:val="00572FB6"/>
    <w:rsid w:val="0057325A"/>
    <w:rsid w:val="00573C3A"/>
    <w:rsid w:val="00573E4B"/>
    <w:rsid w:val="00573F07"/>
    <w:rsid w:val="0057434D"/>
    <w:rsid w:val="005747D2"/>
    <w:rsid w:val="00574BEE"/>
    <w:rsid w:val="00574E16"/>
    <w:rsid w:val="0057592B"/>
    <w:rsid w:val="00575E6B"/>
    <w:rsid w:val="00575F93"/>
    <w:rsid w:val="00576203"/>
    <w:rsid w:val="0057639B"/>
    <w:rsid w:val="0057652D"/>
    <w:rsid w:val="00576650"/>
    <w:rsid w:val="0057689D"/>
    <w:rsid w:val="00576C09"/>
    <w:rsid w:val="00576E07"/>
    <w:rsid w:val="00577118"/>
    <w:rsid w:val="00577190"/>
    <w:rsid w:val="005772D2"/>
    <w:rsid w:val="00577446"/>
    <w:rsid w:val="005775ED"/>
    <w:rsid w:val="005776A0"/>
    <w:rsid w:val="00577744"/>
    <w:rsid w:val="0057789A"/>
    <w:rsid w:val="005778B2"/>
    <w:rsid w:val="00577966"/>
    <w:rsid w:val="00577D47"/>
    <w:rsid w:val="00577D7D"/>
    <w:rsid w:val="0058002D"/>
    <w:rsid w:val="00580259"/>
    <w:rsid w:val="00580314"/>
    <w:rsid w:val="0058062B"/>
    <w:rsid w:val="005807AD"/>
    <w:rsid w:val="005808CA"/>
    <w:rsid w:val="00580AB5"/>
    <w:rsid w:val="005810FD"/>
    <w:rsid w:val="00581356"/>
    <w:rsid w:val="00581447"/>
    <w:rsid w:val="00581636"/>
    <w:rsid w:val="005816B4"/>
    <w:rsid w:val="00581A56"/>
    <w:rsid w:val="00581C22"/>
    <w:rsid w:val="005820B0"/>
    <w:rsid w:val="0058219D"/>
    <w:rsid w:val="00582312"/>
    <w:rsid w:val="00582566"/>
    <w:rsid w:val="00582A1C"/>
    <w:rsid w:val="00582B07"/>
    <w:rsid w:val="00582BCE"/>
    <w:rsid w:val="00582D7D"/>
    <w:rsid w:val="00582DD3"/>
    <w:rsid w:val="00583141"/>
    <w:rsid w:val="005831F5"/>
    <w:rsid w:val="00583676"/>
    <w:rsid w:val="0058391A"/>
    <w:rsid w:val="00583C01"/>
    <w:rsid w:val="00583E85"/>
    <w:rsid w:val="00583F78"/>
    <w:rsid w:val="005840A9"/>
    <w:rsid w:val="005841A1"/>
    <w:rsid w:val="00584440"/>
    <w:rsid w:val="00584475"/>
    <w:rsid w:val="0058469F"/>
    <w:rsid w:val="00584744"/>
    <w:rsid w:val="00584CB9"/>
    <w:rsid w:val="00584D74"/>
    <w:rsid w:val="00584DAE"/>
    <w:rsid w:val="00584E67"/>
    <w:rsid w:val="00585084"/>
    <w:rsid w:val="0058564D"/>
    <w:rsid w:val="005856B6"/>
    <w:rsid w:val="0058581D"/>
    <w:rsid w:val="00585DE0"/>
    <w:rsid w:val="00585E78"/>
    <w:rsid w:val="00585F7C"/>
    <w:rsid w:val="0058606B"/>
    <w:rsid w:val="0058650A"/>
    <w:rsid w:val="00586606"/>
    <w:rsid w:val="00586A71"/>
    <w:rsid w:val="00586A81"/>
    <w:rsid w:val="0058726B"/>
    <w:rsid w:val="005874F3"/>
    <w:rsid w:val="005876FA"/>
    <w:rsid w:val="0058772C"/>
    <w:rsid w:val="00587776"/>
    <w:rsid w:val="005878B9"/>
    <w:rsid w:val="00587981"/>
    <w:rsid w:val="00587BEE"/>
    <w:rsid w:val="00587E8E"/>
    <w:rsid w:val="00587F2A"/>
    <w:rsid w:val="00587FCC"/>
    <w:rsid w:val="0059000A"/>
    <w:rsid w:val="00590194"/>
    <w:rsid w:val="00590698"/>
    <w:rsid w:val="0059069D"/>
    <w:rsid w:val="0059086C"/>
    <w:rsid w:val="00590CEA"/>
    <w:rsid w:val="00590D23"/>
    <w:rsid w:val="00591075"/>
    <w:rsid w:val="005916A7"/>
    <w:rsid w:val="005916F3"/>
    <w:rsid w:val="00591721"/>
    <w:rsid w:val="005919AC"/>
    <w:rsid w:val="00591A4C"/>
    <w:rsid w:val="00591E39"/>
    <w:rsid w:val="00591E48"/>
    <w:rsid w:val="00592231"/>
    <w:rsid w:val="005925EB"/>
    <w:rsid w:val="005929ED"/>
    <w:rsid w:val="00592A62"/>
    <w:rsid w:val="00592CFE"/>
    <w:rsid w:val="00592DAD"/>
    <w:rsid w:val="005932F2"/>
    <w:rsid w:val="005933E8"/>
    <w:rsid w:val="00593434"/>
    <w:rsid w:val="0059345D"/>
    <w:rsid w:val="0059351B"/>
    <w:rsid w:val="00593688"/>
    <w:rsid w:val="00593900"/>
    <w:rsid w:val="00593AF9"/>
    <w:rsid w:val="00593E97"/>
    <w:rsid w:val="00593ECE"/>
    <w:rsid w:val="0059449D"/>
    <w:rsid w:val="00594713"/>
    <w:rsid w:val="00594830"/>
    <w:rsid w:val="00594AD1"/>
    <w:rsid w:val="00594C0F"/>
    <w:rsid w:val="005954B5"/>
    <w:rsid w:val="005954DA"/>
    <w:rsid w:val="005954FA"/>
    <w:rsid w:val="00595526"/>
    <w:rsid w:val="0059581B"/>
    <w:rsid w:val="005958FA"/>
    <w:rsid w:val="00595B81"/>
    <w:rsid w:val="00595E06"/>
    <w:rsid w:val="00595E50"/>
    <w:rsid w:val="00595E93"/>
    <w:rsid w:val="00595EB5"/>
    <w:rsid w:val="00596180"/>
    <w:rsid w:val="005963CA"/>
    <w:rsid w:val="0059649A"/>
    <w:rsid w:val="005964C4"/>
    <w:rsid w:val="005967C1"/>
    <w:rsid w:val="005967F5"/>
    <w:rsid w:val="005968C4"/>
    <w:rsid w:val="005969E1"/>
    <w:rsid w:val="00596A10"/>
    <w:rsid w:val="00596A2C"/>
    <w:rsid w:val="00596B05"/>
    <w:rsid w:val="00596B23"/>
    <w:rsid w:val="00596B3E"/>
    <w:rsid w:val="00596C59"/>
    <w:rsid w:val="00596E71"/>
    <w:rsid w:val="005971AD"/>
    <w:rsid w:val="00597457"/>
    <w:rsid w:val="0059767B"/>
    <w:rsid w:val="005979D7"/>
    <w:rsid w:val="005979F6"/>
    <w:rsid w:val="00597B35"/>
    <w:rsid w:val="00597F30"/>
    <w:rsid w:val="00597F69"/>
    <w:rsid w:val="00597FBF"/>
    <w:rsid w:val="005A0029"/>
    <w:rsid w:val="005A0199"/>
    <w:rsid w:val="005A0B77"/>
    <w:rsid w:val="005A1000"/>
    <w:rsid w:val="005A1007"/>
    <w:rsid w:val="005A1032"/>
    <w:rsid w:val="005A1055"/>
    <w:rsid w:val="005A140D"/>
    <w:rsid w:val="005A1434"/>
    <w:rsid w:val="005A14E2"/>
    <w:rsid w:val="005A17E6"/>
    <w:rsid w:val="005A1897"/>
    <w:rsid w:val="005A1DD2"/>
    <w:rsid w:val="005A1EE3"/>
    <w:rsid w:val="005A1EE6"/>
    <w:rsid w:val="005A20CB"/>
    <w:rsid w:val="005A2226"/>
    <w:rsid w:val="005A23E3"/>
    <w:rsid w:val="005A24E6"/>
    <w:rsid w:val="005A24F3"/>
    <w:rsid w:val="005A252D"/>
    <w:rsid w:val="005A2BE5"/>
    <w:rsid w:val="005A31B7"/>
    <w:rsid w:val="005A362F"/>
    <w:rsid w:val="005A397E"/>
    <w:rsid w:val="005A3C40"/>
    <w:rsid w:val="005A3D19"/>
    <w:rsid w:val="005A44F9"/>
    <w:rsid w:val="005A49FB"/>
    <w:rsid w:val="005A4A4B"/>
    <w:rsid w:val="005A4BAC"/>
    <w:rsid w:val="005A4BC6"/>
    <w:rsid w:val="005A4CD4"/>
    <w:rsid w:val="005A4FCF"/>
    <w:rsid w:val="005A50F2"/>
    <w:rsid w:val="005A5191"/>
    <w:rsid w:val="005A52D9"/>
    <w:rsid w:val="005A543A"/>
    <w:rsid w:val="005A5751"/>
    <w:rsid w:val="005A59E4"/>
    <w:rsid w:val="005A5A3C"/>
    <w:rsid w:val="005A5A73"/>
    <w:rsid w:val="005A5B71"/>
    <w:rsid w:val="005A5BBB"/>
    <w:rsid w:val="005A5C1D"/>
    <w:rsid w:val="005A5C53"/>
    <w:rsid w:val="005A5DD7"/>
    <w:rsid w:val="005A5EDA"/>
    <w:rsid w:val="005A6213"/>
    <w:rsid w:val="005A65D5"/>
    <w:rsid w:val="005A668F"/>
    <w:rsid w:val="005A6830"/>
    <w:rsid w:val="005A683E"/>
    <w:rsid w:val="005A6B31"/>
    <w:rsid w:val="005A6EAE"/>
    <w:rsid w:val="005A7278"/>
    <w:rsid w:val="005A7306"/>
    <w:rsid w:val="005A77AD"/>
    <w:rsid w:val="005A784E"/>
    <w:rsid w:val="005A7966"/>
    <w:rsid w:val="005A7AC7"/>
    <w:rsid w:val="005A7B24"/>
    <w:rsid w:val="005A7B82"/>
    <w:rsid w:val="005A7C95"/>
    <w:rsid w:val="005A7E1E"/>
    <w:rsid w:val="005A7F56"/>
    <w:rsid w:val="005B03DE"/>
    <w:rsid w:val="005B0635"/>
    <w:rsid w:val="005B071A"/>
    <w:rsid w:val="005B08DD"/>
    <w:rsid w:val="005B0CF2"/>
    <w:rsid w:val="005B0D45"/>
    <w:rsid w:val="005B0DF1"/>
    <w:rsid w:val="005B106B"/>
    <w:rsid w:val="005B1141"/>
    <w:rsid w:val="005B12EB"/>
    <w:rsid w:val="005B189D"/>
    <w:rsid w:val="005B18A1"/>
    <w:rsid w:val="005B1AFC"/>
    <w:rsid w:val="005B1DB3"/>
    <w:rsid w:val="005B2507"/>
    <w:rsid w:val="005B2652"/>
    <w:rsid w:val="005B26AA"/>
    <w:rsid w:val="005B2789"/>
    <w:rsid w:val="005B2864"/>
    <w:rsid w:val="005B2942"/>
    <w:rsid w:val="005B2CAC"/>
    <w:rsid w:val="005B2DAF"/>
    <w:rsid w:val="005B2EF3"/>
    <w:rsid w:val="005B2F93"/>
    <w:rsid w:val="005B3270"/>
    <w:rsid w:val="005B335D"/>
    <w:rsid w:val="005B33E0"/>
    <w:rsid w:val="005B350B"/>
    <w:rsid w:val="005B364E"/>
    <w:rsid w:val="005B37DA"/>
    <w:rsid w:val="005B38A1"/>
    <w:rsid w:val="005B38B9"/>
    <w:rsid w:val="005B3A5B"/>
    <w:rsid w:val="005B3E21"/>
    <w:rsid w:val="005B40AF"/>
    <w:rsid w:val="005B4129"/>
    <w:rsid w:val="005B414A"/>
    <w:rsid w:val="005B4302"/>
    <w:rsid w:val="005B4338"/>
    <w:rsid w:val="005B4355"/>
    <w:rsid w:val="005B44DA"/>
    <w:rsid w:val="005B4ABD"/>
    <w:rsid w:val="005B4BF1"/>
    <w:rsid w:val="005B4C64"/>
    <w:rsid w:val="005B5341"/>
    <w:rsid w:val="005B5797"/>
    <w:rsid w:val="005B5820"/>
    <w:rsid w:val="005B5AA2"/>
    <w:rsid w:val="005B5CD4"/>
    <w:rsid w:val="005B5CD6"/>
    <w:rsid w:val="005B605D"/>
    <w:rsid w:val="005B637F"/>
    <w:rsid w:val="005B6515"/>
    <w:rsid w:val="005B661D"/>
    <w:rsid w:val="005B69DB"/>
    <w:rsid w:val="005B69E9"/>
    <w:rsid w:val="005B69F7"/>
    <w:rsid w:val="005B6B8B"/>
    <w:rsid w:val="005B6CB7"/>
    <w:rsid w:val="005B734E"/>
    <w:rsid w:val="005B73BE"/>
    <w:rsid w:val="005B763E"/>
    <w:rsid w:val="005B79C2"/>
    <w:rsid w:val="005B7E7B"/>
    <w:rsid w:val="005B7EFF"/>
    <w:rsid w:val="005B7F80"/>
    <w:rsid w:val="005C00CE"/>
    <w:rsid w:val="005C0570"/>
    <w:rsid w:val="005C0579"/>
    <w:rsid w:val="005C05CC"/>
    <w:rsid w:val="005C07C1"/>
    <w:rsid w:val="005C0AD1"/>
    <w:rsid w:val="005C0B06"/>
    <w:rsid w:val="005C0B3E"/>
    <w:rsid w:val="005C0BAB"/>
    <w:rsid w:val="005C0C13"/>
    <w:rsid w:val="005C0DB0"/>
    <w:rsid w:val="005C0F77"/>
    <w:rsid w:val="005C14E1"/>
    <w:rsid w:val="005C17CD"/>
    <w:rsid w:val="005C186E"/>
    <w:rsid w:val="005C19DC"/>
    <w:rsid w:val="005C1EA2"/>
    <w:rsid w:val="005C2349"/>
    <w:rsid w:val="005C29E4"/>
    <w:rsid w:val="005C2C2B"/>
    <w:rsid w:val="005C2D01"/>
    <w:rsid w:val="005C2D54"/>
    <w:rsid w:val="005C2FB6"/>
    <w:rsid w:val="005C3051"/>
    <w:rsid w:val="005C33A5"/>
    <w:rsid w:val="005C3568"/>
    <w:rsid w:val="005C3714"/>
    <w:rsid w:val="005C38DE"/>
    <w:rsid w:val="005C3A77"/>
    <w:rsid w:val="005C3DC4"/>
    <w:rsid w:val="005C3F41"/>
    <w:rsid w:val="005C4051"/>
    <w:rsid w:val="005C41ED"/>
    <w:rsid w:val="005C4333"/>
    <w:rsid w:val="005C44AD"/>
    <w:rsid w:val="005C4927"/>
    <w:rsid w:val="005C4AF9"/>
    <w:rsid w:val="005C4B5E"/>
    <w:rsid w:val="005C4B67"/>
    <w:rsid w:val="005C4B7D"/>
    <w:rsid w:val="005C4B8A"/>
    <w:rsid w:val="005C4CA0"/>
    <w:rsid w:val="005C4D94"/>
    <w:rsid w:val="005C4D9B"/>
    <w:rsid w:val="005C4E8C"/>
    <w:rsid w:val="005C5500"/>
    <w:rsid w:val="005C56B9"/>
    <w:rsid w:val="005C5F5A"/>
    <w:rsid w:val="005C6148"/>
    <w:rsid w:val="005C6254"/>
    <w:rsid w:val="005C6380"/>
    <w:rsid w:val="005C64BD"/>
    <w:rsid w:val="005C6512"/>
    <w:rsid w:val="005C669E"/>
    <w:rsid w:val="005C6750"/>
    <w:rsid w:val="005C6C66"/>
    <w:rsid w:val="005C6CA6"/>
    <w:rsid w:val="005C6D1F"/>
    <w:rsid w:val="005C7031"/>
    <w:rsid w:val="005C7084"/>
    <w:rsid w:val="005C70A1"/>
    <w:rsid w:val="005C712C"/>
    <w:rsid w:val="005C7139"/>
    <w:rsid w:val="005C7253"/>
    <w:rsid w:val="005C726D"/>
    <w:rsid w:val="005C7762"/>
    <w:rsid w:val="005C779F"/>
    <w:rsid w:val="005C7810"/>
    <w:rsid w:val="005C78FE"/>
    <w:rsid w:val="005C7D11"/>
    <w:rsid w:val="005C7E52"/>
    <w:rsid w:val="005D01BA"/>
    <w:rsid w:val="005D04BB"/>
    <w:rsid w:val="005D05B1"/>
    <w:rsid w:val="005D05EB"/>
    <w:rsid w:val="005D07DA"/>
    <w:rsid w:val="005D0BBD"/>
    <w:rsid w:val="005D0C32"/>
    <w:rsid w:val="005D0C42"/>
    <w:rsid w:val="005D0D3D"/>
    <w:rsid w:val="005D0D58"/>
    <w:rsid w:val="005D1006"/>
    <w:rsid w:val="005D11A9"/>
    <w:rsid w:val="005D121C"/>
    <w:rsid w:val="005D12BA"/>
    <w:rsid w:val="005D15B9"/>
    <w:rsid w:val="005D1CB0"/>
    <w:rsid w:val="005D1EE1"/>
    <w:rsid w:val="005D2145"/>
    <w:rsid w:val="005D22DB"/>
    <w:rsid w:val="005D2389"/>
    <w:rsid w:val="005D2646"/>
    <w:rsid w:val="005D26A9"/>
    <w:rsid w:val="005D2996"/>
    <w:rsid w:val="005D2D16"/>
    <w:rsid w:val="005D2FE7"/>
    <w:rsid w:val="005D3137"/>
    <w:rsid w:val="005D3557"/>
    <w:rsid w:val="005D3CE8"/>
    <w:rsid w:val="005D3D16"/>
    <w:rsid w:val="005D3EAF"/>
    <w:rsid w:val="005D4138"/>
    <w:rsid w:val="005D446B"/>
    <w:rsid w:val="005D4501"/>
    <w:rsid w:val="005D46FC"/>
    <w:rsid w:val="005D4706"/>
    <w:rsid w:val="005D487F"/>
    <w:rsid w:val="005D4A48"/>
    <w:rsid w:val="005D4C59"/>
    <w:rsid w:val="005D4D45"/>
    <w:rsid w:val="005D4D77"/>
    <w:rsid w:val="005D4E54"/>
    <w:rsid w:val="005D4FB7"/>
    <w:rsid w:val="005D4FE2"/>
    <w:rsid w:val="005D5326"/>
    <w:rsid w:val="005D541A"/>
    <w:rsid w:val="005D58C3"/>
    <w:rsid w:val="005D5B0A"/>
    <w:rsid w:val="005D5CCB"/>
    <w:rsid w:val="005D5E4C"/>
    <w:rsid w:val="005D6006"/>
    <w:rsid w:val="005D60FD"/>
    <w:rsid w:val="005D6144"/>
    <w:rsid w:val="005D6208"/>
    <w:rsid w:val="005D625A"/>
    <w:rsid w:val="005D6862"/>
    <w:rsid w:val="005D705D"/>
    <w:rsid w:val="005D7147"/>
    <w:rsid w:val="005D7167"/>
    <w:rsid w:val="005D7202"/>
    <w:rsid w:val="005D74C6"/>
    <w:rsid w:val="005D74EB"/>
    <w:rsid w:val="005D7838"/>
    <w:rsid w:val="005D79A9"/>
    <w:rsid w:val="005D7D33"/>
    <w:rsid w:val="005E0112"/>
    <w:rsid w:val="005E094E"/>
    <w:rsid w:val="005E0A0C"/>
    <w:rsid w:val="005E0E5B"/>
    <w:rsid w:val="005E0EC0"/>
    <w:rsid w:val="005E0F35"/>
    <w:rsid w:val="005E0F7E"/>
    <w:rsid w:val="005E0FD9"/>
    <w:rsid w:val="005E100D"/>
    <w:rsid w:val="005E10B9"/>
    <w:rsid w:val="005E1147"/>
    <w:rsid w:val="005E12B8"/>
    <w:rsid w:val="005E1421"/>
    <w:rsid w:val="005E15F1"/>
    <w:rsid w:val="005E1C05"/>
    <w:rsid w:val="005E1F3C"/>
    <w:rsid w:val="005E2056"/>
    <w:rsid w:val="005E20A1"/>
    <w:rsid w:val="005E2293"/>
    <w:rsid w:val="005E230F"/>
    <w:rsid w:val="005E25D6"/>
    <w:rsid w:val="005E2D5F"/>
    <w:rsid w:val="005E2E99"/>
    <w:rsid w:val="005E3046"/>
    <w:rsid w:val="005E3254"/>
    <w:rsid w:val="005E3461"/>
    <w:rsid w:val="005E3497"/>
    <w:rsid w:val="005E35D0"/>
    <w:rsid w:val="005E360A"/>
    <w:rsid w:val="005E368E"/>
    <w:rsid w:val="005E38BC"/>
    <w:rsid w:val="005E39D7"/>
    <w:rsid w:val="005E3A2D"/>
    <w:rsid w:val="005E3EE5"/>
    <w:rsid w:val="005E4613"/>
    <w:rsid w:val="005E47ED"/>
    <w:rsid w:val="005E47FA"/>
    <w:rsid w:val="005E48AA"/>
    <w:rsid w:val="005E4A3E"/>
    <w:rsid w:val="005E4C0A"/>
    <w:rsid w:val="005E4FA3"/>
    <w:rsid w:val="005E5164"/>
    <w:rsid w:val="005E5221"/>
    <w:rsid w:val="005E56C4"/>
    <w:rsid w:val="005E57C1"/>
    <w:rsid w:val="005E5A9C"/>
    <w:rsid w:val="005E5E32"/>
    <w:rsid w:val="005E6198"/>
    <w:rsid w:val="005E63FA"/>
    <w:rsid w:val="005E6473"/>
    <w:rsid w:val="005E64A2"/>
    <w:rsid w:val="005E66BB"/>
    <w:rsid w:val="005E677D"/>
    <w:rsid w:val="005E6992"/>
    <w:rsid w:val="005E6CC9"/>
    <w:rsid w:val="005E7146"/>
    <w:rsid w:val="005E7177"/>
    <w:rsid w:val="005E73EC"/>
    <w:rsid w:val="005E7436"/>
    <w:rsid w:val="005E7806"/>
    <w:rsid w:val="005E790F"/>
    <w:rsid w:val="005E7A5A"/>
    <w:rsid w:val="005E7A8A"/>
    <w:rsid w:val="005E7A8D"/>
    <w:rsid w:val="005E7B18"/>
    <w:rsid w:val="005E7C1B"/>
    <w:rsid w:val="005F003A"/>
    <w:rsid w:val="005F0244"/>
    <w:rsid w:val="005F03AA"/>
    <w:rsid w:val="005F045B"/>
    <w:rsid w:val="005F04CC"/>
    <w:rsid w:val="005F0559"/>
    <w:rsid w:val="005F0841"/>
    <w:rsid w:val="005F0A7C"/>
    <w:rsid w:val="005F0CF5"/>
    <w:rsid w:val="005F0D2E"/>
    <w:rsid w:val="005F0EED"/>
    <w:rsid w:val="005F112A"/>
    <w:rsid w:val="005F112C"/>
    <w:rsid w:val="005F13CC"/>
    <w:rsid w:val="005F1537"/>
    <w:rsid w:val="005F15F7"/>
    <w:rsid w:val="005F16A0"/>
    <w:rsid w:val="005F1726"/>
    <w:rsid w:val="005F180A"/>
    <w:rsid w:val="005F19D7"/>
    <w:rsid w:val="005F1D4A"/>
    <w:rsid w:val="005F1E05"/>
    <w:rsid w:val="005F1F0B"/>
    <w:rsid w:val="005F1F6D"/>
    <w:rsid w:val="005F1FB5"/>
    <w:rsid w:val="005F23ED"/>
    <w:rsid w:val="005F249B"/>
    <w:rsid w:val="005F251E"/>
    <w:rsid w:val="005F270A"/>
    <w:rsid w:val="005F2D39"/>
    <w:rsid w:val="005F310C"/>
    <w:rsid w:val="005F3450"/>
    <w:rsid w:val="005F3631"/>
    <w:rsid w:val="005F3997"/>
    <w:rsid w:val="005F3C00"/>
    <w:rsid w:val="005F3C73"/>
    <w:rsid w:val="005F3F21"/>
    <w:rsid w:val="005F3FC1"/>
    <w:rsid w:val="005F40D2"/>
    <w:rsid w:val="005F4408"/>
    <w:rsid w:val="005F450A"/>
    <w:rsid w:val="005F4782"/>
    <w:rsid w:val="005F48E8"/>
    <w:rsid w:val="005F4D28"/>
    <w:rsid w:val="005F4FDA"/>
    <w:rsid w:val="005F527E"/>
    <w:rsid w:val="005F54FB"/>
    <w:rsid w:val="005F5B01"/>
    <w:rsid w:val="005F5D89"/>
    <w:rsid w:val="005F5EE3"/>
    <w:rsid w:val="005F5EF7"/>
    <w:rsid w:val="005F6031"/>
    <w:rsid w:val="005F608C"/>
    <w:rsid w:val="005F62F8"/>
    <w:rsid w:val="005F68F0"/>
    <w:rsid w:val="005F6912"/>
    <w:rsid w:val="005F6AA3"/>
    <w:rsid w:val="005F6DE3"/>
    <w:rsid w:val="005F6E37"/>
    <w:rsid w:val="005F704C"/>
    <w:rsid w:val="005F70C1"/>
    <w:rsid w:val="005F70E2"/>
    <w:rsid w:val="005F71CF"/>
    <w:rsid w:val="005F72DB"/>
    <w:rsid w:val="005F7BC5"/>
    <w:rsid w:val="005F7CD0"/>
    <w:rsid w:val="005F7D4D"/>
    <w:rsid w:val="005F7F41"/>
    <w:rsid w:val="006006AA"/>
    <w:rsid w:val="0060079E"/>
    <w:rsid w:val="00600A8D"/>
    <w:rsid w:val="00600C96"/>
    <w:rsid w:val="00600CC7"/>
    <w:rsid w:val="00600D1A"/>
    <w:rsid w:val="00600DD7"/>
    <w:rsid w:val="00600E17"/>
    <w:rsid w:val="00600F1C"/>
    <w:rsid w:val="00601097"/>
    <w:rsid w:val="0060110A"/>
    <w:rsid w:val="00601157"/>
    <w:rsid w:val="00601246"/>
    <w:rsid w:val="0060128E"/>
    <w:rsid w:val="006012F0"/>
    <w:rsid w:val="00601306"/>
    <w:rsid w:val="006013DF"/>
    <w:rsid w:val="0060141F"/>
    <w:rsid w:val="0060156A"/>
    <w:rsid w:val="00601856"/>
    <w:rsid w:val="006018ED"/>
    <w:rsid w:val="00601A10"/>
    <w:rsid w:val="00601ACD"/>
    <w:rsid w:val="00601AF6"/>
    <w:rsid w:val="00601D09"/>
    <w:rsid w:val="00601E9E"/>
    <w:rsid w:val="006021C2"/>
    <w:rsid w:val="0060269D"/>
    <w:rsid w:val="00602D21"/>
    <w:rsid w:val="00602E09"/>
    <w:rsid w:val="00602E69"/>
    <w:rsid w:val="00602EBE"/>
    <w:rsid w:val="00602EFE"/>
    <w:rsid w:val="0060327F"/>
    <w:rsid w:val="006032E4"/>
    <w:rsid w:val="0060348E"/>
    <w:rsid w:val="006034B7"/>
    <w:rsid w:val="006036E1"/>
    <w:rsid w:val="00603722"/>
    <w:rsid w:val="00603761"/>
    <w:rsid w:val="0060376B"/>
    <w:rsid w:val="00603A3B"/>
    <w:rsid w:val="00603B46"/>
    <w:rsid w:val="00603BBF"/>
    <w:rsid w:val="00603E44"/>
    <w:rsid w:val="00603FC7"/>
    <w:rsid w:val="006040C6"/>
    <w:rsid w:val="006041FF"/>
    <w:rsid w:val="006042A0"/>
    <w:rsid w:val="00604499"/>
    <w:rsid w:val="0060475E"/>
    <w:rsid w:val="0060477F"/>
    <w:rsid w:val="0060490A"/>
    <w:rsid w:val="00604B40"/>
    <w:rsid w:val="00604BB1"/>
    <w:rsid w:val="006054A9"/>
    <w:rsid w:val="006054E0"/>
    <w:rsid w:val="0060563E"/>
    <w:rsid w:val="006057A0"/>
    <w:rsid w:val="00605CA9"/>
    <w:rsid w:val="00606164"/>
    <w:rsid w:val="006061AA"/>
    <w:rsid w:val="006061FB"/>
    <w:rsid w:val="006065B0"/>
    <w:rsid w:val="006066B5"/>
    <w:rsid w:val="006067DE"/>
    <w:rsid w:val="00606A01"/>
    <w:rsid w:val="00606AC8"/>
    <w:rsid w:val="00606BEE"/>
    <w:rsid w:val="00606F73"/>
    <w:rsid w:val="00607452"/>
    <w:rsid w:val="006074C9"/>
    <w:rsid w:val="00607503"/>
    <w:rsid w:val="006076E7"/>
    <w:rsid w:val="00607751"/>
    <w:rsid w:val="0060775F"/>
    <w:rsid w:val="006079C9"/>
    <w:rsid w:val="00607FD0"/>
    <w:rsid w:val="00610151"/>
    <w:rsid w:val="006105ED"/>
    <w:rsid w:val="00610854"/>
    <w:rsid w:val="006108B1"/>
    <w:rsid w:val="00610C2B"/>
    <w:rsid w:val="00610F2B"/>
    <w:rsid w:val="006110F2"/>
    <w:rsid w:val="006111BF"/>
    <w:rsid w:val="00611358"/>
    <w:rsid w:val="00611910"/>
    <w:rsid w:val="00611927"/>
    <w:rsid w:val="006119DF"/>
    <w:rsid w:val="006119FB"/>
    <w:rsid w:val="00611A3E"/>
    <w:rsid w:val="00611AD5"/>
    <w:rsid w:val="00611B80"/>
    <w:rsid w:val="00611E68"/>
    <w:rsid w:val="0061248A"/>
    <w:rsid w:val="006129E0"/>
    <w:rsid w:val="00612DA6"/>
    <w:rsid w:val="00613170"/>
    <w:rsid w:val="0061321B"/>
    <w:rsid w:val="0061324F"/>
    <w:rsid w:val="00613250"/>
    <w:rsid w:val="00613598"/>
    <w:rsid w:val="0061393F"/>
    <w:rsid w:val="006139FA"/>
    <w:rsid w:val="00613E10"/>
    <w:rsid w:val="00614144"/>
    <w:rsid w:val="006141C3"/>
    <w:rsid w:val="00614209"/>
    <w:rsid w:val="006146E8"/>
    <w:rsid w:val="00614846"/>
    <w:rsid w:val="006149B8"/>
    <w:rsid w:val="00614CAB"/>
    <w:rsid w:val="00614E6F"/>
    <w:rsid w:val="00614EAF"/>
    <w:rsid w:val="00615013"/>
    <w:rsid w:val="00615415"/>
    <w:rsid w:val="006154FB"/>
    <w:rsid w:val="00615B7F"/>
    <w:rsid w:val="00615C27"/>
    <w:rsid w:val="00615CC1"/>
    <w:rsid w:val="00615CD6"/>
    <w:rsid w:val="0061634D"/>
    <w:rsid w:val="0061636B"/>
    <w:rsid w:val="006164C1"/>
    <w:rsid w:val="00616C2A"/>
    <w:rsid w:val="00616F26"/>
    <w:rsid w:val="0061705E"/>
    <w:rsid w:val="006171E9"/>
    <w:rsid w:val="0061721E"/>
    <w:rsid w:val="00617542"/>
    <w:rsid w:val="00617598"/>
    <w:rsid w:val="00617D94"/>
    <w:rsid w:val="00617DAC"/>
    <w:rsid w:val="00617DD4"/>
    <w:rsid w:val="006200D7"/>
    <w:rsid w:val="0062031E"/>
    <w:rsid w:val="0062036F"/>
    <w:rsid w:val="00620425"/>
    <w:rsid w:val="00620629"/>
    <w:rsid w:val="0062073A"/>
    <w:rsid w:val="0062079F"/>
    <w:rsid w:val="00620AF0"/>
    <w:rsid w:val="00620B09"/>
    <w:rsid w:val="00620D87"/>
    <w:rsid w:val="00620EFB"/>
    <w:rsid w:val="006212E8"/>
    <w:rsid w:val="006217DE"/>
    <w:rsid w:val="006219B5"/>
    <w:rsid w:val="00621A23"/>
    <w:rsid w:val="00621C4F"/>
    <w:rsid w:val="00621CB9"/>
    <w:rsid w:val="00621ECD"/>
    <w:rsid w:val="006229BB"/>
    <w:rsid w:val="00622D42"/>
    <w:rsid w:val="00623276"/>
    <w:rsid w:val="006235C9"/>
    <w:rsid w:val="006237FE"/>
    <w:rsid w:val="00623A87"/>
    <w:rsid w:val="00623DA6"/>
    <w:rsid w:val="00624142"/>
    <w:rsid w:val="0062415A"/>
    <w:rsid w:val="00624256"/>
    <w:rsid w:val="00624552"/>
    <w:rsid w:val="006245AB"/>
    <w:rsid w:val="006248E9"/>
    <w:rsid w:val="00624947"/>
    <w:rsid w:val="00624A39"/>
    <w:rsid w:val="00624BF0"/>
    <w:rsid w:val="00624D89"/>
    <w:rsid w:val="006252C4"/>
    <w:rsid w:val="00625304"/>
    <w:rsid w:val="0062534F"/>
    <w:rsid w:val="006253EA"/>
    <w:rsid w:val="0062568A"/>
    <w:rsid w:val="00625909"/>
    <w:rsid w:val="00625910"/>
    <w:rsid w:val="00625AD5"/>
    <w:rsid w:val="00625B86"/>
    <w:rsid w:val="00625C63"/>
    <w:rsid w:val="00625DD0"/>
    <w:rsid w:val="0062606B"/>
    <w:rsid w:val="0062612F"/>
    <w:rsid w:val="00626255"/>
    <w:rsid w:val="00626397"/>
    <w:rsid w:val="006264A1"/>
    <w:rsid w:val="006268B0"/>
    <w:rsid w:val="00626BE6"/>
    <w:rsid w:val="00626E4B"/>
    <w:rsid w:val="00626EDE"/>
    <w:rsid w:val="00627318"/>
    <w:rsid w:val="00627366"/>
    <w:rsid w:val="00627370"/>
    <w:rsid w:val="006275DD"/>
    <w:rsid w:val="006276C1"/>
    <w:rsid w:val="006278A4"/>
    <w:rsid w:val="00627966"/>
    <w:rsid w:val="00627C82"/>
    <w:rsid w:val="00627E1B"/>
    <w:rsid w:val="00627F99"/>
    <w:rsid w:val="00630837"/>
    <w:rsid w:val="00630C8F"/>
    <w:rsid w:val="00630CC1"/>
    <w:rsid w:val="00630D83"/>
    <w:rsid w:val="00630FEF"/>
    <w:rsid w:val="006310E1"/>
    <w:rsid w:val="00631292"/>
    <w:rsid w:val="006312A4"/>
    <w:rsid w:val="006312BC"/>
    <w:rsid w:val="0063195E"/>
    <w:rsid w:val="00631A18"/>
    <w:rsid w:val="00631AB3"/>
    <w:rsid w:val="00631BC5"/>
    <w:rsid w:val="00631D9C"/>
    <w:rsid w:val="00632256"/>
    <w:rsid w:val="0063228E"/>
    <w:rsid w:val="00632293"/>
    <w:rsid w:val="006326D4"/>
    <w:rsid w:val="00632709"/>
    <w:rsid w:val="00632A5A"/>
    <w:rsid w:val="00632AA9"/>
    <w:rsid w:val="00632AE1"/>
    <w:rsid w:val="00632C42"/>
    <w:rsid w:val="00632CA9"/>
    <w:rsid w:val="006333A3"/>
    <w:rsid w:val="006333AA"/>
    <w:rsid w:val="00633893"/>
    <w:rsid w:val="006339B3"/>
    <w:rsid w:val="00633B66"/>
    <w:rsid w:val="00633FB2"/>
    <w:rsid w:val="00633FD0"/>
    <w:rsid w:val="00634668"/>
    <w:rsid w:val="006347DE"/>
    <w:rsid w:val="00634B37"/>
    <w:rsid w:val="00634BA1"/>
    <w:rsid w:val="00634D05"/>
    <w:rsid w:val="00634D70"/>
    <w:rsid w:val="00634F93"/>
    <w:rsid w:val="0063516F"/>
    <w:rsid w:val="0063535E"/>
    <w:rsid w:val="006353CF"/>
    <w:rsid w:val="006356B6"/>
    <w:rsid w:val="00635AF4"/>
    <w:rsid w:val="00635BB3"/>
    <w:rsid w:val="00636160"/>
    <w:rsid w:val="00636185"/>
    <w:rsid w:val="0063622F"/>
    <w:rsid w:val="006363B2"/>
    <w:rsid w:val="006367E4"/>
    <w:rsid w:val="00636990"/>
    <w:rsid w:val="00636D10"/>
    <w:rsid w:val="00636F4E"/>
    <w:rsid w:val="00637070"/>
    <w:rsid w:val="006376CD"/>
    <w:rsid w:val="00637737"/>
    <w:rsid w:val="0063773F"/>
    <w:rsid w:val="00637771"/>
    <w:rsid w:val="006377F1"/>
    <w:rsid w:val="00637A37"/>
    <w:rsid w:val="00637AB2"/>
    <w:rsid w:val="00637C8E"/>
    <w:rsid w:val="00637E22"/>
    <w:rsid w:val="00637E57"/>
    <w:rsid w:val="00640027"/>
    <w:rsid w:val="006400F8"/>
    <w:rsid w:val="00640216"/>
    <w:rsid w:val="006403DE"/>
    <w:rsid w:val="00640481"/>
    <w:rsid w:val="00640502"/>
    <w:rsid w:val="006406E6"/>
    <w:rsid w:val="00640A2A"/>
    <w:rsid w:val="00640AAE"/>
    <w:rsid w:val="00640ACB"/>
    <w:rsid w:val="00640B68"/>
    <w:rsid w:val="00640BED"/>
    <w:rsid w:val="00640CB4"/>
    <w:rsid w:val="006414B5"/>
    <w:rsid w:val="0064162D"/>
    <w:rsid w:val="0064170B"/>
    <w:rsid w:val="006417E0"/>
    <w:rsid w:val="0064198F"/>
    <w:rsid w:val="00641A4D"/>
    <w:rsid w:val="00641B06"/>
    <w:rsid w:val="00641D00"/>
    <w:rsid w:val="00641D92"/>
    <w:rsid w:val="006421A5"/>
    <w:rsid w:val="0064225A"/>
    <w:rsid w:val="006423CB"/>
    <w:rsid w:val="00642528"/>
    <w:rsid w:val="0064253E"/>
    <w:rsid w:val="00642830"/>
    <w:rsid w:val="00642ADF"/>
    <w:rsid w:val="00642CA0"/>
    <w:rsid w:val="00642D6A"/>
    <w:rsid w:val="00642D84"/>
    <w:rsid w:val="00642F37"/>
    <w:rsid w:val="00642FEC"/>
    <w:rsid w:val="006439DF"/>
    <w:rsid w:val="00643E75"/>
    <w:rsid w:val="00643EB3"/>
    <w:rsid w:val="00643FDF"/>
    <w:rsid w:val="00644070"/>
    <w:rsid w:val="0064418A"/>
    <w:rsid w:val="0064469B"/>
    <w:rsid w:val="00644978"/>
    <w:rsid w:val="00644A0D"/>
    <w:rsid w:val="00644BED"/>
    <w:rsid w:val="00644F8E"/>
    <w:rsid w:val="00645400"/>
    <w:rsid w:val="00645416"/>
    <w:rsid w:val="00645587"/>
    <w:rsid w:val="006456A3"/>
    <w:rsid w:val="0064591C"/>
    <w:rsid w:val="00645BC8"/>
    <w:rsid w:val="00645BD4"/>
    <w:rsid w:val="00645CEE"/>
    <w:rsid w:val="00645F92"/>
    <w:rsid w:val="00646037"/>
    <w:rsid w:val="00646254"/>
    <w:rsid w:val="00646529"/>
    <w:rsid w:val="00646543"/>
    <w:rsid w:val="00646870"/>
    <w:rsid w:val="00646951"/>
    <w:rsid w:val="00646BD4"/>
    <w:rsid w:val="00647166"/>
    <w:rsid w:val="0064717D"/>
    <w:rsid w:val="0064739C"/>
    <w:rsid w:val="0064769A"/>
    <w:rsid w:val="006476ED"/>
    <w:rsid w:val="00647955"/>
    <w:rsid w:val="00647CFB"/>
    <w:rsid w:val="00650017"/>
    <w:rsid w:val="006501FD"/>
    <w:rsid w:val="006503D8"/>
    <w:rsid w:val="00650406"/>
    <w:rsid w:val="006506D8"/>
    <w:rsid w:val="00650770"/>
    <w:rsid w:val="006508E0"/>
    <w:rsid w:val="00650AF7"/>
    <w:rsid w:val="00650F5E"/>
    <w:rsid w:val="006514A3"/>
    <w:rsid w:val="0065153E"/>
    <w:rsid w:val="0065171A"/>
    <w:rsid w:val="0065179A"/>
    <w:rsid w:val="006518E2"/>
    <w:rsid w:val="006518F8"/>
    <w:rsid w:val="00651FBC"/>
    <w:rsid w:val="006521B3"/>
    <w:rsid w:val="006524FD"/>
    <w:rsid w:val="006524FE"/>
    <w:rsid w:val="006526B9"/>
    <w:rsid w:val="00652782"/>
    <w:rsid w:val="006528E1"/>
    <w:rsid w:val="00652A5F"/>
    <w:rsid w:val="00652AB8"/>
    <w:rsid w:val="00652E10"/>
    <w:rsid w:val="006531CB"/>
    <w:rsid w:val="006532AD"/>
    <w:rsid w:val="006534A9"/>
    <w:rsid w:val="0065350E"/>
    <w:rsid w:val="00653566"/>
    <w:rsid w:val="00653681"/>
    <w:rsid w:val="00653784"/>
    <w:rsid w:val="0065379F"/>
    <w:rsid w:val="00653915"/>
    <w:rsid w:val="00653B1A"/>
    <w:rsid w:val="00653D07"/>
    <w:rsid w:val="006542DA"/>
    <w:rsid w:val="00654352"/>
    <w:rsid w:val="006544B4"/>
    <w:rsid w:val="006545CF"/>
    <w:rsid w:val="0065487E"/>
    <w:rsid w:val="006548CF"/>
    <w:rsid w:val="00654906"/>
    <w:rsid w:val="00654990"/>
    <w:rsid w:val="00654E2C"/>
    <w:rsid w:val="00654E47"/>
    <w:rsid w:val="006553F7"/>
    <w:rsid w:val="00655A0A"/>
    <w:rsid w:val="00655D3F"/>
    <w:rsid w:val="00655DB5"/>
    <w:rsid w:val="00655E3E"/>
    <w:rsid w:val="00655F47"/>
    <w:rsid w:val="006565AB"/>
    <w:rsid w:val="006565B0"/>
    <w:rsid w:val="00656813"/>
    <w:rsid w:val="00656856"/>
    <w:rsid w:val="00656897"/>
    <w:rsid w:val="0065697E"/>
    <w:rsid w:val="00656B24"/>
    <w:rsid w:val="006571E0"/>
    <w:rsid w:val="0065762B"/>
    <w:rsid w:val="006577E9"/>
    <w:rsid w:val="00657848"/>
    <w:rsid w:val="006579CC"/>
    <w:rsid w:val="00657AA6"/>
    <w:rsid w:val="00657AAA"/>
    <w:rsid w:val="00657CD5"/>
    <w:rsid w:val="00657E2E"/>
    <w:rsid w:val="006603C8"/>
    <w:rsid w:val="00660484"/>
    <w:rsid w:val="006606A3"/>
    <w:rsid w:val="006609E4"/>
    <w:rsid w:val="00660D60"/>
    <w:rsid w:val="00660E34"/>
    <w:rsid w:val="00660EEE"/>
    <w:rsid w:val="00660F6F"/>
    <w:rsid w:val="00660FB7"/>
    <w:rsid w:val="00661203"/>
    <w:rsid w:val="0066169D"/>
    <w:rsid w:val="00661734"/>
    <w:rsid w:val="00661927"/>
    <w:rsid w:val="00661956"/>
    <w:rsid w:val="00661EE5"/>
    <w:rsid w:val="00661FC5"/>
    <w:rsid w:val="006622FA"/>
    <w:rsid w:val="00662353"/>
    <w:rsid w:val="00662738"/>
    <w:rsid w:val="006629CF"/>
    <w:rsid w:val="00662AD7"/>
    <w:rsid w:val="00663446"/>
    <w:rsid w:val="00663572"/>
    <w:rsid w:val="00663716"/>
    <w:rsid w:val="00663790"/>
    <w:rsid w:val="00663CB9"/>
    <w:rsid w:val="00663DB3"/>
    <w:rsid w:val="00663F15"/>
    <w:rsid w:val="00664155"/>
    <w:rsid w:val="00664163"/>
    <w:rsid w:val="00664169"/>
    <w:rsid w:val="00664347"/>
    <w:rsid w:val="00664951"/>
    <w:rsid w:val="00664969"/>
    <w:rsid w:val="00664979"/>
    <w:rsid w:val="00664B0C"/>
    <w:rsid w:val="00664F5C"/>
    <w:rsid w:val="00665093"/>
    <w:rsid w:val="006658D4"/>
    <w:rsid w:val="00665A25"/>
    <w:rsid w:val="00665AD4"/>
    <w:rsid w:val="00665B7D"/>
    <w:rsid w:val="00665E58"/>
    <w:rsid w:val="00665FFE"/>
    <w:rsid w:val="006661BA"/>
    <w:rsid w:val="0066628B"/>
    <w:rsid w:val="00666643"/>
    <w:rsid w:val="0066679B"/>
    <w:rsid w:val="006668B0"/>
    <w:rsid w:val="00666B31"/>
    <w:rsid w:val="00666CE6"/>
    <w:rsid w:val="00666F14"/>
    <w:rsid w:val="00667148"/>
    <w:rsid w:val="00667B3B"/>
    <w:rsid w:val="00667E5F"/>
    <w:rsid w:val="0067009E"/>
    <w:rsid w:val="00670109"/>
    <w:rsid w:val="00670151"/>
    <w:rsid w:val="006707A3"/>
    <w:rsid w:val="00670F84"/>
    <w:rsid w:val="00671011"/>
    <w:rsid w:val="00671176"/>
    <w:rsid w:val="00671329"/>
    <w:rsid w:val="006713BC"/>
    <w:rsid w:val="0067144E"/>
    <w:rsid w:val="006715A4"/>
    <w:rsid w:val="00671B5C"/>
    <w:rsid w:val="00671C66"/>
    <w:rsid w:val="00671D17"/>
    <w:rsid w:val="00671EF7"/>
    <w:rsid w:val="00671FDC"/>
    <w:rsid w:val="00672703"/>
    <w:rsid w:val="00672C8F"/>
    <w:rsid w:val="00672CB1"/>
    <w:rsid w:val="00672CD6"/>
    <w:rsid w:val="00672CE6"/>
    <w:rsid w:val="00672F0D"/>
    <w:rsid w:val="00672F14"/>
    <w:rsid w:val="0067330F"/>
    <w:rsid w:val="0067349E"/>
    <w:rsid w:val="006738A7"/>
    <w:rsid w:val="006738FB"/>
    <w:rsid w:val="00673A8A"/>
    <w:rsid w:val="00673AC7"/>
    <w:rsid w:val="00673EB2"/>
    <w:rsid w:val="00673EBF"/>
    <w:rsid w:val="00673F7E"/>
    <w:rsid w:val="006742E1"/>
    <w:rsid w:val="00674849"/>
    <w:rsid w:val="006748E1"/>
    <w:rsid w:val="00674A92"/>
    <w:rsid w:val="0067506A"/>
    <w:rsid w:val="006751F0"/>
    <w:rsid w:val="00675316"/>
    <w:rsid w:val="006757BB"/>
    <w:rsid w:val="0067582B"/>
    <w:rsid w:val="00675B23"/>
    <w:rsid w:val="00675B54"/>
    <w:rsid w:val="00675C42"/>
    <w:rsid w:val="00675C62"/>
    <w:rsid w:val="00675D38"/>
    <w:rsid w:val="00675D98"/>
    <w:rsid w:val="00675FFB"/>
    <w:rsid w:val="0067607B"/>
    <w:rsid w:val="006765FF"/>
    <w:rsid w:val="006766BB"/>
    <w:rsid w:val="0067689A"/>
    <w:rsid w:val="00676AD6"/>
    <w:rsid w:val="00676CE9"/>
    <w:rsid w:val="00676E4D"/>
    <w:rsid w:val="00676F97"/>
    <w:rsid w:val="0067725D"/>
    <w:rsid w:val="006773BE"/>
    <w:rsid w:val="00677500"/>
    <w:rsid w:val="00677855"/>
    <w:rsid w:val="00677883"/>
    <w:rsid w:val="00677B24"/>
    <w:rsid w:val="00677CCC"/>
    <w:rsid w:val="00677F1C"/>
    <w:rsid w:val="00677F8B"/>
    <w:rsid w:val="00677FA1"/>
    <w:rsid w:val="00680015"/>
    <w:rsid w:val="0068040B"/>
    <w:rsid w:val="006805FB"/>
    <w:rsid w:val="00680798"/>
    <w:rsid w:val="006807CF"/>
    <w:rsid w:val="00680BE9"/>
    <w:rsid w:val="00680C10"/>
    <w:rsid w:val="00680C83"/>
    <w:rsid w:val="00680D8B"/>
    <w:rsid w:val="00680E45"/>
    <w:rsid w:val="00681143"/>
    <w:rsid w:val="006812E0"/>
    <w:rsid w:val="006813CF"/>
    <w:rsid w:val="00681437"/>
    <w:rsid w:val="006815BB"/>
    <w:rsid w:val="00681621"/>
    <w:rsid w:val="0068169F"/>
    <w:rsid w:val="00681719"/>
    <w:rsid w:val="00681B66"/>
    <w:rsid w:val="00682265"/>
    <w:rsid w:val="006824CE"/>
    <w:rsid w:val="00682700"/>
    <w:rsid w:val="0068295C"/>
    <w:rsid w:val="00682B92"/>
    <w:rsid w:val="00682EDD"/>
    <w:rsid w:val="00682FD8"/>
    <w:rsid w:val="0068308E"/>
    <w:rsid w:val="0068315B"/>
    <w:rsid w:val="0068317A"/>
    <w:rsid w:val="00683225"/>
    <w:rsid w:val="00683829"/>
    <w:rsid w:val="006839EC"/>
    <w:rsid w:val="00683A99"/>
    <w:rsid w:val="00683B4A"/>
    <w:rsid w:val="006840EA"/>
    <w:rsid w:val="0068419A"/>
    <w:rsid w:val="00684628"/>
    <w:rsid w:val="00684754"/>
    <w:rsid w:val="00684977"/>
    <w:rsid w:val="00684B6D"/>
    <w:rsid w:val="00684BC3"/>
    <w:rsid w:val="00684C08"/>
    <w:rsid w:val="00684D32"/>
    <w:rsid w:val="006853C5"/>
    <w:rsid w:val="0068566D"/>
    <w:rsid w:val="006858A1"/>
    <w:rsid w:val="00685953"/>
    <w:rsid w:val="00685A67"/>
    <w:rsid w:val="00685B7F"/>
    <w:rsid w:val="00685C95"/>
    <w:rsid w:val="00685E95"/>
    <w:rsid w:val="0068600A"/>
    <w:rsid w:val="00686028"/>
    <w:rsid w:val="00686102"/>
    <w:rsid w:val="00686214"/>
    <w:rsid w:val="0068631A"/>
    <w:rsid w:val="006863DB"/>
    <w:rsid w:val="00686439"/>
    <w:rsid w:val="0068676D"/>
    <w:rsid w:val="00686B9F"/>
    <w:rsid w:val="00686D15"/>
    <w:rsid w:val="00686D4B"/>
    <w:rsid w:val="00686DD3"/>
    <w:rsid w:val="00686DE6"/>
    <w:rsid w:val="0068721F"/>
    <w:rsid w:val="006872DE"/>
    <w:rsid w:val="00687876"/>
    <w:rsid w:val="00687AD6"/>
    <w:rsid w:val="00687B67"/>
    <w:rsid w:val="00687D21"/>
    <w:rsid w:val="0069010C"/>
    <w:rsid w:val="00690245"/>
    <w:rsid w:val="00690636"/>
    <w:rsid w:val="0069082D"/>
    <w:rsid w:val="00690892"/>
    <w:rsid w:val="00690D6F"/>
    <w:rsid w:val="0069126D"/>
    <w:rsid w:val="00691568"/>
    <w:rsid w:val="00691690"/>
    <w:rsid w:val="00691781"/>
    <w:rsid w:val="00691DB9"/>
    <w:rsid w:val="00691F36"/>
    <w:rsid w:val="00691FB2"/>
    <w:rsid w:val="00692471"/>
    <w:rsid w:val="00692494"/>
    <w:rsid w:val="006924F0"/>
    <w:rsid w:val="00692762"/>
    <w:rsid w:val="00692788"/>
    <w:rsid w:val="00692800"/>
    <w:rsid w:val="00692A7B"/>
    <w:rsid w:val="00692B22"/>
    <w:rsid w:val="00692B23"/>
    <w:rsid w:val="00692BF4"/>
    <w:rsid w:val="00693A03"/>
    <w:rsid w:val="00693A26"/>
    <w:rsid w:val="00693BAE"/>
    <w:rsid w:val="00693EAD"/>
    <w:rsid w:val="00693FED"/>
    <w:rsid w:val="0069404F"/>
    <w:rsid w:val="0069416B"/>
    <w:rsid w:val="006942CF"/>
    <w:rsid w:val="00694779"/>
    <w:rsid w:val="00694B71"/>
    <w:rsid w:val="00695439"/>
    <w:rsid w:val="00695523"/>
    <w:rsid w:val="006959DF"/>
    <w:rsid w:val="00695A51"/>
    <w:rsid w:val="00695D44"/>
    <w:rsid w:val="00695F48"/>
    <w:rsid w:val="00695F95"/>
    <w:rsid w:val="006961A9"/>
    <w:rsid w:val="006962BF"/>
    <w:rsid w:val="0069630B"/>
    <w:rsid w:val="006965D1"/>
    <w:rsid w:val="006965F2"/>
    <w:rsid w:val="006968DD"/>
    <w:rsid w:val="00696915"/>
    <w:rsid w:val="00696958"/>
    <w:rsid w:val="00696FBF"/>
    <w:rsid w:val="00696FFD"/>
    <w:rsid w:val="00697175"/>
    <w:rsid w:val="00697322"/>
    <w:rsid w:val="0069759C"/>
    <w:rsid w:val="00697622"/>
    <w:rsid w:val="006976A3"/>
    <w:rsid w:val="006976E4"/>
    <w:rsid w:val="006977FA"/>
    <w:rsid w:val="006978AA"/>
    <w:rsid w:val="0069791E"/>
    <w:rsid w:val="006979BD"/>
    <w:rsid w:val="006979D5"/>
    <w:rsid w:val="00697B38"/>
    <w:rsid w:val="00697DF9"/>
    <w:rsid w:val="006A01A8"/>
    <w:rsid w:val="006A0DD8"/>
    <w:rsid w:val="006A129E"/>
    <w:rsid w:val="006A1481"/>
    <w:rsid w:val="006A1764"/>
    <w:rsid w:val="006A1A45"/>
    <w:rsid w:val="006A1D4B"/>
    <w:rsid w:val="006A1D85"/>
    <w:rsid w:val="006A1E59"/>
    <w:rsid w:val="006A2165"/>
    <w:rsid w:val="006A2499"/>
    <w:rsid w:val="006A252F"/>
    <w:rsid w:val="006A2B9D"/>
    <w:rsid w:val="006A3E41"/>
    <w:rsid w:val="006A3F9E"/>
    <w:rsid w:val="006A41DB"/>
    <w:rsid w:val="006A4347"/>
    <w:rsid w:val="006A43CB"/>
    <w:rsid w:val="006A4509"/>
    <w:rsid w:val="006A467D"/>
    <w:rsid w:val="006A46C7"/>
    <w:rsid w:val="006A4908"/>
    <w:rsid w:val="006A499A"/>
    <w:rsid w:val="006A4AC7"/>
    <w:rsid w:val="006A4AE4"/>
    <w:rsid w:val="006A4C9D"/>
    <w:rsid w:val="006A4D83"/>
    <w:rsid w:val="006A512C"/>
    <w:rsid w:val="006A51A7"/>
    <w:rsid w:val="006A536B"/>
    <w:rsid w:val="006A5490"/>
    <w:rsid w:val="006A54E6"/>
    <w:rsid w:val="006A5658"/>
    <w:rsid w:val="006A5C55"/>
    <w:rsid w:val="006A5CCD"/>
    <w:rsid w:val="006A5D75"/>
    <w:rsid w:val="006A600C"/>
    <w:rsid w:val="006A60A9"/>
    <w:rsid w:val="006A624C"/>
    <w:rsid w:val="006A6296"/>
    <w:rsid w:val="006A6630"/>
    <w:rsid w:val="006A6737"/>
    <w:rsid w:val="006A6AE2"/>
    <w:rsid w:val="006A6BFA"/>
    <w:rsid w:val="006A6D36"/>
    <w:rsid w:val="006A6D3B"/>
    <w:rsid w:val="006A6FF6"/>
    <w:rsid w:val="006A7127"/>
    <w:rsid w:val="006A7171"/>
    <w:rsid w:val="006A7194"/>
    <w:rsid w:val="006A7230"/>
    <w:rsid w:val="006A727B"/>
    <w:rsid w:val="006A7330"/>
    <w:rsid w:val="006A748E"/>
    <w:rsid w:val="006A75FE"/>
    <w:rsid w:val="006A760D"/>
    <w:rsid w:val="006A76F9"/>
    <w:rsid w:val="006A7AFB"/>
    <w:rsid w:val="006A7E63"/>
    <w:rsid w:val="006A7EEC"/>
    <w:rsid w:val="006A7FB4"/>
    <w:rsid w:val="006B0036"/>
    <w:rsid w:val="006B0388"/>
    <w:rsid w:val="006B058D"/>
    <w:rsid w:val="006B061F"/>
    <w:rsid w:val="006B0A72"/>
    <w:rsid w:val="006B0C70"/>
    <w:rsid w:val="006B0EE9"/>
    <w:rsid w:val="006B11CD"/>
    <w:rsid w:val="006B11F1"/>
    <w:rsid w:val="006B12CA"/>
    <w:rsid w:val="006B1334"/>
    <w:rsid w:val="006B13D5"/>
    <w:rsid w:val="006B1566"/>
    <w:rsid w:val="006B17EE"/>
    <w:rsid w:val="006B1851"/>
    <w:rsid w:val="006B19DE"/>
    <w:rsid w:val="006B1AC5"/>
    <w:rsid w:val="006B1BB1"/>
    <w:rsid w:val="006B1C2E"/>
    <w:rsid w:val="006B1C8B"/>
    <w:rsid w:val="006B1C90"/>
    <w:rsid w:val="006B1FB7"/>
    <w:rsid w:val="006B1FB9"/>
    <w:rsid w:val="006B269D"/>
    <w:rsid w:val="006B2B04"/>
    <w:rsid w:val="006B2DAD"/>
    <w:rsid w:val="006B2ED2"/>
    <w:rsid w:val="006B2F24"/>
    <w:rsid w:val="006B315A"/>
    <w:rsid w:val="006B37E1"/>
    <w:rsid w:val="006B380A"/>
    <w:rsid w:val="006B3870"/>
    <w:rsid w:val="006B39B3"/>
    <w:rsid w:val="006B3B0B"/>
    <w:rsid w:val="006B4365"/>
    <w:rsid w:val="006B44C8"/>
    <w:rsid w:val="006B4AD0"/>
    <w:rsid w:val="006B4CB6"/>
    <w:rsid w:val="006B515E"/>
    <w:rsid w:val="006B5913"/>
    <w:rsid w:val="006B597C"/>
    <w:rsid w:val="006B5A76"/>
    <w:rsid w:val="006B5E3C"/>
    <w:rsid w:val="006B5FFC"/>
    <w:rsid w:val="006B6019"/>
    <w:rsid w:val="006B63E8"/>
    <w:rsid w:val="006B6590"/>
    <w:rsid w:val="006B65A9"/>
    <w:rsid w:val="006B66B0"/>
    <w:rsid w:val="006B6ACD"/>
    <w:rsid w:val="006B6AFC"/>
    <w:rsid w:val="006B6FA8"/>
    <w:rsid w:val="006B734A"/>
    <w:rsid w:val="006B7864"/>
    <w:rsid w:val="006B7981"/>
    <w:rsid w:val="006B7BB3"/>
    <w:rsid w:val="006C00DE"/>
    <w:rsid w:val="006C03C3"/>
    <w:rsid w:val="006C073B"/>
    <w:rsid w:val="006C07F2"/>
    <w:rsid w:val="006C098C"/>
    <w:rsid w:val="006C09B6"/>
    <w:rsid w:val="006C0E8E"/>
    <w:rsid w:val="006C0EAE"/>
    <w:rsid w:val="006C0F8E"/>
    <w:rsid w:val="006C118C"/>
    <w:rsid w:val="006C137B"/>
    <w:rsid w:val="006C147E"/>
    <w:rsid w:val="006C17C0"/>
    <w:rsid w:val="006C1BC9"/>
    <w:rsid w:val="006C1C9B"/>
    <w:rsid w:val="006C21CA"/>
    <w:rsid w:val="006C229B"/>
    <w:rsid w:val="006C2378"/>
    <w:rsid w:val="006C2587"/>
    <w:rsid w:val="006C2D52"/>
    <w:rsid w:val="006C2F55"/>
    <w:rsid w:val="006C3411"/>
    <w:rsid w:val="006C34A8"/>
    <w:rsid w:val="006C355E"/>
    <w:rsid w:val="006C3590"/>
    <w:rsid w:val="006C37E7"/>
    <w:rsid w:val="006C3871"/>
    <w:rsid w:val="006C3BA9"/>
    <w:rsid w:val="006C3D91"/>
    <w:rsid w:val="006C3FCA"/>
    <w:rsid w:val="006C419F"/>
    <w:rsid w:val="006C4429"/>
    <w:rsid w:val="006C4495"/>
    <w:rsid w:val="006C44F1"/>
    <w:rsid w:val="006C4502"/>
    <w:rsid w:val="006C452A"/>
    <w:rsid w:val="006C48F1"/>
    <w:rsid w:val="006C4A73"/>
    <w:rsid w:val="006C4D2C"/>
    <w:rsid w:val="006C509B"/>
    <w:rsid w:val="006C5171"/>
    <w:rsid w:val="006C524A"/>
    <w:rsid w:val="006C5498"/>
    <w:rsid w:val="006C5B39"/>
    <w:rsid w:val="006C5C51"/>
    <w:rsid w:val="006C5ECC"/>
    <w:rsid w:val="006C5F19"/>
    <w:rsid w:val="006C6406"/>
    <w:rsid w:val="006C660D"/>
    <w:rsid w:val="006C6753"/>
    <w:rsid w:val="006C68D7"/>
    <w:rsid w:val="006C6951"/>
    <w:rsid w:val="006C6955"/>
    <w:rsid w:val="006C69E2"/>
    <w:rsid w:val="006C70C0"/>
    <w:rsid w:val="006C7D49"/>
    <w:rsid w:val="006C7F70"/>
    <w:rsid w:val="006D0088"/>
    <w:rsid w:val="006D029F"/>
    <w:rsid w:val="006D02F9"/>
    <w:rsid w:val="006D03E1"/>
    <w:rsid w:val="006D07F4"/>
    <w:rsid w:val="006D0B73"/>
    <w:rsid w:val="006D1162"/>
    <w:rsid w:val="006D1442"/>
    <w:rsid w:val="006D1458"/>
    <w:rsid w:val="006D1469"/>
    <w:rsid w:val="006D15BC"/>
    <w:rsid w:val="006D1CDE"/>
    <w:rsid w:val="006D1DC4"/>
    <w:rsid w:val="006D1F31"/>
    <w:rsid w:val="006D1FDE"/>
    <w:rsid w:val="006D20A6"/>
    <w:rsid w:val="006D21CE"/>
    <w:rsid w:val="006D2792"/>
    <w:rsid w:val="006D28B6"/>
    <w:rsid w:val="006D28F0"/>
    <w:rsid w:val="006D295E"/>
    <w:rsid w:val="006D2AFD"/>
    <w:rsid w:val="006D2CC0"/>
    <w:rsid w:val="006D2E50"/>
    <w:rsid w:val="006D2EB8"/>
    <w:rsid w:val="006D3068"/>
    <w:rsid w:val="006D3347"/>
    <w:rsid w:val="006D340F"/>
    <w:rsid w:val="006D3440"/>
    <w:rsid w:val="006D347C"/>
    <w:rsid w:val="006D367C"/>
    <w:rsid w:val="006D38FA"/>
    <w:rsid w:val="006D3A11"/>
    <w:rsid w:val="006D3B73"/>
    <w:rsid w:val="006D3BDC"/>
    <w:rsid w:val="006D3D68"/>
    <w:rsid w:val="006D3E93"/>
    <w:rsid w:val="006D3EEB"/>
    <w:rsid w:val="006D3F51"/>
    <w:rsid w:val="006D41AF"/>
    <w:rsid w:val="006D453F"/>
    <w:rsid w:val="006D4971"/>
    <w:rsid w:val="006D525D"/>
    <w:rsid w:val="006D54F0"/>
    <w:rsid w:val="006D5989"/>
    <w:rsid w:val="006D5B09"/>
    <w:rsid w:val="006D5CA3"/>
    <w:rsid w:val="006D5D3C"/>
    <w:rsid w:val="006D5FD6"/>
    <w:rsid w:val="006D6028"/>
    <w:rsid w:val="006D6162"/>
    <w:rsid w:val="006D6277"/>
    <w:rsid w:val="006D657F"/>
    <w:rsid w:val="006D66D4"/>
    <w:rsid w:val="006D68F3"/>
    <w:rsid w:val="006D6C7E"/>
    <w:rsid w:val="006D6F12"/>
    <w:rsid w:val="006D702B"/>
    <w:rsid w:val="006D7276"/>
    <w:rsid w:val="006D7348"/>
    <w:rsid w:val="006D7417"/>
    <w:rsid w:val="006D75D2"/>
    <w:rsid w:val="006D7978"/>
    <w:rsid w:val="006D7C95"/>
    <w:rsid w:val="006E00B4"/>
    <w:rsid w:val="006E0737"/>
    <w:rsid w:val="006E0802"/>
    <w:rsid w:val="006E085A"/>
    <w:rsid w:val="006E088F"/>
    <w:rsid w:val="006E0A96"/>
    <w:rsid w:val="006E0DC0"/>
    <w:rsid w:val="006E14E2"/>
    <w:rsid w:val="006E165A"/>
    <w:rsid w:val="006E1687"/>
    <w:rsid w:val="006E1853"/>
    <w:rsid w:val="006E1A67"/>
    <w:rsid w:val="006E1B37"/>
    <w:rsid w:val="006E1D3F"/>
    <w:rsid w:val="006E1DA0"/>
    <w:rsid w:val="006E1F34"/>
    <w:rsid w:val="006E2122"/>
    <w:rsid w:val="006E2177"/>
    <w:rsid w:val="006E22A5"/>
    <w:rsid w:val="006E255C"/>
    <w:rsid w:val="006E2591"/>
    <w:rsid w:val="006E295F"/>
    <w:rsid w:val="006E2980"/>
    <w:rsid w:val="006E2A71"/>
    <w:rsid w:val="006E2AFB"/>
    <w:rsid w:val="006E2C00"/>
    <w:rsid w:val="006E2CA1"/>
    <w:rsid w:val="006E2CB0"/>
    <w:rsid w:val="006E2E93"/>
    <w:rsid w:val="006E2FDA"/>
    <w:rsid w:val="006E3035"/>
    <w:rsid w:val="006E35FE"/>
    <w:rsid w:val="006E3673"/>
    <w:rsid w:val="006E39F8"/>
    <w:rsid w:val="006E3B1D"/>
    <w:rsid w:val="006E3B20"/>
    <w:rsid w:val="006E3E0A"/>
    <w:rsid w:val="006E3EFF"/>
    <w:rsid w:val="006E3FED"/>
    <w:rsid w:val="006E401A"/>
    <w:rsid w:val="006E405A"/>
    <w:rsid w:val="006E40AD"/>
    <w:rsid w:val="006E4260"/>
    <w:rsid w:val="006E429E"/>
    <w:rsid w:val="006E45A7"/>
    <w:rsid w:val="006E46B2"/>
    <w:rsid w:val="006E46EF"/>
    <w:rsid w:val="006E4C92"/>
    <w:rsid w:val="006E596C"/>
    <w:rsid w:val="006E59AD"/>
    <w:rsid w:val="006E59B6"/>
    <w:rsid w:val="006E5BDE"/>
    <w:rsid w:val="006E5F06"/>
    <w:rsid w:val="006E61C6"/>
    <w:rsid w:val="006E6436"/>
    <w:rsid w:val="006E695F"/>
    <w:rsid w:val="006E6BA2"/>
    <w:rsid w:val="006E6CF0"/>
    <w:rsid w:val="006E6FFF"/>
    <w:rsid w:val="006E707E"/>
    <w:rsid w:val="006E71EA"/>
    <w:rsid w:val="006E7632"/>
    <w:rsid w:val="006E782F"/>
    <w:rsid w:val="006E7A02"/>
    <w:rsid w:val="006E7A5A"/>
    <w:rsid w:val="006E7D84"/>
    <w:rsid w:val="006E7E03"/>
    <w:rsid w:val="006F0328"/>
    <w:rsid w:val="006F0374"/>
    <w:rsid w:val="006F048E"/>
    <w:rsid w:val="006F04F3"/>
    <w:rsid w:val="006F07D9"/>
    <w:rsid w:val="006F09E4"/>
    <w:rsid w:val="006F0B66"/>
    <w:rsid w:val="006F0BFB"/>
    <w:rsid w:val="006F0D52"/>
    <w:rsid w:val="006F0F6A"/>
    <w:rsid w:val="006F120D"/>
    <w:rsid w:val="006F1420"/>
    <w:rsid w:val="006F148F"/>
    <w:rsid w:val="006F1AB5"/>
    <w:rsid w:val="006F1AB6"/>
    <w:rsid w:val="006F1CE0"/>
    <w:rsid w:val="006F1E16"/>
    <w:rsid w:val="006F21E3"/>
    <w:rsid w:val="006F21E4"/>
    <w:rsid w:val="006F22DD"/>
    <w:rsid w:val="006F22FB"/>
    <w:rsid w:val="006F2532"/>
    <w:rsid w:val="006F271E"/>
    <w:rsid w:val="006F292F"/>
    <w:rsid w:val="006F2934"/>
    <w:rsid w:val="006F2A2C"/>
    <w:rsid w:val="006F2AF1"/>
    <w:rsid w:val="006F3530"/>
    <w:rsid w:val="006F36E7"/>
    <w:rsid w:val="006F3936"/>
    <w:rsid w:val="006F3ABD"/>
    <w:rsid w:val="006F3B71"/>
    <w:rsid w:val="006F3F46"/>
    <w:rsid w:val="006F4153"/>
    <w:rsid w:val="006F42CF"/>
    <w:rsid w:val="006F44F8"/>
    <w:rsid w:val="006F4543"/>
    <w:rsid w:val="006F462B"/>
    <w:rsid w:val="006F466F"/>
    <w:rsid w:val="006F4694"/>
    <w:rsid w:val="006F4949"/>
    <w:rsid w:val="006F495B"/>
    <w:rsid w:val="006F4BB3"/>
    <w:rsid w:val="006F4E6A"/>
    <w:rsid w:val="006F4FF7"/>
    <w:rsid w:val="006F531F"/>
    <w:rsid w:val="006F5672"/>
    <w:rsid w:val="006F57A5"/>
    <w:rsid w:val="006F580E"/>
    <w:rsid w:val="006F58C7"/>
    <w:rsid w:val="006F5D36"/>
    <w:rsid w:val="006F5DEA"/>
    <w:rsid w:val="006F608C"/>
    <w:rsid w:val="006F60DF"/>
    <w:rsid w:val="006F6206"/>
    <w:rsid w:val="006F646C"/>
    <w:rsid w:val="006F665D"/>
    <w:rsid w:val="006F697F"/>
    <w:rsid w:val="006F6B69"/>
    <w:rsid w:val="006F6DCB"/>
    <w:rsid w:val="006F7096"/>
    <w:rsid w:val="006F76B3"/>
    <w:rsid w:val="006F7D66"/>
    <w:rsid w:val="00700396"/>
    <w:rsid w:val="007003FC"/>
    <w:rsid w:val="00700543"/>
    <w:rsid w:val="007005C9"/>
    <w:rsid w:val="007006AC"/>
    <w:rsid w:val="00700806"/>
    <w:rsid w:val="007008BA"/>
    <w:rsid w:val="007012A7"/>
    <w:rsid w:val="007013E6"/>
    <w:rsid w:val="007014E7"/>
    <w:rsid w:val="007016FE"/>
    <w:rsid w:val="0070185E"/>
    <w:rsid w:val="00701A15"/>
    <w:rsid w:val="00701C92"/>
    <w:rsid w:val="00701ED3"/>
    <w:rsid w:val="00701F4D"/>
    <w:rsid w:val="0070201A"/>
    <w:rsid w:val="00702188"/>
    <w:rsid w:val="0070222A"/>
    <w:rsid w:val="0070227F"/>
    <w:rsid w:val="0070243B"/>
    <w:rsid w:val="007029F4"/>
    <w:rsid w:val="00702AFE"/>
    <w:rsid w:val="00702C20"/>
    <w:rsid w:val="00702D7D"/>
    <w:rsid w:val="00702E48"/>
    <w:rsid w:val="00702E77"/>
    <w:rsid w:val="00702F54"/>
    <w:rsid w:val="00702F89"/>
    <w:rsid w:val="007033AD"/>
    <w:rsid w:val="00703662"/>
    <w:rsid w:val="0070369A"/>
    <w:rsid w:val="007036CE"/>
    <w:rsid w:val="0070382F"/>
    <w:rsid w:val="00703C26"/>
    <w:rsid w:val="00703DEC"/>
    <w:rsid w:val="00703EAC"/>
    <w:rsid w:val="00703FD6"/>
    <w:rsid w:val="00704556"/>
    <w:rsid w:val="007046E2"/>
    <w:rsid w:val="00704938"/>
    <w:rsid w:val="00704A03"/>
    <w:rsid w:val="00704DAE"/>
    <w:rsid w:val="00704E2E"/>
    <w:rsid w:val="00704EA3"/>
    <w:rsid w:val="0070504F"/>
    <w:rsid w:val="00705200"/>
    <w:rsid w:val="00705315"/>
    <w:rsid w:val="00705535"/>
    <w:rsid w:val="00705969"/>
    <w:rsid w:val="0070599B"/>
    <w:rsid w:val="00705B49"/>
    <w:rsid w:val="00705C6C"/>
    <w:rsid w:val="00705C70"/>
    <w:rsid w:val="00705CA4"/>
    <w:rsid w:val="00705DCC"/>
    <w:rsid w:val="00705F4D"/>
    <w:rsid w:val="00705F6B"/>
    <w:rsid w:val="00705F9D"/>
    <w:rsid w:val="0070624F"/>
    <w:rsid w:val="007063F4"/>
    <w:rsid w:val="0070648A"/>
    <w:rsid w:val="007069D5"/>
    <w:rsid w:val="00706A60"/>
    <w:rsid w:val="00706B73"/>
    <w:rsid w:val="0070738F"/>
    <w:rsid w:val="007075AE"/>
    <w:rsid w:val="00707630"/>
    <w:rsid w:val="00707664"/>
    <w:rsid w:val="00707850"/>
    <w:rsid w:val="007078F3"/>
    <w:rsid w:val="00707E2C"/>
    <w:rsid w:val="00707EAA"/>
    <w:rsid w:val="00707EEE"/>
    <w:rsid w:val="00707FDD"/>
    <w:rsid w:val="00710008"/>
    <w:rsid w:val="007101DA"/>
    <w:rsid w:val="00710219"/>
    <w:rsid w:val="0071024C"/>
    <w:rsid w:val="0071060E"/>
    <w:rsid w:val="00710A12"/>
    <w:rsid w:val="00710A30"/>
    <w:rsid w:val="00710E61"/>
    <w:rsid w:val="00711052"/>
    <w:rsid w:val="0071107B"/>
    <w:rsid w:val="0071121D"/>
    <w:rsid w:val="0071130D"/>
    <w:rsid w:val="007116A7"/>
    <w:rsid w:val="00711763"/>
    <w:rsid w:val="00711954"/>
    <w:rsid w:val="00711A53"/>
    <w:rsid w:val="00711D31"/>
    <w:rsid w:val="00711D36"/>
    <w:rsid w:val="007121DE"/>
    <w:rsid w:val="00712955"/>
    <w:rsid w:val="00712ADF"/>
    <w:rsid w:val="00712B08"/>
    <w:rsid w:val="00712E4F"/>
    <w:rsid w:val="007130F7"/>
    <w:rsid w:val="007133CC"/>
    <w:rsid w:val="00713B28"/>
    <w:rsid w:val="00713D24"/>
    <w:rsid w:val="00713EAB"/>
    <w:rsid w:val="00714353"/>
    <w:rsid w:val="007143E0"/>
    <w:rsid w:val="0071444A"/>
    <w:rsid w:val="0071453E"/>
    <w:rsid w:val="007145E7"/>
    <w:rsid w:val="0071471B"/>
    <w:rsid w:val="007147A0"/>
    <w:rsid w:val="00714AD3"/>
    <w:rsid w:val="00714F69"/>
    <w:rsid w:val="007157A8"/>
    <w:rsid w:val="00715AA5"/>
    <w:rsid w:val="00715BEF"/>
    <w:rsid w:val="00716032"/>
    <w:rsid w:val="007160CE"/>
    <w:rsid w:val="00716258"/>
    <w:rsid w:val="0071656E"/>
    <w:rsid w:val="007166C6"/>
    <w:rsid w:val="00716849"/>
    <w:rsid w:val="007168D2"/>
    <w:rsid w:val="00716F8E"/>
    <w:rsid w:val="00717417"/>
    <w:rsid w:val="00717514"/>
    <w:rsid w:val="00717553"/>
    <w:rsid w:val="00717952"/>
    <w:rsid w:val="00717DC4"/>
    <w:rsid w:val="00720252"/>
    <w:rsid w:val="0072028B"/>
    <w:rsid w:val="007202BC"/>
    <w:rsid w:val="00720A2D"/>
    <w:rsid w:val="00720B1B"/>
    <w:rsid w:val="00720DF0"/>
    <w:rsid w:val="007210C9"/>
    <w:rsid w:val="007210F6"/>
    <w:rsid w:val="0072110B"/>
    <w:rsid w:val="007212AD"/>
    <w:rsid w:val="007212C4"/>
    <w:rsid w:val="00721307"/>
    <w:rsid w:val="007214A8"/>
    <w:rsid w:val="00721B76"/>
    <w:rsid w:val="00721B8B"/>
    <w:rsid w:val="00721E4B"/>
    <w:rsid w:val="007220C8"/>
    <w:rsid w:val="0072264A"/>
    <w:rsid w:val="00722674"/>
    <w:rsid w:val="0072278D"/>
    <w:rsid w:val="00722942"/>
    <w:rsid w:val="007229C4"/>
    <w:rsid w:val="00722A16"/>
    <w:rsid w:val="00722D46"/>
    <w:rsid w:val="00722DD5"/>
    <w:rsid w:val="00722E24"/>
    <w:rsid w:val="00722F2E"/>
    <w:rsid w:val="00723073"/>
    <w:rsid w:val="00723297"/>
    <w:rsid w:val="00723314"/>
    <w:rsid w:val="00723543"/>
    <w:rsid w:val="00723545"/>
    <w:rsid w:val="007237DD"/>
    <w:rsid w:val="007238FB"/>
    <w:rsid w:val="00723A07"/>
    <w:rsid w:val="00723B47"/>
    <w:rsid w:val="00723B61"/>
    <w:rsid w:val="00723B82"/>
    <w:rsid w:val="00723D3E"/>
    <w:rsid w:val="0072467B"/>
    <w:rsid w:val="0072467E"/>
    <w:rsid w:val="007246B6"/>
    <w:rsid w:val="00724755"/>
    <w:rsid w:val="00724762"/>
    <w:rsid w:val="00724923"/>
    <w:rsid w:val="00724C97"/>
    <w:rsid w:val="00724DDD"/>
    <w:rsid w:val="00724E29"/>
    <w:rsid w:val="007250BA"/>
    <w:rsid w:val="00725114"/>
    <w:rsid w:val="0072546E"/>
    <w:rsid w:val="007255F3"/>
    <w:rsid w:val="00725815"/>
    <w:rsid w:val="00725890"/>
    <w:rsid w:val="00725ACF"/>
    <w:rsid w:val="00725B64"/>
    <w:rsid w:val="00725DD5"/>
    <w:rsid w:val="00725F4E"/>
    <w:rsid w:val="00725FD6"/>
    <w:rsid w:val="00725FE2"/>
    <w:rsid w:val="007261B3"/>
    <w:rsid w:val="007262A7"/>
    <w:rsid w:val="00726528"/>
    <w:rsid w:val="00726B37"/>
    <w:rsid w:val="00726B81"/>
    <w:rsid w:val="00726C5F"/>
    <w:rsid w:val="00727294"/>
    <w:rsid w:val="0072737D"/>
    <w:rsid w:val="00727463"/>
    <w:rsid w:val="00727493"/>
    <w:rsid w:val="0072756D"/>
    <w:rsid w:val="0072779B"/>
    <w:rsid w:val="007278FE"/>
    <w:rsid w:val="00727C7E"/>
    <w:rsid w:val="00727CB2"/>
    <w:rsid w:val="00727D44"/>
    <w:rsid w:val="00727DBE"/>
    <w:rsid w:val="00727F6C"/>
    <w:rsid w:val="007301D2"/>
    <w:rsid w:val="0073026A"/>
    <w:rsid w:val="007303CB"/>
    <w:rsid w:val="0073048A"/>
    <w:rsid w:val="007309D2"/>
    <w:rsid w:val="00730D39"/>
    <w:rsid w:val="00730D72"/>
    <w:rsid w:val="00730DAA"/>
    <w:rsid w:val="00730EB4"/>
    <w:rsid w:val="00731322"/>
    <w:rsid w:val="00731724"/>
    <w:rsid w:val="0073179A"/>
    <w:rsid w:val="00731B84"/>
    <w:rsid w:val="00731C0B"/>
    <w:rsid w:val="00732022"/>
    <w:rsid w:val="00732251"/>
    <w:rsid w:val="0073249A"/>
    <w:rsid w:val="00732683"/>
    <w:rsid w:val="00732A18"/>
    <w:rsid w:val="00732A4C"/>
    <w:rsid w:val="00732B8B"/>
    <w:rsid w:val="00732E65"/>
    <w:rsid w:val="007331CE"/>
    <w:rsid w:val="00733293"/>
    <w:rsid w:val="0073354D"/>
    <w:rsid w:val="0073384F"/>
    <w:rsid w:val="007338B5"/>
    <w:rsid w:val="00733E4C"/>
    <w:rsid w:val="00733FF3"/>
    <w:rsid w:val="00733FF9"/>
    <w:rsid w:val="00734070"/>
    <w:rsid w:val="007343AD"/>
    <w:rsid w:val="00734585"/>
    <w:rsid w:val="00734709"/>
    <w:rsid w:val="00734797"/>
    <w:rsid w:val="00734A6F"/>
    <w:rsid w:val="00734D0B"/>
    <w:rsid w:val="00734EB9"/>
    <w:rsid w:val="00734F5E"/>
    <w:rsid w:val="00735382"/>
    <w:rsid w:val="0073551B"/>
    <w:rsid w:val="00735B4A"/>
    <w:rsid w:val="00735C72"/>
    <w:rsid w:val="00735D24"/>
    <w:rsid w:val="00735EFF"/>
    <w:rsid w:val="00736126"/>
    <w:rsid w:val="00736238"/>
    <w:rsid w:val="00736329"/>
    <w:rsid w:val="0073632B"/>
    <w:rsid w:val="00736699"/>
    <w:rsid w:val="007366BF"/>
    <w:rsid w:val="007368E7"/>
    <w:rsid w:val="00736972"/>
    <w:rsid w:val="0073697D"/>
    <w:rsid w:val="00736C80"/>
    <w:rsid w:val="00736FA9"/>
    <w:rsid w:val="007374FA"/>
    <w:rsid w:val="00737685"/>
    <w:rsid w:val="00737A8F"/>
    <w:rsid w:val="00740730"/>
    <w:rsid w:val="007407DC"/>
    <w:rsid w:val="007409AC"/>
    <w:rsid w:val="00740B37"/>
    <w:rsid w:val="00740CA0"/>
    <w:rsid w:val="00740D24"/>
    <w:rsid w:val="00741037"/>
    <w:rsid w:val="007411CB"/>
    <w:rsid w:val="007414BF"/>
    <w:rsid w:val="007418DF"/>
    <w:rsid w:val="00741952"/>
    <w:rsid w:val="00741B2C"/>
    <w:rsid w:val="00741D82"/>
    <w:rsid w:val="00741DC2"/>
    <w:rsid w:val="00741F56"/>
    <w:rsid w:val="00741FFF"/>
    <w:rsid w:val="0074221A"/>
    <w:rsid w:val="00742858"/>
    <w:rsid w:val="0074299C"/>
    <w:rsid w:val="00742A7A"/>
    <w:rsid w:val="0074340F"/>
    <w:rsid w:val="007438C1"/>
    <w:rsid w:val="007439E0"/>
    <w:rsid w:val="00743E1E"/>
    <w:rsid w:val="00743F1C"/>
    <w:rsid w:val="00744506"/>
    <w:rsid w:val="00744741"/>
    <w:rsid w:val="007447AD"/>
    <w:rsid w:val="00744E46"/>
    <w:rsid w:val="00744EAD"/>
    <w:rsid w:val="0074503B"/>
    <w:rsid w:val="007450DD"/>
    <w:rsid w:val="0074517F"/>
    <w:rsid w:val="007451F9"/>
    <w:rsid w:val="0074532A"/>
    <w:rsid w:val="00745615"/>
    <w:rsid w:val="00745902"/>
    <w:rsid w:val="00745945"/>
    <w:rsid w:val="00745949"/>
    <w:rsid w:val="00745DDF"/>
    <w:rsid w:val="007464F5"/>
    <w:rsid w:val="00746FC2"/>
    <w:rsid w:val="007470F7"/>
    <w:rsid w:val="0074771B"/>
    <w:rsid w:val="0074791D"/>
    <w:rsid w:val="00747C53"/>
    <w:rsid w:val="00747D4C"/>
    <w:rsid w:val="00747E3C"/>
    <w:rsid w:val="0075008A"/>
    <w:rsid w:val="007501C8"/>
    <w:rsid w:val="00750304"/>
    <w:rsid w:val="00750324"/>
    <w:rsid w:val="007504CE"/>
    <w:rsid w:val="00750986"/>
    <w:rsid w:val="0075099C"/>
    <w:rsid w:val="00750C0F"/>
    <w:rsid w:val="00750F82"/>
    <w:rsid w:val="00751134"/>
    <w:rsid w:val="00751473"/>
    <w:rsid w:val="007515EA"/>
    <w:rsid w:val="007516FB"/>
    <w:rsid w:val="00751728"/>
    <w:rsid w:val="007517FC"/>
    <w:rsid w:val="00751936"/>
    <w:rsid w:val="00751B59"/>
    <w:rsid w:val="00752793"/>
    <w:rsid w:val="00752D94"/>
    <w:rsid w:val="00752DB1"/>
    <w:rsid w:val="00752FC9"/>
    <w:rsid w:val="007530E5"/>
    <w:rsid w:val="00753623"/>
    <w:rsid w:val="00753ACC"/>
    <w:rsid w:val="00753B2F"/>
    <w:rsid w:val="00753D66"/>
    <w:rsid w:val="00753EE4"/>
    <w:rsid w:val="00753FA5"/>
    <w:rsid w:val="00753FF0"/>
    <w:rsid w:val="00754088"/>
    <w:rsid w:val="007544C1"/>
    <w:rsid w:val="00754767"/>
    <w:rsid w:val="007547AD"/>
    <w:rsid w:val="007547ED"/>
    <w:rsid w:val="00754CDB"/>
    <w:rsid w:val="00754D20"/>
    <w:rsid w:val="00754D84"/>
    <w:rsid w:val="007551ED"/>
    <w:rsid w:val="00755348"/>
    <w:rsid w:val="00755801"/>
    <w:rsid w:val="00755967"/>
    <w:rsid w:val="00755AD2"/>
    <w:rsid w:val="00755CF0"/>
    <w:rsid w:val="00755E87"/>
    <w:rsid w:val="00756112"/>
    <w:rsid w:val="007562FF"/>
    <w:rsid w:val="007564B9"/>
    <w:rsid w:val="00756650"/>
    <w:rsid w:val="00756769"/>
    <w:rsid w:val="00756911"/>
    <w:rsid w:val="007569CB"/>
    <w:rsid w:val="00756A5A"/>
    <w:rsid w:val="00756CDE"/>
    <w:rsid w:val="00756F69"/>
    <w:rsid w:val="00757027"/>
    <w:rsid w:val="00757118"/>
    <w:rsid w:val="00757365"/>
    <w:rsid w:val="007575A0"/>
    <w:rsid w:val="007578E0"/>
    <w:rsid w:val="007579CD"/>
    <w:rsid w:val="007601B9"/>
    <w:rsid w:val="007603A8"/>
    <w:rsid w:val="007606ED"/>
    <w:rsid w:val="00760718"/>
    <w:rsid w:val="00760842"/>
    <w:rsid w:val="00760DC0"/>
    <w:rsid w:val="00760DCE"/>
    <w:rsid w:val="00760E17"/>
    <w:rsid w:val="00760E28"/>
    <w:rsid w:val="00760F36"/>
    <w:rsid w:val="00760F67"/>
    <w:rsid w:val="00760FD7"/>
    <w:rsid w:val="007614E0"/>
    <w:rsid w:val="00761B60"/>
    <w:rsid w:val="007621C0"/>
    <w:rsid w:val="007622A9"/>
    <w:rsid w:val="007622C7"/>
    <w:rsid w:val="0076234B"/>
    <w:rsid w:val="007624FC"/>
    <w:rsid w:val="007627CA"/>
    <w:rsid w:val="0076281F"/>
    <w:rsid w:val="007628FA"/>
    <w:rsid w:val="00762C38"/>
    <w:rsid w:val="00762E35"/>
    <w:rsid w:val="0076339A"/>
    <w:rsid w:val="00763E95"/>
    <w:rsid w:val="0076403F"/>
    <w:rsid w:val="0076438A"/>
    <w:rsid w:val="007644BD"/>
    <w:rsid w:val="0076463F"/>
    <w:rsid w:val="0076469E"/>
    <w:rsid w:val="00764861"/>
    <w:rsid w:val="00764871"/>
    <w:rsid w:val="00764AD3"/>
    <w:rsid w:val="00764E58"/>
    <w:rsid w:val="00764F24"/>
    <w:rsid w:val="0076535E"/>
    <w:rsid w:val="007653A0"/>
    <w:rsid w:val="0076566F"/>
    <w:rsid w:val="00765756"/>
    <w:rsid w:val="00765AB1"/>
    <w:rsid w:val="00765C71"/>
    <w:rsid w:val="00766128"/>
    <w:rsid w:val="007661AF"/>
    <w:rsid w:val="007661D6"/>
    <w:rsid w:val="00766226"/>
    <w:rsid w:val="0076634D"/>
    <w:rsid w:val="00766846"/>
    <w:rsid w:val="00766896"/>
    <w:rsid w:val="007670BB"/>
    <w:rsid w:val="00767102"/>
    <w:rsid w:val="007674F5"/>
    <w:rsid w:val="007674FE"/>
    <w:rsid w:val="00767C70"/>
    <w:rsid w:val="00767F9A"/>
    <w:rsid w:val="00770317"/>
    <w:rsid w:val="0077048B"/>
    <w:rsid w:val="0077061D"/>
    <w:rsid w:val="00770650"/>
    <w:rsid w:val="00770854"/>
    <w:rsid w:val="00770881"/>
    <w:rsid w:val="0077093A"/>
    <w:rsid w:val="00770968"/>
    <w:rsid w:val="007709DB"/>
    <w:rsid w:val="00770F7F"/>
    <w:rsid w:val="0077114B"/>
    <w:rsid w:val="007716BE"/>
    <w:rsid w:val="0077187B"/>
    <w:rsid w:val="007718CB"/>
    <w:rsid w:val="00771F1D"/>
    <w:rsid w:val="00772043"/>
    <w:rsid w:val="007727D3"/>
    <w:rsid w:val="00772A01"/>
    <w:rsid w:val="00772C59"/>
    <w:rsid w:val="00773197"/>
    <w:rsid w:val="00773243"/>
    <w:rsid w:val="00773329"/>
    <w:rsid w:val="00773337"/>
    <w:rsid w:val="0077398F"/>
    <w:rsid w:val="00773EA4"/>
    <w:rsid w:val="00773EC6"/>
    <w:rsid w:val="0077414D"/>
    <w:rsid w:val="007741D1"/>
    <w:rsid w:val="0077458F"/>
    <w:rsid w:val="00774617"/>
    <w:rsid w:val="007746D5"/>
    <w:rsid w:val="00774726"/>
    <w:rsid w:val="007749A1"/>
    <w:rsid w:val="007749A2"/>
    <w:rsid w:val="00774A8A"/>
    <w:rsid w:val="00774B31"/>
    <w:rsid w:val="00774B36"/>
    <w:rsid w:val="00774B51"/>
    <w:rsid w:val="00774CA1"/>
    <w:rsid w:val="00774FE2"/>
    <w:rsid w:val="0077510F"/>
    <w:rsid w:val="00775645"/>
    <w:rsid w:val="00775E25"/>
    <w:rsid w:val="00775E2E"/>
    <w:rsid w:val="00775F37"/>
    <w:rsid w:val="00775FD8"/>
    <w:rsid w:val="007766B9"/>
    <w:rsid w:val="00776818"/>
    <w:rsid w:val="0077682F"/>
    <w:rsid w:val="007768C3"/>
    <w:rsid w:val="00776D08"/>
    <w:rsid w:val="00776DC5"/>
    <w:rsid w:val="00777183"/>
    <w:rsid w:val="00777197"/>
    <w:rsid w:val="007771B8"/>
    <w:rsid w:val="007771F4"/>
    <w:rsid w:val="0077724E"/>
    <w:rsid w:val="007772A0"/>
    <w:rsid w:val="007773A2"/>
    <w:rsid w:val="00777463"/>
    <w:rsid w:val="0077751F"/>
    <w:rsid w:val="0077756C"/>
    <w:rsid w:val="0078001D"/>
    <w:rsid w:val="007800C3"/>
    <w:rsid w:val="00780361"/>
    <w:rsid w:val="00780635"/>
    <w:rsid w:val="007806A2"/>
    <w:rsid w:val="007806C1"/>
    <w:rsid w:val="00780701"/>
    <w:rsid w:val="0078079E"/>
    <w:rsid w:val="00780874"/>
    <w:rsid w:val="007808D8"/>
    <w:rsid w:val="00780D1C"/>
    <w:rsid w:val="007810D2"/>
    <w:rsid w:val="007810D5"/>
    <w:rsid w:val="0078116B"/>
    <w:rsid w:val="00781178"/>
    <w:rsid w:val="00781484"/>
    <w:rsid w:val="0078172A"/>
    <w:rsid w:val="0078191C"/>
    <w:rsid w:val="00781976"/>
    <w:rsid w:val="00781977"/>
    <w:rsid w:val="0078211B"/>
    <w:rsid w:val="00782217"/>
    <w:rsid w:val="00782494"/>
    <w:rsid w:val="007824B0"/>
    <w:rsid w:val="00782683"/>
    <w:rsid w:val="007827E9"/>
    <w:rsid w:val="00782E38"/>
    <w:rsid w:val="00782EB7"/>
    <w:rsid w:val="00782EDA"/>
    <w:rsid w:val="00783198"/>
    <w:rsid w:val="00783231"/>
    <w:rsid w:val="0078328D"/>
    <w:rsid w:val="007833C8"/>
    <w:rsid w:val="0078351D"/>
    <w:rsid w:val="007837A3"/>
    <w:rsid w:val="007838F6"/>
    <w:rsid w:val="00783996"/>
    <w:rsid w:val="00783B84"/>
    <w:rsid w:val="00783FA8"/>
    <w:rsid w:val="007840E1"/>
    <w:rsid w:val="007842AA"/>
    <w:rsid w:val="007848F2"/>
    <w:rsid w:val="007849AF"/>
    <w:rsid w:val="00784AEB"/>
    <w:rsid w:val="00784E88"/>
    <w:rsid w:val="00784F61"/>
    <w:rsid w:val="00785297"/>
    <w:rsid w:val="007852EC"/>
    <w:rsid w:val="007856EB"/>
    <w:rsid w:val="007857AF"/>
    <w:rsid w:val="0078590B"/>
    <w:rsid w:val="007859D0"/>
    <w:rsid w:val="00785A9D"/>
    <w:rsid w:val="00785B7D"/>
    <w:rsid w:val="00786109"/>
    <w:rsid w:val="00786463"/>
    <w:rsid w:val="007868EB"/>
    <w:rsid w:val="007868F4"/>
    <w:rsid w:val="00786D5A"/>
    <w:rsid w:val="00786F24"/>
    <w:rsid w:val="0078735C"/>
    <w:rsid w:val="00787413"/>
    <w:rsid w:val="007874DF"/>
    <w:rsid w:val="00787B9A"/>
    <w:rsid w:val="00787E55"/>
    <w:rsid w:val="00787EB2"/>
    <w:rsid w:val="00787F87"/>
    <w:rsid w:val="00787FD7"/>
    <w:rsid w:val="007900BD"/>
    <w:rsid w:val="0079018B"/>
    <w:rsid w:val="0079052F"/>
    <w:rsid w:val="0079078F"/>
    <w:rsid w:val="00790B9F"/>
    <w:rsid w:val="00790DEB"/>
    <w:rsid w:val="00790E1D"/>
    <w:rsid w:val="00790F21"/>
    <w:rsid w:val="0079108A"/>
    <w:rsid w:val="007910E8"/>
    <w:rsid w:val="00791192"/>
    <w:rsid w:val="0079153C"/>
    <w:rsid w:val="007916AE"/>
    <w:rsid w:val="007916DC"/>
    <w:rsid w:val="0079196C"/>
    <w:rsid w:val="00791D1C"/>
    <w:rsid w:val="00791E1C"/>
    <w:rsid w:val="007920DC"/>
    <w:rsid w:val="00792314"/>
    <w:rsid w:val="00792551"/>
    <w:rsid w:val="00792A62"/>
    <w:rsid w:val="00792BB7"/>
    <w:rsid w:val="00792D30"/>
    <w:rsid w:val="00792D7D"/>
    <w:rsid w:val="00792E41"/>
    <w:rsid w:val="0079303F"/>
    <w:rsid w:val="00793050"/>
    <w:rsid w:val="007930D9"/>
    <w:rsid w:val="0079336F"/>
    <w:rsid w:val="007936D7"/>
    <w:rsid w:val="00793968"/>
    <w:rsid w:val="007939B9"/>
    <w:rsid w:val="00793A79"/>
    <w:rsid w:val="00793DFA"/>
    <w:rsid w:val="00793F6C"/>
    <w:rsid w:val="0079401F"/>
    <w:rsid w:val="00794052"/>
    <w:rsid w:val="00794314"/>
    <w:rsid w:val="00794ACA"/>
    <w:rsid w:val="00794D6E"/>
    <w:rsid w:val="00794FAE"/>
    <w:rsid w:val="007950B2"/>
    <w:rsid w:val="0079537B"/>
    <w:rsid w:val="007953AF"/>
    <w:rsid w:val="00795813"/>
    <w:rsid w:val="00795A13"/>
    <w:rsid w:val="00795B1C"/>
    <w:rsid w:val="00795C1F"/>
    <w:rsid w:val="00795E00"/>
    <w:rsid w:val="00796030"/>
    <w:rsid w:val="0079627C"/>
    <w:rsid w:val="0079651F"/>
    <w:rsid w:val="007965B2"/>
    <w:rsid w:val="00796666"/>
    <w:rsid w:val="007967ED"/>
    <w:rsid w:val="007967F1"/>
    <w:rsid w:val="00796C7E"/>
    <w:rsid w:val="00796D54"/>
    <w:rsid w:val="00796EFC"/>
    <w:rsid w:val="00797035"/>
    <w:rsid w:val="0079716F"/>
    <w:rsid w:val="0079727E"/>
    <w:rsid w:val="00797519"/>
    <w:rsid w:val="00797596"/>
    <w:rsid w:val="00797970"/>
    <w:rsid w:val="007A02FC"/>
    <w:rsid w:val="007A0507"/>
    <w:rsid w:val="007A0577"/>
    <w:rsid w:val="007A0692"/>
    <w:rsid w:val="007A08AA"/>
    <w:rsid w:val="007A0A0B"/>
    <w:rsid w:val="007A0BAD"/>
    <w:rsid w:val="007A1068"/>
    <w:rsid w:val="007A11C6"/>
    <w:rsid w:val="007A1273"/>
    <w:rsid w:val="007A1819"/>
    <w:rsid w:val="007A1FB9"/>
    <w:rsid w:val="007A233A"/>
    <w:rsid w:val="007A26B3"/>
    <w:rsid w:val="007A26E2"/>
    <w:rsid w:val="007A27CF"/>
    <w:rsid w:val="007A2AA0"/>
    <w:rsid w:val="007A2EF6"/>
    <w:rsid w:val="007A3397"/>
    <w:rsid w:val="007A358D"/>
    <w:rsid w:val="007A35E3"/>
    <w:rsid w:val="007A3806"/>
    <w:rsid w:val="007A399C"/>
    <w:rsid w:val="007A3A80"/>
    <w:rsid w:val="007A3BC7"/>
    <w:rsid w:val="007A4262"/>
    <w:rsid w:val="007A42DD"/>
    <w:rsid w:val="007A42F7"/>
    <w:rsid w:val="007A44D0"/>
    <w:rsid w:val="007A45F2"/>
    <w:rsid w:val="007A4787"/>
    <w:rsid w:val="007A47A2"/>
    <w:rsid w:val="007A49B3"/>
    <w:rsid w:val="007A4B3F"/>
    <w:rsid w:val="007A4B95"/>
    <w:rsid w:val="007A4C8F"/>
    <w:rsid w:val="007A4ECB"/>
    <w:rsid w:val="007A4F69"/>
    <w:rsid w:val="007A51D3"/>
    <w:rsid w:val="007A530C"/>
    <w:rsid w:val="007A5354"/>
    <w:rsid w:val="007A53E8"/>
    <w:rsid w:val="007A55EA"/>
    <w:rsid w:val="007A5C27"/>
    <w:rsid w:val="007A5CD0"/>
    <w:rsid w:val="007A5D1E"/>
    <w:rsid w:val="007A5D92"/>
    <w:rsid w:val="007A6404"/>
    <w:rsid w:val="007A6557"/>
    <w:rsid w:val="007A6CE0"/>
    <w:rsid w:val="007A6DD9"/>
    <w:rsid w:val="007A6E36"/>
    <w:rsid w:val="007A704D"/>
    <w:rsid w:val="007A7223"/>
    <w:rsid w:val="007A72B0"/>
    <w:rsid w:val="007A74D7"/>
    <w:rsid w:val="007A7714"/>
    <w:rsid w:val="007A7BD0"/>
    <w:rsid w:val="007A7E4A"/>
    <w:rsid w:val="007A7FA7"/>
    <w:rsid w:val="007B0249"/>
    <w:rsid w:val="007B0468"/>
    <w:rsid w:val="007B04F9"/>
    <w:rsid w:val="007B067D"/>
    <w:rsid w:val="007B076E"/>
    <w:rsid w:val="007B07F7"/>
    <w:rsid w:val="007B1035"/>
    <w:rsid w:val="007B1054"/>
    <w:rsid w:val="007B128D"/>
    <w:rsid w:val="007B1638"/>
    <w:rsid w:val="007B18BA"/>
    <w:rsid w:val="007B19FA"/>
    <w:rsid w:val="007B1B56"/>
    <w:rsid w:val="007B1C1E"/>
    <w:rsid w:val="007B1F55"/>
    <w:rsid w:val="007B1F80"/>
    <w:rsid w:val="007B2168"/>
    <w:rsid w:val="007B2206"/>
    <w:rsid w:val="007B22C7"/>
    <w:rsid w:val="007B24D3"/>
    <w:rsid w:val="007B26A4"/>
    <w:rsid w:val="007B2876"/>
    <w:rsid w:val="007B295F"/>
    <w:rsid w:val="007B2C10"/>
    <w:rsid w:val="007B2E9D"/>
    <w:rsid w:val="007B2EAF"/>
    <w:rsid w:val="007B2EFA"/>
    <w:rsid w:val="007B2FA5"/>
    <w:rsid w:val="007B306B"/>
    <w:rsid w:val="007B31A4"/>
    <w:rsid w:val="007B339A"/>
    <w:rsid w:val="007B36C4"/>
    <w:rsid w:val="007B3791"/>
    <w:rsid w:val="007B3AE8"/>
    <w:rsid w:val="007B3B78"/>
    <w:rsid w:val="007B3C0F"/>
    <w:rsid w:val="007B3E5E"/>
    <w:rsid w:val="007B3EE9"/>
    <w:rsid w:val="007B3F80"/>
    <w:rsid w:val="007B4060"/>
    <w:rsid w:val="007B4201"/>
    <w:rsid w:val="007B42EC"/>
    <w:rsid w:val="007B42F3"/>
    <w:rsid w:val="007B430B"/>
    <w:rsid w:val="007B4799"/>
    <w:rsid w:val="007B4B76"/>
    <w:rsid w:val="007B4C93"/>
    <w:rsid w:val="007B4ECF"/>
    <w:rsid w:val="007B4F4A"/>
    <w:rsid w:val="007B5788"/>
    <w:rsid w:val="007B58AD"/>
    <w:rsid w:val="007B58D6"/>
    <w:rsid w:val="007B5CDD"/>
    <w:rsid w:val="007B5DDA"/>
    <w:rsid w:val="007B613B"/>
    <w:rsid w:val="007B6441"/>
    <w:rsid w:val="007B66C7"/>
    <w:rsid w:val="007B6FAA"/>
    <w:rsid w:val="007B7048"/>
    <w:rsid w:val="007B708B"/>
    <w:rsid w:val="007B710F"/>
    <w:rsid w:val="007B71A5"/>
    <w:rsid w:val="007B737A"/>
    <w:rsid w:val="007B751F"/>
    <w:rsid w:val="007B7C81"/>
    <w:rsid w:val="007B7D6D"/>
    <w:rsid w:val="007B7E92"/>
    <w:rsid w:val="007B7F45"/>
    <w:rsid w:val="007C0629"/>
    <w:rsid w:val="007C062B"/>
    <w:rsid w:val="007C0C70"/>
    <w:rsid w:val="007C120E"/>
    <w:rsid w:val="007C12F6"/>
    <w:rsid w:val="007C1917"/>
    <w:rsid w:val="007C199F"/>
    <w:rsid w:val="007C1AF9"/>
    <w:rsid w:val="007C1C17"/>
    <w:rsid w:val="007C1D19"/>
    <w:rsid w:val="007C22E3"/>
    <w:rsid w:val="007C23B7"/>
    <w:rsid w:val="007C2498"/>
    <w:rsid w:val="007C2503"/>
    <w:rsid w:val="007C2A37"/>
    <w:rsid w:val="007C2AC8"/>
    <w:rsid w:val="007C2B6A"/>
    <w:rsid w:val="007C2C3A"/>
    <w:rsid w:val="007C2D2D"/>
    <w:rsid w:val="007C2E1E"/>
    <w:rsid w:val="007C2F11"/>
    <w:rsid w:val="007C308A"/>
    <w:rsid w:val="007C308B"/>
    <w:rsid w:val="007C33A5"/>
    <w:rsid w:val="007C3556"/>
    <w:rsid w:val="007C373C"/>
    <w:rsid w:val="007C3878"/>
    <w:rsid w:val="007C3D69"/>
    <w:rsid w:val="007C3DEA"/>
    <w:rsid w:val="007C3F94"/>
    <w:rsid w:val="007C3FBB"/>
    <w:rsid w:val="007C4598"/>
    <w:rsid w:val="007C4787"/>
    <w:rsid w:val="007C486F"/>
    <w:rsid w:val="007C488F"/>
    <w:rsid w:val="007C4897"/>
    <w:rsid w:val="007C48C2"/>
    <w:rsid w:val="007C4C0F"/>
    <w:rsid w:val="007C508B"/>
    <w:rsid w:val="007C5365"/>
    <w:rsid w:val="007C5404"/>
    <w:rsid w:val="007C56C7"/>
    <w:rsid w:val="007C5851"/>
    <w:rsid w:val="007C58CF"/>
    <w:rsid w:val="007C5ADA"/>
    <w:rsid w:val="007C5E46"/>
    <w:rsid w:val="007C5EF0"/>
    <w:rsid w:val="007C5F98"/>
    <w:rsid w:val="007C61AE"/>
    <w:rsid w:val="007C6435"/>
    <w:rsid w:val="007C64D0"/>
    <w:rsid w:val="007C6565"/>
    <w:rsid w:val="007C6DB5"/>
    <w:rsid w:val="007C6EBA"/>
    <w:rsid w:val="007C7022"/>
    <w:rsid w:val="007C70F3"/>
    <w:rsid w:val="007C7250"/>
    <w:rsid w:val="007C72BC"/>
    <w:rsid w:val="007C75EC"/>
    <w:rsid w:val="007C78FA"/>
    <w:rsid w:val="007C7C13"/>
    <w:rsid w:val="007D0319"/>
    <w:rsid w:val="007D046D"/>
    <w:rsid w:val="007D048E"/>
    <w:rsid w:val="007D05D2"/>
    <w:rsid w:val="007D076E"/>
    <w:rsid w:val="007D0779"/>
    <w:rsid w:val="007D0970"/>
    <w:rsid w:val="007D09D0"/>
    <w:rsid w:val="007D0F49"/>
    <w:rsid w:val="007D11BF"/>
    <w:rsid w:val="007D1331"/>
    <w:rsid w:val="007D158E"/>
    <w:rsid w:val="007D17D5"/>
    <w:rsid w:val="007D1BCA"/>
    <w:rsid w:val="007D1C8C"/>
    <w:rsid w:val="007D1CEC"/>
    <w:rsid w:val="007D2021"/>
    <w:rsid w:val="007D213E"/>
    <w:rsid w:val="007D23A3"/>
    <w:rsid w:val="007D24E5"/>
    <w:rsid w:val="007D25A3"/>
    <w:rsid w:val="007D2635"/>
    <w:rsid w:val="007D273B"/>
    <w:rsid w:val="007D27DD"/>
    <w:rsid w:val="007D2B5B"/>
    <w:rsid w:val="007D2C33"/>
    <w:rsid w:val="007D2C6A"/>
    <w:rsid w:val="007D2DE1"/>
    <w:rsid w:val="007D320B"/>
    <w:rsid w:val="007D3354"/>
    <w:rsid w:val="007D34E2"/>
    <w:rsid w:val="007D3681"/>
    <w:rsid w:val="007D36A2"/>
    <w:rsid w:val="007D3B10"/>
    <w:rsid w:val="007D411D"/>
    <w:rsid w:val="007D4528"/>
    <w:rsid w:val="007D4978"/>
    <w:rsid w:val="007D4982"/>
    <w:rsid w:val="007D4A48"/>
    <w:rsid w:val="007D4B5A"/>
    <w:rsid w:val="007D4CD3"/>
    <w:rsid w:val="007D4F84"/>
    <w:rsid w:val="007D4FCE"/>
    <w:rsid w:val="007D4FD7"/>
    <w:rsid w:val="007D50BD"/>
    <w:rsid w:val="007D519E"/>
    <w:rsid w:val="007D550B"/>
    <w:rsid w:val="007D5689"/>
    <w:rsid w:val="007D5752"/>
    <w:rsid w:val="007D5B64"/>
    <w:rsid w:val="007D5C32"/>
    <w:rsid w:val="007D5DA1"/>
    <w:rsid w:val="007D5F00"/>
    <w:rsid w:val="007D60F5"/>
    <w:rsid w:val="007D611A"/>
    <w:rsid w:val="007D6491"/>
    <w:rsid w:val="007D6A47"/>
    <w:rsid w:val="007D6E3E"/>
    <w:rsid w:val="007D6EFC"/>
    <w:rsid w:val="007D7064"/>
    <w:rsid w:val="007D71CD"/>
    <w:rsid w:val="007D726C"/>
    <w:rsid w:val="007D73B9"/>
    <w:rsid w:val="007D73E4"/>
    <w:rsid w:val="007D7656"/>
    <w:rsid w:val="007D7A32"/>
    <w:rsid w:val="007D7FE7"/>
    <w:rsid w:val="007E022C"/>
    <w:rsid w:val="007E0603"/>
    <w:rsid w:val="007E068B"/>
    <w:rsid w:val="007E092B"/>
    <w:rsid w:val="007E0D41"/>
    <w:rsid w:val="007E0EED"/>
    <w:rsid w:val="007E100C"/>
    <w:rsid w:val="007E10AE"/>
    <w:rsid w:val="007E12D9"/>
    <w:rsid w:val="007E1516"/>
    <w:rsid w:val="007E171C"/>
    <w:rsid w:val="007E1817"/>
    <w:rsid w:val="007E1933"/>
    <w:rsid w:val="007E1966"/>
    <w:rsid w:val="007E19A3"/>
    <w:rsid w:val="007E1B36"/>
    <w:rsid w:val="007E1E51"/>
    <w:rsid w:val="007E1EDD"/>
    <w:rsid w:val="007E1F4F"/>
    <w:rsid w:val="007E1F6D"/>
    <w:rsid w:val="007E2336"/>
    <w:rsid w:val="007E26E3"/>
    <w:rsid w:val="007E2A00"/>
    <w:rsid w:val="007E2E05"/>
    <w:rsid w:val="007E2E93"/>
    <w:rsid w:val="007E2EDD"/>
    <w:rsid w:val="007E3107"/>
    <w:rsid w:val="007E348C"/>
    <w:rsid w:val="007E366F"/>
    <w:rsid w:val="007E3D00"/>
    <w:rsid w:val="007E3EDE"/>
    <w:rsid w:val="007E440E"/>
    <w:rsid w:val="007E48CD"/>
    <w:rsid w:val="007E4966"/>
    <w:rsid w:val="007E4BB4"/>
    <w:rsid w:val="007E4CA8"/>
    <w:rsid w:val="007E4CA9"/>
    <w:rsid w:val="007E4D22"/>
    <w:rsid w:val="007E528B"/>
    <w:rsid w:val="007E5343"/>
    <w:rsid w:val="007E5789"/>
    <w:rsid w:val="007E5B9A"/>
    <w:rsid w:val="007E5BC0"/>
    <w:rsid w:val="007E5D9C"/>
    <w:rsid w:val="007E607A"/>
    <w:rsid w:val="007E65A3"/>
    <w:rsid w:val="007E6745"/>
    <w:rsid w:val="007E6B5B"/>
    <w:rsid w:val="007E6BC7"/>
    <w:rsid w:val="007E6D1F"/>
    <w:rsid w:val="007E6E7C"/>
    <w:rsid w:val="007E6EE7"/>
    <w:rsid w:val="007E73EC"/>
    <w:rsid w:val="007E75A2"/>
    <w:rsid w:val="007E75FE"/>
    <w:rsid w:val="007E76F2"/>
    <w:rsid w:val="007E7C75"/>
    <w:rsid w:val="007E7D23"/>
    <w:rsid w:val="007E7F5E"/>
    <w:rsid w:val="007F015E"/>
    <w:rsid w:val="007F0182"/>
    <w:rsid w:val="007F0265"/>
    <w:rsid w:val="007F06ED"/>
    <w:rsid w:val="007F0909"/>
    <w:rsid w:val="007F09E2"/>
    <w:rsid w:val="007F0B09"/>
    <w:rsid w:val="007F0C97"/>
    <w:rsid w:val="007F0EE6"/>
    <w:rsid w:val="007F141D"/>
    <w:rsid w:val="007F15C7"/>
    <w:rsid w:val="007F1687"/>
    <w:rsid w:val="007F17FF"/>
    <w:rsid w:val="007F192C"/>
    <w:rsid w:val="007F1BB4"/>
    <w:rsid w:val="007F1E45"/>
    <w:rsid w:val="007F1F98"/>
    <w:rsid w:val="007F21F1"/>
    <w:rsid w:val="007F2237"/>
    <w:rsid w:val="007F2258"/>
    <w:rsid w:val="007F2471"/>
    <w:rsid w:val="007F296D"/>
    <w:rsid w:val="007F29D5"/>
    <w:rsid w:val="007F2C45"/>
    <w:rsid w:val="007F2E04"/>
    <w:rsid w:val="007F2EFF"/>
    <w:rsid w:val="007F30C7"/>
    <w:rsid w:val="007F3182"/>
    <w:rsid w:val="007F35CB"/>
    <w:rsid w:val="007F36A5"/>
    <w:rsid w:val="007F38E8"/>
    <w:rsid w:val="007F3A3A"/>
    <w:rsid w:val="007F3B8E"/>
    <w:rsid w:val="007F3F86"/>
    <w:rsid w:val="007F41AD"/>
    <w:rsid w:val="007F41CA"/>
    <w:rsid w:val="007F4C3F"/>
    <w:rsid w:val="007F4CD4"/>
    <w:rsid w:val="007F4DDE"/>
    <w:rsid w:val="007F5410"/>
    <w:rsid w:val="007F55F6"/>
    <w:rsid w:val="007F5721"/>
    <w:rsid w:val="007F5941"/>
    <w:rsid w:val="007F5962"/>
    <w:rsid w:val="007F59C0"/>
    <w:rsid w:val="007F5CFA"/>
    <w:rsid w:val="007F6157"/>
    <w:rsid w:val="007F619F"/>
    <w:rsid w:val="007F67C0"/>
    <w:rsid w:val="007F6926"/>
    <w:rsid w:val="007F6B1F"/>
    <w:rsid w:val="007F6CC6"/>
    <w:rsid w:val="007F6D3A"/>
    <w:rsid w:val="007F6DD6"/>
    <w:rsid w:val="007F6DFD"/>
    <w:rsid w:val="007F6F21"/>
    <w:rsid w:val="007F6F48"/>
    <w:rsid w:val="007F6FA5"/>
    <w:rsid w:val="007F705A"/>
    <w:rsid w:val="007F755E"/>
    <w:rsid w:val="007F762E"/>
    <w:rsid w:val="007F76FA"/>
    <w:rsid w:val="007F7864"/>
    <w:rsid w:val="007F7A2F"/>
    <w:rsid w:val="007F7AA2"/>
    <w:rsid w:val="007F7AE3"/>
    <w:rsid w:val="007F7B65"/>
    <w:rsid w:val="007F7F50"/>
    <w:rsid w:val="00800013"/>
    <w:rsid w:val="0080007C"/>
    <w:rsid w:val="008000F5"/>
    <w:rsid w:val="00800142"/>
    <w:rsid w:val="00800165"/>
    <w:rsid w:val="008001E1"/>
    <w:rsid w:val="008002B8"/>
    <w:rsid w:val="008003C5"/>
    <w:rsid w:val="008003F0"/>
    <w:rsid w:val="008005B3"/>
    <w:rsid w:val="00800DC3"/>
    <w:rsid w:val="00800E6E"/>
    <w:rsid w:val="00800EEF"/>
    <w:rsid w:val="00801020"/>
    <w:rsid w:val="008013C9"/>
    <w:rsid w:val="00801552"/>
    <w:rsid w:val="008015CF"/>
    <w:rsid w:val="00801BA3"/>
    <w:rsid w:val="00801CEC"/>
    <w:rsid w:val="0080202E"/>
    <w:rsid w:val="00802109"/>
    <w:rsid w:val="00802124"/>
    <w:rsid w:val="00802212"/>
    <w:rsid w:val="008023A8"/>
    <w:rsid w:val="008023AD"/>
    <w:rsid w:val="008023EB"/>
    <w:rsid w:val="008025ED"/>
    <w:rsid w:val="00802966"/>
    <w:rsid w:val="00802B9C"/>
    <w:rsid w:val="00802E5F"/>
    <w:rsid w:val="00803053"/>
    <w:rsid w:val="008034A0"/>
    <w:rsid w:val="008035D2"/>
    <w:rsid w:val="00803769"/>
    <w:rsid w:val="0080382B"/>
    <w:rsid w:val="00803928"/>
    <w:rsid w:val="008039D4"/>
    <w:rsid w:val="00803AE2"/>
    <w:rsid w:val="00803CBE"/>
    <w:rsid w:val="00803D11"/>
    <w:rsid w:val="00803EF8"/>
    <w:rsid w:val="008040F4"/>
    <w:rsid w:val="0080412F"/>
    <w:rsid w:val="00804167"/>
    <w:rsid w:val="008044B0"/>
    <w:rsid w:val="00804628"/>
    <w:rsid w:val="0080465E"/>
    <w:rsid w:val="008046A5"/>
    <w:rsid w:val="008046BE"/>
    <w:rsid w:val="0080487B"/>
    <w:rsid w:val="00805132"/>
    <w:rsid w:val="008056D0"/>
    <w:rsid w:val="00805849"/>
    <w:rsid w:val="00805AF5"/>
    <w:rsid w:val="00805C31"/>
    <w:rsid w:val="00805F8E"/>
    <w:rsid w:val="008062EF"/>
    <w:rsid w:val="00806533"/>
    <w:rsid w:val="00806671"/>
    <w:rsid w:val="00806762"/>
    <w:rsid w:val="0080682B"/>
    <w:rsid w:val="008068FA"/>
    <w:rsid w:val="00806988"/>
    <w:rsid w:val="00806BD3"/>
    <w:rsid w:val="00806C93"/>
    <w:rsid w:val="00806D19"/>
    <w:rsid w:val="00806EBA"/>
    <w:rsid w:val="0080702D"/>
    <w:rsid w:val="008070F8"/>
    <w:rsid w:val="00807139"/>
    <w:rsid w:val="0080776D"/>
    <w:rsid w:val="00807863"/>
    <w:rsid w:val="008078E2"/>
    <w:rsid w:val="00807A93"/>
    <w:rsid w:val="00807C7E"/>
    <w:rsid w:val="00807E14"/>
    <w:rsid w:val="00807FE2"/>
    <w:rsid w:val="00810094"/>
    <w:rsid w:val="008103CB"/>
    <w:rsid w:val="0081045C"/>
    <w:rsid w:val="008106C3"/>
    <w:rsid w:val="00810D43"/>
    <w:rsid w:val="00810F78"/>
    <w:rsid w:val="00810FAA"/>
    <w:rsid w:val="008116CE"/>
    <w:rsid w:val="00811EC6"/>
    <w:rsid w:val="0081207F"/>
    <w:rsid w:val="008120DA"/>
    <w:rsid w:val="00812310"/>
    <w:rsid w:val="0081250E"/>
    <w:rsid w:val="00812806"/>
    <w:rsid w:val="00812A0B"/>
    <w:rsid w:val="00812ABD"/>
    <w:rsid w:val="00812D25"/>
    <w:rsid w:val="00812D39"/>
    <w:rsid w:val="00812EF2"/>
    <w:rsid w:val="00812FD0"/>
    <w:rsid w:val="00813352"/>
    <w:rsid w:val="00813455"/>
    <w:rsid w:val="00813525"/>
    <w:rsid w:val="008136EE"/>
    <w:rsid w:val="00813A4B"/>
    <w:rsid w:val="008142C0"/>
    <w:rsid w:val="0081464E"/>
    <w:rsid w:val="008146EC"/>
    <w:rsid w:val="008149C9"/>
    <w:rsid w:val="00814BEB"/>
    <w:rsid w:val="00814CF4"/>
    <w:rsid w:val="00814CF9"/>
    <w:rsid w:val="0081503E"/>
    <w:rsid w:val="00815167"/>
    <w:rsid w:val="0081536E"/>
    <w:rsid w:val="0081540A"/>
    <w:rsid w:val="00815591"/>
    <w:rsid w:val="0081564D"/>
    <w:rsid w:val="00815717"/>
    <w:rsid w:val="00815783"/>
    <w:rsid w:val="00815D9D"/>
    <w:rsid w:val="00815E6A"/>
    <w:rsid w:val="008160E0"/>
    <w:rsid w:val="00816138"/>
    <w:rsid w:val="008161CE"/>
    <w:rsid w:val="008162F0"/>
    <w:rsid w:val="00816D11"/>
    <w:rsid w:val="00816E57"/>
    <w:rsid w:val="00816F7A"/>
    <w:rsid w:val="00817184"/>
    <w:rsid w:val="008171CA"/>
    <w:rsid w:val="00817292"/>
    <w:rsid w:val="008175D4"/>
    <w:rsid w:val="008175E2"/>
    <w:rsid w:val="008176FF"/>
    <w:rsid w:val="00817737"/>
    <w:rsid w:val="00817C86"/>
    <w:rsid w:val="00817FB2"/>
    <w:rsid w:val="008200A4"/>
    <w:rsid w:val="00820105"/>
    <w:rsid w:val="008204C3"/>
    <w:rsid w:val="00820505"/>
    <w:rsid w:val="00820840"/>
    <w:rsid w:val="008209EC"/>
    <w:rsid w:val="00820A83"/>
    <w:rsid w:val="00820AB1"/>
    <w:rsid w:val="00820C46"/>
    <w:rsid w:val="00820F63"/>
    <w:rsid w:val="00820FB7"/>
    <w:rsid w:val="00821115"/>
    <w:rsid w:val="00821175"/>
    <w:rsid w:val="008214E5"/>
    <w:rsid w:val="0082190D"/>
    <w:rsid w:val="008219BB"/>
    <w:rsid w:val="00821A41"/>
    <w:rsid w:val="00821DAA"/>
    <w:rsid w:val="00821DD4"/>
    <w:rsid w:val="00821EB6"/>
    <w:rsid w:val="00821ECB"/>
    <w:rsid w:val="00822138"/>
    <w:rsid w:val="008222E5"/>
    <w:rsid w:val="00822367"/>
    <w:rsid w:val="0082269C"/>
    <w:rsid w:val="00822DC6"/>
    <w:rsid w:val="00822EB5"/>
    <w:rsid w:val="00822EE0"/>
    <w:rsid w:val="00822FC3"/>
    <w:rsid w:val="00823619"/>
    <w:rsid w:val="008237BE"/>
    <w:rsid w:val="00823BF3"/>
    <w:rsid w:val="0082436A"/>
    <w:rsid w:val="0082438C"/>
    <w:rsid w:val="00824443"/>
    <w:rsid w:val="0082463B"/>
    <w:rsid w:val="008246A0"/>
    <w:rsid w:val="00824794"/>
    <w:rsid w:val="00824DF4"/>
    <w:rsid w:val="00824E75"/>
    <w:rsid w:val="0082508D"/>
    <w:rsid w:val="008250C9"/>
    <w:rsid w:val="00825110"/>
    <w:rsid w:val="008253E7"/>
    <w:rsid w:val="00825481"/>
    <w:rsid w:val="008254E0"/>
    <w:rsid w:val="00825D16"/>
    <w:rsid w:val="0082616B"/>
    <w:rsid w:val="00826194"/>
    <w:rsid w:val="00826202"/>
    <w:rsid w:val="0082621C"/>
    <w:rsid w:val="008262DB"/>
    <w:rsid w:val="008264CB"/>
    <w:rsid w:val="00826689"/>
    <w:rsid w:val="00826811"/>
    <w:rsid w:val="00826843"/>
    <w:rsid w:val="00826B39"/>
    <w:rsid w:val="00826BAF"/>
    <w:rsid w:val="00826D1B"/>
    <w:rsid w:val="00826D24"/>
    <w:rsid w:val="00826D45"/>
    <w:rsid w:val="00826F0F"/>
    <w:rsid w:val="00826F82"/>
    <w:rsid w:val="008274BD"/>
    <w:rsid w:val="00827648"/>
    <w:rsid w:val="00827746"/>
    <w:rsid w:val="00827941"/>
    <w:rsid w:val="00827AF1"/>
    <w:rsid w:val="00827B09"/>
    <w:rsid w:val="00827D86"/>
    <w:rsid w:val="00827DED"/>
    <w:rsid w:val="008300D6"/>
    <w:rsid w:val="00830269"/>
    <w:rsid w:val="008302D8"/>
    <w:rsid w:val="00830373"/>
    <w:rsid w:val="008306CF"/>
    <w:rsid w:val="008307B6"/>
    <w:rsid w:val="008308E4"/>
    <w:rsid w:val="00830B4F"/>
    <w:rsid w:val="00830F03"/>
    <w:rsid w:val="00831694"/>
    <w:rsid w:val="00831A86"/>
    <w:rsid w:val="00831C87"/>
    <w:rsid w:val="00831CAD"/>
    <w:rsid w:val="00831DEE"/>
    <w:rsid w:val="00832251"/>
    <w:rsid w:val="00832441"/>
    <w:rsid w:val="0083252B"/>
    <w:rsid w:val="00832921"/>
    <w:rsid w:val="00832FF3"/>
    <w:rsid w:val="00833160"/>
    <w:rsid w:val="00833385"/>
    <w:rsid w:val="00833532"/>
    <w:rsid w:val="0083388D"/>
    <w:rsid w:val="008338A7"/>
    <w:rsid w:val="00833FC8"/>
    <w:rsid w:val="0083455A"/>
    <w:rsid w:val="00834835"/>
    <w:rsid w:val="00834920"/>
    <w:rsid w:val="00834E52"/>
    <w:rsid w:val="00834E53"/>
    <w:rsid w:val="00834E6F"/>
    <w:rsid w:val="00834F40"/>
    <w:rsid w:val="00835496"/>
    <w:rsid w:val="00835551"/>
    <w:rsid w:val="00835559"/>
    <w:rsid w:val="00835610"/>
    <w:rsid w:val="00835684"/>
    <w:rsid w:val="00835958"/>
    <w:rsid w:val="00835A64"/>
    <w:rsid w:val="00835CE6"/>
    <w:rsid w:val="00836136"/>
    <w:rsid w:val="0083658A"/>
    <w:rsid w:val="0083659F"/>
    <w:rsid w:val="0083682B"/>
    <w:rsid w:val="008369CE"/>
    <w:rsid w:val="00836D32"/>
    <w:rsid w:val="008370AA"/>
    <w:rsid w:val="00837408"/>
    <w:rsid w:val="00837587"/>
    <w:rsid w:val="00837690"/>
    <w:rsid w:val="00837844"/>
    <w:rsid w:val="00837847"/>
    <w:rsid w:val="00837EA5"/>
    <w:rsid w:val="00837EBA"/>
    <w:rsid w:val="00840110"/>
    <w:rsid w:val="00840228"/>
    <w:rsid w:val="00840418"/>
    <w:rsid w:val="008404B6"/>
    <w:rsid w:val="00840537"/>
    <w:rsid w:val="00840798"/>
    <w:rsid w:val="008407D3"/>
    <w:rsid w:val="008409B1"/>
    <w:rsid w:val="00840C7F"/>
    <w:rsid w:val="00840C9C"/>
    <w:rsid w:val="00840DC6"/>
    <w:rsid w:val="00841428"/>
    <w:rsid w:val="008414D0"/>
    <w:rsid w:val="008416FE"/>
    <w:rsid w:val="0084179D"/>
    <w:rsid w:val="008417C9"/>
    <w:rsid w:val="008419C1"/>
    <w:rsid w:val="00841A7F"/>
    <w:rsid w:val="00841B13"/>
    <w:rsid w:val="00841B9B"/>
    <w:rsid w:val="00841E01"/>
    <w:rsid w:val="00841EFB"/>
    <w:rsid w:val="00841F96"/>
    <w:rsid w:val="0084209F"/>
    <w:rsid w:val="00842630"/>
    <w:rsid w:val="00842A23"/>
    <w:rsid w:val="00842B55"/>
    <w:rsid w:val="00842F0E"/>
    <w:rsid w:val="008430F9"/>
    <w:rsid w:val="0084326C"/>
    <w:rsid w:val="0084329F"/>
    <w:rsid w:val="008432B0"/>
    <w:rsid w:val="00843463"/>
    <w:rsid w:val="0084366E"/>
    <w:rsid w:val="008436BE"/>
    <w:rsid w:val="00843877"/>
    <w:rsid w:val="0084422C"/>
    <w:rsid w:val="008443F0"/>
    <w:rsid w:val="0084458E"/>
    <w:rsid w:val="00844C4E"/>
    <w:rsid w:val="00844E71"/>
    <w:rsid w:val="00844F55"/>
    <w:rsid w:val="00844F68"/>
    <w:rsid w:val="00845113"/>
    <w:rsid w:val="00845165"/>
    <w:rsid w:val="0084518D"/>
    <w:rsid w:val="0084529E"/>
    <w:rsid w:val="008453AB"/>
    <w:rsid w:val="0084597A"/>
    <w:rsid w:val="00845DFE"/>
    <w:rsid w:val="00845E44"/>
    <w:rsid w:val="0084603E"/>
    <w:rsid w:val="0084660F"/>
    <w:rsid w:val="008467BF"/>
    <w:rsid w:val="00846892"/>
    <w:rsid w:val="0084694F"/>
    <w:rsid w:val="00846D17"/>
    <w:rsid w:val="00846F30"/>
    <w:rsid w:val="008471E2"/>
    <w:rsid w:val="00847268"/>
    <w:rsid w:val="008472B2"/>
    <w:rsid w:val="008473BF"/>
    <w:rsid w:val="00847639"/>
    <w:rsid w:val="008476DC"/>
    <w:rsid w:val="0084773C"/>
    <w:rsid w:val="008478DA"/>
    <w:rsid w:val="00847B97"/>
    <w:rsid w:val="00847CBB"/>
    <w:rsid w:val="00847DFD"/>
    <w:rsid w:val="00847EDA"/>
    <w:rsid w:val="00847FA9"/>
    <w:rsid w:val="008504A4"/>
    <w:rsid w:val="0085058A"/>
    <w:rsid w:val="0085064E"/>
    <w:rsid w:val="008506E4"/>
    <w:rsid w:val="00850D13"/>
    <w:rsid w:val="00850EB0"/>
    <w:rsid w:val="00851251"/>
    <w:rsid w:val="008514DF"/>
    <w:rsid w:val="008514F9"/>
    <w:rsid w:val="00851684"/>
    <w:rsid w:val="00851880"/>
    <w:rsid w:val="00851E98"/>
    <w:rsid w:val="00851F8F"/>
    <w:rsid w:val="008526D9"/>
    <w:rsid w:val="008527BC"/>
    <w:rsid w:val="00852899"/>
    <w:rsid w:val="008529B3"/>
    <w:rsid w:val="00852B98"/>
    <w:rsid w:val="00852C3B"/>
    <w:rsid w:val="00852D8F"/>
    <w:rsid w:val="00852DE4"/>
    <w:rsid w:val="00853012"/>
    <w:rsid w:val="00853ABA"/>
    <w:rsid w:val="00853E21"/>
    <w:rsid w:val="008543EE"/>
    <w:rsid w:val="008546E5"/>
    <w:rsid w:val="0085474B"/>
    <w:rsid w:val="0085481B"/>
    <w:rsid w:val="008549F3"/>
    <w:rsid w:val="00854A04"/>
    <w:rsid w:val="00854E4E"/>
    <w:rsid w:val="00854E58"/>
    <w:rsid w:val="0085507A"/>
    <w:rsid w:val="008552BE"/>
    <w:rsid w:val="00855378"/>
    <w:rsid w:val="00855471"/>
    <w:rsid w:val="0085583F"/>
    <w:rsid w:val="008559F0"/>
    <w:rsid w:val="00855D67"/>
    <w:rsid w:val="00855DC4"/>
    <w:rsid w:val="00855FA4"/>
    <w:rsid w:val="00856001"/>
    <w:rsid w:val="008561C3"/>
    <w:rsid w:val="00856208"/>
    <w:rsid w:val="00856284"/>
    <w:rsid w:val="00856411"/>
    <w:rsid w:val="00856468"/>
    <w:rsid w:val="008564B8"/>
    <w:rsid w:val="00856505"/>
    <w:rsid w:val="00856683"/>
    <w:rsid w:val="008566C2"/>
    <w:rsid w:val="0085693B"/>
    <w:rsid w:val="00856CF8"/>
    <w:rsid w:val="00856D26"/>
    <w:rsid w:val="00856D75"/>
    <w:rsid w:val="00856D78"/>
    <w:rsid w:val="00856FD4"/>
    <w:rsid w:val="00857318"/>
    <w:rsid w:val="008575D7"/>
    <w:rsid w:val="0085765E"/>
    <w:rsid w:val="00857A8D"/>
    <w:rsid w:val="00857D78"/>
    <w:rsid w:val="008600FE"/>
    <w:rsid w:val="0086037F"/>
    <w:rsid w:val="008604E1"/>
    <w:rsid w:val="0086061C"/>
    <w:rsid w:val="00860761"/>
    <w:rsid w:val="008607B8"/>
    <w:rsid w:val="00860C31"/>
    <w:rsid w:val="00860DCF"/>
    <w:rsid w:val="00861061"/>
    <w:rsid w:val="0086129D"/>
    <w:rsid w:val="00861365"/>
    <w:rsid w:val="0086151C"/>
    <w:rsid w:val="008618AA"/>
    <w:rsid w:val="008619E7"/>
    <w:rsid w:val="00861BA0"/>
    <w:rsid w:val="00861C29"/>
    <w:rsid w:val="00861DA4"/>
    <w:rsid w:val="00861DDA"/>
    <w:rsid w:val="00861E5B"/>
    <w:rsid w:val="00861F45"/>
    <w:rsid w:val="0086209D"/>
    <w:rsid w:val="00862226"/>
    <w:rsid w:val="0086225C"/>
    <w:rsid w:val="00862459"/>
    <w:rsid w:val="00862938"/>
    <w:rsid w:val="00862C18"/>
    <w:rsid w:val="00862C7B"/>
    <w:rsid w:val="00862D92"/>
    <w:rsid w:val="00862F53"/>
    <w:rsid w:val="0086301C"/>
    <w:rsid w:val="008631B3"/>
    <w:rsid w:val="008633FD"/>
    <w:rsid w:val="00863575"/>
    <w:rsid w:val="008635DD"/>
    <w:rsid w:val="008637E1"/>
    <w:rsid w:val="008639D5"/>
    <w:rsid w:val="00863A72"/>
    <w:rsid w:val="00863C0D"/>
    <w:rsid w:val="00863CF8"/>
    <w:rsid w:val="00863F50"/>
    <w:rsid w:val="008640E0"/>
    <w:rsid w:val="0086425F"/>
    <w:rsid w:val="0086469E"/>
    <w:rsid w:val="008647C3"/>
    <w:rsid w:val="00864942"/>
    <w:rsid w:val="00864BBE"/>
    <w:rsid w:val="00864C73"/>
    <w:rsid w:val="00864CDE"/>
    <w:rsid w:val="0086507C"/>
    <w:rsid w:val="00865342"/>
    <w:rsid w:val="008653B2"/>
    <w:rsid w:val="00865804"/>
    <w:rsid w:val="0086582B"/>
    <w:rsid w:val="00865AAF"/>
    <w:rsid w:val="00865B05"/>
    <w:rsid w:val="00865BD0"/>
    <w:rsid w:val="00865C62"/>
    <w:rsid w:val="008660C5"/>
    <w:rsid w:val="00866114"/>
    <w:rsid w:val="00866115"/>
    <w:rsid w:val="0086672A"/>
    <w:rsid w:val="0086674C"/>
    <w:rsid w:val="00866779"/>
    <w:rsid w:val="00866890"/>
    <w:rsid w:val="00866B62"/>
    <w:rsid w:val="00866BA6"/>
    <w:rsid w:val="00866CFD"/>
    <w:rsid w:val="00866EAF"/>
    <w:rsid w:val="00866EBF"/>
    <w:rsid w:val="00867576"/>
    <w:rsid w:val="00867674"/>
    <w:rsid w:val="00867768"/>
    <w:rsid w:val="00867976"/>
    <w:rsid w:val="00867C00"/>
    <w:rsid w:val="00867CD0"/>
    <w:rsid w:val="00867EB4"/>
    <w:rsid w:val="0087014B"/>
    <w:rsid w:val="00870180"/>
    <w:rsid w:val="00870546"/>
    <w:rsid w:val="00870563"/>
    <w:rsid w:val="008705A8"/>
    <w:rsid w:val="00870C21"/>
    <w:rsid w:val="00870C7C"/>
    <w:rsid w:val="00870C94"/>
    <w:rsid w:val="00870DBB"/>
    <w:rsid w:val="008713D1"/>
    <w:rsid w:val="0087173E"/>
    <w:rsid w:val="008717F5"/>
    <w:rsid w:val="00871947"/>
    <w:rsid w:val="00871A72"/>
    <w:rsid w:val="00871B81"/>
    <w:rsid w:val="00871DC8"/>
    <w:rsid w:val="0087206E"/>
    <w:rsid w:val="00872087"/>
    <w:rsid w:val="008721B6"/>
    <w:rsid w:val="00872204"/>
    <w:rsid w:val="008723D2"/>
    <w:rsid w:val="008723E5"/>
    <w:rsid w:val="008723F4"/>
    <w:rsid w:val="0087274E"/>
    <w:rsid w:val="0087287B"/>
    <w:rsid w:val="00872A79"/>
    <w:rsid w:val="00872ACA"/>
    <w:rsid w:val="00872CB3"/>
    <w:rsid w:val="00872ECE"/>
    <w:rsid w:val="00873303"/>
    <w:rsid w:val="00873363"/>
    <w:rsid w:val="0087344B"/>
    <w:rsid w:val="008739A7"/>
    <w:rsid w:val="00873DDE"/>
    <w:rsid w:val="00873FAF"/>
    <w:rsid w:val="00874758"/>
    <w:rsid w:val="00874959"/>
    <w:rsid w:val="00874A63"/>
    <w:rsid w:val="00874AE0"/>
    <w:rsid w:val="00874B1A"/>
    <w:rsid w:val="00874C55"/>
    <w:rsid w:val="00874E56"/>
    <w:rsid w:val="00875094"/>
    <w:rsid w:val="008752B5"/>
    <w:rsid w:val="0087580D"/>
    <w:rsid w:val="00875AF0"/>
    <w:rsid w:val="00875B68"/>
    <w:rsid w:val="00875C48"/>
    <w:rsid w:val="0087634A"/>
    <w:rsid w:val="00876436"/>
    <w:rsid w:val="00876962"/>
    <w:rsid w:val="00877089"/>
    <w:rsid w:val="008777BC"/>
    <w:rsid w:val="00877845"/>
    <w:rsid w:val="00877AF4"/>
    <w:rsid w:val="00877B2E"/>
    <w:rsid w:val="00877B5A"/>
    <w:rsid w:val="00877F21"/>
    <w:rsid w:val="00880193"/>
    <w:rsid w:val="00880250"/>
    <w:rsid w:val="00880438"/>
    <w:rsid w:val="00880490"/>
    <w:rsid w:val="008804EF"/>
    <w:rsid w:val="008809CD"/>
    <w:rsid w:val="00880D09"/>
    <w:rsid w:val="00880D23"/>
    <w:rsid w:val="00880E35"/>
    <w:rsid w:val="008816F1"/>
    <w:rsid w:val="00881740"/>
    <w:rsid w:val="00881872"/>
    <w:rsid w:val="00881B0C"/>
    <w:rsid w:val="00881CF8"/>
    <w:rsid w:val="00881DF7"/>
    <w:rsid w:val="00881E33"/>
    <w:rsid w:val="00881F19"/>
    <w:rsid w:val="00882149"/>
    <w:rsid w:val="00882152"/>
    <w:rsid w:val="008821C1"/>
    <w:rsid w:val="00882232"/>
    <w:rsid w:val="00882AEB"/>
    <w:rsid w:val="00882B77"/>
    <w:rsid w:val="00882FB7"/>
    <w:rsid w:val="00882FFC"/>
    <w:rsid w:val="00883144"/>
    <w:rsid w:val="0088314C"/>
    <w:rsid w:val="00883202"/>
    <w:rsid w:val="00883327"/>
    <w:rsid w:val="00883377"/>
    <w:rsid w:val="008835F7"/>
    <w:rsid w:val="0088371C"/>
    <w:rsid w:val="0088374E"/>
    <w:rsid w:val="008837B6"/>
    <w:rsid w:val="00883831"/>
    <w:rsid w:val="0088399C"/>
    <w:rsid w:val="00883C5E"/>
    <w:rsid w:val="00883F27"/>
    <w:rsid w:val="00884089"/>
    <w:rsid w:val="00884419"/>
    <w:rsid w:val="00884485"/>
    <w:rsid w:val="008845BC"/>
    <w:rsid w:val="00884B1D"/>
    <w:rsid w:val="00884B21"/>
    <w:rsid w:val="008851E1"/>
    <w:rsid w:val="008852B0"/>
    <w:rsid w:val="00885348"/>
    <w:rsid w:val="008856CE"/>
    <w:rsid w:val="0088583F"/>
    <w:rsid w:val="00885CAC"/>
    <w:rsid w:val="00885D43"/>
    <w:rsid w:val="00885E11"/>
    <w:rsid w:val="00886043"/>
    <w:rsid w:val="0088615F"/>
    <w:rsid w:val="008861A6"/>
    <w:rsid w:val="0088631F"/>
    <w:rsid w:val="008866A2"/>
    <w:rsid w:val="0088678F"/>
    <w:rsid w:val="00886897"/>
    <w:rsid w:val="00886B25"/>
    <w:rsid w:val="00886C6B"/>
    <w:rsid w:val="00886C94"/>
    <w:rsid w:val="00886EAC"/>
    <w:rsid w:val="00887134"/>
    <w:rsid w:val="008871E3"/>
    <w:rsid w:val="008873FF"/>
    <w:rsid w:val="00887521"/>
    <w:rsid w:val="00887601"/>
    <w:rsid w:val="0088767B"/>
    <w:rsid w:val="008878FB"/>
    <w:rsid w:val="0088796D"/>
    <w:rsid w:val="0089019C"/>
    <w:rsid w:val="0089048C"/>
    <w:rsid w:val="00890542"/>
    <w:rsid w:val="00890A10"/>
    <w:rsid w:val="00890B43"/>
    <w:rsid w:val="00890C17"/>
    <w:rsid w:val="00890E68"/>
    <w:rsid w:val="00890EAA"/>
    <w:rsid w:val="00890EEE"/>
    <w:rsid w:val="00890FBC"/>
    <w:rsid w:val="0089104E"/>
    <w:rsid w:val="00891398"/>
    <w:rsid w:val="00891449"/>
    <w:rsid w:val="00891592"/>
    <w:rsid w:val="008916C9"/>
    <w:rsid w:val="008916FE"/>
    <w:rsid w:val="00891A12"/>
    <w:rsid w:val="00891CA9"/>
    <w:rsid w:val="00891D7E"/>
    <w:rsid w:val="00891DDE"/>
    <w:rsid w:val="00891E4D"/>
    <w:rsid w:val="00891F0F"/>
    <w:rsid w:val="00892055"/>
    <w:rsid w:val="008926C4"/>
    <w:rsid w:val="008928FE"/>
    <w:rsid w:val="00892968"/>
    <w:rsid w:val="008929A0"/>
    <w:rsid w:val="00892A46"/>
    <w:rsid w:val="00892D28"/>
    <w:rsid w:val="00892FCA"/>
    <w:rsid w:val="0089340F"/>
    <w:rsid w:val="00893651"/>
    <w:rsid w:val="00893682"/>
    <w:rsid w:val="008936F4"/>
    <w:rsid w:val="00893942"/>
    <w:rsid w:val="00893A16"/>
    <w:rsid w:val="00893E94"/>
    <w:rsid w:val="00893F7A"/>
    <w:rsid w:val="00894142"/>
    <w:rsid w:val="00894886"/>
    <w:rsid w:val="00894978"/>
    <w:rsid w:val="00894A11"/>
    <w:rsid w:val="00894E6C"/>
    <w:rsid w:val="0089506C"/>
    <w:rsid w:val="008950A9"/>
    <w:rsid w:val="008951FC"/>
    <w:rsid w:val="0089521E"/>
    <w:rsid w:val="008956A4"/>
    <w:rsid w:val="00895D8B"/>
    <w:rsid w:val="00896376"/>
    <w:rsid w:val="00896544"/>
    <w:rsid w:val="0089685F"/>
    <w:rsid w:val="008969C9"/>
    <w:rsid w:val="00896B5F"/>
    <w:rsid w:val="00896CA2"/>
    <w:rsid w:val="00896CB1"/>
    <w:rsid w:val="00896E6C"/>
    <w:rsid w:val="00897742"/>
    <w:rsid w:val="00897CAC"/>
    <w:rsid w:val="008A0045"/>
    <w:rsid w:val="008A009B"/>
    <w:rsid w:val="008A00E4"/>
    <w:rsid w:val="008A01F8"/>
    <w:rsid w:val="008A0925"/>
    <w:rsid w:val="008A0AF8"/>
    <w:rsid w:val="008A0C98"/>
    <w:rsid w:val="008A100E"/>
    <w:rsid w:val="008A1183"/>
    <w:rsid w:val="008A125D"/>
    <w:rsid w:val="008A125F"/>
    <w:rsid w:val="008A142A"/>
    <w:rsid w:val="008A1B40"/>
    <w:rsid w:val="008A207E"/>
    <w:rsid w:val="008A22C8"/>
    <w:rsid w:val="008A264B"/>
    <w:rsid w:val="008A27E5"/>
    <w:rsid w:val="008A2826"/>
    <w:rsid w:val="008A29CB"/>
    <w:rsid w:val="008A2D4F"/>
    <w:rsid w:val="008A2D8B"/>
    <w:rsid w:val="008A30AB"/>
    <w:rsid w:val="008A369C"/>
    <w:rsid w:val="008A36B6"/>
    <w:rsid w:val="008A39D9"/>
    <w:rsid w:val="008A3BB0"/>
    <w:rsid w:val="008A404B"/>
    <w:rsid w:val="008A4144"/>
    <w:rsid w:val="008A423B"/>
    <w:rsid w:val="008A4331"/>
    <w:rsid w:val="008A43E6"/>
    <w:rsid w:val="008A44AA"/>
    <w:rsid w:val="008A464F"/>
    <w:rsid w:val="008A469C"/>
    <w:rsid w:val="008A48F8"/>
    <w:rsid w:val="008A4A59"/>
    <w:rsid w:val="008A4AEF"/>
    <w:rsid w:val="008A4B13"/>
    <w:rsid w:val="008A50C6"/>
    <w:rsid w:val="008A532E"/>
    <w:rsid w:val="008A5376"/>
    <w:rsid w:val="008A53AA"/>
    <w:rsid w:val="008A549E"/>
    <w:rsid w:val="008A54C3"/>
    <w:rsid w:val="008A5600"/>
    <w:rsid w:val="008A565B"/>
    <w:rsid w:val="008A56D5"/>
    <w:rsid w:val="008A57CA"/>
    <w:rsid w:val="008A5803"/>
    <w:rsid w:val="008A5A68"/>
    <w:rsid w:val="008A5ABE"/>
    <w:rsid w:val="008A6038"/>
    <w:rsid w:val="008A6101"/>
    <w:rsid w:val="008A6212"/>
    <w:rsid w:val="008A66F2"/>
    <w:rsid w:val="008A68A3"/>
    <w:rsid w:val="008A6FFE"/>
    <w:rsid w:val="008A70B0"/>
    <w:rsid w:val="008A713E"/>
    <w:rsid w:val="008A7187"/>
    <w:rsid w:val="008A7270"/>
    <w:rsid w:val="008A7429"/>
    <w:rsid w:val="008A7685"/>
    <w:rsid w:val="008A76CA"/>
    <w:rsid w:val="008A77B3"/>
    <w:rsid w:val="008A77B6"/>
    <w:rsid w:val="008A7E41"/>
    <w:rsid w:val="008A7F58"/>
    <w:rsid w:val="008A7FC8"/>
    <w:rsid w:val="008A7FDB"/>
    <w:rsid w:val="008B009F"/>
    <w:rsid w:val="008B023A"/>
    <w:rsid w:val="008B0549"/>
    <w:rsid w:val="008B0623"/>
    <w:rsid w:val="008B0634"/>
    <w:rsid w:val="008B0986"/>
    <w:rsid w:val="008B0B59"/>
    <w:rsid w:val="008B0E1E"/>
    <w:rsid w:val="008B0E8E"/>
    <w:rsid w:val="008B1008"/>
    <w:rsid w:val="008B12A0"/>
    <w:rsid w:val="008B12CC"/>
    <w:rsid w:val="008B15FC"/>
    <w:rsid w:val="008B160A"/>
    <w:rsid w:val="008B17B0"/>
    <w:rsid w:val="008B1B01"/>
    <w:rsid w:val="008B1D9D"/>
    <w:rsid w:val="008B1FE7"/>
    <w:rsid w:val="008B2308"/>
    <w:rsid w:val="008B24BB"/>
    <w:rsid w:val="008B24D5"/>
    <w:rsid w:val="008B25AB"/>
    <w:rsid w:val="008B2754"/>
    <w:rsid w:val="008B2903"/>
    <w:rsid w:val="008B2B2F"/>
    <w:rsid w:val="008B2B8E"/>
    <w:rsid w:val="008B2C51"/>
    <w:rsid w:val="008B2CD2"/>
    <w:rsid w:val="008B314D"/>
    <w:rsid w:val="008B3200"/>
    <w:rsid w:val="008B322B"/>
    <w:rsid w:val="008B3312"/>
    <w:rsid w:val="008B35C6"/>
    <w:rsid w:val="008B3717"/>
    <w:rsid w:val="008B37FB"/>
    <w:rsid w:val="008B3866"/>
    <w:rsid w:val="008B3900"/>
    <w:rsid w:val="008B397B"/>
    <w:rsid w:val="008B3DE7"/>
    <w:rsid w:val="008B3E87"/>
    <w:rsid w:val="008B41D0"/>
    <w:rsid w:val="008B47F9"/>
    <w:rsid w:val="008B48C8"/>
    <w:rsid w:val="008B4C5E"/>
    <w:rsid w:val="008B4C83"/>
    <w:rsid w:val="008B502A"/>
    <w:rsid w:val="008B51CD"/>
    <w:rsid w:val="008B575C"/>
    <w:rsid w:val="008B5C26"/>
    <w:rsid w:val="008B5C80"/>
    <w:rsid w:val="008B5E19"/>
    <w:rsid w:val="008B60FD"/>
    <w:rsid w:val="008B6162"/>
    <w:rsid w:val="008B6467"/>
    <w:rsid w:val="008B67C9"/>
    <w:rsid w:val="008B67F1"/>
    <w:rsid w:val="008B6832"/>
    <w:rsid w:val="008B6953"/>
    <w:rsid w:val="008B69FF"/>
    <w:rsid w:val="008B6B40"/>
    <w:rsid w:val="008B6B9E"/>
    <w:rsid w:val="008B719A"/>
    <w:rsid w:val="008B73F0"/>
    <w:rsid w:val="008B76B5"/>
    <w:rsid w:val="008B788C"/>
    <w:rsid w:val="008B7B47"/>
    <w:rsid w:val="008C03FA"/>
    <w:rsid w:val="008C07A2"/>
    <w:rsid w:val="008C0954"/>
    <w:rsid w:val="008C0A33"/>
    <w:rsid w:val="008C0AA3"/>
    <w:rsid w:val="008C0C93"/>
    <w:rsid w:val="008C0F3C"/>
    <w:rsid w:val="008C10A1"/>
    <w:rsid w:val="008C182E"/>
    <w:rsid w:val="008C187D"/>
    <w:rsid w:val="008C19E5"/>
    <w:rsid w:val="008C1AB4"/>
    <w:rsid w:val="008C1E84"/>
    <w:rsid w:val="008C20DE"/>
    <w:rsid w:val="008C2437"/>
    <w:rsid w:val="008C2DF1"/>
    <w:rsid w:val="008C2F16"/>
    <w:rsid w:val="008C2F6E"/>
    <w:rsid w:val="008C3262"/>
    <w:rsid w:val="008C3310"/>
    <w:rsid w:val="008C371F"/>
    <w:rsid w:val="008C3810"/>
    <w:rsid w:val="008C382C"/>
    <w:rsid w:val="008C3836"/>
    <w:rsid w:val="008C38D7"/>
    <w:rsid w:val="008C3999"/>
    <w:rsid w:val="008C3FCC"/>
    <w:rsid w:val="008C4159"/>
    <w:rsid w:val="008C4296"/>
    <w:rsid w:val="008C4606"/>
    <w:rsid w:val="008C48F0"/>
    <w:rsid w:val="008C4B10"/>
    <w:rsid w:val="008C4B5F"/>
    <w:rsid w:val="008C4B96"/>
    <w:rsid w:val="008C4BDA"/>
    <w:rsid w:val="008C4CFF"/>
    <w:rsid w:val="008C4DC6"/>
    <w:rsid w:val="008C51F4"/>
    <w:rsid w:val="008C5287"/>
    <w:rsid w:val="008C5600"/>
    <w:rsid w:val="008C5753"/>
    <w:rsid w:val="008C58B8"/>
    <w:rsid w:val="008C5A5F"/>
    <w:rsid w:val="008C5DD9"/>
    <w:rsid w:val="008C5ECD"/>
    <w:rsid w:val="008C5ED9"/>
    <w:rsid w:val="008C5F5B"/>
    <w:rsid w:val="008C6246"/>
    <w:rsid w:val="008C636F"/>
    <w:rsid w:val="008C6493"/>
    <w:rsid w:val="008C64DD"/>
    <w:rsid w:val="008C67E5"/>
    <w:rsid w:val="008C682A"/>
    <w:rsid w:val="008C6882"/>
    <w:rsid w:val="008C6BD2"/>
    <w:rsid w:val="008C6C78"/>
    <w:rsid w:val="008C6F96"/>
    <w:rsid w:val="008C7169"/>
    <w:rsid w:val="008C743E"/>
    <w:rsid w:val="008C74CC"/>
    <w:rsid w:val="008C74FB"/>
    <w:rsid w:val="008C7891"/>
    <w:rsid w:val="008C7909"/>
    <w:rsid w:val="008C79B2"/>
    <w:rsid w:val="008C79BF"/>
    <w:rsid w:val="008C7C1F"/>
    <w:rsid w:val="008D01BE"/>
    <w:rsid w:val="008D02BD"/>
    <w:rsid w:val="008D03C5"/>
    <w:rsid w:val="008D06C8"/>
    <w:rsid w:val="008D077B"/>
    <w:rsid w:val="008D07D2"/>
    <w:rsid w:val="008D0854"/>
    <w:rsid w:val="008D0932"/>
    <w:rsid w:val="008D0999"/>
    <w:rsid w:val="008D0A6F"/>
    <w:rsid w:val="008D0F21"/>
    <w:rsid w:val="008D150A"/>
    <w:rsid w:val="008D1605"/>
    <w:rsid w:val="008D161C"/>
    <w:rsid w:val="008D165F"/>
    <w:rsid w:val="008D182B"/>
    <w:rsid w:val="008D1AF7"/>
    <w:rsid w:val="008D1CFB"/>
    <w:rsid w:val="008D1E8A"/>
    <w:rsid w:val="008D218F"/>
    <w:rsid w:val="008D21F5"/>
    <w:rsid w:val="008D2204"/>
    <w:rsid w:val="008D221A"/>
    <w:rsid w:val="008D236A"/>
    <w:rsid w:val="008D2584"/>
    <w:rsid w:val="008D25C2"/>
    <w:rsid w:val="008D2977"/>
    <w:rsid w:val="008D2EE4"/>
    <w:rsid w:val="008D308B"/>
    <w:rsid w:val="008D3290"/>
    <w:rsid w:val="008D334F"/>
    <w:rsid w:val="008D362A"/>
    <w:rsid w:val="008D3A3B"/>
    <w:rsid w:val="008D3AF9"/>
    <w:rsid w:val="008D3D55"/>
    <w:rsid w:val="008D3EC1"/>
    <w:rsid w:val="008D425D"/>
    <w:rsid w:val="008D4604"/>
    <w:rsid w:val="008D48ED"/>
    <w:rsid w:val="008D4A8F"/>
    <w:rsid w:val="008D4D1A"/>
    <w:rsid w:val="008D4D3E"/>
    <w:rsid w:val="008D4DA2"/>
    <w:rsid w:val="008D4EEE"/>
    <w:rsid w:val="008D551B"/>
    <w:rsid w:val="008D553C"/>
    <w:rsid w:val="008D55EA"/>
    <w:rsid w:val="008D567F"/>
    <w:rsid w:val="008D56E0"/>
    <w:rsid w:val="008D5FE2"/>
    <w:rsid w:val="008D63BA"/>
    <w:rsid w:val="008D641E"/>
    <w:rsid w:val="008D66DF"/>
    <w:rsid w:val="008D6751"/>
    <w:rsid w:val="008D6867"/>
    <w:rsid w:val="008D6A73"/>
    <w:rsid w:val="008D6D84"/>
    <w:rsid w:val="008D6E1F"/>
    <w:rsid w:val="008D72B2"/>
    <w:rsid w:val="008D751C"/>
    <w:rsid w:val="008D75D7"/>
    <w:rsid w:val="008D7812"/>
    <w:rsid w:val="008D7880"/>
    <w:rsid w:val="008D7FEB"/>
    <w:rsid w:val="008E0342"/>
    <w:rsid w:val="008E04CB"/>
    <w:rsid w:val="008E057B"/>
    <w:rsid w:val="008E0803"/>
    <w:rsid w:val="008E0D61"/>
    <w:rsid w:val="008E0E27"/>
    <w:rsid w:val="008E0F4B"/>
    <w:rsid w:val="008E1003"/>
    <w:rsid w:val="008E11F0"/>
    <w:rsid w:val="008E131E"/>
    <w:rsid w:val="008E1330"/>
    <w:rsid w:val="008E1771"/>
    <w:rsid w:val="008E18AE"/>
    <w:rsid w:val="008E19EC"/>
    <w:rsid w:val="008E1B60"/>
    <w:rsid w:val="008E1BA9"/>
    <w:rsid w:val="008E1E70"/>
    <w:rsid w:val="008E1F41"/>
    <w:rsid w:val="008E2043"/>
    <w:rsid w:val="008E2133"/>
    <w:rsid w:val="008E215C"/>
    <w:rsid w:val="008E2268"/>
    <w:rsid w:val="008E23AE"/>
    <w:rsid w:val="008E27FB"/>
    <w:rsid w:val="008E2BB6"/>
    <w:rsid w:val="008E2DFF"/>
    <w:rsid w:val="008E3121"/>
    <w:rsid w:val="008E3125"/>
    <w:rsid w:val="008E33A0"/>
    <w:rsid w:val="008E395D"/>
    <w:rsid w:val="008E3C65"/>
    <w:rsid w:val="008E4052"/>
    <w:rsid w:val="008E40FD"/>
    <w:rsid w:val="008E41BE"/>
    <w:rsid w:val="008E443F"/>
    <w:rsid w:val="008E44A2"/>
    <w:rsid w:val="008E45C7"/>
    <w:rsid w:val="008E4687"/>
    <w:rsid w:val="008E46FD"/>
    <w:rsid w:val="008E4753"/>
    <w:rsid w:val="008E4A9E"/>
    <w:rsid w:val="008E4B9D"/>
    <w:rsid w:val="008E4BA8"/>
    <w:rsid w:val="008E5615"/>
    <w:rsid w:val="008E57C2"/>
    <w:rsid w:val="008E59BE"/>
    <w:rsid w:val="008E5A7F"/>
    <w:rsid w:val="008E5AA3"/>
    <w:rsid w:val="008E5B9F"/>
    <w:rsid w:val="008E5C06"/>
    <w:rsid w:val="008E5CCD"/>
    <w:rsid w:val="008E5D8D"/>
    <w:rsid w:val="008E5E68"/>
    <w:rsid w:val="008E5FF8"/>
    <w:rsid w:val="008E62CA"/>
    <w:rsid w:val="008E6455"/>
    <w:rsid w:val="008E6574"/>
    <w:rsid w:val="008E65AA"/>
    <w:rsid w:val="008E65BE"/>
    <w:rsid w:val="008E6D44"/>
    <w:rsid w:val="008E6E46"/>
    <w:rsid w:val="008E6FD3"/>
    <w:rsid w:val="008E70E9"/>
    <w:rsid w:val="008E7431"/>
    <w:rsid w:val="008E7C5D"/>
    <w:rsid w:val="008E7CE4"/>
    <w:rsid w:val="008E7E30"/>
    <w:rsid w:val="008E7EBA"/>
    <w:rsid w:val="008F0015"/>
    <w:rsid w:val="008F00D3"/>
    <w:rsid w:val="008F027B"/>
    <w:rsid w:val="008F062A"/>
    <w:rsid w:val="008F077E"/>
    <w:rsid w:val="008F07E9"/>
    <w:rsid w:val="008F0C2F"/>
    <w:rsid w:val="008F0C69"/>
    <w:rsid w:val="008F0D5D"/>
    <w:rsid w:val="008F0DD4"/>
    <w:rsid w:val="008F151D"/>
    <w:rsid w:val="008F18E9"/>
    <w:rsid w:val="008F1DD9"/>
    <w:rsid w:val="008F1FFC"/>
    <w:rsid w:val="008F21B9"/>
    <w:rsid w:val="008F2216"/>
    <w:rsid w:val="008F23DB"/>
    <w:rsid w:val="008F2421"/>
    <w:rsid w:val="008F2633"/>
    <w:rsid w:val="008F27A4"/>
    <w:rsid w:val="008F2950"/>
    <w:rsid w:val="008F2ACA"/>
    <w:rsid w:val="008F2AD2"/>
    <w:rsid w:val="008F2E7E"/>
    <w:rsid w:val="008F306F"/>
    <w:rsid w:val="008F30FA"/>
    <w:rsid w:val="008F3130"/>
    <w:rsid w:val="008F3389"/>
    <w:rsid w:val="008F3461"/>
    <w:rsid w:val="008F36C2"/>
    <w:rsid w:val="008F37A3"/>
    <w:rsid w:val="008F387B"/>
    <w:rsid w:val="008F38EC"/>
    <w:rsid w:val="008F3AA0"/>
    <w:rsid w:val="008F3D35"/>
    <w:rsid w:val="008F416A"/>
    <w:rsid w:val="008F4170"/>
    <w:rsid w:val="008F422A"/>
    <w:rsid w:val="008F4813"/>
    <w:rsid w:val="008F498D"/>
    <w:rsid w:val="008F4990"/>
    <w:rsid w:val="008F4AF9"/>
    <w:rsid w:val="008F4BE0"/>
    <w:rsid w:val="008F4DF4"/>
    <w:rsid w:val="008F5342"/>
    <w:rsid w:val="008F55F3"/>
    <w:rsid w:val="008F56AF"/>
    <w:rsid w:val="008F5730"/>
    <w:rsid w:val="008F5773"/>
    <w:rsid w:val="008F58E8"/>
    <w:rsid w:val="008F63DF"/>
    <w:rsid w:val="008F6713"/>
    <w:rsid w:val="008F696B"/>
    <w:rsid w:val="008F6CAD"/>
    <w:rsid w:val="008F7248"/>
    <w:rsid w:val="008F72D7"/>
    <w:rsid w:val="008F7548"/>
    <w:rsid w:val="008F7786"/>
    <w:rsid w:val="008F793B"/>
    <w:rsid w:val="008F7B05"/>
    <w:rsid w:val="008F7B4A"/>
    <w:rsid w:val="008F7BB9"/>
    <w:rsid w:val="008F7BDA"/>
    <w:rsid w:val="008F7CE9"/>
    <w:rsid w:val="008F7D61"/>
    <w:rsid w:val="00900652"/>
    <w:rsid w:val="009007AC"/>
    <w:rsid w:val="009007CD"/>
    <w:rsid w:val="00900AED"/>
    <w:rsid w:val="00900AFD"/>
    <w:rsid w:val="00900CB4"/>
    <w:rsid w:val="00900E53"/>
    <w:rsid w:val="00900FCE"/>
    <w:rsid w:val="00901409"/>
    <w:rsid w:val="0090143A"/>
    <w:rsid w:val="00901746"/>
    <w:rsid w:val="00901B22"/>
    <w:rsid w:val="00901B37"/>
    <w:rsid w:val="00901BCB"/>
    <w:rsid w:val="00901C78"/>
    <w:rsid w:val="00901EF2"/>
    <w:rsid w:val="00901FB1"/>
    <w:rsid w:val="00902349"/>
    <w:rsid w:val="00902598"/>
    <w:rsid w:val="00902759"/>
    <w:rsid w:val="00902820"/>
    <w:rsid w:val="009028CF"/>
    <w:rsid w:val="00902B0C"/>
    <w:rsid w:val="00902D33"/>
    <w:rsid w:val="00902DCB"/>
    <w:rsid w:val="00902E62"/>
    <w:rsid w:val="00903033"/>
    <w:rsid w:val="0090321F"/>
    <w:rsid w:val="009033F1"/>
    <w:rsid w:val="0090380D"/>
    <w:rsid w:val="0090381A"/>
    <w:rsid w:val="009038DA"/>
    <w:rsid w:val="00903ABE"/>
    <w:rsid w:val="00903E61"/>
    <w:rsid w:val="009040D0"/>
    <w:rsid w:val="009041AB"/>
    <w:rsid w:val="009044A5"/>
    <w:rsid w:val="00904626"/>
    <w:rsid w:val="0090471E"/>
    <w:rsid w:val="009052F3"/>
    <w:rsid w:val="00905437"/>
    <w:rsid w:val="009055BC"/>
    <w:rsid w:val="00905605"/>
    <w:rsid w:val="0090583A"/>
    <w:rsid w:val="0090586B"/>
    <w:rsid w:val="00905941"/>
    <w:rsid w:val="00905A6F"/>
    <w:rsid w:val="00905AAC"/>
    <w:rsid w:val="00905C0E"/>
    <w:rsid w:val="00905D66"/>
    <w:rsid w:val="00905DAE"/>
    <w:rsid w:val="00905FEB"/>
    <w:rsid w:val="00905FF1"/>
    <w:rsid w:val="00906066"/>
    <w:rsid w:val="009060D2"/>
    <w:rsid w:val="0090633D"/>
    <w:rsid w:val="009064CC"/>
    <w:rsid w:val="009066FE"/>
    <w:rsid w:val="0090681F"/>
    <w:rsid w:val="00906939"/>
    <w:rsid w:val="00906A48"/>
    <w:rsid w:val="00906B14"/>
    <w:rsid w:val="00906B8E"/>
    <w:rsid w:val="00906D3C"/>
    <w:rsid w:val="00906F28"/>
    <w:rsid w:val="00906F8F"/>
    <w:rsid w:val="00907301"/>
    <w:rsid w:val="00907338"/>
    <w:rsid w:val="0090768E"/>
    <w:rsid w:val="009078D2"/>
    <w:rsid w:val="00907A08"/>
    <w:rsid w:val="00907B65"/>
    <w:rsid w:val="00907F61"/>
    <w:rsid w:val="00910468"/>
    <w:rsid w:val="009108EC"/>
    <w:rsid w:val="00910DAF"/>
    <w:rsid w:val="00910F1F"/>
    <w:rsid w:val="00910F9F"/>
    <w:rsid w:val="0091105D"/>
    <w:rsid w:val="009112B1"/>
    <w:rsid w:val="00911360"/>
    <w:rsid w:val="00911983"/>
    <w:rsid w:val="00911C60"/>
    <w:rsid w:val="00911D5D"/>
    <w:rsid w:val="00911DD0"/>
    <w:rsid w:val="00911E4D"/>
    <w:rsid w:val="00911FEC"/>
    <w:rsid w:val="009121ED"/>
    <w:rsid w:val="0091233D"/>
    <w:rsid w:val="009123F1"/>
    <w:rsid w:val="009124B6"/>
    <w:rsid w:val="00912502"/>
    <w:rsid w:val="0091266C"/>
    <w:rsid w:val="00912AAC"/>
    <w:rsid w:val="00912CD0"/>
    <w:rsid w:val="00912F20"/>
    <w:rsid w:val="00912F48"/>
    <w:rsid w:val="00913121"/>
    <w:rsid w:val="00913534"/>
    <w:rsid w:val="00913543"/>
    <w:rsid w:val="00913BA5"/>
    <w:rsid w:val="00913BC2"/>
    <w:rsid w:val="00913CC2"/>
    <w:rsid w:val="00913FA3"/>
    <w:rsid w:val="0091434B"/>
    <w:rsid w:val="009143E6"/>
    <w:rsid w:val="00914615"/>
    <w:rsid w:val="0091477C"/>
    <w:rsid w:val="00914780"/>
    <w:rsid w:val="009148E9"/>
    <w:rsid w:val="00914A8D"/>
    <w:rsid w:val="00914AA0"/>
    <w:rsid w:val="00914B0A"/>
    <w:rsid w:val="00914B77"/>
    <w:rsid w:val="00914C4A"/>
    <w:rsid w:val="00914E74"/>
    <w:rsid w:val="009154A9"/>
    <w:rsid w:val="009154CF"/>
    <w:rsid w:val="0091554D"/>
    <w:rsid w:val="009155DA"/>
    <w:rsid w:val="009155E5"/>
    <w:rsid w:val="009156FA"/>
    <w:rsid w:val="00915750"/>
    <w:rsid w:val="00915804"/>
    <w:rsid w:val="009159C1"/>
    <w:rsid w:val="00915A72"/>
    <w:rsid w:val="00915E8B"/>
    <w:rsid w:val="009162E0"/>
    <w:rsid w:val="00916485"/>
    <w:rsid w:val="00916515"/>
    <w:rsid w:val="00916757"/>
    <w:rsid w:val="00916818"/>
    <w:rsid w:val="00916AD0"/>
    <w:rsid w:val="00916AD4"/>
    <w:rsid w:val="00916B64"/>
    <w:rsid w:val="00916F85"/>
    <w:rsid w:val="00917003"/>
    <w:rsid w:val="009170EA"/>
    <w:rsid w:val="009170FA"/>
    <w:rsid w:val="0091754C"/>
    <w:rsid w:val="0091776A"/>
    <w:rsid w:val="00917B69"/>
    <w:rsid w:val="009200D2"/>
    <w:rsid w:val="009203A0"/>
    <w:rsid w:val="009207AF"/>
    <w:rsid w:val="00920846"/>
    <w:rsid w:val="009209BD"/>
    <w:rsid w:val="00920C5B"/>
    <w:rsid w:val="00920E0E"/>
    <w:rsid w:val="009216F3"/>
    <w:rsid w:val="00921955"/>
    <w:rsid w:val="00921B6B"/>
    <w:rsid w:val="00921BC0"/>
    <w:rsid w:val="00921BE1"/>
    <w:rsid w:val="00922060"/>
    <w:rsid w:val="00922268"/>
    <w:rsid w:val="00922442"/>
    <w:rsid w:val="00922517"/>
    <w:rsid w:val="00922692"/>
    <w:rsid w:val="00922709"/>
    <w:rsid w:val="009228A4"/>
    <w:rsid w:val="00922935"/>
    <w:rsid w:val="00922C72"/>
    <w:rsid w:val="00923023"/>
    <w:rsid w:val="0092304B"/>
    <w:rsid w:val="00923090"/>
    <w:rsid w:val="00923201"/>
    <w:rsid w:val="009237A7"/>
    <w:rsid w:val="00923A67"/>
    <w:rsid w:val="00923B42"/>
    <w:rsid w:val="00923B65"/>
    <w:rsid w:val="00923DA1"/>
    <w:rsid w:val="00924491"/>
    <w:rsid w:val="0092450D"/>
    <w:rsid w:val="009245D6"/>
    <w:rsid w:val="0092471B"/>
    <w:rsid w:val="00924854"/>
    <w:rsid w:val="00924858"/>
    <w:rsid w:val="00924879"/>
    <w:rsid w:val="00924921"/>
    <w:rsid w:val="00924BAE"/>
    <w:rsid w:val="00924C3A"/>
    <w:rsid w:val="00924DBE"/>
    <w:rsid w:val="00924E56"/>
    <w:rsid w:val="00924F50"/>
    <w:rsid w:val="00925342"/>
    <w:rsid w:val="0092536E"/>
    <w:rsid w:val="00925395"/>
    <w:rsid w:val="0092586B"/>
    <w:rsid w:val="009258C9"/>
    <w:rsid w:val="00925CC7"/>
    <w:rsid w:val="00925CFB"/>
    <w:rsid w:val="00925D76"/>
    <w:rsid w:val="0092600A"/>
    <w:rsid w:val="009262ED"/>
    <w:rsid w:val="00926348"/>
    <w:rsid w:val="00926631"/>
    <w:rsid w:val="0092681F"/>
    <w:rsid w:val="00926C42"/>
    <w:rsid w:val="00926F43"/>
    <w:rsid w:val="00926F8C"/>
    <w:rsid w:val="00927206"/>
    <w:rsid w:val="009272AD"/>
    <w:rsid w:val="0092737C"/>
    <w:rsid w:val="00927492"/>
    <w:rsid w:val="00927509"/>
    <w:rsid w:val="00927625"/>
    <w:rsid w:val="009278AC"/>
    <w:rsid w:val="009278F0"/>
    <w:rsid w:val="00927FB7"/>
    <w:rsid w:val="00927FF0"/>
    <w:rsid w:val="00930105"/>
    <w:rsid w:val="0093040E"/>
    <w:rsid w:val="00930429"/>
    <w:rsid w:val="0093043A"/>
    <w:rsid w:val="00930B00"/>
    <w:rsid w:val="00930B1C"/>
    <w:rsid w:val="00930BE1"/>
    <w:rsid w:val="00930C32"/>
    <w:rsid w:val="009310AF"/>
    <w:rsid w:val="00931136"/>
    <w:rsid w:val="00931399"/>
    <w:rsid w:val="00931C73"/>
    <w:rsid w:val="00931C8E"/>
    <w:rsid w:val="00932358"/>
    <w:rsid w:val="00932620"/>
    <w:rsid w:val="00932AB5"/>
    <w:rsid w:val="00932B6B"/>
    <w:rsid w:val="00932C37"/>
    <w:rsid w:val="00932C9A"/>
    <w:rsid w:val="00932DC2"/>
    <w:rsid w:val="00932E78"/>
    <w:rsid w:val="009334C2"/>
    <w:rsid w:val="009337F6"/>
    <w:rsid w:val="00933AD8"/>
    <w:rsid w:val="00933EB3"/>
    <w:rsid w:val="009341DA"/>
    <w:rsid w:val="009341EE"/>
    <w:rsid w:val="009345F4"/>
    <w:rsid w:val="00934743"/>
    <w:rsid w:val="0093480C"/>
    <w:rsid w:val="00934D9F"/>
    <w:rsid w:val="00934E7B"/>
    <w:rsid w:val="0093500F"/>
    <w:rsid w:val="0093506A"/>
    <w:rsid w:val="00935079"/>
    <w:rsid w:val="009350A3"/>
    <w:rsid w:val="00935123"/>
    <w:rsid w:val="0093516E"/>
    <w:rsid w:val="0093557B"/>
    <w:rsid w:val="0093595F"/>
    <w:rsid w:val="00935F19"/>
    <w:rsid w:val="00935F88"/>
    <w:rsid w:val="0093607A"/>
    <w:rsid w:val="009361EC"/>
    <w:rsid w:val="0093644F"/>
    <w:rsid w:val="009368BE"/>
    <w:rsid w:val="00936949"/>
    <w:rsid w:val="00936B7B"/>
    <w:rsid w:val="00936BB6"/>
    <w:rsid w:val="00936F5F"/>
    <w:rsid w:val="009371BD"/>
    <w:rsid w:val="0093762E"/>
    <w:rsid w:val="00937763"/>
    <w:rsid w:val="00937769"/>
    <w:rsid w:val="009379CC"/>
    <w:rsid w:val="00937DC5"/>
    <w:rsid w:val="00937EF1"/>
    <w:rsid w:val="009403A8"/>
    <w:rsid w:val="00940424"/>
    <w:rsid w:val="00940DAA"/>
    <w:rsid w:val="00940E32"/>
    <w:rsid w:val="00940F28"/>
    <w:rsid w:val="00940F58"/>
    <w:rsid w:val="00941082"/>
    <w:rsid w:val="009411D0"/>
    <w:rsid w:val="00941288"/>
    <w:rsid w:val="0094131B"/>
    <w:rsid w:val="009413A3"/>
    <w:rsid w:val="0094156F"/>
    <w:rsid w:val="009415B1"/>
    <w:rsid w:val="00941747"/>
    <w:rsid w:val="00941768"/>
    <w:rsid w:val="00941C36"/>
    <w:rsid w:val="00941FD4"/>
    <w:rsid w:val="0094218B"/>
    <w:rsid w:val="009421BC"/>
    <w:rsid w:val="00942262"/>
    <w:rsid w:val="009423F1"/>
    <w:rsid w:val="0094246D"/>
    <w:rsid w:val="00942473"/>
    <w:rsid w:val="009427BC"/>
    <w:rsid w:val="00942963"/>
    <w:rsid w:val="00942D28"/>
    <w:rsid w:val="00942D42"/>
    <w:rsid w:val="00942EB3"/>
    <w:rsid w:val="00942F1D"/>
    <w:rsid w:val="0094304F"/>
    <w:rsid w:val="00943180"/>
    <w:rsid w:val="00943343"/>
    <w:rsid w:val="00943440"/>
    <w:rsid w:val="009434B5"/>
    <w:rsid w:val="00943621"/>
    <w:rsid w:val="009436D8"/>
    <w:rsid w:val="00943B3B"/>
    <w:rsid w:val="00943C9F"/>
    <w:rsid w:val="00943E0A"/>
    <w:rsid w:val="00943E70"/>
    <w:rsid w:val="00944012"/>
    <w:rsid w:val="0094431F"/>
    <w:rsid w:val="009444C4"/>
    <w:rsid w:val="009444F0"/>
    <w:rsid w:val="00944765"/>
    <w:rsid w:val="0094483F"/>
    <w:rsid w:val="00944885"/>
    <w:rsid w:val="00944CB7"/>
    <w:rsid w:val="00944FAF"/>
    <w:rsid w:val="00945264"/>
    <w:rsid w:val="0094528D"/>
    <w:rsid w:val="0094534E"/>
    <w:rsid w:val="0094537B"/>
    <w:rsid w:val="0094551C"/>
    <w:rsid w:val="0094552F"/>
    <w:rsid w:val="00945557"/>
    <w:rsid w:val="009457FD"/>
    <w:rsid w:val="00945851"/>
    <w:rsid w:val="00945874"/>
    <w:rsid w:val="00945950"/>
    <w:rsid w:val="00945A41"/>
    <w:rsid w:val="00945B87"/>
    <w:rsid w:val="00945BC2"/>
    <w:rsid w:val="00945BDD"/>
    <w:rsid w:val="00945C0E"/>
    <w:rsid w:val="00946028"/>
    <w:rsid w:val="0094624F"/>
    <w:rsid w:val="00946343"/>
    <w:rsid w:val="0094634C"/>
    <w:rsid w:val="00946549"/>
    <w:rsid w:val="009466FE"/>
    <w:rsid w:val="00946795"/>
    <w:rsid w:val="009468E1"/>
    <w:rsid w:val="00946D10"/>
    <w:rsid w:val="00946DCA"/>
    <w:rsid w:val="00946ECA"/>
    <w:rsid w:val="009471EE"/>
    <w:rsid w:val="009477DE"/>
    <w:rsid w:val="00947868"/>
    <w:rsid w:val="00947ACD"/>
    <w:rsid w:val="00947B16"/>
    <w:rsid w:val="00947F69"/>
    <w:rsid w:val="009500AF"/>
    <w:rsid w:val="0095018E"/>
    <w:rsid w:val="009502BC"/>
    <w:rsid w:val="0095032A"/>
    <w:rsid w:val="00950791"/>
    <w:rsid w:val="00950837"/>
    <w:rsid w:val="0095086E"/>
    <w:rsid w:val="00950909"/>
    <w:rsid w:val="00950A52"/>
    <w:rsid w:val="00950B59"/>
    <w:rsid w:val="00950C00"/>
    <w:rsid w:val="00950D4C"/>
    <w:rsid w:val="00950F82"/>
    <w:rsid w:val="009510EF"/>
    <w:rsid w:val="0095117F"/>
    <w:rsid w:val="009512ED"/>
    <w:rsid w:val="0095168C"/>
    <w:rsid w:val="009518AC"/>
    <w:rsid w:val="009518DA"/>
    <w:rsid w:val="00951C3F"/>
    <w:rsid w:val="00951D0C"/>
    <w:rsid w:val="0095204B"/>
    <w:rsid w:val="009521BA"/>
    <w:rsid w:val="0095229D"/>
    <w:rsid w:val="009525EC"/>
    <w:rsid w:val="0095299D"/>
    <w:rsid w:val="00952A58"/>
    <w:rsid w:val="00952AF4"/>
    <w:rsid w:val="00952C67"/>
    <w:rsid w:val="0095335D"/>
    <w:rsid w:val="00953465"/>
    <w:rsid w:val="009534B3"/>
    <w:rsid w:val="009534E2"/>
    <w:rsid w:val="00953598"/>
    <w:rsid w:val="00953881"/>
    <w:rsid w:val="00953A3B"/>
    <w:rsid w:val="00953DAB"/>
    <w:rsid w:val="00954010"/>
    <w:rsid w:val="009546C4"/>
    <w:rsid w:val="0095472A"/>
    <w:rsid w:val="009548AB"/>
    <w:rsid w:val="0095491B"/>
    <w:rsid w:val="009549E7"/>
    <w:rsid w:val="00954C92"/>
    <w:rsid w:val="00954D68"/>
    <w:rsid w:val="00954E1F"/>
    <w:rsid w:val="009551D7"/>
    <w:rsid w:val="0095525F"/>
    <w:rsid w:val="0095531A"/>
    <w:rsid w:val="009553B1"/>
    <w:rsid w:val="009553EA"/>
    <w:rsid w:val="00955566"/>
    <w:rsid w:val="009555B0"/>
    <w:rsid w:val="009556D5"/>
    <w:rsid w:val="0095609A"/>
    <w:rsid w:val="00956219"/>
    <w:rsid w:val="009562A2"/>
    <w:rsid w:val="00956319"/>
    <w:rsid w:val="009564CB"/>
    <w:rsid w:val="00956847"/>
    <w:rsid w:val="00956A31"/>
    <w:rsid w:val="00956B7A"/>
    <w:rsid w:val="00956E5E"/>
    <w:rsid w:val="00956E6A"/>
    <w:rsid w:val="00956E98"/>
    <w:rsid w:val="00956EBD"/>
    <w:rsid w:val="0095715E"/>
    <w:rsid w:val="009575B6"/>
    <w:rsid w:val="0095771E"/>
    <w:rsid w:val="009578ED"/>
    <w:rsid w:val="00957F5D"/>
    <w:rsid w:val="009600CB"/>
    <w:rsid w:val="00960177"/>
    <w:rsid w:val="0096024A"/>
    <w:rsid w:val="0096027E"/>
    <w:rsid w:val="00960315"/>
    <w:rsid w:val="009604B7"/>
    <w:rsid w:val="009604DD"/>
    <w:rsid w:val="00960C6E"/>
    <w:rsid w:val="00960CAB"/>
    <w:rsid w:val="00960FA1"/>
    <w:rsid w:val="00960FD0"/>
    <w:rsid w:val="00960FEA"/>
    <w:rsid w:val="009615B1"/>
    <w:rsid w:val="009615BA"/>
    <w:rsid w:val="009615E9"/>
    <w:rsid w:val="00961653"/>
    <w:rsid w:val="00961832"/>
    <w:rsid w:val="00961A0A"/>
    <w:rsid w:val="00961B8A"/>
    <w:rsid w:val="00961E41"/>
    <w:rsid w:val="009621BA"/>
    <w:rsid w:val="00962356"/>
    <w:rsid w:val="0096243E"/>
    <w:rsid w:val="00962449"/>
    <w:rsid w:val="00962808"/>
    <w:rsid w:val="0096284D"/>
    <w:rsid w:val="00962B25"/>
    <w:rsid w:val="00962D26"/>
    <w:rsid w:val="00962FAA"/>
    <w:rsid w:val="0096310A"/>
    <w:rsid w:val="0096318F"/>
    <w:rsid w:val="00963637"/>
    <w:rsid w:val="00963794"/>
    <w:rsid w:val="00963C60"/>
    <w:rsid w:val="009640A5"/>
    <w:rsid w:val="0096483F"/>
    <w:rsid w:val="009649D8"/>
    <w:rsid w:val="00964CD7"/>
    <w:rsid w:val="00964EBF"/>
    <w:rsid w:val="00964ECF"/>
    <w:rsid w:val="00965066"/>
    <w:rsid w:val="0096515B"/>
    <w:rsid w:val="009651BF"/>
    <w:rsid w:val="00965477"/>
    <w:rsid w:val="009654A1"/>
    <w:rsid w:val="00965628"/>
    <w:rsid w:val="009659EB"/>
    <w:rsid w:val="00965A3B"/>
    <w:rsid w:val="00965A43"/>
    <w:rsid w:val="00965BFF"/>
    <w:rsid w:val="00965E2C"/>
    <w:rsid w:val="0096635A"/>
    <w:rsid w:val="009665B8"/>
    <w:rsid w:val="0096668D"/>
    <w:rsid w:val="00966707"/>
    <w:rsid w:val="00966745"/>
    <w:rsid w:val="00966C6E"/>
    <w:rsid w:val="00966E54"/>
    <w:rsid w:val="00966E9B"/>
    <w:rsid w:val="00966FF6"/>
    <w:rsid w:val="0096705D"/>
    <w:rsid w:val="009674AB"/>
    <w:rsid w:val="0096756F"/>
    <w:rsid w:val="0096758E"/>
    <w:rsid w:val="00967A83"/>
    <w:rsid w:val="00967B18"/>
    <w:rsid w:val="00967B7D"/>
    <w:rsid w:val="00967C24"/>
    <w:rsid w:val="00967EF4"/>
    <w:rsid w:val="0097024C"/>
    <w:rsid w:val="0097044E"/>
    <w:rsid w:val="00970C5B"/>
    <w:rsid w:val="00970D80"/>
    <w:rsid w:val="00970FBB"/>
    <w:rsid w:val="00971413"/>
    <w:rsid w:val="0097155F"/>
    <w:rsid w:val="009716D5"/>
    <w:rsid w:val="00971846"/>
    <w:rsid w:val="009719B9"/>
    <w:rsid w:val="00971D4F"/>
    <w:rsid w:val="00971ED4"/>
    <w:rsid w:val="00972041"/>
    <w:rsid w:val="0097218C"/>
    <w:rsid w:val="009721D1"/>
    <w:rsid w:val="00972222"/>
    <w:rsid w:val="00972452"/>
    <w:rsid w:val="0097245D"/>
    <w:rsid w:val="00972624"/>
    <w:rsid w:val="009727BA"/>
    <w:rsid w:val="009727D3"/>
    <w:rsid w:val="009727EC"/>
    <w:rsid w:val="00972835"/>
    <w:rsid w:val="009728B5"/>
    <w:rsid w:val="0097295C"/>
    <w:rsid w:val="00972BFC"/>
    <w:rsid w:val="00972D39"/>
    <w:rsid w:val="0097317D"/>
    <w:rsid w:val="009731EE"/>
    <w:rsid w:val="0097324D"/>
    <w:rsid w:val="009733CB"/>
    <w:rsid w:val="009735C5"/>
    <w:rsid w:val="009736B6"/>
    <w:rsid w:val="00973B2E"/>
    <w:rsid w:val="00973CAD"/>
    <w:rsid w:val="00973D4D"/>
    <w:rsid w:val="009741E8"/>
    <w:rsid w:val="00974268"/>
    <w:rsid w:val="00974841"/>
    <w:rsid w:val="00974D93"/>
    <w:rsid w:val="009753BC"/>
    <w:rsid w:val="009754BD"/>
    <w:rsid w:val="00975542"/>
    <w:rsid w:val="009756F1"/>
    <w:rsid w:val="00975742"/>
    <w:rsid w:val="009758C0"/>
    <w:rsid w:val="00975947"/>
    <w:rsid w:val="00975A23"/>
    <w:rsid w:val="00975C0A"/>
    <w:rsid w:val="00975FD2"/>
    <w:rsid w:val="0097621D"/>
    <w:rsid w:val="0097628B"/>
    <w:rsid w:val="009762D7"/>
    <w:rsid w:val="009769B0"/>
    <w:rsid w:val="00976A6E"/>
    <w:rsid w:val="00976A85"/>
    <w:rsid w:val="00976E0C"/>
    <w:rsid w:val="00976F49"/>
    <w:rsid w:val="00977022"/>
    <w:rsid w:val="00977148"/>
    <w:rsid w:val="00977155"/>
    <w:rsid w:val="0097740E"/>
    <w:rsid w:val="0097759D"/>
    <w:rsid w:val="00977D1F"/>
    <w:rsid w:val="00977DBF"/>
    <w:rsid w:val="009800E0"/>
    <w:rsid w:val="00980226"/>
    <w:rsid w:val="00980395"/>
    <w:rsid w:val="00980443"/>
    <w:rsid w:val="00980568"/>
    <w:rsid w:val="00980B6A"/>
    <w:rsid w:val="00980BFF"/>
    <w:rsid w:val="00980C5A"/>
    <w:rsid w:val="00980D8E"/>
    <w:rsid w:val="00981167"/>
    <w:rsid w:val="009815B1"/>
    <w:rsid w:val="00981744"/>
    <w:rsid w:val="009817BE"/>
    <w:rsid w:val="0098198B"/>
    <w:rsid w:val="009819D7"/>
    <w:rsid w:val="00981DFC"/>
    <w:rsid w:val="009821FD"/>
    <w:rsid w:val="00982314"/>
    <w:rsid w:val="009823E5"/>
    <w:rsid w:val="0098245F"/>
    <w:rsid w:val="0098260D"/>
    <w:rsid w:val="0098288D"/>
    <w:rsid w:val="00982DBB"/>
    <w:rsid w:val="009836E1"/>
    <w:rsid w:val="009839F3"/>
    <w:rsid w:val="00983DCF"/>
    <w:rsid w:val="00983E9E"/>
    <w:rsid w:val="0098409D"/>
    <w:rsid w:val="009846F7"/>
    <w:rsid w:val="00984769"/>
    <w:rsid w:val="0098478A"/>
    <w:rsid w:val="00984C18"/>
    <w:rsid w:val="00984C62"/>
    <w:rsid w:val="00984C7B"/>
    <w:rsid w:val="00984F6A"/>
    <w:rsid w:val="00984F92"/>
    <w:rsid w:val="0098509C"/>
    <w:rsid w:val="00985174"/>
    <w:rsid w:val="00985293"/>
    <w:rsid w:val="009852AF"/>
    <w:rsid w:val="0098537C"/>
    <w:rsid w:val="009854EE"/>
    <w:rsid w:val="0098561A"/>
    <w:rsid w:val="009856BD"/>
    <w:rsid w:val="00985747"/>
    <w:rsid w:val="0098597D"/>
    <w:rsid w:val="00985AA6"/>
    <w:rsid w:val="009860CF"/>
    <w:rsid w:val="00986350"/>
    <w:rsid w:val="0098643F"/>
    <w:rsid w:val="009864EF"/>
    <w:rsid w:val="0098678F"/>
    <w:rsid w:val="009868C5"/>
    <w:rsid w:val="00986D43"/>
    <w:rsid w:val="00986E55"/>
    <w:rsid w:val="00986F1C"/>
    <w:rsid w:val="00986FBF"/>
    <w:rsid w:val="0098708E"/>
    <w:rsid w:val="009870F6"/>
    <w:rsid w:val="0098728A"/>
    <w:rsid w:val="0098754B"/>
    <w:rsid w:val="0098769B"/>
    <w:rsid w:val="009876FA"/>
    <w:rsid w:val="00987BB1"/>
    <w:rsid w:val="00987F55"/>
    <w:rsid w:val="00990075"/>
    <w:rsid w:val="00990079"/>
    <w:rsid w:val="009901F1"/>
    <w:rsid w:val="0099047D"/>
    <w:rsid w:val="009904DD"/>
    <w:rsid w:val="00990B80"/>
    <w:rsid w:val="00990C8A"/>
    <w:rsid w:val="00990E90"/>
    <w:rsid w:val="00990EBF"/>
    <w:rsid w:val="00991463"/>
    <w:rsid w:val="009914D7"/>
    <w:rsid w:val="0099160C"/>
    <w:rsid w:val="009919A9"/>
    <w:rsid w:val="00991B83"/>
    <w:rsid w:val="00991F8C"/>
    <w:rsid w:val="009920A0"/>
    <w:rsid w:val="00992187"/>
    <w:rsid w:val="00992266"/>
    <w:rsid w:val="009922CA"/>
    <w:rsid w:val="00992329"/>
    <w:rsid w:val="0099257E"/>
    <w:rsid w:val="009928FF"/>
    <w:rsid w:val="00992AA1"/>
    <w:rsid w:val="00992C34"/>
    <w:rsid w:val="00993236"/>
    <w:rsid w:val="0099333F"/>
    <w:rsid w:val="009933D8"/>
    <w:rsid w:val="0099349F"/>
    <w:rsid w:val="009938A5"/>
    <w:rsid w:val="009938A9"/>
    <w:rsid w:val="00993916"/>
    <w:rsid w:val="00993D6E"/>
    <w:rsid w:val="00993F63"/>
    <w:rsid w:val="009941D1"/>
    <w:rsid w:val="009943D5"/>
    <w:rsid w:val="009944B3"/>
    <w:rsid w:val="009945C1"/>
    <w:rsid w:val="009946E7"/>
    <w:rsid w:val="0099483F"/>
    <w:rsid w:val="00994881"/>
    <w:rsid w:val="00994909"/>
    <w:rsid w:val="00994AD7"/>
    <w:rsid w:val="009954ED"/>
    <w:rsid w:val="0099551F"/>
    <w:rsid w:val="009955BD"/>
    <w:rsid w:val="009956E1"/>
    <w:rsid w:val="00995829"/>
    <w:rsid w:val="00995BEA"/>
    <w:rsid w:val="00995C40"/>
    <w:rsid w:val="00995ECD"/>
    <w:rsid w:val="009961BF"/>
    <w:rsid w:val="009964EA"/>
    <w:rsid w:val="009967E7"/>
    <w:rsid w:val="0099694B"/>
    <w:rsid w:val="00996B3B"/>
    <w:rsid w:val="00996B66"/>
    <w:rsid w:val="00996E9F"/>
    <w:rsid w:val="00996EFE"/>
    <w:rsid w:val="00996FED"/>
    <w:rsid w:val="00997149"/>
    <w:rsid w:val="0099730B"/>
    <w:rsid w:val="009977C7"/>
    <w:rsid w:val="00997AD8"/>
    <w:rsid w:val="00997CB2"/>
    <w:rsid w:val="00997EED"/>
    <w:rsid w:val="009A01AB"/>
    <w:rsid w:val="009A048B"/>
    <w:rsid w:val="009A0DBE"/>
    <w:rsid w:val="009A0FD7"/>
    <w:rsid w:val="009A128B"/>
    <w:rsid w:val="009A1379"/>
    <w:rsid w:val="009A167E"/>
    <w:rsid w:val="009A1775"/>
    <w:rsid w:val="009A1796"/>
    <w:rsid w:val="009A18EB"/>
    <w:rsid w:val="009A20ED"/>
    <w:rsid w:val="009A2130"/>
    <w:rsid w:val="009A2403"/>
    <w:rsid w:val="009A25A0"/>
    <w:rsid w:val="009A2892"/>
    <w:rsid w:val="009A2B9E"/>
    <w:rsid w:val="009A2DA3"/>
    <w:rsid w:val="009A2E9B"/>
    <w:rsid w:val="009A2F16"/>
    <w:rsid w:val="009A3158"/>
    <w:rsid w:val="009A32D6"/>
    <w:rsid w:val="009A334D"/>
    <w:rsid w:val="009A347F"/>
    <w:rsid w:val="009A3785"/>
    <w:rsid w:val="009A37DF"/>
    <w:rsid w:val="009A3981"/>
    <w:rsid w:val="009A3B27"/>
    <w:rsid w:val="009A3B89"/>
    <w:rsid w:val="009A3E96"/>
    <w:rsid w:val="009A3FB3"/>
    <w:rsid w:val="009A4191"/>
    <w:rsid w:val="009A45FF"/>
    <w:rsid w:val="009A4909"/>
    <w:rsid w:val="009A4AF1"/>
    <w:rsid w:val="009A4E87"/>
    <w:rsid w:val="009A4F49"/>
    <w:rsid w:val="009A5044"/>
    <w:rsid w:val="009A5183"/>
    <w:rsid w:val="009A520F"/>
    <w:rsid w:val="009A52F3"/>
    <w:rsid w:val="009A5351"/>
    <w:rsid w:val="009A53E2"/>
    <w:rsid w:val="009A5467"/>
    <w:rsid w:val="009A551F"/>
    <w:rsid w:val="009A554D"/>
    <w:rsid w:val="009A57FA"/>
    <w:rsid w:val="009A58B1"/>
    <w:rsid w:val="009A5A14"/>
    <w:rsid w:val="009A5B46"/>
    <w:rsid w:val="009A5BB2"/>
    <w:rsid w:val="009A5F20"/>
    <w:rsid w:val="009A625C"/>
    <w:rsid w:val="009A639E"/>
    <w:rsid w:val="009A644F"/>
    <w:rsid w:val="009A6747"/>
    <w:rsid w:val="009A6925"/>
    <w:rsid w:val="009A6BFE"/>
    <w:rsid w:val="009A6D2D"/>
    <w:rsid w:val="009A6D2F"/>
    <w:rsid w:val="009A6F03"/>
    <w:rsid w:val="009A700F"/>
    <w:rsid w:val="009A750B"/>
    <w:rsid w:val="009A7738"/>
    <w:rsid w:val="009A77F8"/>
    <w:rsid w:val="009A7A10"/>
    <w:rsid w:val="009A7B0B"/>
    <w:rsid w:val="009A7BC9"/>
    <w:rsid w:val="009A7D5E"/>
    <w:rsid w:val="009A7E31"/>
    <w:rsid w:val="009A7F0A"/>
    <w:rsid w:val="009B026F"/>
    <w:rsid w:val="009B04C3"/>
    <w:rsid w:val="009B05B4"/>
    <w:rsid w:val="009B0763"/>
    <w:rsid w:val="009B0B22"/>
    <w:rsid w:val="009B0D9F"/>
    <w:rsid w:val="009B0E4A"/>
    <w:rsid w:val="009B0FCF"/>
    <w:rsid w:val="009B104E"/>
    <w:rsid w:val="009B11F5"/>
    <w:rsid w:val="009B1361"/>
    <w:rsid w:val="009B1595"/>
    <w:rsid w:val="009B1765"/>
    <w:rsid w:val="009B19F9"/>
    <w:rsid w:val="009B1B83"/>
    <w:rsid w:val="009B1BB8"/>
    <w:rsid w:val="009B1DA4"/>
    <w:rsid w:val="009B1DD2"/>
    <w:rsid w:val="009B207A"/>
    <w:rsid w:val="009B217E"/>
    <w:rsid w:val="009B2275"/>
    <w:rsid w:val="009B246F"/>
    <w:rsid w:val="009B28F2"/>
    <w:rsid w:val="009B28F3"/>
    <w:rsid w:val="009B2AFB"/>
    <w:rsid w:val="009B2B10"/>
    <w:rsid w:val="009B2C9D"/>
    <w:rsid w:val="009B2CBD"/>
    <w:rsid w:val="009B2DFE"/>
    <w:rsid w:val="009B3582"/>
    <w:rsid w:val="009B3682"/>
    <w:rsid w:val="009B3798"/>
    <w:rsid w:val="009B3C4A"/>
    <w:rsid w:val="009B3EFF"/>
    <w:rsid w:val="009B3F08"/>
    <w:rsid w:val="009B418C"/>
    <w:rsid w:val="009B4202"/>
    <w:rsid w:val="009B42EC"/>
    <w:rsid w:val="009B43D5"/>
    <w:rsid w:val="009B4484"/>
    <w:rsid w:val="009B4529"/>
    <w:rsid w:val="009B4692"/>
    <w:rsid w:val="009B4972"/>
    <w:rsid w:val="009B4BF8"/>
    <w:rsid w:val="009B4C2B"/>
    <w:rsid w:val="009B51A8"/>
    <w:rsid w:val="009B57F2"/>
    <w:rsid w:val="009B5828"/>
    <w:rsid w:val="009B586D"/>
    <w:rsid w:val="009B602F"/>
    <w:rsid w:val="009B60E2"/>
    <w:rsid w:val="009B61AD"/>
    <w:rsid w:val="009B6220"/>
    <w:rsid w:val="009B6228"/>
    <w:rsid w:val="009B63EB"/>
    <w:rsid w:val="009B64A5"/>
    <w:rsid w:val="009B64B9"/>
    <w:rsid w:val="009B66FB"/>
    <w:rsid w:val="009B6813"/>
    <w:rsid w:val="009B6968"/>
    <w:rsid w:val="009B6A82"/>
    <w:rsid w:val="009B6AA6"/>
    <w:rsid w:val="009B6B29"/>
    <w:rsid w:val="009B6B64"/>
    <w:rsid w:val="009B6D0A"/>
    <w:rsid w:val="009B6D2B"/>
    <w:rsid w:val="009B6DDB"/>
    <w:rsid w:val="009B6E8D"/>
    <w:rsid w:val="009B6F6C"/>
    <w:rsid w:val="009B7586"/>
    <w:rsid w:val="009B7642"/>
    <w:rsid w:val="009B76AF"/>
    <w:rsid w:val="009B7765"/>
    <w:rsid w:val="009B79C7"/>
    <w:rsid w:val="009B7ACE"/>
    <w:rsid w:val="009C0010"/>
    <w:rsid w:val="009C008E"/>
    <w:rsid w:val="009C00DD"/>
    <w:rsid w:val="009C0249"/>
    <w:rsid w:val="009C0279"/>
    <w:rsid w:val="009C028B"/>
    <w:rsid w:val="009C0765"/>
    <w:rsid w:val="009C07D6"/>
    <w:rsid w:val="009C0A3A"/>
    <w:rsid w:val="009C0FDE"/>
    <w:rsid w:val="009C0FFE"/>
    <w:rsid w:val="009C1008"/>
    <w:rsid w:val="009C1184"/>
    <w:rsid w:val="009C1321"/>
    <w:rsid w:val="009C142B"/>
    <w:rsid w:val="009C162A"/>
    <w:rsid w:val="009C167A"/>
    <w:rsid w:val="009C198B"/>
    <w:rsid w:val="009C1A56"/>
    <w:rsid w:val="009C1CD7"/>
    <w:rsid w:val="009C1DA7"/>
    <w:rsid w:val="009C1E1F"/>
    <w:rsid w:val="009C1FB0"/>
    <w:rsid w:val="009C203F"/>
    <w:rsid w:val="009C239B"/>
    <w:rsid w:val="009C24E5"/>
    <w:rsid w:val="009C24F4"/>
    <w:rsid w:val="009C275F"/>
    <w:rsid w:val="009C2808"/>
    <w:rsid w:val="009C2829"/>
    <w:rsid w:val="009C286B"/>
    <w:rsid w:val="009C2E74"/>
    <w:rsid w:val="009C2FDA"/>
    <w:rsid w:val="009C3034"/>
    <w:rsid w:val="009C3137"/>
    <w:rsid w:val="009C3295"/>
    <w:rsid w:val="009C331C"/>
    <w:rsid w:val="009C3A58"/>
    <w:rsid w:val="009C3B3A"/>
    <w:rsid w:val="009C3B74"/>
    <w:rsid w:val="009C3BF1"/>
    <w:rsid w:val="009C42A5"/>
    <w:rsid w:val="009C43D9"/>
    <w:rsid w:val="009C44A0"/>
    <w:rsid w:val="009C46F5"/>
    <w:rsid w:val="009C4926"/>
    <w:rsid w:val="009C4B30"/>
    <w:rsid w:val="009C4B9D"/>
    <w:rsid w:val="009C4D16"/>
    <w:rsid w:val="009C5044"/>
    <w:rsid w:val="009C50A6"/>
    <w:rsid w:val="009C516F"/>
    <w:rsid w:val="009C532F"/>
    <w:rsid w:val="009C5350"/>
    <w:rsid w:val="009C5619"/>
    <w:rsid w:val="009C5878"/>
    <w:rsid w:val="009C5B28"/>
    <w:rsid w:val="009C5B6F"/>
    <w:rsid w:val="009C5C5D"/>
    <w:rsid w:val="009C60E5"/>
    <w:rsid w:val="009C6323"/>
    <w:rsid w:val="009C653D"/>
    <w:rsid w:val="009C67D3"/>
    <w:rsid w:val="009C6E13"/>
    <w:rsid w:val="009C6F1B"/>
    <w:rsid w:val="009C7100"/>
    <w:rsid w:val="009C7131"/>
    <w:rsid w:val="009C720D"/>
    <w:rsid w:val="009C7377"/>
    <w:rsid w:val="009C7696"/>
    <w:rsid w:val="009C7718"/>
    <w:rsid w:val="009C795D"/>
    <w:rsid w:val="009C79AE"/>
    <w:rsid w:val="009C7A4E"/>
    <w:rsid w:val="009C7A54"/>
    <w:rsid w:val="009C7C5F"/>
    <w:rsid w:val="009C7E28"/>
    <w:rsid w:val="009C7FF1"/>
    <w:rsid w:val="009D0072"/>
    <w:rsid w:val="009D009E"/>
    <w:rsid w:val="009D027F"/>
    <w:rsid w:val="009D02E7"/>
    <w:rsid w:val="009D039C"/>
    <w:rsid w:val="009D0499"/>
    <w:rsid w:val="009D0533"/>
    <w:rsid w:val="009D0BE7"/>
    <w:rsid w:val="009D0C21"/>
    <w:rsid w:val="009D10F5"/>
    <w:rsid w:val="009D13FF"/>
    <w:rsid w:val="009D1500"/>
    <w:rsid w:val="009D1550"/>
    <w:rsid w:val="009D165D"/>
    <w:rsid w:val="009D1772"/>
    <w:rsid w:val="009D183A"/>
    <w:rsid w:val="009D18A6"/>
    <w:rsid w:val="009D198C"/>
    <w:rsid w:val="009D1D2A"/>
    <w:rsid w:val="009D1EC6"/>
    <w:rsid w:val="009D1FC1"/>
    <w:rsid w:val="009D2078"/>
    <w:rsid w:val="009D232C"/>
    <w:rsid w:val="009D23F8"/>
    <w:rsid w:val="009D2631"/>
    <w:rsid w:val="009D263F"/>
    <w:rsid w:val="009D26AA"/>
    <w:rsid w:val="009D2734"/>
    <w:rsid w:val="009D2754"/>
    <w:rsid w:val="009D2A66"/>
    <w:rsid w:val="009D2AAD"/>
    <w:rsid w:val="009D2BEC"/>
    <w:rsid w:val="009D2C78"/>
    <w:rsid w:val="009D3195"/>
    <w:rsid w:val="009D328A"/>
    <w:rsid w:val="009D3A5F"/>
    <w:rsid w:val="009D3B76"/>
    <w:rsid w:val="009D3D1C"/>
    <w:rsid w:val="009D409D"/>
    <w:rsid w:val="009D4165"/>
    <w:rsid w:val="009D4322"/>
    <w:rsid w:val="009D45F2"/>
    <w:rsid w:val="009D4603"/>
    <w:rsid w:val="009D4864"/>
    <w:rsid w:val="009D4A65"/>
    <w:rsid w:val="009D4EE5"/>
    <w:rsid w:val="009D55F0"/>
    <w:rsid w:val="009D5673"/>
    <w:rsid w:val="009D5696"/>
    <w:rsid w:val="009D56FE"/>
    <w:rsid w:val="009D5866"/>
    <w:rsid w:val="009D5C11"/>
    <w:rsid w:val="009D6180"/>
    <w:rsid w:val="009D62A0"/>
    <w:rsid w:val="009D62DD"/>
    <w:rsid w:val="009D656B"/>
    <w:rsid w:val="009D6671"/>
    <w:rsid w:val="009D66C5"/>
    <w:rsid w:val="009D68A9"/>
    <w:rsid w:val="009D68E0"/>
    <w:rsid w:val="009D6A2D"/>
    <w:rsid w:val="009D6B45"/>
    <w:rsid w:val="009D6BE0"/>
    <w:rsid w:val="009D6C30"/>
    <w:rsid w:val="009D6F96"/>
    <w:rsid w:val="009D7030"/>
    <w:rsid w:val="009D7087"/>
    <w:rsid w:val="009D72E1"/>
    <w:rsid w:val="009D799E"/>
    <w:rsid w:val="009D7BBE"/>
    <w:rsid w:val="009D7D4C"/>
    <w:rsid w:val="009D7FE6"/>
    <w:rsid w:val="009E04AD"/>
    <w:rsid w:val="009E04D4"/>
    <w:rsid w:val="009E076C"/>
    <w:rsid w:val="009E0B5D"/>
    <w:rsid w:val="009E0EFC"/>
    <w:rsid w:val="009E0FCF"/>
    <w:rsid w:val="009E122D"/>
    <w:rsid w:val="009E1294"/>
    <w:rsid w:val="009E135B"/>
    <w:rsid w:val="009E15CA"/>
    <w:rsid w:val="009E1756"/>
    <w:rsid w:val="009E18CA"/>
    <w:rsid w:val="009E1A82"/>
    <w:rsid w:val="009E1F8F"/>
    <w:rsid w:val="009E20DA"/>
    <w:rsid w:val="009E237E"/>
    <w:rsid w:val="009E23C3"/>
    <w:rsid w:val="009E2688"/>
    <w:rsid w:val="009E26C0"/>
    <w:rsid w:val="009E26CD"/>
    <w:rsid w:val="009E31EA"/>
    <w:rsid w:val="009E33F6"/>
    <w:rsid w:val="009E35F9"/>
    <w:rsid w:val="009E361B"/>
    <w:rsid w:val="009E36EE"/>
    <w:rsid w:val="009E37D7"/>
    <w:rsid w:val="009E3A25"/>
    <w:rsid w:val="009E3B2B"/>
    <w:rsid w:val="009E3BB1"/>
    <w:rsid w:val="009E3F38"/>
    <w:rsid w:val="009E42C1"/>
    <w:rsid w:val="009E4340"/>
    <w:rsid w:val="009E449F"/>
    <w:rsid w:val="009E4563"/>
    <w:rsid w:val="009E4565"/>
    <w:rsid w:val="009E4757"/>
    <w:rsid w:val="009E4812"/>
    <w:rsid w:val="009E49A7"/>
    <w:rsid w:val="009E4D03"/>
    <w:rsid w:val="009E4E0E"/>
    <w:rsid w:val="009E4E74"/>
    <w:rsid w:val="009E551C"/>
    <w:rsid w:val="009E55A1"/>
    <w:rsid w:val="009E563C"/>
    <w:rsid w:val="009E5679"/>
    <w:rsid w:val="009E58CB"/>
    <w:rsid w:val="009E5902"/>
    <w:rsid w:val="009E5980"/>
    <w:rsid w:val="009E5DFF"/>
    <w:rsid w:val="009E6012"/>
    <w:rsid w:val="009E601B"/>
    <w:rsid w:val="009E61D7"/>
    <w:rsid w:val="009E6219"/>
    <w:rsid w:val="009E622A"/>
    <w:rsid w:val="009E6255"/>
    <w:rsid w:val="009E63C8"/>
    <w:rsid w:val="009E64C4"/>
    <w:rsid w:val="009E66AE"/>
    <w:rsid w:val="009E6C9E"/>
    <w:rsid w:val="009E6D0C"/>
    <w:rsid w:val="009E6E84"/>
    <w:rsid w:val="009E73C8"/>
    <w:rsid w:val="009E76AA"/>
    <w:rsid w:val="009E7896"/>
    <w:rsid w:val="009E79D4"/>
    <w:rsid w:val="009E7A85"/>
    <w:rsid w:val="009E7C7C"/>
    <w:rsid w:val="009E7FB7"/>
    <w:rsid w:val="009F0066"/>
    <w:rsid w:val="009F00AB"/>
    <w:rsid w:val="009F0185"/>
    <w:rsid w:val="009F0490"/>
    <w:rsid w:val="009F067D"/>
    <w:rsid w:val="009F0980"/>
    <w:rsid w:val="009F0987"/>
    <w:rsid w:val="009F11A7"/>
    <w:rsid w:val="009F13F0"/>
    <w:rsid w:val="009F1599"/>
    <w:rsid w:val="009F195A"/>
    <w:rsid w:val="009F195C"/>
    <w:rsid w:val="009F1CE4"/>
    <w:rsid w:val="009F1E59"/>
    <w:rsid w:val="009F2467"/>
    <w:rsid w:val="009F24D4"/>
    <w:rsid w:val="009F28BD"/>
    <w:rsid w:val="009F2A4F"/>
    <w:rsid w:val="009F2E03"/>
    <w:rsid w:val="009F31A7"/>
    <w:rsid w:val="009F33E5"/>
    <w:rsid w:val="009F35A8"/>
    <w:rsid w:val="009F35E1"/>
    <w:rsid w:val="009F37F6"/>
    <w:rsid w:val="009F39CB"/>
    <w:rsid w:val="009F3A64"/>
    <w:rsid w:val="009F3C55"/>
    <w:rsid w:val="009F3DBC"/>
    <w:rsid w:val="009F41D1"/>
    <w:rsid w:val="009F4434"/>
    <w:rsid w:val="009F465C"/>
    <w:rsid w:val="009F4881"/>
    <w:rsid w:val="009F4D6F"/>
    <w:rsid w:val="009F5039"/>
    <w:rsid w:val="009F549A"/>
    <w:rsid w:val="009F55BC"/>
    <w:rsid w:val="009F55DC"/>
    <w:rsid w:val="009F56A7"/>
    <w:rsid w:val="009F5A6D"/>
    <w:rsid w:val="009F5BB9"/>
    <w:rsid w:val="009F5C0E"/>
    <w:rsid w:val="009F5DAD"/>
    <w:rsid w:val="009F63A6"/>
    <w:rsid w:val="009F65FA"/>
    <w:rsid w:val="009F67B3"/>
    <w:rsid w:val="009F6918"/>
    <w:rsid w:val="009F6D6A"/>
    <w:rsid w:val="009F6DD3"/>
    <w:rsid w:val="009F71C0"/>
    <w:rsid w:val="009F739F"/>
    <w:rsid w:val="009F73A7"/>
    <w:rsid w:val="009F7420"/>
    <w:rsid w:val="009F74DB"/>
    <w:rsid w:val="009F7555"/>
    <w:rsid w:val="009F7A24"/>
    <w:rsid w:val="009F7CC4"/>
    <w:rsid w:val="009F7DA7"/>
    <w:rsid w:val="009F7EF4"/>
    <w:rsid w:val="00A0008F"/>
    <w:rsid w:val="00A001FC"/>
    <w:rsid w:val="00A00344"/>
    <w:rsid w:val="00A00570"/>
    <w:rsid w:val="00A005F5"/>
    <w:rsid w:val="00A00713"/>
    <w:rsid w:val="00A00AC2"/>
    <w:rsid w:val="00A00CBC"/>
    <w:rsid w:val="00A00D31"/>
    <w:rsid w:val="00A00D7B"/>
    <w:rsid w:val="00A00E88"/>
    <w:rsid w:val="00A00EFB"/>
    <w:rsid w:val="00A0117A"/>
    <w:rsid w:val="00A01278"/>
    <w:rsid w:val="00A01288"/>
    <w:rsid w:val="00A01388"/>
    <w:rsid w:val="00A0151C"/>
    <w:rsid w:val="00A01838"/>
    <w:rsid w:val="00A01BF4"/>
    <w:rsid w:val="00A01C47"/>
    <w:rsid w:val="00A01CBB"/>
    <w:rsid w:val="00A01EC9"/>
    <w:rsid w:val="00A020A1"/>
    <w:rsid w:val="00A0234F"/>
    <w:rsid w:val="00A023E2"/>
    <w:rsid w:val="00A025A8"/>
    <w:rsid w:val="00A026B0"/>
    <w:rsid w:val="00A02806"/>
    <w:rsid w:val="00A029B7"/>
    <w:rsid w:val="00A02AB3"/>
    <w:rsid w:val="00A02C04"/>
    <w:rsid w:val="00A031CE"/>
    <w:rsid w:val="00A03D20"/>
    <w:rsid w:val="00A03E82"/>
    <w:rsid w:val="00A03F34"/>
    <w:rsid w:val="00A03F39"/>
    <w:rsid w:val="00A040BE"/>
    <w:rsid w:val="00A043BA"/>
    <w:rsid w:val="00A04423"/>
    <w:rsid w:val="00A044C9"/>
    <w:rsid w:val="00A04B65"/>
    <w:rsid w:val="00A04B69"/>
    <w:rsid w:val="00A04D09"/>
    <w:rsid w:val="00A0503B"/>
    <w:rsid w:val="00A051F6"/>
    <w:rsid w:val="00A0524B"/>
    <w:rsid w:val="00A05262"/>
    <w:rsid w:val="00A053A7"/>
    <w:rsid w:val="00A05612"/>
    <w:rsid w:val="00A056F6"/>
    <w:rsid w:val="00A05ACA"/>
    <w:rsid w:val="00A05CDD"/>
    <w:rsid w:val="00A063C2"/>
    <w:rsid w:val="00A065FF"/>
    <w:rsid w:val="00A066D3"/>
    <w:rsid w:val="00A069D1"/>
    <w:rsid w:val="00A06A88"/>
    <w:rsid w:val="00A06C12"/>
    <w:rsid w:val="00A06C32"/>
    <w:rsid w:val="00A06DC6"/>
    <w:rsid w:val="00A06E42"/>
    <w:rsid w:val="00A06F59"/>
    <w:rsid w:val="00A073C4"/>
    <w:rsid w:val="00A074BF"/>
    <w:rsid w:val="00A075FB"/>
    <w:rsid w:val="00A07AD0"/>
    <w:rsid w:val="00A07CB3"/>
    <w:rsid w:val="00A07D2C"/>
    <w:rsid w:val="00A07D50"/>
    <w:rsid w:val="00A1030D"/>
    <w:rsid w:val="00A1031F"/>
    <w:rsid w:val="00A10323"/>
    <w:rsid w:val="00A10487"/>
    <w:rsid w:val="00A1089B"/>
    <w:rsid w:val="00A108FC"/>
    <w:rsid w:val="00A1092E"/>
    <w:rsid w:val="00A10B55"/>
    <w:rsid w:val="00A11064"/>
    <w:rsid w:val="00A11083"/>
    <w:rsid w:val="00A110C0"/>
    <w:rsid w:val="00A113C8"/>
    <w:rsid w:val="00A11453"/>
    <w:rsid w:val="00A11A4B"/>
    <w:rsid w:val="00A11AA7"/>
    <w:rsid w:val="00A11AD4"/>
    <w:rsid w:val="00A11CE6"/>
    <w:rsid w:val="00A1260D"/>
    <w:rsid w:val="00A12783"/>
    <w:rsid w:val="00A127B8"/>
    <w:rsid w:val="00A1283A"/>
    <w:rsid w:val="00A129D5"/>
    <w:rsid w:val="00A12CFD"/>
    <w:rsid w:val="00A13060"/>
    <w:rsid w:val="00A13164"/>
    <w:rsid w:val="00A13365"/>
    <w:rsid w:val="00A13505"/>
    <w:rsid w:val="00A13550"/>
    <w:rsid w:val="00A137E8"/>
    <w:rsid w:val="00A137F0"/>
    <w:rsid w:val="00A13860"/>
    <w:rsid w:val="00A13E44"/>
    <w:rsid w:val="00A13EF9"/>
    <w:rsid w:val="00A14107"/>
    <w:rsid w:val="00A14588"/>
    <w:rsid w:val="00A14671"/>
    <w:rsid w:val="00A148A8"/>
    <w:rsid w:val="00A14C62"/>
    <w:rsid w:val="00A14CF5"/>
    <w:rsid w:val="00A14E88"/>
    <w:rsid w:val="00A14F44"/>
    <w:rsid w:val="00A15587"/>
    <w:rsid w:val="00A1575A"/>
    <w:rsid w:val="00A15805"/>
    <w:rsid w:val="00A1625D"/>
    <w:rsid w:val="00A1634B"/>
    <w:rsid w:val="00A166B3"/>
    <w:rsid w:val="00A1674A"/>
    <w:rsid w:val="00A167BD"/>
    <w:rsid w:val="00A16822"/>
    <w:rsid w:val="00A16CDD"/>
    <w:rsid w:val="00A16CEC"/>
    <w:rsid w:val="00A16E8A"/>
    <w:rsid w:val="00A17298"/>
    <w:rsid w:val="00A1763A"/>
    <w:rsid w:val="00A177EF"/>
    <w:rsid w:val="00A1780A"/>
    <w:rsid w:val="00A1791E"/>
    <w:rsid w:val="00A17A45"/>
    <w:rsid w:val="00A17A55"/>
    <w:rsid w:val="00A17A99"/>
    <w:rsid w:val="00A17B23"/>
    <w:rsid w:val="00A17CCB"/>
    <w:rsid w:val="00A17EEE"/>
    <w:rsid w:val="00A2007A"/>
    <w:rsid w:val="00A20386"/>
    <w:rsid w:val="00A205CC"/>
    <w:rsid w:val="00A20773"/>
    <w:rsid w:val="00A208A1"/>
    <w:rsid w:val="00A2098A"/>
    <w:rsid w:val="00A2115C"/>
    <w:rsid w:val="00A212EA"/>
    <w:rsid w:val="00A214AD"/>
    <w:rsid w:val="00A215B0"/>
    <w:rsid w:val="00A215C1"/>
    <w:rsid w:val="00A21DFF"/>
    <w:rsid w:val="00A21E02"/>
    <w:rsid w:val="00A21E24"/>
    <w:rsid w:val="00A21F02"/>
    <w:rsid w:val="00A22719"/>
    <w:rsid w:val="00A22722"/>
    <w:rsid w:val="00A22A92"/>
    <w:rsid w:val="00A22ED2"/>
    <w:rsid w:val="00A23010"/>
    <w:rsid w:val="00A23270"/>
    <w:rsid w:val="00A232EF"/>
    <w:rsid w:val="00A237ED"/>
    <w:rsid w:val="00A23A3A"/>
    <w:rsid w:val="00A23A80"/>
    <w:rsid w:val="00A23C6B"/>
    <w:rsid w:val="00A23D1B"/>
    <w:rsid w:val="00A24194"/>
    <w:rsid w:val="00A244D9"/>
    <w:rsid w:val="00A245F0"/>
    <w:rsid w:val="00A24DC3"/>
    <w:rsid w:val="00A24F28"/>
    <w:rsid w:val="00A251E1"/>
    <w:rsid w:val="00A25230"/>
    <w:rsid w:val="00A252F1"/>
    <w:rsid w:val="00A2563D"/>
    <w:rsid w:val="00A25B82"/>
    <w:rsid w:val="00A25C98"/>
    <w:rsid w:val="00A2632F"/>
    <w:rsid w:val="00A2636A"/>
    <w:rsid w:val="00A263A9"/>
    <w:rsid w:val="00A264C9"/>
    <w:rsid w:val="00A26506"/>
    <w:rsid w:val="00A26536"/>
    <w:rsid w:val="00A26585"/>
    <w:rsid w:val="00A2661C"/>
    <w:rsid w:val="00A266F5"/>
    <w:rsid w:val="00A26B77"/>
    <w:rsid w:val="00A26C23"/>
    <w:rsid w:val="00A27526"/>
    <w:rsid w:val="00A2791F"/>
    <w:rsid w:val="00A279D8"/>
    <w:rsid w:val="00A27B77"/>
    <w:rsid w:val="00A27F53"/>
    <w:rsid w:val="00A30136"/>
    <w:rsid w:val="00A30190"/>
    <w:rsid w:val="00A301CD"/>
    <w:rsid w:val="00A302D0"/>
    <w:rsid w:val="00A303B6"/>
    <w:rsid w:val="00A30903"/>
    <w:rsid w:val="00A30AFD"/>
    <w:rsid w:val="00A31054"/>
    <w:rsid w:val="00A310A7"/>
    <w:rsid w:val="00A31138"/>
    <w:rsid w:val="00A3125F"/>
    <w:rsid w:val="00A31454"/>
    <w:rsid w:val="00A31613"/>
    <w:rsid w:val="00A318C5"/>
    <w:rsid w:val="00A3193C"/>
    <w:rsid w:val="00A31AD7"/>
    <w:rsid w:val="00A31CD0"/>
    <w:rsid w:val="00A327FC"/>
    <w:rsid w:val="00A328F0"/>
    <w:rsid w:val="00A3295C"/>
    <w:rsid w:val="00A32E57"/>
    <w:rsid w:val="00A33015"/>
    <w:rsid w:val="00A33350"/>
    <w:rsid w:val="00A3397B"/>
    <w:rsid w:val="00A33C60"/>
    <w:rsid w:val="00A33C62"/>
    <w:rsid w:val="00A33C68"/>
    <w:rsid w:val="00A33D97"/>
    <w:rsid w:val="00A33E79"/>
    <w:rsid w:val="00A33E82"/>
    <w:rsid w:val="00A343EB"/>
    <w:rsid w:val="00A343FB"/>
    <w:rsid w:val="00A34469"/>
    <w:rsid w:val="00A34645"/>
    <w:rsid w:val="00A3465D"/>
    <w:rsid w:val="00A346F1"/>
    <w:rsid w:val="00A34709"/>
    <w:rsid w:val="00A34B48"/>
    <w:rsid w:val="00A34BD5"/>
    <w:rsid w:val="00A34CCF"/>
    <w:rsid w:val="00A35109"/>
    <w:rsid w:val="00A354A6"/>
    <w:rsid w:val="00A3567E"/>
    <w:rsid w:val="00A35775"/>
    <w:rsid w:val="00A35916"/>
    <w:rsid w:val="00A359CC"/>
    <w:rsid w:val="00A35B5B"/>
    <w:rsid w:val="00A35E76"/>
    <w:rsid w:val="00A361B3"/>
    <w:rsid w:val="00A36204"/>
    <w:rsid w:val="00A362B5"/>
    <w:rsid w:val="00A366A7"/>
    <w:rsid w:val="00A366AA"/>
    <w:rsid w:val="00A36704"/>
    <w:rsid w:val="00A3678B"/>
    <w:rsid w:val="00A36B33"/>
    <w:rsid w:val="00A36BB9"/>
    <w:rsid w:val="00A36CFE"/>
    <w:rsid w:val="00A36D79"/>
    <w:rsid w:val="00A36F48"/>
    <w:rsid w:val="00A371E1"/>
    <w:rsid w:val="00A3734A"/>
    <w:rsid w:val="00A3739D"/>
    <w:rsid w:val="00A373A6"/>
    <w:rsid w:val="00A374AE"/>
    <w:rsid w:val="00A37787"/>
    <w:rsid w:val="00A37E74"/>
    <w:rsid w:val="00A37F74"/>
    <w:rsid w:val="00A400B8"/>
    <w:rsid w:val="00A406FD"/>
    <w:rsid w:val="00A40804"/>
    <w:rsid w:val="00A40840"/>
    <w:rsid w:val="00A4093B"/>
    <w:rsid w:val="00A40B55"/>
    <w:rsid w:val="00A40C9E"/>
    <w:rsid w:val="00A40D73"/>
    <w:rsid w:val="00A41007"/>
    <w:rsid w:val="00A4109D"/>
    <w:rsid w:val="00A411CD"/>
    <w:rsid w:val="00A4131A"/>
    <w:rsid w:val="00A413CD"/>
    <w:rsid w:val="00A41EB1"/>
    <w:rsid w:val="00A423DA"/>
    <w:rsid w:val="00A424EC"/>
    <w:rsid w:val="00A42540"/>
    <w:rsid w:val="00A42743"/>
    <w:rsid w:val="00A4280C"/>
    <w:rsid w:val="00A42862"/>
    <w:rsid w:val="00A42A9E"/>
    <w:rsid w:val="00A42AC3"/>
    <w:rsid w:val="00A42B37"/>
    <w:rsid w:val="00A42E52"/>
    <w:rsid w:val="00A42E79"/>
    <w:rsid w:val="00A43906"/>
    <w:rsid w:val="00A439B5"/>
    <w:rsid w:val="00A43A42"/>
    <w:rsid w:val="00A43D11"/>
    <w:rsid w:val="00A44180"/>
    <w:rsid w:val="00A44198"/>
    <w:rsid w:val="00A44268"/>
    <w:rsid w:val="00A443C5"/>
    <w:rsid w:val="00A443CB"/>
    <w:rsid w:val="00A443D8"/>
    <w:rsid w:val="00A444DF"/>
    <w:rsid w:val="00A44711"/>
    <w:rsid w:val="00A448CF"/>
    <w:rsid w:val="00A4496E"/>
    <w:rsid w:val="00A449B0"/>
    <w:rsid w:val="00A44A9E"/>
    <w:rsid w:val="00A44AB4"/>
    <w:rsid w:val="00A44B6D"/>
    <w:rsid w:val="00A44DDB"/>
    <w:rsid w:val="00A45073"/>
    <w:rsid w:val="00A45103"/>
    <w:rsid w:val="00A45140"/>
    <w:rsid w:val="00A45183"/>
    <w:rsid w:val="00A451AD"/>
    <w:rsid w:val="00A45A93"/>
    <w:rsid w:val="00A45AEA"/>
    <w:rsid w:val="00A45C68"/>
    <w:rsid w:val="00A45CDB"/>
    <w:rsid w:val="00A45EF2"/>
    <w:rsid w:val="00A45FEE"/>
    <w:rsid w:val="00A4622B"/>
    <w:rsid w:val="00A46293"/>
    <w:rsid w:val="00A46406"/>
    <w:rsid w:val="00A464B8"/>
    <w:rsid w:val="00A46570"/>
    <w:rsid w:val="00A4685C"/>
    <w:rsid w:val="00A47351"/>
    <w:rsid w:val="00A47412"/>
    <w:rsid w:val="00A47845"/>
    <w:rsid w:val="00A47AFB"/>
    <w:rsid w:val="00A47BA0"/>
    <w:rsid w:val="00A47C4F"/>
    <w:rsid w:val="00A47D5F"/>
    <w:rsid w:val="00A47F36"/>
    <w:rsid w:val="00A47F67"/>
    <w:rsid w:val="00A500B0"/>
    <w:rsid w:val="00A500FE"/>
    <w:rsid w:val="00A504B2"/>
    <w:rsid w:val="00A50720"/>
    <w:rsid w:val="00A50B98"/>
    <w:rsid w:val="00A50CF6"/>
    <w:rsid w:val="00A512EB"/>
    <w:rsid w:val="00A51409"/>
    <w:rsid w:val="00A5157D"/>
    <w:rsid w:val="00A51650"/>
    <w:rsid w:val="00A51CC5"/>
    <w:rsid w:val="00A5249F"/>
    <w:rsid w:val="00A524CC"/>
    <w:rsid w:val="00A524FA"/>
    <w:rsid w:val="00A52677"/>
    <w:rsid w:val="00A52C2D"/>
    <w:rsid w:val="00A52E50"/>
    <w:rsid w:val="00A535A7"/>
    <w:rsid w:val="00A53601"/>
    <w:rsid w:val="00A5360A"/>
    <w:rsid w:val="00A53697"/>
    <w:rsid w:val="00A5393A"/>
    <w:rsid w:val="00A53B86"/>
    <w:rsid w:val="00A53D99"/>
    <w:rsid w:val="00A53F3F"/>
    <w:rsid w:val="00A54030"/>
    <w:rsid w:val="00A54243"/>
    <w:rsid w:val="00A54259"/>
    <w:rsid w:val="00A54276"/>
    <w:rsid w:val="00A5446B"/>
    <w:rsid w:val="00A5459B"/>
    <w:rsid w:val="00A54912"/>
    <w:rsid w:val="00A54BD5"/>
    <w:rsid w:val="00A54D95"/>
    <w:rsid w:val="00A54EB6"/>
    <w:rsid w:val="00A55093"/>
    <w:rsid w:val="00A550D8"/>
    <w:rsid w:val="00A550F4"/>
    <w:rsid w:val="00A555EC"/>
    <w:rsid w:val="00A5565B"/>
    <w:rsid w:val="00A55766"/>
    <w:rsid w:val="00A558E2"/>
    <w:rsid w:val="00A559C9"/>
    <w:rsid w:val="00A55AA2"/>
    <w:rsid w:val="00A55B88"/>
    <w:rsid w:val="00A55C02"/>
    <w:rsid w:val="00A56212"/>
    <w:rsid w:val="00A563D5"/>
    <w:rsid w:val="00A5661E"/>
    <w:rsid w:val="00A56620"/>
    <w:rsid w:val="00A566C0"/>
    <w:rsid w:val="00A56B6A"/>
    <w:rsid w:val="00A56C55"/>
    <w:rsid w:val="00A56F58"/>
    <w:rsid w:val="00A570AC"/>
    <w:rsid w:val="00A571D8"/>
    <w:rsid w:val="00A574B3"/>
    <w:rsid w:val="00A579A9"/>
    <w:rsid w:val="00A579BE"/>
    <w:rsid w:val="00A57EC5"/>
    <w:rsid w:val="00A57F7A"/>
    <w:rsid w:val="00A605A1"/>
    <w:rsid w:val="00A60701"/>
    <w:rsid w:val="00A6072C"/>
    <w:rsid w:val="00A6086D"/>
    <w:rsid w:val="00A60924"/>
    <w:rsid w:val="00A60BA0"/>
    <w:rsid w:val="00A60DE8"/>
    <w:rsid w:val="00A61615"/>
    <w:rsid w:val="00A617E1"/>
    <w:rsid w:val="00A6199B"/>
    <w:rsid w:val="00A61C43"/>
    <w:rsid w:val="00A61CA3"/>
    <w:rsid w:val="00A61EB7"/>
    <w:rsid w:val="00A626B9"/>
    <w:rsid w:val="00A6291A"/>
    <w:rsid w:val="00A62B25"/>
    <w:rsid w:val="00A62B2C"/>
    <w:rsid w:val="00A62E70"/>
    <w:rsid w:val="00A6310E"/>
    <w:rsid w:val="00A63356"/>
    <w:rsid w:val="00A63459"/>
    <w:rsid w:val="00A63703"/>
    <w:rsid w:val="00A63AFD"/>
    <w:rsid w:val="00A63B13"/>
    <w:rsid w:val="00A63F97"/>
    <w:rsid w:val="00A64317"/>
    <w:rsid w:val="00A64431"/>
    <w:rsid w:val="00A6449A"/>
    <w:rsid w:val="00A6449C"/>
    <w:rsid w:val="00A644D2"/>
    <w:rsid w:val="00A6470C"/>
    <w:rsid w:val="00A648FB"/>
    <w:rsid w:val="00A64AD2"/>
    <w:rsid w:val="00A64AF0"/>
    <w:rsid w:val="00A64CBB"/>
    <w:rsid w:val="00A6510E"/>
    <w:rsid w:val="00A651AE"/>
    <w:rsid w:val="00A65376"/>
    <w:rsid w:val="00A65451"/>
    <w:rsid w:val="00A65826"/>
    <w:rsid w:val="00A65A8C"/>
    <w:rsid w:val="00A65AF2"/>
    <w:rsid w:val="00A65D81"/>
    <w:rsid w:val="00A65F74"/>
    <w:rsid w:val="00A66030"/>
    <w:rsid w:val="00A66310"/>
    <w:rsid w:val="00A6650D"/>
    <w:rsid w:val="00A665F1"/>
    <w:rsid w:val="00A66628"/>
    <w:rsid w:val="00A66735"/>
    <w:rsid w:val="00A66881"/>
    <w:rsid w:val="00A66896"/>
    <w:rsid w:val="00A66BB0"/>
    <w:rsid w:val="00A66EF5"/>
    <w:rsid w:val="00A67241"/>
    <w:rsid w:val="00A672BE"/>
    <w:rsid w:val="00A6735B"/>
    <w:rsid w:val="00A673D1"/>
    <w:rsid w:val="00A674E0"/>
    <w:rsid w:val="00A67982"/>
    <w:rsid w:val="00A67C7F"/>
    <w:rsid w:val="00A67D3B"/>
    <w:rsid w:val="00A67ED9"/>
    <w:rsid w:val="00A7044A"/>
    <w:rsid w:val="00A704A0"/>
    <w:rsid w:val="00A704B1"/>
    <w:rsid w:val="00A704C0"/>
    <w:rsid w:val="00A7052C"/>
    <w:rsid w:val="00A706DF"/>
    <w:rsid w:val="00A707D5"/>
    <w:rsid w:val="00A7083E"/>
    <w:rsid w:val="00A7086A"/>
    <w:rsid w:val="00A709A4"/>
    <w:rsid w:val="00A70C16"/>
    <w:rsid w:val="00A70F90"/>
    <w:rsid w:val="00A71079"/>
    <w:rsid w:val="00A71083"/>
    <w:rsid w:val="00A7129F"/>
    <w:rsid w:val="00A712E9"/>
    <w:rsid w:val="00A713D2"/>
    <w:rsid w:val="00A7167A"/>
    <w:rsid w:val="00A718C1"/>
    <w:rsid w:val="00A71A24"/>
    <w:rsid w:val="00A71A37"/>
    <w:rsid w:val="00A71A80"/>
    <w:rsid w:val="00A71C28"/>
    <w:rsid w:val="00A71D9A"/>
    <w:rsid w:val="00A71EE6"/>
    <w:rsid w:val="00A72043"/>
    <w:rsid w:val="00A72452"/>
    <w:rsid w:val="00A7245C"/>
    <w:rsid w:val="00A72557"/>
    <w:rsid w:val="00A725B6"/>
    <w:rsid w:val="00A727D8"/>
    <w:rsid w:val="00A7283A"/>
    <w:rsid w:val="00A72907"/>
    <w:rsid w:val="00A72A26"/>
    <w:rsid w:val="00A72A67"/>
    <w:rsid w:val="00A72AC3"/>
    <w:rsid w:val="00A72C69"/>
    <w:rsid w:val="00A72EEA"/>
    <w:rsid w:val="00A73100"/>
    <w:rsid w:val="00A7340B"/>
    <w:rsid w:val="00A73465"/>
    <w:rsid w:val="00A73983"/>
    <w:rsid w:val="00A73B34"/>
    <w:rsid w:val="00A73F11"/>
    <w:rsid w:val="00A74369"/>
    <w:rsid w:val="00A74621"/>
    <w:rsid w:val="00A74793"/>
    <w:rsid w:val="00A7480D"/>
    <w:rsid w:val="00A74BBA"/>
    <w:rsid w:val="00A74D99"/>
    <w:rsid w:val="00A74EFC"/>
    <w:rsid w:val="00A7503A"/>
    <w:rsid w:val="00A75415"/>
    <w:rsid w:val="00A75C83"/>
    <w:rsid w:val="00A75F4C"/>
    <w:rsid w:val="00A75FCF"/>
    <w:rsid w:val="00A760D4"/>
    <w:rsid w:val="00A76338"/>
    <w:rsid w:val="00A765D4"/>
    <w:rsid w:val="00A7666E"/>
    <w:rsid w:val="00A766DB"/>
    <w:rsid w:val="00A7691D"/>
    <w:rsid w:val="00A7693E"/>
    <w:rsid w:val="00A76AFB"/>
    <w:rsid w:val="00A76B65"/>
    <w:rsid w:val="00A76BA4"/>
    <w:rsid w:val="00A76C52"/>
    <w:rsid w:val="00A7713F"/>
    <w:rsid w:val="00A77252"/>
    <w:rsid w:val="00A777A6"/>
    <w:rsid w:val="00A777C0"/>
    <w:rsid w:val="00A77878"/>
    <w:rsid w:val="00A77A67"/>
    <w:rsid w:val="00A77A9B"/>
    <w:rsid w:val="00A77ACB"/>
    <w:rsid w:val="00A77F93"/>
    <w:rsid w:val="00A80245"/>
    <w:rsid w:val="00A80289"/>
    <w:rsid w:val="00A8030D"/>
    <w:rsid w:val="00A80427"/>
    <w:rsid w:val="00A8067D"/>
    <w:rsid w:val="00A80802"/>
    <w:rsid w:val="00A808EF"/>
    <w:rsid w:val="00A80A6E"/>
    <w:rsid w:val="00A80C95"/>
    <w:rsid w:val="00A80CC7"/>
    <w:rsid w:val="00A80DA3"/>
    <w:rsid w:val="00A80F55"/>
    <w:rsid w:val="00A813FF"/>
    <w:rsid w:val="00A815FE"/>
    <w:rsid w:val="00A816EB"/>
    <w:rsid w:val="00A8196E"/>
    <w:rsid w:val="00A81A13"/>
    <w:rsid w:val="00A81BBB"/>
    <w:rsid w:val="00A81DE1"/>
    <w:rsid w:val="00A821A0"/>
    <w:rsid w:val="00A822CC"/>
    <w:rsid w:val="00A822CD"/>
    <w:rsid w:val="00A8247C"/>
    <w:rsid w:val="00A825DE"/>
    <w:rsid w:val="00A82AF4"/>
    <w:rsid w:val="00A82B29"/>
    <w:rsid w:val="00A82B64"/>
    <w:rsid w:val="00A82B93"/>
    <w:rsid w:val="00A82E27"/>
    <w:rsid w:val="00A832A7"/>
    <w:rsid w:val="00A83327"/>
    <w:rsid w:val="00A833AC"/>
    <w:rsid w:val="00A8350F"/>
    <w:rsid w:val="00A83655"/>
    <w:rsid w:val="00A839DD"/>
    <w:rsid w:val="00A83A1B"/>
    <w:rsid w:val="00A83A79"/>
    <w:rsid w:val="00A841C6"/>
    <w:rsid w:val="00A845DC"/>
    <w:rsid w:val="00A84689"/>
    <w:rsid w:val="00A84AD4"/>
    <w:rsid w:val="00A84BFA"/>
    <w:rsid w:val="00A84C5D"/>
    <w:rsid w:val="00A84D0E"/>
    <w:rsid w:val="00A84D39"/>
    <w:rsid w:val="00A84FDD"/>
    <w:rsid w:val="00A85367"/>
    <w:rsid w:val="00A85932"/>
    <w:rsid w:val="00A85B05"/>
    <w:rsid w:val="00A85DB0"/>
    <w:rsid w:val="00A8606F"/>
    <w:rsid w:val="00A86124"/>
    <w:rsid w:val="00A861D6"/>
    <w:rsid w:val="00A86237"/>
    <w:rsid w:val="00A862D9"/>
    <w:rsid w:val="00A8648E"/>
    <w:rsid w:val="00A86594"/>
    <w:rsid w:val="00A8691C"/>
    <w:rsid w:val="00A872FE"/>
    <w:rsid w:val="00A873BF"/>
    <w:rsid w:val="00A87663"/>
    <w:rsid w:val="00A876D0"/>
    <w:rsid w:val="00A8782E"/>
    <w:rsid w:val="00A87839"/>
    <w:rsid w:val="00A87D33"/>
    <w:rsid w:val="00A87DBC"/>
    <w:rsid w:val="00A87E7E"/>
    <w:rsid w:val="00A90208"/>
    <w:rsid w:val="00A902AA"/>
    <w:rsid w:val="00A90392"/>
    <w:rsid w:val="00A903E8"/>
    <w:rsid w:val="00A9053E"/>
    <w:rsid w:val="00A9063B"/>
    <w:rsid w:val="00A9098E"/>
    <w:rsid w:val="00A90CAE"/>
    <w:rsid w:val="00A90D95"/>
    <w:rsid w:val="00A90EA7"/>
    <w:rsid w:val="00A9103A"/>
    <w:rsid w:val="00A91046"/>
    <w:rsid w:val="00A91166"/>
    <w:rsid w:val="00A91262"/>
    <w:rsid w:val="00A9139A"/>
    <w:rsid w:val="00A91579"/>
    <w:rsid w:val="00A917C0"/>
    <w:rsid w:val="00A9189E"/>
    <w:rsid w:val="00A918DD"/>
    <w:rsid w:val="00A9190A"/>
    <w:rsid w:val="00A9214A"/>
    <w:rsid w:val="00A9215B"/>
    <w:rsid w:val="00A921FC"/>
    <w:rsid w:val="00A928C5"/>
    <w:rsid w:val="00A92A8E"/>
    <w:rsid w:val="00A92B8B"/>
    <w:rsid w:val="00A92E41"/>
    <w:rsid w:val="00A92FEB"/>
    <w:rsid w:val="00A93585"/>
    <w:rsid w:val="00A93757"/>
    <w:rsid w:val="00A93846"/>
    <w:rsid w:val="00A939A3"/>
    <w:rsid w:val="00A93A54"/>
    <w:rsid w:val="00A93CA8"/>
    <w:rsid w:val="00A9474A"/>
    <w:rsid w:val="00A94A57"/>
    <w:rsid w:val="00A94AD5"/>
    <w:rsid w:val="00A94B22"/>
    <w:rsid w:val="00A94F92"/>
    <w:rsid w:val="00A950CC"/>
    <w:rsid w:val="00A951AE"/>
    <w:rsid w:val="00A95276"/>
    <w:rsid w:val="00A9529A"/>
    <w:rsid w:val="00A953B9"/>
    <w:rsid w:val="00A95596"/>
    <w:rsid w:val="00A956F1"/>
    <w:rsid w:val="00A95760"/>
    <w:rsid w:val="00A9580A"/>
    <w:rsid w:val="00A95A2E"/>
    <w:rsid w:val="00A95F57"/>
    <w:rsid w:val="00A9606E"/>
    <w:rsid w:val="00A9611A"/>
    <w:rsid w:val="00A961A5"/>
    <w:rsid w:val="00A96360"/>
    <w:rsid w:val="00A96520"/>
    <w:rsid w:val="00A968C1"/>
    <w:rsid w:val="00A968FE"/>
    <w:rsid w:val="00A96902"/>
    <w:rsid w:val="00A9699D"/>
    <w:rsid w:val="00A969FD"/>
    <w:rsid w:val="00A96AD8"/>
    <w:rsid w:val="00A96E68"/>
    <w:rsid w:val="00A96ED0"/>
    <w:rsid w:val="00A97024"/>
    <w:rsid w:val="00A970CF"/>
    <w:rsid w:val="00A973F6"/>
    <w:rsid w:val="00A97577"/>
    <w:rsid w:val="00A97691"/>
    <w:rsid w:val="00A97718"/>
    <w:rsid w:val="00A97DCC"/>
    <w:rsid w:val="00A97FF1"/>
    <w:rsid w:val="00AA046A"/>
    <w:rsid w:val="00AA0723"/>
    <w:rsid w:val="00AA0CF1"/>
    <w:rsid w:val="00AA127C"/>
    <w:rsid w:val="00AA1360"/>
    <w:rsid w:val="00AA1364"/>
    <w:rsid w:val="00AA13F5"/>
    <w:rsid w:val="00AA17AA"/>
    <w:rsid w:val="00AA19F5"/>
    <w:rsid w:val="00AA1D79"/>
    <w:rsid w:val="00AA2346"/>
    <w:rsid w:val="00AA23A9"/>
    <w:rsid w:val="00AA252F"/>
    <w:rsid w:val="00AA266E"/>
    <w:rsid w:val="00AA26A8"/>
    <w:rsid w:val="00AA28BB"/>
    <w:rsid w:val="00AA2915"/>
    <w:rsid w:val="00AA29ED"/>
    <w:rsid w:val="00AA2AB9"/>
    <w:rsid w:val="00AA2B6C"/>
    <w:rsid w:val="00AA2D8D"/>
    <w:rsid w:val="00AA315F"/>
    <w:rsid w:val="00AA3416"/>
    <w:rsid w:val="00AA34ED"/>
    <w:rsid w:val="00AA35E3"/>
    <w:rsid w:val="00AA36B6"/>
    <w:rsid w:val="00AA3B40"/>
    <w:rsid w:val="00AA3C18"/>
    <w:rsid w:val="00AA3D2D"/>
    <w:rsid w:val="00AA4024"/>
    <w:rsid w:val="00AA4521"/>
    <w:rsid w:val="00AA46BB"/>
    <w:rsid w:val="00AA4B14"/>
    <w:rsid w:val="00AA4DAF"/>
    <w:rsid w:val="00AA4E4B"/>
    <w:rsid w:val="00AA53CF"/>
    <w:rsid w:val="00AA5D88"/>
    <w:rsid w:val="00AA6163"/>
    <w:rsid w:val="00AA6189"/>
    <w:rsid w:val="00AA618C"/>
    <w:rsid w:val="00AA630A"/>
    <w:rsid w:val="00AA6523"/>
    <w:rsid w:val="00AA669B"/>
    <w:rsid w:val="00AA74AA"/>
    <w:rsid w:val="00AA751F"/>
    <w:rsid w:val="00AA7ABA"/>
    <w:rsid w:val="00AA7AD8"/>
    <w:rsid w:val="00AA7C10"/>
    <w:rsid w:val="00AA7CD8"/>
    <w:rsid w:val="00AB0023"/>
    <w:rsid w:val="00AB0029"/>
    <w:rsid w:val="00AB0044"/>
    <w:rsid w:val="00AB0095"/>
    <w:rsid w:val="00AB019F"/>
    <w:rsid w:val="00AB0917"/>
    <w:rsid w:val="00AB095D"/>
    <w:rsid w:val="00AB0997"/>
    <w:rsid w:val="00AB09DF"/>
    <w:rsid w:val="00AB0A0C"/>
    <w:rsid w:val="00AB0A55"/>
    <w:rsid w:val="00AB0AC9"/>
    <w:rsid w:val="00AB0B7E"/>
    <w:rsid w:val="00AB0BC0"/>
    <w:rsid w:val="00AB12EB"/>
    <w:rsid w:val="00AB12EF"/>
    <w:rsid w:val="00AB1613"/>
    <w:rsid w:val="00AB1679"/>
    <w:rsid w:val="00AB18CE"/>
    <w:rsid w:val="00AB1C3C"/>
    <w:rsid w:val="00AB1E10"/>
    <w:rsid w:val="00AB1FC8"/>
    <w:rsid w:val="00AB2068"/>
    <w:rsid w:val="00AB23D9"/>
    <w:rsid w:val="00AB2750"/>
    <w:rsid w:val="00AB27F6"/>
    <w:rsid w:val="00AB292E"/>
    <w:rsid w:val="00AB2A52"/>
    <w:rsid w:val="00AB2A78"/>
    <w:rsid w:val="00AB2ABC"/>
    <w:rsid w:val="00AB2BDD"/>
    <w:rsid w:val="00AB2C3B"/>
    <w:rsid w:val="00AB30EE"/>
    <w:rsid w:val="00AB3253"/>
    <w:rsid w:val="00AB32FC"/>
    <w:rsid w:val="00AB342A"/>
    <w:rsid w:val="00AB34BE"/>
    <w:rsid w:val="00AB3A2A"/>
    <w:rsid w:val="00AB3AF2"/>
    <w:rsid w:val="00AB3B66"/>
    <w:rsid w:val="00AB3CE2"/>
    <w:rsid w:val="00AB40AA"/>
    <w:rsid w:val="00AB42C5"/>
    <w:rsid w:val="00AB432F"/>
    <w:rsid w:val="00AB43C8"/>
    <w:rsid w:val="00AB48A1"/>
    <w:rsid w:val="00AB4A21"/>
    <w:rsid w:val="00AB4D70"/>
    <w:rsid w:val="00AB4F13"/>
    <w:rsid w:val="00AB5102"/>
    <w:rsid w:val="00AB5297"/>
    <w:rsid w:val="00AB5B00"/>
    <w:rsid w:val="00AB5DB3"/>
    <w:rsid w:val="00AB5F09"/>
    <w:rsid w:val="00AB60F2"/>
    <w:rsid w:val="00AB6126"/>
    <w:rsid w:val="00AB62DA"/>
    <w:rsid w:val="00AB6475"/>
    <w:rsid w:val="00AB668D"/>
    <w:rsid w:val="00AB66AC"/>
    <w:rsid w:val="00AB6A11"/>
    <w:rsid w:val="00AB6A8F"/>
    <w:rsid w:val="00AB6B44"/>
    <w:rsid w:val="00AB6DAD"/>
    <w:rsid w:val="00AB6E3A"/>
    <w:rsid w:val="00AB7619"/>
    <w:rsid w:val="00AB76DC"/>
    <w:rsid w:val="00AB788A"/>
    <w:rsid w:val="00AB79A9"/>
    <w:rsid w:val="00AB79C1"/>
    <w:rsid w:val="00AB7BCF"/>
    <w:rsid w:val="00AB7EE8"/>
    <w:rsid w:val="00AB7F4F"/>
    <w:rsid w:val="00AC0067"/>
    <w:rsid w:val="00AC00AF"/>
    <w:rsid w:val="00AC0112"/>
    <w:rsid w:val="00AC0223"/>
    <w:rsid w:val="00AC0452"/>
    <w:rsid w:val="00AC05F1"/>
    <w:rsid w:val="00AC0BA1"/>
    <w:rsid w:val="00AC0F5B"/>
    <w:rsid w:val="00AC14B3"/>
    <w:rsid w:val="00AC1734"/>
    <w:rsid w:val="00AC1A1C"/>
    <w:rsid w:val="00AC1A6E"/>
    <w:rsid w:val="00AC1AD9"/>
    <w:rsid w:val="00AC1BAB"/>
    <w:rsid w:val="00AC2278"/>
    <w:rsid w:val="00AC22B2"/>
    <w:rsid w:val="00AC22D1"/>
    <w:rsid w:val="00AC2377"/>
    <w:rsid w:val="00AC2850"/>
    <w:rsid w:val="00AC2CD6"/>
    <w:rsid w:val="00AC2DA8"/>
    <w:rsid w:val="00AC2DD5"/>
    <w:rsid w:val="00AC2F0B"/>
    <w:rsid w:val="00AC3058"/>
    <w:rsid w:val="00AC33ED"/>
    <w:rsid w:val="00AC374A"/>
    <w:rsid w:val="00AC3A91"/>
    <w:rsid w:val="00AC3B50"/>
    <w:rsid w:val="00AC3C42"/>
    <w:rsid w:val="00AC3CE0"/>
    <w:rsid w:val="00AC4110"/>
    <w:rsid w:val="00AC433E"/>
    <w:rsid w:val="00AC43F2"/>
    <w:rsid w:val="00AC448F"/>
    <w:rsid w:val="00AC45A2"/>
    <w:rsid w:val="00AC464F"/>
    <w:rsid w:val="00AC4A22"/>
    <w:rsid w:val="00AC4CAB"/>
    <w:rsid w:val="00AC4CD0"/>
    <w:rsid w:val="00AC4FF1"/>
    <w:rsid w:val="00AC50C9"/>
    <w:rsid w:val="00AC5298"/>
    <w:rsid w:val="00AC53FF"/>
    <w:rsid w:val="00AC585E"/>
    <w:rsid w:val="00AC5C9E"/>
    <w:rsid w:val="00AC5ED2"/>
    <w:rsid w:val="00AC6209"/>
    <w:rsid w:val="00AC63F1"/>
    <w:rsid w:val="00AC6466"/>
    <w:rsid w:val="00AC6673"/>
    <w:rsid w:val="00AC66AC"/>
    <w:rsid w:val="00AC6F07"/>
    <w:rsid w:val="00AC71A6"/>
    <w:rsid w:val="00AC754C"/>
    <w:rsid w:val="00AC76CC"/>
    <w:rsid w:val="00AC775B"/>
    <w:rsid w:val="00AC7C48"/>
    <w:rsid w:val="00AC7DCB"/>
    <w:rsid w:val="00AC7E74"/>
    <w:rsid w:val="00AC7EA2"/>
    <w:rsid w:val="00AC7F1C"/>
    <w:rsid w:val="00AC7F1E"/>
    <w:rsid w:val="00AD0080"/>
    <w:rsid w:val="00AD03E7"/>
    <w:rsid w:val="00AD05EC"/>
    <w:rsid w:val="00AD0877"/>
    <w:rsid w:val="00AD08E6"/>
    <w:rsid w:val="00AD0B64"/>
    <w:rsid w:val="00AD0C71"/>
    <w:rsid w:val="00AD0DAA"/>
    <w:rsid w:val="00AD0F43"/>
    <w:rsid w:val="00AD0F6C"/>
    <w:rsid w:val="00AD0FE5"/>
    <w:rsid w:val="00AD10E4"/>
    <w:rsid w:val="00AD11CC"/>
    <w:rsid w:val="00AD138C"/>
    <w:rsid w:val="00AD159B"/>
    <w:rsid w:val="00AD1A36"/>
    <w:rsid w:val="00AD1A4F"/>
    <w:rsid w:val="00AD1B64"/>
    <w:rsid w:val="00AD1CDB"/>
    <w:rsid w:val="00AD1F48"/>
    <w:rsid w:val="00AD203D"/>
    <w:rsid w:val="00AD2228"/>
    <w:rsid w:val="00AD234B"/>
    <w:rsid w:val="00AD238D"/>
    <w:rsid w:val="00AD23A5"/>
    <w:rsid w:val="00AD2552"/>
    <w:rsid w:val="00AD293B"/>
    <w:rsid w:val="00AD3200"/>
    <w:rsid w:val="00AD32D6"/>
    <w:rsid w:val="00AD38C2"/>
    <w:rsid w:val="00AD3D29"/>
    <w:rsid w:val="00AD3EF4"/>
    <w:rsid w:val="00AD3FCA"/>
    <w:rsid w:val="00AD418C"/>
    <w:rsid w:val="00AD4242"/>
    <w:rsid w:val="00AD4254"/>
    <w:rsid w:val="00AD4702"/>
    <w:rsid w:val="00AD4855"/>
    <w:rsid w:val="00AD498D"/>
    <w:rsid w:val="00AD4B3B"/>
    <w:rsid w:val="00AD4FEA"/>
    <w:rsid w:val="00AD5402"/>
    <w:rsid w:val="00AD5952"/>
    <w:rsid w:val="00AD62F6"/>
    <w:rsid w:val="00AD6538"/>
    <w:rsid w:val="00AD65D8"/>
    <w:rsid w:val="00AD6C90"/>
    <w:rsid w:val="00AD7013"/>
    <w:rsid w:val="00AD713E"/>
    <w:rsid w:val="00AD7257"/>
    <w:rsid w:val="00AD72F8"/>
    <w:rsid w:val="00AD743C"/>
    <w:rsid w:val="00AD7600"/>
    <w:rsid w:val="00AD765A"/>
    <w:rsid w:val="00AD7701"/>
    <w:rsid w:val="00AD7771"/>
    <w:rsid w:val="00AD78FD"/>
    <w:rsid w:val="00AD7ACF"/>
    <w:rsid w:val="00AD7CCA"/>
    <w:rsid w:val="00AD7D26"/>
    <w:rsid w:val="00AD7EE5"/>
    <w:rsid w:val="00AD7FB6"/>
    <w:rsid w:val="00AE014C"/>
    <w:rsid w:val="00AE0221"/>
    <w:rsid w:val="00AE022A"/>
    <w:rsid w:val="00AE028C"/>
    <w:rsid w:val="00AE031D"/>
    <w:rsid w:val="00AE068A"/>
    <w:rsid w:val="00AE0740"/>
    <w:rsid w:val="00AE0873"/>
    <w:rsid w:val="00AE09D9"/>
    <w:rsid w:val="00AE0BA4"/>
    <w:rsid w:val="00AE0D2A"/>
    <w:rsid w:val="00AE0F5E"/>
    <w:rsid w:val="00AE1051"/>
    <w:rsid w:val="00AE13C7"/>
    <w:rsid w:val="00AE1533"/>
    <w:rsid w:val="00AE15DA"/>
    <w:rsid w:val="00AE15F8"/>
    <w:rsid w:val="00AE164F"/>
    <w:rsid w:val="00AE1E7E"/>
    <w:rsid w:val="00AE221E"/>
    <w:rsid w:val="00AE2264"/>
    <w:rsid w:val="00AE25D7"/>
    <w:rsid w:val="00AE27CD"/>
    <w:rsid w:val="00AE281C"/>
    <w:rsid w:val="00AE296F"/>
    <w:rsid w:val="00AE29F1"/>
    <w:rsid w:val="00AE2D3F"/>
    <w:rsid w:val="00AE3040"/>
    <w:rsid w:val="00AE31DB"/>
    <w:rsid w:val="00AE3656"/>
    <w:rsid w:val="00AE3887"/>
    <w:rsid w:val="00AE388C"/>
    <w:rsid w:val="00AE3D26"/>
    <w:rsid w:val="00AE41B2"/>
    <w:rsid w:val="00AE4204"/>
    <w:rsid w:val="00AE4B48"/>
    <w:rsid w:val="00AE4D12"/>
    <w:rsid w:val="00AE4D86"/>
    <w:rsid w:val="00AE4E87"/>
    <w:rsid w:val="00AE5318"/>
    <w:rsid w:val="00AE5676"/>
    <w:rsid w:val="00AE5760"/>
    <w:rsid w:val="00AE5A0A"/>
    <w:rsid w:val="00AE5DCA"/>
    <w:rsid w:val="00AE5DDF"/>
    <w:rsid w:val="00AE61D5"/>
    <w:rsid w:val="00AE628C"/>
    <w:rsid w:val="00AE663F"/>
    <w:rsid w:val="00AE6B19"/>
    <w:rsid w:val="00AE6C2F"/>
    <w:rsid w:val="00AE704C"/>
    <w:rsid w:val="00AE716D"/>
    <w:rsid w:val="00AE7198"/>
    <w:rsid w:val="00AE7291"/>
    <w:rsid w:val="00AE7631"/>
    <w:rsid w:val="00AE78F7"/>
    <w:rsid w:val="00AE79A2"/>
    <w:rsid w:val="00AE79F5"/>
    <w:rsid w:val="00AE7A3E"/>
    <w:rsid w:val="00AE7A65"/>
    <w:rsid w:val="00AE7B1B"/>
    <w:rsid w:val="00AE7B43"/>
    <w:rsid w:val="00AE7CCE"/>
    <w:rsid w:val="00AE7E66"/>
    <w:rsid w:val="00AF00E5"/>
    <w:rsid w:val="00AF0301"/>
    <w:rsid w:val="00AF0327"/>
    <w:rsid w:val="00AF065A"/>
    <w:rsid w:val="00AF0682"/>
    <w:rsid w:val="00AF098A"/>
    <w:rsid w:val="00AF09E0"/>
    <w:rsid w:val="00AF0ACD"/>
    <w:rsid w:val="00AF0C4A"/>
    <w:rsid w:val="00AF0E3B"/>
    <w:rsid w:val="00AF1376"/>
    <w:rsid w:val="00AF15C2"/>
    <w:rsid w:val="00AF17A3"/>
    <w:rsid w:val="00AF1894"/>
    <w:rsid w:val="00AF1A7F"/>
    <w:rsid w:val="00AF1C0F"/>
    <w:rsid w:val="00AF1ED9"/>
    <w:rsid w:val="00AF2200"/>
    <w:rsid w:val="00AF230F"/>
    <w:rsid w:val="00AF25D1"/>
    <w:rsid w:val="00AF2752"/>
    <w:rsid w:val="00AF296D"/>
    <w:rsid w:val="00AF2A10"/>
    <w:rsid w:val="00AF2D16"/>
    <w:rsid w:val="00AF30C9"/>
    <w:rsid w:val="00AF317C"/>
    <w:rsid w:val="00AF3226"/>
    <w:rsid w:val="00AF32E0"/>
    <w:rsid w:val="00AF3374"/>
    <w:rsid w:val="00AF3395"/>
    <w:rsid w:val="00AF35C3"/>
    <w:rsid w:val="00AF372C"/>
    <w:rsid w:val="00AF3803"/>
    <w:rsid w:val="00AF3B32"/>
    <w:rsid w:val="00AF3E41"/>
    <w:rsid w:val="00AF3E73"/>
    <w:rsid w:val="00AF40AE"/>
    <w:rsid w:val="00AF413F"/>
    <w:rsid w:val="00AF426D"/>
    <w:rsid w:val="00AF42C0"/>
    <w:rsid w:val="00AF441F"/>
    <w:rsid w:val="00AF4436"/>
    <w:rsid w:val="00AF4717"/>
    <w:rsid w:val="00AF48BA"/>
    <w:rsid w:val="00AF4B29"/>
    <w:rsid w:val="00AF4F11"/>
    <w:rsid w:val="00AF50CE"/>
    <w:rsid w:val="00AF50D2"/>
    <w:rsid w:val="00AF5256"/>
    <w:rsid w:val="00AF5367"/>
    <w:rsid w:val="00AF572E"/>
    <w:rsid w:val="00AF57B4"/>
    <w:rsid w:val="00AF5967"/>
    <w:rsid w:val="00AF59A2"/>
    <w:rsid w:val="00AF5D1D"/>
    <w:rsid w:val="00AF5F35"/>
    <w:rsid w:val="00AF5FC0"/>
    <w:rsid w:val="00AF5FF9"/>
    <w:rsid w:val="00AF67E6"/>
    <w:rsid w:val="00AF694C"/>
    <w:rsid w:val="00AF6B51"/>
    <w:rsid w:val="00AF6DB1"/>
    <w:rsid w:val="00AF6F16"/>
    <w:rsid w:val="00AF70F8"/>
    <w:rsid w:val="00AF712B"/>
    <w:rsid w:val="00AF714A"/>
    <w:rsid w:val="00AF7163"/>
    <w:rsid w:val="00AF725E"/>
    <w:rsid w:val="00AF7327"/>
    <w:rsid w:val="00AF7845"/>
    <w:rsid w:val="00AF7AC0"/>
    <w:rsid w:val="00AF7BCB"/>
    <w:rsid w:val="00AF7CF6"/>
    <w:rsid w:val="00AF7DA0"/>
    <w:rsid w:val="00B000FD"/>
    <w:rsid w:val="00B00134"/>
    <w:rsid w:val="00B001D8"/>
    <w:rsid w:val="00B0076A"/>
    <w:rsid w:val="00B00802"/>
    <w:rsid w:val="00B00872"/>
    <w:rsid w:val="00B0094B"/>
    <w:rsid w:val="00B009CB"/>
    <w:rsid w:val="00B00DA7"/>
    <w:rsid w:val="00B013F4"/>
    <w:rsid w:val="00B01592"/>
    <w:rsid w:val="00B015DF"/>
    <w:rsid w:val="00B016F9"/>
    <w:rsid w:val="00B0178B"/>
    <w:rsid w:val="00B01910"/>
    <w:rsid w:val="00B0191F"/>
    <w:rsid w:val="00B01C4F"/>
    <w:rsid w:val="00B01ED5"/>
    <w:rsid w:val="00B021BD"/>
    <w:rsid w:val="00B022A8"/>
    <w:rsid w:val="00B022BD"/>
    <w:rsid w:val="00B0232C"/>
    <w:rsid w:val="00B02471"/>
    <w:rsid w:val="00B024D3"/>
    <w:rsid w:val="00B02523"/>
    <w:rsid w:val="00B02613"/>
    <w:rsid w:val="00B02795"/>
    <w:rsid w:val="00B027D8"/>
    <w:rsid w:val="00B02835"/>
    <w:rsid w:val="00B02848"/>
    <w:rsid w:val="00B02880"/>
    <w:rsid w:val="00B02AD0"/>
    <w:rsid w:val="00B02CAC"/>
    <w:rsid w:val="00B02D2C"/>
    <w:rsid w:val="00B02E3F"/>
    <w:rsid w:val="00B030A7"/>
    <w:rsid w:val="00B035F6"/>
    <w:rsid w:val="00B03870"/>
    <w:rsid w:val="00B03A9D"/>
    <w:rsid w:val="00B03F82"/>
    <w:rsid w:val="00B03FB3"/>
    <w:rsid w:val="00B04032"/>
    <w:rsid w:val="00B04153"/>
    <w:rsid w:val="00B0425A"/>
    <w:rsid w:val="00B04322"/>
    <w:rsid w:val="00B04428"/>
    <w:rsid w:val="00B04459"/>
    <w:rsid w:val="00B045D3"/>
    <w:rsid w:val="00B04868"/>
    <w:rsid w:val="00B04DB3"/>
    <w:rsid w:val="00B04DE2"/>
    <w:rsid w:val="00B04E83"/>
    <w:rsid w:val="00B04F94"/>
    <w:rsid w:val="00B050FA"/>
    <w:rsid w:val="00B05258"/>
    <w:rsid w:val="00B052D3"/>
    <w:rsid w:val="00B055D9"/>
    <w:rsid w:val="00B05C1F"/>
    <w:rsid w:val="00B05C25"/>
    <w:rsid w:val="00B06030"/>
    <w:rsid w:val="00B06211"/>
    <w:rsid w:val="00B0668B"/>
    <w:rsid w:val="00B06780"/>
    <w:rsid w:val="00B06885"/>
    <w:rsid w:val="00B0718F"/>
    <w:rsid w:val="00B072E4"/>
    <w:rsid w:val="00B07686"/>
    <w:rsid w:val="00B076CC"/>
    <w:rsid w:val="00B078A5"/>
    <w:rsid w:val="00B07943"/>
    <w:rsid w:val="00B07A06"/>
    <w:rsid w:val="00B07CCE"/>
    <w:rsid w:val="00B1052F"/>
    <w:rsid w:val="00B105DF"/>
    <w:rsid w:val="00B10957"/>
    <w:rsid w:val="00B10A82"/>
    <w:rsid w:val="00B10AFB"/>
    <w:rsid w:val="00B10C46"/>
    <w:rsid w:val="00B10D06"/>
    <w:rsid w:val="00B10EF1"/>
    <w:rsid w:val="00B10F13"/>
    <w:rsid w:val="00B11045"/>
    <w:rsid w:val="00B1111C"/>
    <w:rsid w:val="00B11212"/>
    <w:rsid w:val="00B115AA"/>
    <w:rsid w:val="00B115D5"/>
    <w:rsid w:val="00B1173E"/>
    <w:rsid w:val="00B118A0"/>
    <w:rsid w:val="00B11912"/>
    <w:rsid w:val="00B11A34"/>
    <w:rsid w:val="00B11B4B"/>
    <w:rsid w:val="00B11C36"/>
    <w:rsid w:val="00B11D77"/>
    <w:rsid w:val="00B12252"/>
    <w:rsid w:val="00B12479"/>
    <w:rsid w:val="00B124AD"/>
    <w:rsid w:val="00B124D1"/>
    <w:rsid w:val="00B1267E"/>
    <w:rsid w:val="00B12C19"/>
    <w:rsid w:val="00B130CD"/>
    <w:rsid w:val="00B130FC"/>
    <w:rsid w:val="00B131EC"/>
    <w:rsid w:val="00B13304"/>
    <w:rsid w:val="00B13465"/>
    <w:rsid w:val="00B134AD"/>
    <w:rsid w:val="00B1390B"/>
    <w:rsid w:val="00B13981"/>
    <w:rsid w:val="00B13A95"/>
    <w:rsid w:val="00B13CB8"/>
    <w:rsid w:val="00B13DD9"/>
    <w:rsid w:val="00B13E9D"/>
    <w:rsid w:val="00B140D3"/>
    <w:rsid w:val="00B141FA"/>
    <w:rsid w:val="00B1424E"/>
    <w:rsid w:val="00B1427A"/>
    <w:rsid w:val="00B149B6"/>
    <w:rsid w:val="00B14C05"/>
    <w:rsid w:val="00B151C7"/>
    <w:rsid w:val="00B1586F"/>
    <w:rsid w:val="00B15976"/>
    <w:rsid w:val="00B15A79"/>
    <w:rsid w:val="00B15B0D"/>
    <w:rsid w:val="00B15DF1"/>
    <w:rsid w:val="00B1646B"/>
    <w:rsid w:val="00B164BD"/>
    <w:rsid w:val="00B17123"/>
    <w:rsid w:val="00B174BB"/>
    <w:rsid w:val="00B175B3"/>
    <w:rsid w:val="00B1761F"/>
    <w:rsid w:val="00B17C78"/>
    <w:rsid w:val="00B17DE1"/>
    <w:rsid w:val="00B200C7"/>
    <w:rsid w:val="00B203DD"/>
    <w:rsid w:val="00B203DE"/>
    <w:rsid w:val="00B204A6"/>
    <w:rsid w:val="00B20779"/>
    <w:rsid w:val="00B2084C"/>
    <w:rsid w:val="00B20914"/>
    <w:rsid w:val="00B2093F"/>
    <w:rsid w:val="00B20943"/>
    <w:rsid w:val="00B20A9E"/>
    <w:rsid w:val="00B20D27"/>
    <w:rsid w:val="00B20DF6"/>
    <w:rsid w:val="00B20E04"/>
    <w:rsid w:val="00B20EC6"/>
    <w:rsid w:val="00B20F79"/>
    <w:rsid w:val="00B2130B"/>
    <w:rsid w:val="00B21585"/>
    <w:rsid w:val="00B215A2"/>
    <w:rsid w:val="00B21903"/>
    <w:rsid w:val="00B21990"/>
    <w:rsid w:val="00B21A83"/>
    <w:rsid w:val="00B21CB1"/>
    <w:rsid w:val="00B21D0A"/>
    <w:rsid w:val="00B21F53"/>
    <w:rsid w:val="00B22112"/>
    <w:rsid w:val="00B22172"/>
    <w:rsid w:val="00B223AC"/>
    <w:rsid w:val="00B22412"/>
    <w:rsid w:val="00B224BB"/>
    <w:rsid w:val="00B22594"/>
    <w:rsid w:val="00B22749"/>
    <w:rsid w:val="00B228A1"/>
    <w:rsid w:val="00B228BF"/>
    <w:rsid w:val="00B22DAA"/>
    <w:rsid w:val="00B22DBD"/>
    <w:rsid w:val="00B230E2"/>
    <w:rsid w:val="00B23108"/>
    <w:rsid w:val="00B2365B"/>
    <w:rsid w:val="00B23834"/>
    <w:rsid w:val="00B238C4"/>
    <w:rsid w:val="00B23B91"/>
    <w:rsid w:val="00B23D09"/>
    <w:rsid w:val="00B23FB9"/>
    <w:rsid w:val="00B24034"/>
    <w:rsid w:val="00B243C5"/>
    <w:rsid w:val="00B2445F"/>
    <w:rsid w:val="00B2454C"/>
    <w:rsid w:val="00B2480A"/>
    <w:rsid w:val="00B24AA9"/>
    <w:rsid w:val="00B24AF6"/>
    <w:rsid w:val="00B24BAE"/>
    <w:rsid w:val="00B24EB5"/>
    <w:rsid w:val="00B24F65"/>
    <w:rsid w:val="00B2512F"/>
    <w:rsid w:val="00B251AC"/>
    <w:rsid w:val="00B252D8"/>
    <w:rsid w:val="00B254AC"/>
    <w:rsid w:val="00B25A52"/>
    <w:rsid w:val="00B25B93"/>
    <w:rsid w:val="00B25CEC"/>
    <w:rsid w:val="00B25CF2"/>
    <w:rsid w:val="00B267B5"/>
    <w:rsid w:val="00B26C9E"/>
    <w:rsid w:val="00B26F9C"/>
    <w:rsid w:val="00B27117"/>
    <w:rsid w:val="00B2731F"/>
    <w:rsid w:val="00B27488"/>
    <w:rsid w:val="00B274DC"/>
    <w:rsid w:val="00B27FAB"/>
    <w:rsid w:val="00B30232"/>
    <w:rsid w:val="00B30546"/>
    <w:rsid w:val="00B3071A"/>
    <w:rsid w:val="00B3085E"/>
    <w:rsid w:val="00B309D4"/>
    <w:rsid w:val="00B30BCE"/>
    <w:rsid w:val="00B316AC"/>
    <w:rsid w:val="00B316D1"/>
    <w:rsid w:val="00B316DD"/>
    <w:rsid w:val="00B31A20"/>
    <w:rsid w:val="00B31B80"/>
    <w:rsid w:val="00B31C0E"/>
    <w:rsid w:val="00B31DB2"/>
    <w:rsid w:val="00B31E4B"/>
    <w:rsid w:val="00B31E59"/>
    <w:rsid w:val="00B31F05"/>
    <w:rsid w:val="00B31F2C"/>
    <w:rsid w:val="00B31F6A"/>
    <w:rsid w:val="00B320CD"/>
    <w:rsid w:val="00B3218F"/>
    <w:rsid w:val="00B3225D"/>
    <w:rsid w:val="00B32410"/>
    <w:rsid w:val="00B3245C"/>
    <w:rsid w:val="00B327C4"/>
    <w:rsid w:val="00B3298B"/>
    <w:rsid w:val="00B32B2D"/>
    <w:rsid w:val="00B32B99"/>
    <w:rsid w:val="00B33063"/>
    <w:rsid w:val="00B333F0"/>
    <w:rsid w:val="00B33406"/>
    <w:rsid w:val="00B33596"/>
    <w:rsid w:val="00B3390C"/>
    <w:rsid w:val="00B33AE9"/>
    <w:rsid w:val="00B33C8A"/>
    <w:rsid w:val="00B33E0F"/>
    <w:rsid w:val="00B33F69"/>
    <w:rsid w:val="00B34185"/>
    <w:rsid w:val="00B34201"/>
    <w:rsid w:val="00B34293"/>
    <w:rsid w:val="00B3441F"/>
    <w:rsid w:val="00B344BF"/>
    <w:rsid w:val="00B346DD"/>
    <w:rsid w:val="00B349B4"/>
    <w:rsid w:val="00B34ADA"/>
    <w:rsid w:val="00B350BB"/>
    <w:rsid w:val="00B351FF"/>
    <w:rsid w:val="00B353A7"/>
    <w:rsid w:val="00B3565F"/>
    <w:rsid w:val="00B35762"/>
    <w:rsid w:val="00B35A05"/>
    <w:rsid w:val="00B35BFE"/>
    <w:rsid w:val="00B35D22"/>
    <w:rsid w:val="00B3625D"/>
    <w:rsid w:val="00B3653F"/>
    <w:rsid w:val="00B36656"/>
    <w:rsid w:val="00B36875"/>
    <w:rsid w:val="00B368B5"/>
    <w:rsid w:val="00B36977"/>
    <w:rsid w:val="00B3699C"/>
    <w:rsid w:val="00B36D1E"/>
    <w:rsid w:val="00B36D50"/>
    <w:rsid w:val="00B370AF"/>
    <w:rsid w:val="00B37396"/>
    <w:rsid w:val="00B37542"/>
    <w:rsid w:val="00B37793"/>
    <w:rsid w:val="00B37C97"/>
    <w:rsid w:val="00B37E09"/>
    <w:rsid w:val="00B37E24"/>
    <w:rsid w:val="00B37F75"/>
    <w:rsid w:val="00B37FC3"/>
    <w:rsid w:val="00B4013B"/>
    <w:rsid w:val="00B4014D"/>
    <w:rsid w:val="00B40334"/>
    <w:rsid w:val="00B406DB"/>
    <w:rsid w:val="00B406EB"/>
    <w:rsid w:val="00B40717"/>
    <w:rsid w:val="00B40796"/>
    <w:rsid w:val="00B407E6"/>
    <w:rsid w:val="00B408CF"/>
    <w:rsid w:val="00B40B48"/>
    <w:rsid w:val="00B40DBF"/>
    <w:rsid w:val="00B40E62"/>
    <w:rsid w:val="00B40EF9"/>
    <w:rsid w:val="00B40FF2"/>
    <w:rsid w:val="00B41076"/>
    <w:rsid w:val="00B410C9"/>
    <w:rsid w:val="00B410CE"/>
    <w:rsid w:val="00B412C0"/>
    <w:rsid w:val="00B41473"/>
    <w:rsid w:val="00B4163D"/>
    <w:rsid w:val="00B41873"/>
    <w:rsid w:val="00B41CB5"/>
    <w:rsid w:val="00B41FDD"/>
    <w:rsid w:val="00B42454"/>
    <w:rsid w:val="00B424CC"/>
    <w:rsid w:val="00B4267E"/>
    <w:rsid w:val="00B427D7"/>
    <w:rsid w:val="00B427FF"/>
    <w:rsid w:val="00B42861"/>
    <w:rsid w:val="00B42A29"/>
    <w:rsid w:val="00B42C16"/>
    <w:rsid w:val="00B4304D"/>
    <w:rsid w:val="00B43434"/>
    <w:rsid w:val="00B43707"/>
    <w:rsid w:val="00B43AB9"/>
    <w:rsid w:val="00B43E0D"/>
    <w:rsid w:val="00B43F14"/>
    <w:rsid w:val="00B440FF"/>
    <w:rsid w:val="00B441B4"/>
    <w:rsid w:val="00B4424C"/>
    <w:rsid w:val="00B445FD"/>
    <w:rsid w:val="00B44606"/>
    <w:rsid w:val="00B4494D"/>
    <w:rsid w:val="00B44A56"/>
    <w:rsid w:val="00B44D23"/>
    <w:rsid w:val="00B45136"/>
    <w:rsid w:val="00B455B6"/>
    <w:rsid w:val="00B45762"/>
    <w:rsid w:val="00B45925"/>
    <w:rsid w:val="00B45988"/>
    <w:rsid w:val="00B459DC"/>
    <w:rsid w:val="00B45A93"/>
    <w:rsid w:val="00B45AC0"/>
    <w:rsid w:val="00B45D56"/>
    <w:rsid w:val="00B45F3F"/>
    <w:rsid w:val="00B45F9C"/>
    <w:rsid w:val="00B4604D"/>
    <w:rsid w:val="00B460A5"/>
    <w:rsid w:val="00B460C1"/>
    <w:rsid w:val="00B461C1"/>
    <w:rsid w:val="00B4640B"/>
    <w:rsid w:val="00B4682F"/>
    <w:rsid w:val="00B46D3B"/>
    <w:rsid w:val="00B46F39"/>
    <w:rsid w:val="00B470CB"/>
    <w:rsid w:val="00B4715B"/>
    <w:rsid w:val="00B476FF"/>
    <w:rsid w:val="00B479B6"/>
    <w:rsid w:val="00B47A36"/>
    <w:rsid w:val="00B47D46"/>
    <w:rsid w:val="00B47DDA"/>
    <w:rsid w:val="00B47E23"/>
    <w:rsid w:val="00B502CC"/>
    <w:rsid w:val="00B503FA"/>
    <w:rsid w:val="00B51034"/>
    <w:rsid w:val="00B5135A"/>
    <w:rsid w:val="00B517B7"/>
    <w:rsid w:val="00B517BF"/>
    <w:rsid w:val="00B517C6"/>
    <w:rsid w:val="00B5180B"/>
    <w:rsid w:val="00B519EB"/>
    <w:rsid w:val="00B51A3A"/>
    <w:rsid w:val="00B51A88"/>
    <w:rsid w:val="00B51E77"/>
    <w:rsid w:val="00B52008"/>
    <w:rsid w:val="00B520E3"/>
    <w:rsid w:val="00B52248"/>
    <w:rsid w:val="00B522BD"/>
    <w:rsid w:val="00B5258F"/>
    <w:rsid w:val="00B528CC"/>
    <w:rsid w:val="00B52C4A"/>
    <w:rsid w:val="00B52FE4"/>
    <w:rsid w:val="00B53113"/>
    <w:rsid w:val="00B531C7"/>
    <w:rsid w:val="00B53442"/>
    <w:rsid w:val="00B53445"/>
    <w:rsid w:val="00B5348B"/>
    <w:rsid w:val="00B5352E"/>
    <w:rsid w:val="00B536C8"/>
    <w:rsid w:val="00B538F0"/>
    <w:rsid w:val="00B53C2E"/>
    <w:rsid w:val="00B53CF1"/>
    <w:rsid w:val="00B53D3C"/>
    <w:rsid w:val="00B53DA4"/>
    <w:rsid w:val="00B53EE4"/>
    <w:rsid w:val="00B547DA"/>
    <w:rsid w:val="00B54AEC"/>
    <w:rsid w:val="00B54FC9"/>
    <w:rsid w:val="00B5502A"/>
    <w:rsid w:val="00B55645"/>
    <w:rsid w:val="00B5564C"/>
    <w:rsid w:val="00B556C4"/>
    <w:rsid w:val="00B55793"/>
    <w:rsid w:val="00B557B0"/>
    <w:rsid w:val="00B55BEA"/>
    <w:rsid w:val="00B55C97"/>
    <w:rsid w:val="00B55DC1"/>
    <w:rsid w:val="00B55FBC"/>
    <w:rsid w:val="00B56487"/>
    <w:rsid w:val="00B5664B"/>
    <w:rsid w:val="00B566FB"/>
    <w:rsid w:val="00B5689C"/>
    <w:rsid w:val="00B56A9A"/>
    <w:rsid w:val="00B56BF2"/>
    <w:rsid w:val="00B56C20"/>
    <w:rsid w:val="00B56FAF"/>
    <w:rsid w:val="00B5718C"/>
    <w:rsid w:val="00B57297"/>
    <w:rsid w:val="00B57756"/>
    <w:rsid w:val="00B579C3"/>
    <w:rsid w:val="00B579F3"/>
    <w:rsid w:val="00B57A03"/>
    <w:rsid w:val="00B57D5E"/>
    <w:rsid w:val="00B57D91"/>
    <w:rsid w:val="00B57EC7"/>
    <w:rsid w:val="00B57F4D"/>
    <w:rsid w:val="00B60151"/>
    <w:rsid w:val="00B60153"/>
    <w:rsid w:val="00B60371"/>
    <w:rsid w:val="00B60817"/>
    <w:rsid w:val="00B60D7C"/>
    <w:rsid w:val="00B60ED2"/>
    <w:rsid w:val="00B611A4"/>
    <w:rsid w:val="00B61255"/>
    <w:rsid w:val="00B61510"/>
    <w:rsid w:val="00B615C1"/>
    <w:rsid w:val="00B618A5"/>
    <w:rsid w:val="00B618BE"/>
    <w:rsid w:val="00B61BAF"/>
    <w:rsid w:val="00B61BD1"/>
    <w:rsid w:val="00B61E8C"/>
    <w:rsid w:val="00B624EE"/>
    <w:rsid w:val="00B625CB"/>
    <w:rsid w:val="00B625E3"/>
    <w:rsid w:val="00B62889"/>
    <w:rsid w:val="00B629C4"/>
    <w:rsid w:val="00B62B30"/>
    <w:rsid w:val="00B62EFC"/>
    <w:rsid w:val="00B62F40"/>
    <w:rsid w:val="00B6316A"/>
    <w:rsid w:val="00B631F2"/>
    <w:rsid w:val="00B63533"/>
    <w:rsid w:val="00B637BD"/>
    <w:rsid w:val="00B638CD"/>
    <w:rsid w:val="00B6395C"/>
    <w:rsid w:val="00B63BFE"/>
    <w:rsid w:val="00B63DF4"/>
    <w:rsid w:val="00B64020"/>
    <w:rsid w:val="00B6424E"/>
    <w:rsid w:val="00B6437F"/>
    <w:rsid w:val="00B64545"/>
    <w:rsid w:val="00B64864"/>
    <w:rsid w:val="00B64B84"/>
    <w:rsid w:val="00B64BC0"/>
    <w:rsid w:val="00B64E4A"/>
    <w:rsid w:val="00B650D4"/>
    <w:rsid w:val="00B65145"/>
    <w:rsid w:val="00B65315"/>
    <w:rsid w:val="00B653CC"/>
    <w:rsid w:val="00B658F0"/>
    <w:rsid w:val="00B65921"/>
    <w:rsid w:val="00B659D5"/>
    <w:rsid w:val="00B65EC0"/>
    <w:rsid w:val="00B65F3F"/>
    <w:rsid w:val="00B665D8"/>
    <w:rsid w:val="00B667F3"/>
    <w:rsid w:val="00B66A28"/>
    <w:rsid w:val="00B66A91"/>
    <w:rsid w:val="00B66B2F"/>
    <w:rsid w:val="00B66B45"/>
    <w:rsid w:val="00B66FE2"/>
    <w:rsid w:val="00B67088"/>
    <w:rsid w:val="00B671B9"/>
    <w:rsid w:val="00B6744B"/>
    <w:rsid w:val="00B6781F"/>
    <w:rsid w:val="00B67AC7"/>
    <w:rsid w:val="00B67BED"/>
    <w:rsid w:val="00B67C09"/>
    <w:rsid w:val="00B7000F"/>
    <w:rsid w:val="00B703C6"/>
    <w:rsid w:val="00B705D2"/>
    <w:rsid w:val="00B70640"/>
    <w:rsid w:val="00B70CC1"/>
    <w:rsid w:val="00B70EB0"/>
    <w:rsid w:val="00B711F6"/>
    <w:rsid w:val="00B713BE"/>
    <w:rsid w:val="00B7161C"/>
    <w:rsid w:val="00B717D8"/>
    <w:rsid w:val="00B71B21"/>
    <w:rsid w:val="00B71BEF"/>
    <w:rsid w:val="00B71DCA"/>
    <w:rsid w:val="00B722C1"/>
    <w:rsid w:val="00B7256A"/>
    <w:rsid w:val="00B726A0"/>
    <w:rsid w:val="00B72811"/>
    <w:rsid w:val="00B728F5"/>
    <w:rsid w:val="00B7297B"/>
    <w:rsid w:val="00B72B1A"/>
    <w:rsid w:val="00B72B7D"/>
    <w:rsid w:val="00B73363"/>
    <w:rsid w:val="00B73465"/>
    <w:rsid w:val="00B73604"/>
    <w:rsid w:val="00B7377A"/>
    <w:rsid w:val="00B73CE3"/>
    <w:rsid w:val="00B73E0B"/>
    <w:rsid w:val="00B73F0C"/>
    <w:rsid w:val="00B73FA7"/>
    <w:rsid w:val="00B742B3"/>
    <w:rsid w:val="00B7467D"/>
    <w:rsid w:val="00B747CB"/>
    <w:rsid w:val="00B74BAB"/>
    <w:rsid w:val="00B74DDD"/>
    <w:rsid w:val="00B755D7"/>
    <w:rsid w:val="00B75A03"/>
    <w:rsid w:val="00B75C87"/>
    <w:rsid w:val="00B75C96"/>
    <w:rsid w:val="00B760BD"/>
    <w:rsid w:val="00B760CC"/>
    <w:rsid w:val="00B76151"/>
    <w:rsid w:val="00B7655D"/>
    <w:rsid w:val="00B76695"/>
    <w:rsid w:val="00B76722"/>
    <w:rsid w:val="00B76810"/>
    <w:rsid w:val="00B76872"/>
    <w:rsid w:val="00B76B3C"/>
    <w:rsid w:val="00B77178"/>
    <w:rsid w:val="00B77686"/>
    <w:rsid w:val="00B7776A"/>
    <w:rsid w:val="00B779BE"/>
    <w:rsid w:val="00B77CD4"/>
    <w:rsid w:val="00B77E00"/>
    <w:rsid w:val="00B77F4F"/>
    <w:rsid w:val="00B77FCB"/>
    <w:rsid w:val="00B8062A"/>
    <w:rsid w:val="00B8082C"/>
    <w:rsid w:val="00B8098C"/>
    <w:rsid w:val="00B809FD"/>
    <w:rsid w:val="00B80B7F"/>
    <w:rsid w:val="00B80D3B"/>
    <w:rsid w:val="00B80DC7"/>
    <w:rsid w:val="00B810EA"/>
    <w:rsid w:val="00B8116E"/>
    <w:rsid w:val="00B8127F"/>
    <w:rsid w:val="00B813CB"/>
    <w:rsid w:val="00B81402"/>
    <w:rsid w:val="00B81871"/>
    <w:rsid w:val="00B81A72"/>
    <w:rsid w:val="00B81DBD"/>
    <w:rsid w:val="00B81F63"/>
    <w:rsid w:val="00B821F6"/>
    <w:rsid w:val="00B8222F"/>
    <w:rsid w:val="00B823F3"/>
    <w:rsid w:val="00B82403"/>
    <w:rsid w:val="00B8253D"/>
    <w:rsid w:val="00B82703"/>
    <w:rsid w:val="00B828E8"/>
    <w:rsid w:val="00B82DF8"/>
    <w:rsid w:val="00B83253"/>
    <w:rsid w:val="00B83319"/>
    <w:rsid w:val="00B83434"/>
    <w:rsid w:val="00B836DF"/>
    <w:rsid w:val="00B83997"/>
    <w:rsid w:val="00B83A43"/>
    <w:rsid w:val="00B83F57"/>
    <w:rsid w:val="00B840AA"/>
    <w:rsid w:val="00B84369"/>
    <w:rsid w:val="00B84B31"/>
    <w:rsid w:val="00B84E0F"/>
    <w:rsid w:val="00B85072"/>
    <w:rsid w:val="00B85261"/>
    <w:rsid w:val="00B85611"/>
    <w:rsid w:val="00B859AD"/>
    <w:rsid w:val="00B85A2E"/>
    <w:rsid w:val="00B85BD4"/>
    <w:rsid w:val="00B85C48"/>
    <w:rsid w:val="00B85C67"/>
    <w:rsid w:val="00B86094"/>
    <w:rsid w:val="00B8624D"/>
    <w:rsid w:val="00B86334"/>
    <w:rsid w:val="00B863DC"/>
    <w:rsid w:val="00B86435"/>
    <w:rsid w:val="00B8646C"/>
    <w:rsid w:val="00B866B1"/>
    <w:rsid w:val="00B86D96"/>
    <w:rsid w:val="00B86E1A"/>
    <w:rsid w:val="00B86EFB"/>
    <w:rsid w:val="00B86F92"/>
    <w:rsid w:val="00B86FF2"/>
    <w:rsid w:val="00B870B8"/>
    <w:rsid w:val="00B875B9"/>
    <w:rsid w:val="00B8773C"/>
    <w:rsid w:val="00B87847"/>
    <w:rsid w:val="00B87877"/>
    <w:rsid w:val="00B87AFD"/>
    <w:rsid w:val="00B87B05"/>
    <w:rsid w:val="00B9035C"/>
    <w:rsid w:val="00B9036A"/>
    <w:rsid w:val="00B90723"/>
    <w:rsid w:val="00B90A05"/>
    <w:rsid w:val="00B90A2C"/>
    <w:rsid w:val="00B90A58"/>
    <w:rsid w:val="00B90E92"/>
    <w:rsid w:val="00B90FAE"/>
    <w:rsid w:val="00B913FC"/>
    <w:rsid w:val="00B9156F"/>
    <w:rsid w:val="00B91744"/>
    <w:rsid w:val="00B917E9"/>
    <w:rsid w:val="00B91850"/>
    <w:rsid w:val="00B918E1"/>
    <w:rsid w:val="00B91971"/>
    <w:rsid w:val="00B919A0"/>
    <w:rsid w:val="00B91B17"/>
    <w:rsid w:val="00B91EFC"/>
    <w:rsid w:val="00B92130"/>
    <w:rsid w:val="00B923D9"/>
    <w:rsid w:val="00B929EC"/>
    <w:rsid w:val="00B92CDA"/>
    <w:rsid w:val="00B92F06"/>
    <w:rsid w:val="00B93511"/>
    <w:rsid w:val="00B9368C"/>
    <w:rsid w:val="00B939A4"/>
    <w:rsid w:val="00B93A37"/>
    <w:rsid w:val="00B93AD1"/>
    <w:rsid w:val="00B93E7D"/>
    <w:rsid w:val="00B94053"/>
    <w:rsid w:val="00B941DF"/>
    <w:rsid w:val="00B941FE"/>
    <w:rsid w:val="00B94581"/>
    <w:rsid w:val="00B947EA"/>
    <w:rsid w:val="00B94B4E"/>
    <w:rsid w:val="00B94BB3"/>
    <w:rsid w:val="00B94BF0"/>
    <w:rsid w:val="00B94F47"/>
    <w:rsid w:val="00B94FBA"/>
    <w:rsid w:val="00B95161"/>
    <w:rsid w:val="00B9527C"/>
    <w:rsid w:val="00B9556E"/>
    <w:rsid w:val="00B95A6E"/>
    <w:rsid w:val="00B95C4D"/>
    <w:rsid w:val="00B95D2D"/>
    <w:rsid w:val="00B95E87"/>
    <w:rsid w:val="00B96175"/>
    <w:rsid w:val="00B9622F"/>
    <w:rsid w:val="00B96705"/>
    <w:rsid w:val="00B96822"/>
    <w:rsid w:val="00B96B33"/>
    <w:rsid w:val="00B96BD6"/>
    <w:rsid w:val="00B96DB8"/>
    <w:rsid w:val="00B96E33"/>
    <w:rsid w:val="00B96FA0"/>
    <w:rsid w:val="00B96FC9"/>
    <w:rsid w:val="00B97017"/>
    <w:rsid w:val="00B97036"/>
    <w:rsid w:val="00B972A3"/>
    <w:rsid w:val="00B9740C"/>
    <w:rsid w:val="00B975CB"/>
    <w:rsid w:val="00B976E0"/>
    <w:rsid w:val="00B97C19"/>
    <w:rsid w:val="00B97F5F"/>
    <w:rsid w:val="00BA0531"/>
    <w:rsid w:val="00BA0AED"/>
    <w:rsid w:val="00BA0CA8"/>
    <w:rsid w:val="00BA0D78"/>
    <w:rsid w:val="00BA0E01"/>
    <w:rsid w:val="00BA0F7A"/>
    <w:rsid w:val="00BA10F4"/>
    <w:rsid w:val="00BA14A3"/>
    <w:rsid w:val="00BA14FE"/>
    <w:rsid w:val="00BA1601"/>
    <w:rsid w:val="00BA16C2"/>
    <w:rsid w:val="00BA180D"/>
    <w:rsid w:val="00BA1847"/>
    <w:rsid w:val="00BA18A2"/>
    <w:rsid w:val="00BA2056"/>
    <w:rsid w:val="00BA20F6"/>
    <w:rsid w:val="00BA2133"/>
    <w:rsid w:val="00BA246D"/>
    <w:rsid w:val="00BA24B0"/>
    <w:rsid w:val="00BA25F2"/>
    <w:rsid w:val="00BA26D7"/>
    <w:rsid w:val="00BA279D"/>
    <w:rsid w:val="00BA2A66"/>
    <w:rsid w:val="00BA2C1A"/>
    <w:rsid w:val="00BA2C52"/>
    <w:rsid w:val="00BA2CA6"/>
    <w:rsid w:val="00BA2DD9"/>
    <w:rsid w:val="00BA2E23"/>
    <w:rsid w:val="00BA2E41"/>
    <w:rsid w:val="00BA32E6"/>
    <w:rsid w:val="00BA33A5"/>
    <w:rsid w:val="00BA39FD"/>
    <w:rsid w:val="00BA3BBB"/>
    <w:rsid w:val="00BA3D6C"/>
    <w:rsid w:val="00BA3F24"/>
    <w:rsid w:val="00BA3F3E"/>
    <w:rsid w:val="00BA40A5"/>
    <w:rsid w:val="00BA418E"/>
    <w:rsid w:val="00BA4192"/>
    <w:rsid w:val="00BA4280"/>
    <w:rsid w:val="00BA46DE"/>
    <w:rsid w:val="00BA489B"/>
    <w:rsid w:val="00BA4A69"/>
    <w:rsid w:val="00BA4AA8"/>
    <w:rsid w:val="00BA4B22"/>
    <w:rsid w:val="00BA4B2F"/>
    <w:rsid w:val="00BA4C98"/>
    <w:rsid w:val="00BA532B"/>
    <w:rsid w:val="00BA5417"/>
    <w:rsid w:val="00BA5454"/>
    <w:rsid w:val="00BA591A"/>
    <w:rsid w:val="00BA5D5F"/>
    <w:rsid w:val="00BA5E0D"/>
    <w:rsid w:val="00BA5E75"/>
    <w:rsid w:val="00BA5F4D"/>
    <w:rsid w:val="00BA5FF5"/>
    <w:rsid w:val="00BA637F"/>
    <w:rsid w:val="00BA63DB"/>
    <w:rsid w:val="00BA6576"/>
    <w:rsid w:val="00BA65F0"/>
    <w:rsid w:val="00BA6867"/>
    <w:rsid w:val="00BA68AC"/>
    <w:rsid w:val="00BA6904"/>
    <w:rsid w:val="00BA6BB3"/>
    <w:rsid w:val="00BA6E21"/>
    <w:rsid w:val="00BA754A"/>
    <w:rsid w:val="00BA783B"/>
    <w:rsid w:val="00BA7869"/>
    <w:rsid w:val="00BA7B04"/>
    <w:rsid w:val="00BA7BAF"/>
    <w:rsid w:val="00BA7CE6"/>
    <w:rsid w:val="00BA7E61"/>
    <w:rsid w:val="00BA7E8C"/>
    <w:rsid w:val="00BB0015"/>
    <w:rsid w:val="00BB03A6"/>
    <w:rsid w:val="00BB04C7"/>
    <w:rsid w:val="00BB065B"/>
    <w:rsid w:val="00BB0712"/>
    <w:rsid w:val="00BB0B7E"/>
    <w:rsid w:val="00BB0B81"/>
    <w:rsid w:val="00BB0E30"/>
    <w:rsid w:val="00BB0FAF"/>
    <w:rsid w:val="00BB1345"/>
    <w:rsid w:val="00BB13A5"/>
    <w:rsid w:val="00BB17BA"/>
    <w:rsid w:val="00BB1833"/>
    <w:rsid w:val="00BB1B29"/>
    <w:rsid w:val="00BB1CB4"/>
    <w:rsid w:val="00BB1D7E"/>
    <w:rsid w:val="00BB2087"/>
    <w:rsid w:val="00BB2199"/>
    <w:rsid w:val="00BB21B8"/>
    <w:rsid w:val="00BB21E9"/>
    <w:rsid w:val="00BB21F4"/>
    <w:rsid w:val="00BB2336"/>
    <w:rsid w:val="00BB2482"/>
    <w:rsid w:val="00BB256E"/>
    <w:rsid w:val="00BB258C"/>
    <w:rsid w:val="00BB2632"/>
    <w:rsid w:val="00BB2A15"/>
    <w:rsid w:val="00BB2A5C"/>
    <w:rsid w:val="00BB2C45"/>
    <w:rsid w:val="00BB2ED7"/>
    <w:rsid w:val="00BB2EE7"/>
    <w:rsid w:val="00BB3021"/>
    <w:rsid w:val="00BB3031"/>
    <w:rsid w:val="00BB3274"/>
    <w:rsid w:val="00BB3453"/>
    <w:rsid w:val="00BB3610"/>
    <w:rsid w:val="00BB377E"/>
    <w:rsid w:val="00BB3854"/>
    <w:rsid w:val="00BB3E38"/>
    <w:rsid w:val="00BB3EA0"/>
    <w:rsid w:val="00BB3F33"/>
    <w:rsid w:val="00BB44BE"/>
    <w:rsid w:val="00BB4A5D"/>
    <w:rsid w:val="00BB4C17"/>
    <w:rsid w:val="00BB4CE7"/>
    <w:rsid w:val="00BB4F5D"/>
    <w:rsid w:val="00BB4FE7"/>
    <w:rsid w:val="00BB5186"/>
    <w:rsid w:val="00BB51F9"/>
    <w:rsid w:val="00BB52E1"/>
    <w:rsid w:val="00BB54B3"/>
    <w:rsid w:val="00BB5546"/>
    <w:rsid w:val="00BB57EC"/>
    <w:rsid w:val="00BB5AEE"/>
    <w:rsid w:val="00BB5B95"/>
    <w:rsid w:val="00BB5DBF"/>
    <w:rsid w:val="00BB612F"/>
    <w:rsid w:val="00BB6336"/>
    <w:rsid w:val="00BB6460"/>
    <w:rsid w:val="00BB6C5E"/>
    <w:rsid w:val="00BB7007"/>
    <w:rsid w:val="00BB7041"/>
    <w:rsid w:val="00BB73F7"/>
    <w:rsid w:val="00BB7596"/>
    <w:rsid w:val="00BB75C4"/>
    <w:rsid w:val="00BB76B8"/>
    <w:rsid w:val="00BB77BC"/>
    <w:rsid w:val="00BB7B40"/>
    <w:rsid w:val="00BB7BDD"/>
    <w:rsid w:val="00BB7D45"/>
    <w:rsid w:val="00BB7F21"/>
    <w:rsid w:val="00BC0124"/>
    <w:rsid w:val="00BC01FC"/>
    <w:rsid w:val="00BC0217"/>
    <w:rsid w:val="00BC0445"/>
    <w:rsid w:val="00BC08B1"/>
    <w:rsid w:val="00BC0A25"/>
    <w:rsid w:val="00BC0AF8"/>
    <w:rsid w:val="00BC0E52"/>
    <w:rsid w:val="00BC0F58"/>
    <w:rsid w:val="00BC0FF0"/>
    <w:rsid w:val="00BC1032"/>
    <w:rsid w:val="00BC10A6"/>
    <w:rsid w:val="00BC1148"/>
    <w:rsid w:val="00BC1288"/>
    <w:rsid w:val="00BC169E"/>
    <w:rsid w:val="00BC1733"/>
    <w:rsid w:val="00BC17DE"/>
    <w:rsid w:val="00BC182B"/>
    <w:rsid w:val="00BC1BEB"/>
    <w:rsid w:val="00BC1D88"/>
    <w:rsid w:val="00BC22C6"/>
    <w:rsid w:val="00BC235B"/>
    <w:rsid w:val="00BC24C5"/>
    <w:rsid w:val="00BC2798"/>
    <w:rsid w:val="00BC2C3E"/>
    <w:rsid w:val="00BC2E8B"/>
    <w:rsid w:val="00BC3165"/>
    <w:rsid w:val="00BC344A"/>
    <w:rsid w:val="00BC38F6"/>
    <w:rsid w:val="00BC3AA7"/>
    <w:rsid w:val="00BC3B5B"/>
    <w:rsid w:val="00BC3C81"/>
    <w:rsid w:val="00BC3DDB"/>
    <w:rsid w:val="00BC4146"/>
    <w:rsid w:val="00BC41FB"/>
    <w:rsid w:val="00BC4363"/>
    <w:rsid w:val="00BC4371"/>
    <w:rsid w:val="00BC465C"/>
    <w:rsid w:val="00BC46EC"/>
    <w:rsid w:val="00BC4714"/>
    <w:rsid w:val="00BC49E2"/>
    <w:rsid w:val="00BC4CB3"/>
    <w:rsid w:val="00BC4F2B"/>
    <w:rsid w:val="00BC4F6B"/>
    <w:rsid w:val="00BC503C"/>
    <w:rsid w:val="00BC505A"/>
    <w:rsid w:val="00BC5368"/>
    <w:rsid w:val="00BC554D"/>
    <w:rsid w:val="00BC5603"/>
    <w:rsid w:val="00BC5756"/>
    <w:rsid w:val="00BC5B47"/>
    <w:rsid w:val="00BC5CD4"/>
    <w:rsid w:val="00BC5D35"/>
    <w:rsid w:val="00BC5E2B"/>
    <w:rsid w:val="00BC5EA8"/>
    <w:rsid w:val="00BC5ED8"/>
    <w:rsid w:val="00BC5F03"/>
    <w:rsid w:val="00BC5FF3"/>
    <w:rsid w:val="00BC606C"/>
    <w:rsid w:val="00BC680E"/>
    <w:rsid w:val="00BC6BFD"/>
    <w:rsid w:val="00BC6CDC"/>
    <w:rsid w:val="00BC7000"/>
    <w:rsid w:val="00BC710D"/>
    <w:rsid w:val="00BC7258"/>
    <w:rsid w:val="00BC740C"/>
    <w:rsid w:val="00BC7422"/>
    <w:rsid w:val="00BC78EF"/>
    <w:rsid w:val="00BC7A3F"/>
    <w:rsid w:val="00BC7A42"/>
    <w:rsid w:val="00BC7B28"/>
    <w:rsid w:val="00BC7E36"/>
    <w:rsid w:val="00BC7F35"/>
    <w:rsid w:val="00BC7F46"/>
    <w:rsid w:val="00BC7FAC"/>
    <w:rsid w:val="00BD0190"/>
    <w:rsid w:val="00BD01D7"/>
    <w:rsid w:val="00BD02D9"/>
    <w:rsid w:val="00BD066B"/>
    <w:rsid w:val="00BD06C9"/>
    <w:rsid w:val="00BD0D21"/>
    <w:rsid w:val="00BD0DCE"/>
    <w:rsid w:val="00BD109B"/>
    <w:rsid w:val="00BD13F0"/>
    <w:rsid w:val="00BD169C"/>
    <w:rsid w:val="00BD1876"/>
    <w:rsid w:val="00BD1939"/>
    <w:rsid w:val="00BD1A45"/>
    <w:rsid w:val="00BD1C50"/>
    <w:rsid w:val="00BD1DC7"/>
    <w:rsid w:val="00BD1F2A"/>
    <w:rsid w:val="00BD217A"/>
    <w:rsid w:val="00BD25E5"/>
    <w:rsid w:val="00BD26A2"/>
    <w:rsid w:val="00BD280B"/>
    <w:rsid w:val="00BD2B1A"/>
    <w:rsid w:val="00BD2DFA"/>
    <w:rsid w:val="00BD2E1C"/>
    <w:rsid w:val="00BD2F56"/>
    <w:rsid w:val="00BD304C"/>
    <w:rsid w:val="00BD30BE"/>
    <w:rsid w:val="00BD30F9"/>
    <w:rsid w:val="00BD318A"/>
    <w:rsid w:val="00BD339F"/>
    <w:rsid w:val="00BD3512"/>
    <w:rsid w:val="00BD35A9"/>
    <w:rsid w:val="00BD35DB"/>
    <w:rsid w:val="00BD3C4D"/>
    <w:rsid w:val="00BD4092"/>
    <w:rsid w:val="00BD422F"/>
    <w:rsid w:val="00BD4412"/>
    <w:rsid w:val="00BD447B"/>
    <w:rsid w:val="00BD4719"/>
    <w:rsid w:val="00BD48D8"/>
    <w:rsid w:val="00BD48FC"/>
    <w:rsid w:val="00BD4957"/>
    <w:rsid w:val="00BD4BFD"/>
    <w:rsid w:val="00BD4C6C"/>
    <w:rsid w:val="00BD4D34"/>
    <w:rsid w:val="00BD4E66"/>
    <w:rsid w:val="00BD4F55"/>
    <w:rsid w:val="00BD5389"/>
    <w:rsid w:val="00BD554D"/>
    <w:rsid w:val="00BD5D12"/>
    <w:rsid w:val="00BD6348"/>
    <w:rsid w:val="00BD635E"/>
    <w:rsid w:val="00BD6482"/>
    <w:rsid w:val="00BD64D1"/>
    <w:rsid w:val="00BD6687"/>
    <w:rsid w:val="00BD6790"/>
    <w:rsid w:val="00BD6B46"/>
    <w:rsid w:val="00BD6B73"/>
    <w:rsid w:val="00BD6E00"/>
    <w:rsid w:val="00BD7090"/>
    <w:rsid w:val="00BD70F7"/>
    <w:rsid w:val="00BD7172"/>
    <w:rsid w:val="00BD7304"/>
    <w:rsid w:val="00BD7344"/>
    <w:rsid w:val="00BD745E"/>
    <w:rsid w:val="00BD75E8"/>
    <w:rsid w:val="00BD75EA"/>
    <w:rsid w:val="00BD76C8"/>
    <w:rsid w:val="00BD7720"/>
    <w:rsid w:val="00BD782D"/>
    <w:rsid w:val="00BD7A7D"/>
    <w:rsid w:val="00BD7B6B"/>
    <w:rsid w:val="00BD7BE9"/>
    <w:rsid w:val="00BE0114"/>
    <w:rsid w:val="00BE0205"/>
    <w:rsid w:val="00BE03CA"/>
    <w:rsid w:val="00BE0702"/>
    <w:rsid w:val="00BE0747"/>
    <w:rsid w:val="00BE0B62"/>
    <w:rsid w:val="00BE0B72"/>
    <w:rsid w:val="00BE0C3F"/>
    <w:rsid w:val="00BE0C96"/>
    <w:rsid w:val="00BE0F5E"/>
    <w:rsid w:val="00BE0F95"/>
    <w:rsid w:val="00BE1283"/>
    <w:rsid w:val="00BE139F"/>
    <w:rsid w:val="00BE149D"/>
    <w:rsid w:val="00BE1569"/>
    <w:rsid w:val="00BE1731"/>
    <w:rsid w:val="00BE1809"/>
    <w:rsid w:val="00BE1BF4"/>
    <w:rsid w:val="00BE1FA1"/>
    <w:rsid w:val="00BE21FD"/>
    <w:rsid w:val="00BE228E"/>
    <w:rsid w:val="00BE287D"/>
    <w:rsid w:val="00BE2901"/>
    <w:rsid w:val="00BE2F2D"/>
    <w:rsid w:val="00BE3139"/>
    <w:rsid w:val="00BE3259"/>
    <w:rsid w:val="00BE35B8"/>
    <w:rsid w:val="00BE3621"/>
    <w:rsid w:val="00BE3707"/>
    <w:rsid w:val="00BE3B0D"/>
    <w:rsid w:val="00BE49D8"/>
    <w:rsid w:val="00BE5112"/>
    <w:rsid w:val="00BE511F"/>
    <w:rsid w:val="00BE52E2"/>
    <w:rsid w:val="00BE57FA"/>
    <w:rsid w:val="00BE5DF5"/>
    <w:rsid w:val="00BE617F"/>
    <w:rsid w:val="00BE62F8"/>
    <w:rsid w:val="00BE67C7"/>
    <w:rsid w:val="00BE69B0"/>
    <w:rsid w:val="00BE6BB3"/>
    <w:rsid w:val="00BE6E54"/>
    <w:rsid w:val="00BE7193"/>
    <w:rsid w:val="00BE759E"/>
    <w:rsid w:val="00BE765E"/>
    <w:rsid w:val="00BE768D"/>
    <w:rsid w:val="00BE77EE"/>
    <w:rsid w:val="00BE7AC8"/>
    <w:rsid w:val="00BE7B35"/>
    <w:rsid w:val="00BE7D34"/>
    <w:rsid w:val="00BF01D9"/>
    <w:rsid w:val="00BF04E5"/>
    <w:rsid w:val="00BF0555"/>
    <w:rsid w:val="00BF065C"/>
    <w:rsid w:val="00BF07A7"/>
    <w:rsid w:val="00BF0B08"/>
    <w:rsid w:val="00BF0CAC"/>
    <w:rsid w:val="00BF0F27"/>
    <w:rsid w:val="00BF13E6"/>
    <w:rsid w:val="00BF155C"/>
    <w:rsid w:val="00BF15B1"/>
    <w:rsid w:val="00BF15C8"/>
    <w:rsid w:val="00BF1957"/>
    <w:rsid w:val="00BF19B2"/>
    <w:rsid w:val="00BF1A66"/>
    <w:rsid w:val="00BF1AE6"/>
    <w:rsid w:val="00BF1DC7"/>
    <w:rsid w:val="00BF234F"/>
    <w:rsid w:val="00BF2592"/>
    <w:rsid w:val="00BF2666"/>
    <w:rsid w:val="00BF2764"/>
    <w:rsid w:val="00BF2947"/>
    <w:rsid w:val="00BF29CD"/>
    <w:rsid w:val="00BF2BC1"/>
    <w:rsid w:val="00BF2E2B"/>
    <w:rsid w:val="00BF3204"/>
    <w:rsid w:val="00BF322F"/>
    <w:rsid w:val="00BF33EC"/>
    <w:rsid w:val="00BF352E"/>
    <w:rsid w:val="00BF3C8F"/>
    <w:rsid w:val="00BF3D63"/>
    <w:rsid w:val="00BF3EA3"/>
    <w:rsid w:val="00BF41B7"/>
    <w:rsid w:val="00BF4292"/>
    <w:rsid w:val="00BF4565"/>
    <w:rsid w:val="00BF4584"/>
    <w:rsid w:val="00BF466C"/>
    <w:rsid w:val="00BF46B2"/>
    <w:rsid w:val="00BF4875"/>
    <w:rsid w:val="00BF491C"/>
    <w:rsid w:val="00BF4A89"/>
    <w:rsid w:val="00BF4B5E"/>
    <w:rsid w:val="00BF4EE0"/>
    <w:rsid w:val="00BF50EF"/>
    <w:rsid w:val="00BF52AE"/>
    <w:rsid w:val="00BF55D2"/>
    <w:rsid w:val="00BF569B"/>
    <w:rsid w:val="00BF5826"/>
    <w:rsid w:val="00BF5914"/>
    <w:rsid w:val="00BF5985"/>
    <w:rsid w:val="00BF5991"/>
    <w:rsid w:val="00BF59F0"/>
    <w:rsid w:val="00BF5AB5"/>
    <w:rsid w:val="00BF5B29"/>
    <w:rsid w:val="00BF5B85"/>
    <w:rsid w:val="00BF5F83"/>
    <w:rsid w:val="00BF613F"/>
    <w:rsid w:val="00BF62F3"/>
    <w:rsid w:val="00BF63EA"/>
    <w:rsid w:val="00BF6454"/>
    <w:rsid w:val="00BF6605"/>
    <w:rsid w:val="00BF6640"/>
    <w:rsid w:val="00BF6654"/>
    <w:rsid w:val="00BF6933"/>
    <w:rsid w:val="00BF6BB0"/>
    <w:rsid w:val="00BF6F00"/>
    <w:rsid w:val="00BF70C5"/>
    <w:rsid w:val="00BF70CA"/>
    <w:rsid w:val="00BF72D5"/>
    <w:rsid w:val="00BF74E6"/>
    <w:rsid w:val="00BF780F"/>
    <w:rsid w:val="00BF7CAA"/>
    <w:rsid w:val="00BF7E2C"/>
    <w:rsid w:val="00BF7F3A"/>
    <w:rsid w:val="00BF7F47"/>
    <w:rsid w:val="00C00001"/>
    <w:rsid w:val="00C002F3"/>
    <w:rsid w:val="00C003D5"/>
    <w:rsid w:val="00C004E2"/>
    <w:rsid w:val="00C00524"/>
    <w:rsid w:val="00C00744"/>
    <w:rsid w:val="00C008A5"/>
    <w:rsid w:val="00C008FB"/>
    <w:rsid w:val="00C00B2A"/>
    <w:rsid w:val="00C00BED"/>
    <w:rsid w:val="00C00C10"/>
    <w:rsid w:val="00C01083"/>
    <w:rsid w:val="00C010B5"/>
    <w:rsid w:val="00C01A71"/>
    <w:rsid w:val="00C01C21"/>
    <w:rsid w:val="00C01D0E"/>
    <w:rsid w:val="00C01DB7"/>
    <w:rsid w:val="00C01F2F"/>
    <w:rsid w:val="00C02003"/>
    <w:rsid w:val="00C020FB"/>
    <w:rsid w:val="00C023C5"/>
    <w:rsid w:val="00C023F1"/>
    <w:rsid w:val="00C024B4"/>
    <w:rsid w:val="00C025D8"/>
    <w:rsid w:val="00C0277D"/>
    <w:rsid w:val="00C02D8A"/>
    <w:rsid w:val="00C02FF4"/>
    <w:rsid w:val="00C02FF6"/>
    <w:rsid w:val="00C03055"/>
    <w:rsid w:val="00C031C6"/>
    <w:rsid w:val="00C03297"/>
    <w:rsid w:val="00C0357A"/>
    <w:rsid w:val="00C03679"/>
    <w:rsid w:val="00C03AAD"/>
    <w:rsid w:val="00C03D2A"/>
    <w:rsid w:val="00C03D4F"/>
    <w:rsid w:val="00C0403B"/>
    <w:rsid w:val="00C04261"/>
    <w:rsid w:val="00C045C8"/>
    <w:rsid w:val="00C046E4"/>
    <w:rsid w:val="00C046EA"/>
    <w:rsid w:val="00C048E7"/>
    <w:rsid w:val="00C05258"/>
    <w:rsid w:val="00C053A3"/>
    <w:rsid w:val="00C055DA"/>
    <w:rsid w:val="00C05A4B"/>
    <w:rsid w:val="00C05AB6"/>
    <w:rsid w:val="00C05E2D"/>
    <w:rsid w:val="00C05FC5"/>
    <w:rsid w:val="00C06093"/>
    <w:rsid w:val="00C06165"/>
    <w:rsid w:val="00C06605"/>
    <w:rsid w:val="00C06637"/>
    <w:rsid w:val="00C066AC"/>
    <w:rsid w:val="00C0692D"/>
    <w:rsid w:val="00C06BA2"/>
    <w:rsid w:val="00C06EC5"/>
    <w:rsid w:val="00C06F36"/>
    <w:rsid w:val="00C07822"/>
    <w:rsid w:val="00C07FA2"/>
    <w:rsid w:val="00C07FFB"/>
    <w:rsid w:val="00C101AA"/>
    <w:rsid w:val="00C10205"/>
    <w:rsid w:val="00C1064D"/>
    <w:rsid w:val="00C10699"/>
    <w:rsid w:val="00C10A3C"/>
    <w:rsid w:val="00C113C7"/>
    <w:rsid w:val="00C11427"/>
    <w:rsid w:val="00C114B0"/>
    <w:rsid w:val="00C114E4"/>
    <w:rsid w:val="00C11638"/>
    <w:rsid w:val="00C11A30"/>
    <w:rsid w:val="00C11CC5"/>
    <w:rsid w:val="00C11F3D"/>
    <w:rsid w:val="00C1238D"/>
    <w:rsid w:val="00C1238E"/>
    <w:rsid w:val="00C12393"/>
    <w:rsid w:val="00C12607"/>
    <w:rsid w:val="00C1264F"/>
    <w:rsid w:val="00C12813"/>
    <w:rsid w:val="00C128C3"/>
    <w:rsid w:val="00C12A93"/>
    <w:rsid w:val="00C132AD"/>
    <w:rsid w:val="00C13573"/>
    <w:rsid w:val="00C13784"/>
    <w:rsid w:val="00C137F7"/>
    <w:rsid w:val="00C13B47"/>
    <w:rsid w:val="00C13C97"/>
    <w:rsid w:val="00C13DB2"/>
    <w:rsid w:val="00C1420A"/>
    <w:rsid w:val="00C1431B"/>
    <w:rsid w:val="00C143AA"/>
    <w:rsid w:val="00C14423"/>
    <w:rsid w:val="00C145FB"/>
    <w:rsid w:val="00C14636"/>
    <w:rsid w:val="00C14A37"/>
    <w:rsid w:val="00C14B10"/>
    <w:rsid w:val="00C14BC6"/>
    <w:rsid w:val="00C15293"/>
    <w:rsid w:val="00C152FD"/>
    <w:rsid w:val="00C154A5"/>
    <w:rsid w:val="00C15B01"/>
    <w:rsid w:val="00C15B5A"/>
    <w:rsid w:val="00C15C46"/>
    <w:rsid w:val="00C15D9F"/>
    <w:rsid w:val="00C16008"/>
    <w:rsid w:val="00C1623F"/>
    <w:rsid w:val="00C163D9"/>
    <w:rsid w:val="00C164A7"/>
    <w:rsid w:val="00C16C27"/>
    <w:rsid w:val="00C16CC8"/>
    <w:rsid w:val="00C16DC5"/>
    <w:rsid w:val="00C16E47"/>
    <w:rsid w:val="00C170DE"/>
    <w:rsid w:val="00C170E3"/>
    <w:rsid w:val="00C17469"/>
    <w:rsid w:val="00C1758D"/>
    <w:rsid w:val="00C17672"/>
    <w:rsid w:val="00C17A21"/>
    <w:rsid w:val="00C17C7B"/>
    <w:rsid w:val="00C17D03"/>
    <w:rsid w:val="00C17D25"/>
    <w:rsid w:val="00C17EFA"/>
    <w:rsid w:val="00C2054A"/>
    <w:rsid w:val="00C20584"/>
    <w:rsid w:val="00C20775"/>
    <w:rsid w:val="00C20838"/>
    <w:rsid w:val="00C208AB"/>
    <w:rsid w:val="00C208F0"/>
    <w:rsid w:val="00C20AB5"/>
    <w:rsid w:val="00C20E9F"/>
    <w:rsid w:val="00C21037"/>
    <w:rsid w:val="00C21084"/>
    <w:rsid w:val="00C212C6"/>
    <w:rsid w:val="00C2172A"/>
    <w:rsid w:val="00C21C07"/>
    <w:rsid w:val="00C21CA4"/>
    <w:rsid w:val="00C21D94"/>
    <w:rsid w:val="00C21F4C"/>
    <w:rsid w:val="00C21FB3"/>
    <w:rsid w:val="00C22024"/>
    <w:rsid w:val="00C22269"/>
    <w:rsid w:val="00C2238F"/>
    <w:rsid w:val="00C22718"/>
    <w:rsid w:val="00C229B0"/>
    <w:rsid w:val="00C22B42"/>
    <w:rsid w:val="00C230F2"/>
    <w:rsid w:val="00C2314E"/>
    <w:rsid w:val="00C23257"/>
    <w:rsid w:val="00C235D7"/>
    <w:rsid w:val="00C238A4"/>
    <w:rsid w:val="00C238BC"/>
    <w:rsid w:val="00C23A22"/>
    <w:rsid w:val="00C23B79"/>
    <w:rsid w:val="00C23C75"/>
    <w:rsid w:val="00C23CA6"/>
    <w:rsid w:val="00C23DC4"/>
    <w:rsid w:val="00C245EC"/>
    <w:rsid w:val="00C24699"/>
    <w:rsid w:val="00C246CF"/>
    <w:rsid w:val="00C24804"/>
    <w:rsid w:val="00C24CB2"/>
    <w:rsid w:val="00C2510A"/>
    <w:rsid w:val="00C252F0"/>
    <w:rsid w:val="00C2535B"/>
    <w:rsid w:val="00C259C5"/>
    <w:rsid w:val="00C25A99"/>
    <w:rsid w:val="00C25D61"/>
    <w:rsid w:val="00C25D77"/>
    <w:rsid w:val="00C26083"/>
    <w:rsid w:val="00C2622C"/>
    <w:rsid w:val="00C26239"/>
    <w:rsid w:val="00C262D1"/>
    <w:rsid w:val="00C266B3"/>
    <w:rsid w:val="00C268A8"/>
    <w:rsid w:val="00C269B9"/>
    <w:rsid w:val="00C26A0D"/>
    <w:rsid w:val="00C26A20"/>
    <w:rsid w:val="00C26A49"/>
    <w:rsid w:val="00C26E2D"/>
    <w:rsid w:val="00C26F4F"/>
    <w:rsid w:val="00C273B1"/>
    <w:rsid w:val="00C27701"/>
    <w:rsid w:val="00C2790E"/>
    <w:rsid w:val="00C27B6F"/>
    <w:rsid w:val="00C27B8E"/>
    <w:rsid w:val="00C27B9C"/>
    <w:rsid w:val="00C27C8B"/>
    <w:rsid w:val="00C302DE"/>
    <w:rsid w:val="00C30346"/>
    <w:rsid w:val="00C3040B"/>
    <w:rsid w:val="00C30422"/>
    <w:rsid w:val="00C3066E"/>
    <w:rsid w:val="00C306AC"/>
    <w:rsid w:val="00C30862"/>
    <w:rsid w:val="00C30FFF"/>
    <w:rsid w:val="00C31349"/>
    <w:rsid w:val="00C313BB"/>
    <w:rsid w:val="00C314C5"/>
    <w:rsid w:val="00C31508"/>
    <w:rsid w:val="00C31557"/>
    <w:rsid w:val="00C3169D"/>
    <w:rsid w:val="00C31969"/>
    <w:rsid w:val="00C31F02"/>
    <w:rsid w:val="00C321B7"/>
    <w:rsid w:val="00C329F8"/>
    <w:rsid w:val="00C32BF3"/>
    <w:rsid w:val="00C33014"/>
    <w:rsid w:val="00C33062"/>
    <w:rsid w:val="00C33210"/>
    <w:rsid w:val="00C3351D"/>
    <w:rsid w:val="00C33825"/>
    <w:rsid w:val="00C33A77"/>
    <w:rsid w:val="00C33CA1"/>
    <w:rsid w:val="00C33D7C"/>
    <w:rsid w:val="00C340EA"/>
    <w:rsid w:val="00C34497"/>
    <w:rsid w:val="00C3453B"/>
    <w:rsid w:val="00C346E2"/>
    <w:rsid w:val="00C34727"/>
    <w:rsid w:val="00C3491E"/>
    <w:rsid w:val="00C3499E"/>
    <w:rsid w:val="00C34C07"/>
    <w:rsid w:val="00C34C9F"/>
    <w:rsid w:val="00C350B4"/>
    <w:rsid w:val="00C350CC"/>
    <w:rsid w:val="00C351B2"/>
    <w:rsid w:val="00C351B7"/>
    <w:rsid w:val="00C3535B"/>
    <w:rsid w:val="00C354DA"/>
    <w:rsid w:val="00C35754"/>
    <w:rsid w:val="00C3584A"/>
    <w:rsid w:val="00C359A1"/>
    <w:rsid w:val="00C35BCA"/>
    <w:rsid w:val="00C36046"/>
    <w:rsid w:val="00C360DE"/>
    <w:rsid w:val="00C3610F"/>
    <w:rsid w:val="00C3631A"/>
    <w:rsid w:val="00C36384"/>
    <w:rsid w:val="00C363B3"/>
    <w:rsid w:val="00C364E9"/>
    <w:rsid w:val="00C36674"/>
    <w:rsid w:val="00C36709"/>
    <w:rsid w:val="00C3688D"/>
    <w:rsid w:val="00C36D8B"/>
    <w:rsid w:val="00C36F1A"/>
    <w:rsid w:val="00C37107"/>
    <w:rsid w:val="00C37124"/>
    <w:rsid w:val="00C37469"/>
    <w:rsid w:val="00C37C70"/>
    <w:rsid w:val="00C40198"/>
    <w:rsid w:val="00C4036B"/>
    <w:rsid w:val="00C40370"/>
    <w:rsid w:val="00C403D9"/>
    <w:rsid w:val="00C404AA"/>
    <w:rsid w:val="00C40891"/>
    <w:rsid w:val="00C408B9"/>
    <w:rsid w:val="00C408F5"/>
    <w:rsid w:val="00C40BB0"/>
    <w:rsid w:val="00C40DBA"/>
    <w:rsid w:val="00C40E8D"/>
    <w:rsid w:val="00C4106E"/>
    <w:rsid w:val="00C41AA5"/>
    <w:rsid w:val="00C420F9"/>
    <w:rsid w:val="00C4227A"/>
    <w:rsid w:val="00C4284B"/>
    <w:rsid w:val="00C42958"/>
    <w:rsid w:val="00C42A02"/>
    <w:rsid w:val="00C42A04"/>
    <w:rsid w:val="00C42CC3"/>
    <w:rsid w:val="00C42EB9"/>
    <w:rsid w:val="00C42F9B"/>
    <w:rsid w:val="00C43369"/>
    <w:rsid w:val="00C438E0"/>
    <w:rsid w:val="00C439FA"/>
    <w:rsid w:val="00C43B95"/>
    <w:rsid w:val="00C43C79"/>
    <w:rsid w:val="00C43EE4"/>
    <w:rsid w:val="00C4492F"/>
    <w:rsid w:val="00C44DB9"/>
    <w:rsid w:val="00C44F62"/>
    <w:rsid w:val="00C451B6"/>
    <w:rsid w:val="00C454AB"/>
    <w:rsid w:val="00C4552B"/>
    <w:rsid w:val="00C45628"/>
    <w:rsid w:val="00C45710"/>
    <w:rsid w:val="00C45B8C"/>
    <w:rsid w:val="00C45D5A"/>
    <w:rsid w:val="00C45F11"/>
    <w:rsid w:val="00C4645A"/>
    <w:rsid w:val="00C467C6"/>
    <w:rsid w:val="00C46B76"/>
    <w:rsid w:val="00C46E5C"/>
    <w:rsid w:val="00C46EFA"/>
    <w:rsid w:val="00C47169"/>
    <w:rsid w:val="00C472E8"/>
    <w:rsid w:val="00C474A2"/>
    <w:rsid w:val="00C4772E"/>
    <w:rsid w:val="00C47795"/>
    <w:rsid w:val="00C4779F"/>
    <w:rsid w:val="00C47A6A"/>
    <w:rsid w:val="00C47AA5"/>
    <w:rsid w:val="00C47EA8"/>
    <w:rsid w:val="00C50292"/>
    <w:rsid w:val="00C5034F"/>
    <w:rsid w:val="00C5036E"/>
    <w:rsid w:val="00C5045D"/>
    <w:rsid w:val="00C50677"/>
    <w:rsid w:val="00C50B5D"/>
    <w:rsid w:val="00C50CE8"/>
    <w:rsid w:val="00C50DDB"/>
    <w:rsid w:val="00C5113E"/>
    <w:rsid w:val="00C511DF"/>
    <w:rsid w:val="00C51370"/>
    <w:rsid w:val="00C514D4"/>
    <w:rsid w:val="00C514E7"/>
    <w:rsid w:val="00C515A9"/>
    <w:rsid w:val="00C51767"/>
    <w:rsid w:val="00C51818"/>
    <w:rsid w:val="00C51A49"/>
    <w:rsid w:val="00C51C0C"/>
    <w:rsid w:val="00C51D44"/>
    <w:rsid w:val="00C51E77"/>
    <w:rsid w:val="00C52498"/>
    <w:rsid w:val="00C52532"/>
    <w:rsid w:val="00C5261C"/>
    <w:rsid w:val="00C52662"/>
    <w:rsid w:val="00C52737"/>
    <w:rsid w:val="00C5274F"/>
    <w:rsid w:val="00C5284B"/>
    <w:rsid w:val="00C52A11"/>
    <w:rsid w:val="00C52B5B"/>
    <w:rsid w:val="00C52D5D"/>
    <w:rsid w:val="00C52FF1"/>
    <w:rsid w:val="00C53021"/>
    <w:rsid w:val="00C532CA"/>
    <w:rsid w:val="00C53381"/>
    <w:rsid w:val="00C53413"/>
    <w:rsid w:val="00C53E8A"/>
    <w:rsid w:val="00C5414E"/>
    <w:rsid w:val="00C543C6"/>
    <w:rsid w:val="00C5455A"/>
    <w:rsid w:val="00C547BB"/>
    <w:rsid w:val="00C54990"/>
    <w:rsid w:val="00C54BF2"/>
    <w:rsid w:val="00C55070"/>
    <w:rsid w:val="00C5515C"/>
    <w:rsid w:val="00C55195"/>
    <w:rsid w:val="00C55427"/>
    <w:rsid w:val="00C55D79"/>
    <w:rsid w:val="00C55E61"/>
    <w:rsid w:val="00C5624C"/>
    <w:rsid w:val="00C563A4"/>
    <w:rsid w:val="00C563F9"/>
    <w:rsid w:val="00C56529"/>
    <w:rsid w:val="00C5681E"/>
    <w:rsid w:val="00C5682B"/>
    <w:rsid w:val="00C5697C"/>
    <w:rsid w:val="00C56CA3"/>
    <w:rsid w:val="00C5701B"/>
    <w:rsid w:val="00C570CA"/>
    <w:rsid w:val="00C572EE"/>
    <w:rsid w:val="00C57463"/>
    <w:rsid w:val="00C57D54"/>
    <w:rsid w:val="00C6024B"/>
    <w:rsid w:val="00C60315"/>
    <w:rsid w:val="00C604A6"/>
    <w:rsid w:val="00C60888"/>
    <w:rsid w:val="00C609CF"/>
    <w:rsid w:val="00C60B64"/>
    <w:rsid w:val="00C60EEB"/>
    <w:rsid w:val="00C610D1"/>
    <w:rsid w:val="00C6155C"/>
    <w:rsid w:val="00C61A06"/>
    <w:rsid w:val="00C61ABA"/>
    <w:rsid w:val="00C61B14"/>
    <w:rsid w:val="00C61BF5"/>
    <w:rsid w:val="00C61CCC"/>
    <w:rsid w:val="00C6215F"/>
    <w:rsid w:val="00C62182"/>
    <w:rsid w:val="00C622B9"/>
    <w:rsid w:val="00C623C6"/>
    <w:rsid w:val="00C62437"/>
    <w:rsid w:val="00C62860"/>
    <w:rsid w:val="00C62872"/>
    <w:rsid w:val="00C628BF"/>
    <w:rsid w:val="00C6294E"/>
    <w:rsid w:val="00C62A88"/>
    <w:rsid w:val="00C62CAD"/>
    <w:rsid w:val="00C63AD6"/>
    <w:rsid w:val="00C63B44"/>
    <w:rsid w:val="00C63BC0"/>
    <w:rsid w:val="00C6400F"/>
    <w:rsid w:val="00C6416E"/>
    <w:rsid w:val="00C6433A"/>
    <w:rsid w:val="00C643F4"/>
    <w:rsid w:val="00C64453"/>
    <w:rsid w:val="00C6483E"/>
    <w:rsid w:val="00C64A54"/>
    <w:rsid w:val="00C64B0C"/>
    <w:rsid w:val="00C64B5D"/>
    <w:rsid w:val="00C64DDF"/>
    <w:rsid w:val="00C64F1A"/>
    <w:rsid w:val="00C64F50"/>
    <w:rsid w:val="00C64FA0"/>
    <w:rsid w:val="00C650AF"/>
    <w:rsid w:val="00C65769"/>
    <w:rsid w:val="00C658E0"/>
    <w:rsid w:val="00C658E2"/>
    <w:rsid w:val="00C659AE"/>
    <w:rsid w:val="00C659C6"/>
    <w:rsid w:val="00C65BBC"/>
    <w:rsid w:val="00C65D2E"/>
    <w:rsid w:val="00C65D3E"/>
    <w:rsid w:val="00C65DFD"/>
    <w:rsid w:val="00C65FF4"/>
    <w:rsid w:val="00C66562"/>
    <w:rsid w:val="00C66721"/>
    <w:rsid w:val="00C66CF4"/>
    <w:rsid w:val="00C66ED1"/>
    <w:rsid w:val="00C6744C"/>
    <w:rsid w:val="00C675B6"/>
    <w:rsid w:val="00C675D6"/>
    <w:rsid w:val="00C6767F"/>
    <w:rsid w:val="00C677C7"/>
    <w:rsid w:val="00C67880"/>
    <w:rsid w:val="00C678D4"/>
    <w:rsid w:val="00C679A0"/>
    <w:rsid w:val="00C67A41"/>
    <w:rsid w:val="00C67C30"/>
    <w:rsid w:val="00C67D5A"/>
    <w:rsid w:val="00C67DA5"/>
    <w:rsid w:val="00C67E7F"/>
    <w:rsid w:val="00C70256"/>
    <w:rsid w:val="00C708C5"/>
    <w:rsid w:val="00C70B8B"/>
    <w:rsid w:val="00C70D6D"/>
    <w:rsid w:val="00C70F2B"/>
    <w:rsid w:val="00C712AB"/>
    <w:rsid w:val="00C71416"/>
    <w:rsid w:val="00C71477"/>
    <w:rsid w:val="00C7147E"/>
    <w:rsid w:val="00C71602"/>
    <w:rsid w:val="00C71957"/>
    <w:rsid w:val="00C71AB6"/>
    <w:rsid w:val="00C72794"/>
    <w:rsid w:val="00C728DB"/>
    <w:rsid w:val="00C72902"/>
    <w:rsid w:val="00C72BDE"/>
    <w:rsid w:val="00C72E94"/>
    <w:rsid w:val="00C73189"/>
    <w:rsid w:val="00C731C2"/>
    <w:rsid w:val="00C734AA"/>
    <w:rsid w:val="00C73652"/>
    <w:rsid w:val="00C736B8"/>
    <w:rsid w:val="00C736C0"/>
    <w:rsid w:val="00C73E8D"/>
    <w:rsid w:val="00C73F18"/>
    <w:rsid w:val="00C741ED"/>
    <w:rsid w:val="00C7429A"/>
    <w:rsid w:val="00C744BB"/>
    <w:rsid w:val="00C74542"/>
    <w:rsid w:val="00C7459D"/>
    <w:rsid w:val="00C745FD"/>
    <w:rsid w:val="00C74656"/>
    <w:rsid w:val="00C74898"/>
    <w:rsid w:val="00C74C77"/>
    <w:rsid w:val="00C74DD5"/>
    <w:rsid w:val="00C7502E"/>
    <w:rsid w:val="00C75563"/>
    <w:rsid w:val="00C75608"/>
    <w:rsid w:val="00C75640"/>
    <w:rsid w:val="00C75BF7"/>
    <w:rsid w:val="00C75D29"/>
    <w:rsid w:val="00C75F98"/>
    <w:rsid w:val="00C760D9"/>
    <w:rsid w:val="00C7618C"/>
    <w:rsid w:val="00C76263"/>
    <w:rsid w:val="00C763D5"/>
    <w:rsid w:val="00C7663F"/>
    <w:rsid w:val="00C76A36"/>
    <w:rsid w:val="00C76A63"/>
    <w:rsid w:val="00C76AD3"/>
    <w:rsid w:val="00C77079"/>
    <w:rsid w:val="00C770C5"/>
    <w:rsid w:val="00C778F2"/>
    <w:rsid w:val="00C77A55"/>
    <w:rsid w:val="00C77E8E"/>
    <w:rsid w:val="00C80103"/>
    <w:rsid w:val="00C80111"/>
    <w:rsid w:val="00C80218"/>
    <w:rsid w:val="00C8041A"/>
    <w:rsid w:val="00C805B0"/>
    <w:rsid w:val="00C805F6"/>
    <w:rsid w:val="00C806AD"/>
    <w:rsid w:val="00C8093F"/>
    <w:rsid w:val="00C8097E"/>
    <w:rsid w:val="00C80BB8"/>
    <w:rsid w:val="00C80BFB"/>
    <w:rsid w:val="00C80EE3"/>
    <w:rsid w:val="00C80F53"/>
    <w:rsid w:val="00C80FEC"/>
    <w:rsid w:val="00C8134D"/>
    <w:rsid w:val="00C813F4"/>
    <w:rsid w:val="00C8160A"/>
    <w:rsid w:val="00C81777"/>
    <w:rsid w:val="00C818FD"/>
    <w:rsid w:val="00C81AF4"/>
    <w:rsid w:val="00C81D17"/>
    <w:rsid w:val="00C81FBA"/>
    <w:rsid w:val="00C82037"/>
    <w:rsid w:val="00C82446"/>
    <w:rsid w:val="00C826E9"/>
    <w:rsid w:val="00C82736"/>
    <w:rsid w:val="00C827B0"/>
    <w:rsid w:val="00C8290E"/>
    <w:rsid w:val="00C82D07"/>
    <w:rsid w:val="00C82E5F"/>
    <w:rsid w:val="00C8313C"/>
    <w:rsid w:val="00C83507"/>
    <w:rsid w:val="00C8358C"/>
    <w:rsid w:val="00C836F1"/>
    <w:rsid w:val="00C8384B"/>
    <w:rsid w:val="00C83CFF"/>
    <w:rsid w:val="00C83DBC"/>
    <w:rsid w:val="00C84047"/>
    <w:rsid w:val="00C8409B"/>
    <w:rsid w:val="00C84355"/>
    <w:rsid w:val="00C84546"/>
    <w:rsid w:val="00C84814"/>
    <w:rsid w:val="00C8484E"/>
    <w:rsid w:val="00C84BD9"/>
    <w:rsid w:val="00C84BEF"/>
    <w:rsid w:val="00C84E6F"/>
    <w:rsid w:val="00C8515D"/>
    <w:rsid w:val="00C85283"/>
    <w:rsid w:val="00C854C0"/>
    <w:rsid w:val="00C8564A"/>
    <w:rsid w:val="00C85A2F"/>
    <w:rsid w:val="00C85BD2"/>
    <w:rsid w:val="00C85E85"/>
    <w:rsid w:val="00C85FE3"/>
    <w:rsid w:val="00C8610E"/>
    <w:rsid w:val="00C863C9"/>
    <w:rsid w:val="00C86440"/>
    <w:rsid w:val="00C8666E"/>
    <w:rsid w:val="00C86866"/>
    <w:rsid w:val="00C86962"/>
    <w:rsid w:val="00C86C53"/>
    <w:rsid w:val="00C86CCB"/>
    <w:rsid w:val="00C86E95"/>
    <w:rsid w:val="00C87218"/>
    <w:rsid w:val="00C87341"/>
    <w:rsid w:val="00C8764A"/>
    <w:rsid w:val="00C8786E"/>
    <w:rsid w:val="00C87AA6"/>
    <w:rsid w:val="00C87BB9"/>
    <w:rsid w:val="00C87C39"/>
    <w:rsid w:val="00C87C8F"/>
    <w:rsid w:val="00C87E51"/>
    <w:rsid w:val="00C87E6F"/>
    <w:rsid w:val="00C90038"/>
    <w:rsid w:val="00C9007C"/>
    <w:rsid w:val="00C90099"/>
    <w:rsid w:val="00C9053F"/>
    <w:rsid w:val="00C90571"/>
    <w:rsid w:val="00C90687"/>
    <w:rsid w:val="00C906E7"/>
    <w:rsid w:val="00C90937"/>
    <w:rsid w:val="00C90D9E"/>
    <w:rsid w:val="00C90FDF"/>
    <w:rsid w:val="00C90FE1"/>
    <w:rsid w:val="00C91028"/>
    <w:rsid w:val="00C9143F"/>
    <w:rsid w:val="00C914D4"/>
    <w:rsid w:val="00C91C1B"/>
    <w:rsid w:val="00C91D21"/>
    <w:rsid w:val="00C91E68"/>
    <w:rsid w:val="00C92259"/>
    <w:rsid w:val="00C923E9"/>
    <w:rsid w:val="00C923FA"/>
    <w:rsid w:val="00C9240C"/>
    <w:rsid w:val="00C9259F"/>
    <w:rsid w:val="00C9279F"/>
    <w:rsid w:val="00C92994"/>
    <w:rsid w:val="00C92BDA"/>
    <w:rsid w:val="00C92C10"/>
    <w:rsid w:val="00C92DB7"/>
    <w:rsid w:val="00C92E41"/>
    <w:rsid w:val="00C9308E"/>
    <w:rsid w:val="00C93601"/>
    <w:rsid w:val="00C93875"/>
    <w:rsid w:val="00C93880"/>
    <w:rsid w:val="00C93A13"/>
    <w:rsid w:val="00C93C69"/>
    <w:rsid w:val="00C93E77"/>
    <w:rsid w:val="00C93F03"/>
    <w:rsid w:val="00C940D2"/>
    <w:rsid w:val="00C94369"/>
    <w:rsid w:val="00C944FE"/>
    <w:rsid w:val="00C948A5"/>
    <w:rsid w:val="00C94F11"/>
    <w:rsid w:val="00C951D9"/>
    <w:rsid w:val="00C952AB"/>
    <w:rsid w:val="00C958E4"/>
    <w:rsid w:val="00C95972"/>
    <w:rsid w:val="00C95D4B"/>
    <w:rsid w:val="00C95D5C"/>
    <w:rsid w:val="00C95F82"/>
    <w:rsid w:val="00C96029"/>
    <w:rsid w:val="00C96122"/>
    <w:rsid w:val="00C96251"/>
    <w:rsid w:val="00C9635B"/>
    <w:rsid w:val="00C96472"/>
    <w:rsid w:val="00C96484"/>
    <w:rsid w:val="00C96992"/>
    <w:rsid w:val="00C96EF3"/>
    <w:rsid w:val="00C96F11"/>
    <w:rsid w:val="00C96F65"/>
    <w:rsid w:val="00C9714E"/>
    <w:rsid w:val="00C97272"/>
    <w:rsid w:val="00C973D5"/>
    <w:rsid w:val="00C97681"/>
    <w:rsid w:val="00C976A4"/>
    <w:rsid w:val="00C97A9C"/>
    <w:rsid w:val="00C97C69"/>
    <w:rsid w:val="00C97E2C"/>
    <w:rsid w:val="00C97FC2"/>
    <w:rsid w:val="00CA009F"/>
    <w:rsid w:val="00CA0190"/>
    <w:rsid w:val="00CA026A"/>
    <w:rsid w:val="00CA0353"/>
    <w:rsid w:val="00CA0422"/>
    <w:rsid w:val="00CA0455"/>
    <w:rsid w:val="00CA04A3"/>
    <w:rsid w:val="00CA0508"/>
    <w:rsid w:val="00CA0547"/>
    <w:rsid w:val="00CA092C"/>
    <w:rsid w:val="00CA094A"/>
    <w:rsid w:val="00CA0A02"/>
    <w:rsid w:val="00CA0B82"/>
    <w:rsid w:val="00CA0CBD"/>
    <w:rsid w:val="00CA0D4D"/>
    <w:rsid w:val="00CA0F04"/>
    <w:rsid w:val="00CA0F9D"/>
    <w:rsid w:val="00CA101A"/>
    <w:rsid w:val="00CA110B"/>
    <w:rsid w:val="00CA1215"/>
    <w:rsid w:val="00CA1368"/>
    <w:rsid w:val="00CA1836"/>
    <w:rsid w:val="00CA19A4"/>
    <w:rsid w:val="00CA19BD"/>
    <w:rsid w:val="00CA1AFD"/>
    <w:rsid w:val="00CA1CFC"/>
    <w:rsid w:val="00CA1DBC"/>
    <w:rsid w:val="00CA1E73"/>
    <w:rsid w:val="00CA1F06"/>
    <w:rsid w:val="00CA232B"/>
    <w:rsid w:val="00CA24F2"/>
    <w:rsid w:val="00CA25ED"/>
    <w:rsid w:val="00CA2722"/>
    <w:rsid w:val="00CA27EB"/>
    <w:rsid w:val="00CA2A3D"/>
    <w:rsid w:val="00CA2C82"/>
    <w:rsid w:val="00CA2C98"/>
    <w:rsid w:val="00CA3419"/>
    <w:rsid w:val="00CA3655"/>
    <w:rsid w:val="00CA365E"/>
    <w:rsid w:val="00CA39E9"/>
    <w:rsid w:val="00CA3BB8"/>
    <w:rsid w:val="00CA3BED"/>
    <w:rsid w:val="00CA3D20"/>
    <w:rsid w:val="00CA3D37"/>
    <w:rsid w:val="00CA3D80"/>
    <w:rsid w:val="00CA4036"/>
    <w:rsid w:val="00CA40DB"/>
    <w:rsid w:val="00CA41EA"/>
    <w:rsid w:val="00CA431E"/>
    <w:rsid w:val="00CA459E"/>
    <w:rsid w:val="00CA486B"/>
    <w:rsid w:val="00CA48FC"/>
    <w:rsid w:val="00CA49A4"/>
    <w:rsid w:val="00CA4C79"/>
    <w:rsid w:val="00CA4CEF"/>
    <w:rsid w:val="00CA4E65"/>
    <w:rsid w:val="00CA4F73"/>
    <w:rsid w:val="00CA4F95"/>
    <w:rsid w:val="00CA5039"/>
    <w:rsid w:val="00CA52CE"/>
    <w:rsid w:val="00CA54CB"/>
    <w:rsid w:val="00CA5627"/>
    <w:rsid w:val="00CA5677"/>
    <w:rsid w:val="00CA570B"/>
    <w:rsid w:val="00CA57AA"/>
    <w:rsid w:val="00CA57D0"/>
    <w:rsid w:val="00CA593A"/>
    <w:rsid w:val="00CA5982"/>
    <w:rsid w:val="00CA5CEC"/>
    <w:rsid w:val="00CA604E"/>
    <w:rsid w:val="00CA6236"/>
    <w:rsid w:val="00CA627A"/>
    <w:rsid w:val="00CA63BF"/>
    <w:rsid w:val="00CA6511"/>
    <w:rsid w:val="00CA677D"/>
    <w:rsid w:val="00CA682D"/>
    <w:rsid w:val="00CA6830"/>
    <w:rsid w:val="00CA6860"/>
    <w:rsid w:val="00CA6AC4"/>
    <w:rsid w:val="00CA7494"/>
    <w:rsid w:val="00CA7A09"/>
    <w:rsid w:val="00CA7B04"/>
    <w:rsid w:val="00CB017B"/>
    <w:rsid w:val="00CB04A4"/>
    <w:rsid w:val="00CB08DA"/>
    <w:rsid w:val="00CB09FA"/>
    <w:rsid w:val="00CB0E8D"/>
    <w:rsid w:val="00CB0EB3"/>
    <w:rsid w:val="00CB0EE7"/>
    <w:rsid w:val="00CB128B"/>
    <w:rsid w:val="00CB12A3"/>
    <w:rsid w:val="00CB16CE"/>
    <w:rsid w:val="00CB16D1"/>
    <w:rsid w:val="00CB1768"/>
    <w:rsid w:val="00CB1968"/>
    <w:rsid w:val="00CB19C7"/>
    <w:rsid w:val="00CB1B68"/>
    <w:rsid w:val="00CB1C94"/>
    <w:rsid w:val="00CB1EC4"/>
    <w:rsid w:val="00CB20E4"/>
    <w:rsid w:val="00CB2420"/>
    <w:rsid w:val="00CB2A0A"/>
    <w:rsid w:val="00CB2A83"/>
    <w:rsid w:val="00CB2CA8"/>
    <w:rsid w:val="00CB2D1B"/>
    <w:rsid w:val="00CB3097"/>
    <w:rsid w:val="00CB3346"/>
    <w:rsid w:val="00CB336D"/>
    <w:rsid w:val="00CB357B"/>
    <w:rsid w:val="00CB35D4"/>
    <w:rsid w:val="00CB3617"/>
    <w:rsid w:val="00CB36B6"/>
    <w:rsid w:val="00CB378F"/>
    <w:rsid w:val="00CB38D3"/>
    <w:rsid w:val="00CB4053"/>
    <w:rsid w:val="00CB40A5"/>
    <w:rsid w:val="00CB4197"/>
    <w:rsid w:val="00CB41F7"/>
    <w:rsid w:val="00CB46D8"/>
    <w:rsid w:val="00CB46FB"/>
    <w:rsid w:val="00CB4723"/>
    <w:rsid w:val="00CB4A07"/>
    <w:rsid w:val="00CB4ADE"/>
    <w:rsid w:val="00CB4B93"/>
    <w:rsid w:val="00CB4CCF"/>
    <w:rsid w:val="00CB504E"/>
    <w:rsid w:val="00CB516C"/>
    <w:rsid w:val="00CB51BC"/>
    <w:rsid w:val="00CB522E"/>
    <w:rsid w:val="00CB542E"/>
    <w:rsid w:val="00CB5463"/>
    <w:rsid w:val="00CB5579"/>
    <w:rsid w:val="00CB56B2"/>
    <w:rsid w:val="00CB5A74"/>
    <w:rsid w:val="00CB5B64"/>
    <w:rsid w:val="00CB5CBA"/>
    <w:rsid w:val="00CB5D5B"/>
    <w:rsid w:val="00CB5E99"/>
    <w:rsid w:val="00CB60CB"/>
    <w:rsid w:val="00CB6361"/>
    <w:rsid w:val="00CB6491"/>
    <w:rsid w:val="00CB6698"/>
    <w:rsid w:val="00CB67BD"/>
    <w:rsid w:val="00CB685A"/>
    <w:rsid w:val="00CB69B5"/>
    <w:rsid w:val="00CB6F4E"/>
    <w:rsid w:val="00CB72B9"/>
    <w:rsid w:val="00CB73C4"/>
    <w:rsid w:val="00CB75AE"/>
    <w:rsid w:val="00CB77F9"/>
    <w:rsid w:val="00CB7ECE"/>
    <w:rsid w:val="00CC0612"/>
    <w:rsid w:val="00CC071D"/>
    <w:rsid w:val="00CC08BC"/>
    <w:rsid w:val="00CC098E"/>
    <w:rsid w:val="00CC0C38"/>
    <w:rsid w:val="00CC0C46"/>
    <w:rsid w:val="00CC0CC5"/>
    <w:rsid w:val="00CC0D37"/>
    <w:rsid w:val="00CC0DA9"/>
    <w:rsid w:val="00CC1576"/>
    <w:rsid w:val="00CC18C2"/>
    <w:rsid w:val="00CC1ADD"/>
    <w:rsid w:val="00CC1B95"/>
    <w:rsid w:val="00CC1C7A"/>
    <w:rsid w:val="00CC1D43"/>
    <w:rsid w:val="00CC1EA7"/>
    <w:rsid w:val="00CC2271"/>
    <w:rsid w:val="00CC244D"/>
    <w:rsid w:val="00CC267C"/>
    <w:rsid w:val="00CC26DA"/>
    <w:rsid w:val="00CC270C"/>
    <w:rsid w:val="00CC29EF"/>
    <w:rsid w:val="00CC2B58"/>
    <w:rsid w:val="00CC2C6B"/>
    <w:rsid w:val="00CC2CE0"/>
    <w:rsid w:val="00CC3098"/>
    <w:rsid w:val="00CC33F8"/>
    <w:rsid w:val="00CC360A"/>
    <w:rsid w:val="00CC37B9"/>
    <w:rsid w:val="00CC383A"/>
    <w:rsid w:val="00CC3840"/>
    <w:rsid w:val="00CC3AFF"/>
    <w:rsid w:val="00CC3B25"/>
    <w:rsid w:val="00CC3C32"/>
    <w:rsid w:val="00CC3C7F"/>
    <w:rsid w:val="00CC3CC2"/>
    <w:rsid w:val="00CC3D50"/>
    <w:rsid w:val="00CC3F1B"/>
    <w:rsid w:val="00CC3F53"/>
    <w:rsid w:val="00CC4023"/>
    <w:rsid w:val="00CC432C"/>
    <w:rsid w:val="00CC438E"/>
    <w:rsid w:val="00CC46DE"/>
    <w:rsid w:val="00CC501F"/>
    <w:rsid w:val="00CC521D"/>
    <w:rsid w:val="00CC551B"/>
    <w:rsid w:val="00CC5561"/>
    <w:rsid w:val="00CC57B4"/>
    <w:rsid w:val="00CC5A82"/>
    <w:rsid w:val="00CC5CA9"/>
    <w:rsid w:val="00CC5F49"/>
    <w:rsid w:val="00CC67E3"/>
    <w:rsid w:val="00CC6815"/>
    <w:rsid w:val="00CC6881"/>
    <w:rsid w:val="00CC68D8"/>
    <w:rsid w:val="00CC699C"/>
    <w:rsid w:val="00CC6B0B"/>
    <w:rsid w:val="00CC6D37"/>
    <w:rsid w:val="00CC6E9A"/>
    <w:rsid w:val="00CC6F04"/>
    <w:rsid w:val="00CC7C6B"/>
    <w:rsid w:val="00CC7D00"/>
    <w:rsid w:val="00CC7D0E"/>
    <w:rsid w:val="00CC7E79"/>
    <w:rsid w:val="00CD000C"/>
    <w:rsid w:val="00CD0071"/>
    <w:rsid w:val="00CD01AE"/>
    <w:rsid w:val="00CD0273"/>
    <w:rsid w:val="00CD04E7"/>
    <w:rsid w:val="00CD05ED"/>
    <w:rsid w:val="00CD085A"/>
    <w:rsid w:val="00CD0B6F"/>
    <w:rsid w:val="00CD12CD"/>
    <w:rsid w:val="00CD13E4"/>
    <w:rsid w:val="00CD14B5"/>
    <w:rsid w:val="00CD16EA"/>
    <w:rsid w:val="00CD1821"/>
    <w:rsid w:val="00CD1DCA"/>
    <w:rsid w:val="00CD1F00"/>
    <w:rsid w:val="00CD1F37"/>
    <w:rsid w:val="00CD2127"/>
    <w:rsid w:val="00CD23B9"/>
    <w:rsid w:val="00CD23C0"/>
    <w:rsid w:val="00CD25BF"/>
    <w:rsid w:val="00CD2903"/>
    <w:rsid w:val="00CD2A49"/>
    <w:rsid w:val="00CD2CBE"/>
    <w:rsid w:val="00CD2D48"/>
    <w:rsid w:val="00CD2E23"/>
    <w:rsid w:val="00CD2FF9"/>
    <w:rsid w:val="00CD300B"/>
    <w:rsid w:val="00CD303C"/>
    <w:rsid w:val="00CD3050"/>
    <w:rsid w:val="00CD3133"/>
    <w:rsid w:val="00CD3315"/>
    <w:rsid w:val="00CD3675"/>
    <w:rsid w:val="00CD3797"/>
    <w:rsid w:val="00CD3CA4"/>
    <w:rsid w:val="00CD3D6C"/>
    <w:rsid w:val="00CD3DA7"/>
    <w:rsid w:val="00CD3F80"/>
    <w:rsid w:val="00CD431D"/>
    <w:rsid w:val="00CD4369"/>
    <w:rsid w:val="00CD45D2"/>
    <w:rsid w:val="00CD471F"/>
    <w:rsid w:val="00CD4802"/>
    <w:rsid w:val="00CD4950"/>
    <w:rsid w:val="00CD4E97"/>
    <w:rsid w:val="00CD5528"/>
    <w:rsid w:val="00CD58D7"/>
    <w:rsid w:val="00CD5E49"/>
    <w:rsid w:val="00CD6407"/>
    <w:rsid w:val="00CD6570"/>
    <w:rsid w:val="00CD66B8"/>
    <w:rsid w:val="00CD6778"/>
    <w:rsid w:val="00CD6865"/>
    <w:rsid w:val="00CD68DA"/>
    <w:rsid w:val="00CD694A"/>
    <w:rsid w:val="00CD6AD1"/>
    <w:rsid w:val="00CD6E10"/>
    <w:rsid w:val="00CD7116"/>
    <w:rsid w:val="00CD71F8"/>
    <w:rsid w:val="00CD753B"/>
    <w:rsid w:val="00CD76D4"/>
    <w:rsid w:val="00CD7B53"/>
    <w:rsid w:val="00CD7D48"/>
    <w:rsid w:val="00CD7EB9"/>
    <w:rsid w:val="00CE0D7F"/>
    <w:rsid w:val="00CE0EAE"/>
    <w:rsid w:val="00CE11F7"/>
    <w:rsid w:val="00CE1301"/>
    <w:rsid w:val="00CE13BF"/>
    <w:rsid w:val="00CE13FF"/>
    <w:rsid w:val="00CE14C8"/>
    <w:rsid w:val="00CE179B"/>
    <w:rsid w:val="00CE17B6"/>
    <w:rsid w:val="00CE1816"/>
    <w:rsid w:val="00CE1830"/>
    <w:rsid w:val="00CE19B0"/>
    <w:rsid w:val="00CE19DA"/>
    <w:rsid w:val="00CE1AD5"/>
    <w:rsid w:val="00CE1B7E"/>
    <w:rsid w:val="00CE1DE6"/>
    <w:rsid w:val="00CE20B5"/>
    <w:rsid w:val="00CE2567"/>
    <w:rsid w:val="00CE25FE"/>
    <w:rsid w:val="00CE2769"/>
    <w:rsid w:val="00CE2855"/>
    <w:rsid w:val="00CE2A45"/>
    <w:rsid w:val="00CE2BFD"/>
    <w:rsid w:val="00CE2C4A"/>
    <w:rsid w:val="00CE2F58"/>
    <w:rsid w:val="00CE2FC2"/>
    <w:rsid w:val="00CE34EF"/>
    <w:rsid w:val="00CE380D"/>
    <w:rsid w:val="00CE393C"/>
    <w:rsid w:val="00CE3A5F"/>
    <w:rsid w:val="00CE3E28"/>
    <w:rsid w:val="00CE40D1"/>
    <w:rsid w:val="00CE4368"/>
    <w:rsid w:val="00CE45AB"/>
    <w:rsid w:val="00CE4CB0"/>
    <w:rsid w:val="00CE4FF5"/>
    <w:rsid w:val="00CE5441"/>
    <w:rsid w:val="00CE55EA"/>
    <w:rsid w:val="00CE5634"/>
    <w:rsid w:val="00CE5672"/>
    <w:rsid w:val="00CE56AF"/>
    <w:rsid w:val="00CE5762"/>
    <w:rsid w:val="00CE57AB"/>
    <w:rsid w:val="00CE57C9"/>
    <w:rsid w:val="00CE5ABA"/>
    <w:rsid w:val="00CE5F6E"/>
    <w:rsid w:val="00CE606D"/>
    <w:rsid w:val="00CE6092"/>
    <w:rsid w:val="00CE61E0"/>
    <w:rsid w:val="00CE6472"/>
    <w:rsid w:val="00CE65C1"/>
    <w:rsid w:val="00CE678C"/>
    <w:rsid w:val="00CE67C9"/>
    <w:rsid w:val="00CE6858"/>
    <w:rsid w:val="00CE695D"/>
    <w:rsid w:val="00CE6D23"/>
    <w:rsid w:val="00CE7068"/>
    <w:rsid w:val="00CE707D"/>
    <w:rsid w:val="00CE7098"/>
    <w:rsid w:val="00CE71E6"/>
    <w:rsid w:val="00CE71F4"/>
    <w:rsid w:val="00CE72DD"/>
    <w:rsid w:val="00CE735A"/>
    <w:rsid w:val="00CE738C"/>
    <w:rsid w:val="00CE749A"/>
    <w:rsid w:val="00CE74EF"/>
    <w:rsid w:val="00CE7632"/>
    <w:rsid w:val="00CE7634"/>
    <w:rsid w:val="00CE778C"/>
    <w:rsid w:val="00CE7B5E"/>
    <w:rsid w:val="00CE7CA2"/>
    <w:rsid w:val="00CE7CAD"/>
    <w:rsid w:val="00CE7E98"/>
    <w:rsid w:val="00CE7EDA"/>
    <w:rsid w:val="00CE7F21"/>
    <w:rsid w:val="00CE7F3F"/>
    <w:rsid w:val="00CF03F8"/>
    <w:rsid w:val="00CF0654"/>
    <w:rsid w:val="00CF098C"/>
    <w:rsid w:val="00CF0C4B"/>
    <w:rsid w:val="00CF0FF7"/>
    <w:rsid w:val="00CF115F"/>
    <w:rsid w:val="00CF11B7"/>
    <w:rsid w:val="00CF14EB"/>
    <w:rsid w:val="00CF14F6"/>
    <w:rsid w:val="00CF16F5"/>
    <w:rsid w:val="00CF1819"/>
    <w:rsid w:val="00CF1824"/>
    <w:rsid w:val="00CF1B37"/>
    <w:rsid w:val="00CF1CF3"/>
    <w:rsid w:val="00CF1D06"/>
    <w:rsid w:val="00CF1E38"/>
    <w:rsid w:val="00CF1FAE"/>
    <w:rsid w:val="00CF2015"/>
    <w:rsid w:val="00CF2399"/>
    <w:rsid w:val="00CF23E5"/>
    <w:rsid w:val="00CF2400"/>
    <w:rsid w:val="00CF24BD"/>
    <w:rsid w:val="00CF2A6D"/>
    <w:rsid w:val="00CF3029"/>
    <w:rsid w:val="00CF31F0"/>
    <w:rsid w:val="00CF349C"/>
    <w:rsid w:val="00CF369A"/>
    <w:rsid w:val="00CF36A8"/>
    <w:rsid w:val="00CF3821"/>
    <w:rsid w:val="00CF3E26"/>
    <w:rsid w:val="00CF4255"/>
    <w:rsid w:val="00CF4300"/>
    <w:rsid w:val="00CF442A"/>
    <w:rsid w:val="00CF4577"/>
    <w:rsid w:val="00CF45E0"/>
    <w:rsid w:val="00CF4606"/>
    <w:rsid w:val="00CF4D01"/>
    <w:rsid w:val="00CF4DF3"/>
    <w:rsid w:val="00CF5268"/>
    <w:rsid w:val="00CF5A27"/>
    <w:rsid w:val="00CF5B2F"/>
    <w:rsid w:val="00CF5B47"/>
    <w:rsid w:val="00CF5B54"/>
    <w:rsid w:val="00CF5BA4"/>
    <w:rsid w:val="00CF5CB0"/>
    <w:rsid w:val="00CF606F"/>
    <w:rsid w:val="00CF6092"/>
    <w:rsid w:val="00CF60A9"/>
    <w:rsid w:val="00CF612B"/>
    <w:rsid w:val="00CF67AE"/>
    <w:rsid w:val="00CF6944"/>
    <w:rsid w:val="00CF6B24"/>
    <w:rsid w:val="00CF7299"/>
    <w:rsid w:val="00CF7473"/>
    <w:rsid w:val="00CF7995"/>
    <w:rsid w:val="00CF7A03"/>
    <w:rsid w:val="00CF7B3D"/>
    <w:rsid w:val="00CF7CF8"/>
    <w:rsid w:val="00CF7E94"/>
    <w:rsid w:val="00D001DF"/>
    <w:rsid w:val="00D004A9"/>
    <w:rsid w:val="00D0061D"/>
    <w:rsid w:val="00D007E3"/>
    <w:rsid w:val="00D00A76"/>
    <w:rsid w:val="00D00B70"/>
    <w:rsid w:val="00D00B7B"/>
    <w:rsid w:val="00D00BD8"/>
    <w:rsid w:val="00D00ECB"/>
    <w:rsid w:val="00D00FBE"/>
    <w:rsid w:val="00D012C8"/>
    <w:rsid w:val="00D015A4"/>
    <w:rsid w:val="00D016CE"/>
    <w:rsid w:val="00D01720"/>
    <w:rsid w:val="00D01896"/>
    <w:rsid w:val="00D0194D"/>
    <w:rsid w:val="00D01A9F"/>
    <w:rsid w:val="00D01ACA"/>
    <w:rsid w:val="00D01C3D"/>
    <w:rsid w:val="00D01ED2"/>
    <w:rsid w:val="00D01EE1"/>
    <w:rsid w:val="00D02173"/>
    <w:rsid w:val="00D02257"/>
    <w:rsid w:val="00D02558"/>
    <w:rsid w:val="00D02806"/>
    <w:rsid w:val="00D0286C"/>
    <w:rsid w:val="00D02B62"/>
    <w:rsid w:val="00D02B77"/>
    <w:rsid w:val="00D02BB0"/>
    <w:rsid w:val="00D02C31"/>
    <w:rsid w:val="00D02ED8"/>
    <w:rsid w:val="00D03003"/>
    <w:rsid w:val="00D03097"/>
    <w:rsid w:val="00D032A9"/>
    <w:rsid w:val="00D034CE"/>
    <w:rsid w:val="00D0355E"/>
    <w:rsid w:val="00D035B9"/>
    <w:rsid w:val="00D03714"/>
    <w:rsid w:val="00D03884"/>
    <w:rsid w:val="00D03995"/>
    <w:rsid w:val="00D03A1B"/>
    <w:rsid w:val="00D03DAA"/>
    <w:rsid w:val="00D03DF4"/>
    <w:rsid w:val="00D03EAE"/>
    <w:rsid w:val="00D03F67"/>
    <w:rsid w:val="00D03F71"/>
    <w:rsid w:val="00D04105"/>
    <w:rsid w:val="00D041D2"/>
    <w:rsid w:val="00D0427A"/>
    <w:rsid w:val="00D04765"/>
    <w:rsid w:val="00D047C7"/>
    <w:rsid w:val="00D04831"/>
    <w:rsid w:val="00D048A4"/>
    <w:rsid w:val="00D04E22"/>
    <w:rsid w:val="00D04F55"/>
    <w:rsid w:val="00D05106"/>
    <w:rsid w:val="00D05627"/>
    <w:rsid w:val="00D05748"/>
    <w:rsid w:val="00D057C9"/>
    <w:rsid w:val="00D058D3"/>
    <w:rsid w:val="00D05A12"/>
    <w:rsid w:val="00D05CB5"/>
    <w:rsid w:val="00D05D73"/>
    <w:rsid w:val="00D05D98"/>
    <w:rsid w:val="00D05DFF"/>
    <w:rsid w:val="00D05E36"/>
    <w:rsid w:val="00D0623D"/>
    <w:rsid w:val="00D0627F"/>
    <w:rsid w:val="00D06696"/>
    <w:rsid w:val="00D0673D"/>
    <w:rsid w:val="00D06926"/>
    <w:rsid w:val="00D06DAC"/>
    <w:rsid w:val="00D06E26"/>
    <w:rsid w:val="00D070CD"/>
    <w:rsid w:val="00D07152"/>
    <w:rsid w:val="00D073B9"/>
    <w:rsid w:val="00D074EC"/>
    <w:rsid w:val="00D079D9"/>
    <w:rsid w:val="00D07D77"/>
    <w:rsid w:val="00D100AC"/>
    <w:rsid w:val="00D101C1"/>
    <w:rsid w:val="00D10210"/>
    <w:rsid w:val="00D10371"/>
    <w:rsid w:val="00D10387"/>
    <w:rsid w:val="00D104CB"/>
    <w:rsid w:val="00D10657"/>
    <w:rsid w:val="00D106BF"/>
    <w:rsid w:val="00D10AF5"/>
    <w:rsid w:val="00D10C0A"/>
    <w:rsid w:val="00D10C63"/>
    <w:rsid w:val="00D10CBA"/>
    <w:rsid w:val="00D10E93"/>
    <w:rsid w:val="00D11117"/>
    <w:rsid w:val="00D111BE"/>
    <w:rsid w:val="00D112BD"/>
    <w:rsid w:val="00D116A9"/>
    <w:rsid w:val="00D117E1"/>
    <w:rsid w:val="00D11A42"/>
    <w:rsid w:val="00D11AEC"/>
    <w:rsid w:val="00D11B75"/>
    <w:rsid w:val="00D11E52"/>
    <w:rsid w:val="00D11EE1"/>
    <w:rsid w:val="00D1202C"/>
    <w:rsid w:val="00D12033"/>
    <w:rsid w:val="00D120EF"/>
    <w:rsid w:val="00D12224"/>
    <w:rsid w:val="00D126C5"/>
    <w:rsid w:val="00D12714"/>
    <w:rsid w:val="00D128CF"/>
    <w:rsid w:val="00D12941"/>
    <w:rsid w:val="00D12954"/>
    <w:rsid w:val="00D12985"/>
    <w:rsid w:val="00D12BEF"/>
    <w:rsid w:val="00D12CC5"/>
    <w:rsid w:val="00D12CE4"/>
    <w:rsid w:val="00D12D03"/>
    <w:rsid w:val="00D13094"/>
    <w:rsid w:val="00D137DC"/>
    <w:rsid w:val="00D1385A"/>
    <w:rsid w:val="00D13E4D"/>
    <w:rsid w:val="00D1403B"/>
    <w:rsid w:val="00D14078"/>
    <w:rsid w:val="00D140B1"/>
    <w:rsid w:val="00D14279"/>
    <w:rsid w:val="00D14321"/>
    <w:rsid w:val="00D14694"/>
    <w:rsid w:val="00D147CC"/>
    <w:rsid w:val="00D14933"/>
    <w:rsid w:val="00D14951"/>
    <w:rsid w:val="00D14B9A"/>
    <w:rsid w:val="00D14BB1"/>
    <w:rsid w:val="00D15342"/>
    <w:rsid w:val="00D15412"/>
    <w:rsid w:val="00D157EF"/>
    <w:rsid w:val="00D1581E"/>
    <w:rsid w:val="00D158E9"/>
    <w:rsid w:val="00D159FF"/>
    <w:rsid w:val="00D15B84"/>
    <w:rsid w:val="00D15C6F"/>
    <w:rsid w:val="00D15D97"/>
    <w:rsid w:val="00D15E62"/>
    <w:rsid w:val="00D160A4"/>
    <w:rsid w:val="00D16292"/>
    <w:rsid w:val="00D1648D"/>
    <w:rsid w:val="00D167BD"/>
    <w:rsid w:val="00D16880"/>
    <w:rsid w:val="00D168B8"/>
    <w:rsid w:val="00D168BF"/>
    <w:rsid w:val="00D169FA"/>
    <w:rsid w:val="00D16A0E"/>
    <w:rsid w:val="00D16A1C"/>
    <w:rsid w:val="00D16B0C"/>
    <w:rsid w:val="00D16C36"/>
    <w:rsid w:val="00D1700D"/>
    <w:rsid w:val="00D170CF"/>
    <w:rsid w:val="00D17436"/>
    <w:rsid w:val="00D17471"/>
    <w:rsid w:val="00D174E1"/>
    <w:rsid w:val="00D17770"/>
    <w:rsid w:val="00D17D22"/>
    <w:rsid w:val="00D17E6E"/>
    <w:rsid w:val="00D17FC7"/>
    <w:rsid w:val="00D200D1"/>
    <w:rsid w:val="00D202E3"/>
    <w:rsid w:val="00D204E9"/>
    <w:rsid w:val="00D20992"/>
    <w:rsid w:val="00D20A38"/>
    <w:rsid w:val="00D213A6"/>
    <w:rsid w:val="00D213C5"/>
    <w:rsid w:val="00D2161C"/>
    <w:rsid w:val="00D21B42"/>
    <w:rsid w:val="00D21DEA"/>
    <w:rsid w:val="00D21F0B"/>
    <w:rsid w:val="00D222C8"/>
    <w:rsid w:val="00D222F8"/>
    <w:rsid w:val="00D223F8"/>
    <w:rsid w:val="00D2243F"/>
    <w:rsid w:val="00D22503"/>
    <w:rsid w:val="00D227ED"/>
    <w:rsid w:val="00D22C61"/>
    <w:rsid w:val="00D23106"/>
    <w:rsid w:val="00D23113"/>
    <w:rsid w:val="00D2317D"/>
    <w:rsid w:val="00D23242"/>
    <w:rsid w:val="00D2368D"/>
    <w:rsid w:val="00D24240"/>
    <w:rsid w:val="00D24241"/>
    <w:rsid w:val="00D24617"/>
    <w:rsid w:val="00D248F9"/>
    <w:rsid w:val="00D249AA"/>
    <w:rsid w:val="00D249FC"/>
    <w:rsid w:val="00D24B28"/>
    <w:rsid w:val="00D24B48"/>
    <w:rsid w:val="00D24D02"/>
    <w:rsid w:val="00D24D68"/>
    <w:rsid w:val="00D24EB6"/>
    <w:rsid w:val="00D24EEF"/>
    <w:rsid w:val="00D24F66"/>
    <w:rsid w:val="00D24FC5"/>
    <w:rsid w:val="00D2537E"/>
    <w:rsid w:val="00D255B0"/>
    <w:rsid w:val="00D256E7"/>
    <w:rsid w:val="00D25778"/>
    <w:rsid w:val="00D258D0"/>
    <w:rsid w:val="00D2592B"/>
    <w:rsid w:val="00D25C14"/>
    <w:rsid w:val="00D25D03"/>
    <w:rsid w:val="00D25E0D"/>
    <w:rsid w:val="00D25F95"/>
    <w:rsid w:val="00D2618A"/>
    <w:rsid w:val="00D2622E"/>
    <w:rsid w:val="00D26349"/>
    <w:rsid w:val="00D2666C"/>
    <w:rsid w:val="00D26DD3"/>
    <w:rsid w:val="00D26F9F"/>
    <w:rsid w:val="00D27598"/>
    <w:rsid w:val="00D2769A"/>
    <w:rsid w:val="00D27A3D"/>
    <w:rsid w:val="00D27C0E"/>
    <w:rsid w:val="00D27E16"/>
    <w:rsid w:val="00D27E72"/>
    <w:rsid w:val="00D27EE7"/>
    <w:rsid w:val="00D30176"/>
    <w:rsid w:val="00D30A4C"/>
    <w:rsid w:val="00D30B1F"/>
    <w:rsid w:val="00D30C64"/>
    <w:rsid w:val="00D30C97"/>
    <w:rsid w:val="00D30FB2"/>
    <w:rsid w:val="00D313F5"/>
    <w:rsid w:val="00D314A6"/>
    <w:rsid w:val="00D31F21"/>
    <w:rsid w:val="00D3231E"/>
    <w:rsid w:val="00D32398"/>
    <w:rsid w:val="00D325B3"/>
    <w:rsid w:val="00D326F3"/>
    <w:rsid w:val="00D328EF"/>
    <w:rsid w:val="00D3291B"/>
    <w:rsid w:val="00D32C79"/>
    <w:rsid w:val="00D32D1A"/>
    <w:rsid w:val="00D33065"/>
    <w:rsid w:val="00D330C9"/>
    <w:rsid w:val="00D33248"/>
    <w:rsid w:val="00D334D0"/>
    <w:rsid w:val="00D3389E"/>
    <w:rsid w:val="00D3391E"/>
    <w:rsid w:val="00D341C6"/>
    <w:rsid w:val="00D341D1"/>
    <w:rsid w:val="00D34369"/>
    <w:rsid w:val="00D34371"/>
    <w:rsid w:val="00D344AD"/>
    <w:rsid w:val="00D34852"/>
    <w:rsid w:val="00D3490F"/>
    <w:rsid w:val="00D34CAF"/>
    <w:rsid w:val="00D35230"/>
    <w:rsid w:val="00D353F8"/>
    <w:rsid w:val="00D359E3"/>
    <w:rsid w:val="00D35B69"/>
    <w:rsid w:val="00D35E2F"/>
    <w:rsid w:val="00D36312"/>
    <w:rsid w:val="00D36956"/>
    <w:rsid w:val="00D36A42"/>
    <w:rsid w:val="00D36A55"/>
    <w:rsid w:val="00D36C1A"/>
    <w:rsid w:val="00D37251"/>
    <w:rsid w:val="00D37300"/>
    <w:rsid w:val="00D37305"/>
    <w:rsid w:val="00D37321"/>
    <w:rsid w:val="00D375EB"/>
    <w:rsid w:val="00D37688"/>
    <w:rsid w:val="00D37808"/>
    <w:rsid w:val="00D3786F"/>
    <w:rsid w:val="00D378FA"/>
    <w:rsid w:val="00D379A1"/>
    <w:rsid w:val="00D37B1C"/>
    <w:rsid w:val="00D37B1F"/>
    <w:rsid w:val="00D37BCF"/>
    <w:rsid w:val="00D37D33"/>
    <w:rsid w:val="00D37ED4"/>
    <w:rsid w:val="00D37F23"/>
    <w:rsid w:val="00D37FE2"/>
    <w:rsid w:val="00D40012"/>
    <w:rsid w:val="00D403C0"/>
    <w:rsid w:val="00D405C6"/>
    <w:rsid w:val="00D407D2"/>
    <w:rsid w:val="00D409E6"/>
    <w:rsid w:val="00D40C56"/>
    <w:rsid w:val="00D40DE9"/>
    <w:rsid w:val="00D40FD5"/>
    <w:rsid w:val="00D410FF"/>
    <w:rsid w:val="00D412E0"/>
    <w:rsid w:val="00D41404"/>
    <w:rsid w:val="00D4147A"/>
    <w:rsid w:val="00D4147C"/>
    <w:rsid w:val="00D415BE"/>
    <w:rsid w:val="00D4192F"/>
    <w:rsid w:val="00D41AA5"/>
    <w:rsid w:val="00D41DBB"/>
    <w:rsid w:val="00D41DDC"/>
    <w:rsid w:val="00D41DF8"/>
    <w:rsid w:val="00D41FF3"/>
    <w:rsid w:val="00D42027"/>
    <w:rsid w:val="00D422A2"/>
    <w:rsid w:val="00D4244F"/>
    <w:rsid w:val="00D42755"/>
    <w:rsid w:val="00D428A7"/>
    <w:rsid w:val="00D42C51"/>
    <w:rsid w:val="00D42FF7"/>
    <w:rsid w:val="00D430B3"/>
    <w:rsid w:val="00D43368"/>
    <w:rsid w:val="00D4355F"/>
    <w:rsid w:val="00D43598"/>
    <w:rsid w:val="00D43659"/>
    <w:rsid w:val="00D43678"/>
    <w:rsid w:val="00D436A2"/>
    <w:rsid w:val="00D436D2"/>
    <w:rsid w:val="00D437EF"/>
    <w:rsid w:val="00D43A97"/>
    <w:rsid w:val="00D43AF5"/>
    <w:rsid w:val="00D43DF3"/>
    <w:rsid w:val="00D44565"/>
    <w:rsid w:val="00D44705"/>
    <w:rsid w:val="00D447DA"/>
    <w:rsid w:val="00D44879"/>
    <w:rsid w:val="00D44B01"/>
    <w:rsid w:val="00D44CC9"/>
    <w:rsid w:val="00D4579B"/>
    <w:rsid w:val="00D457F3"/>
    <w:rsid w:val="00D45933"/>
    <w:rsid w:val="00D45A0F"/>
    <w:rsid w:val="00D45BDB"/>
    <w:rsid w:val="00D45C5A"/>
    <w:rsid w:val="00D45F2F"/>
    <w:rsid w:val="00D45FA6"/>
    <w:rsid w:val="00D46009"/>
    <w:rsid w:val="00D4623D"/>
    <w:rsid w:val="00D46337"/>
    <w:rsid w:val="00D46752"/>
    <w:rsid w:val="00D46CDE"/>
    <w:rsid w:val="00D46CE9"/>
    <w:rsid w:val="00D46F5A"/>
    <w:rsid w:val="00D46FC7"/>
    <w:rsid w:val="00D470A0"/>
    <w:rsid w:val="00D47281"/>
    <w:rsid w:val="00D47362"/>
    <w:rsid w:val="00D4744D"/>
    <w:rsid w:val="00D474AF"/>
    <w:rsid w:val="00D478FA"/>
    <w:rsid w:val="00D500BD"/>
    <w:rsid w:val="00D5054A"/>
    <w:rsid w:val="00D50713"/>
    <w:rsid w:val="00D5074E"/>
    <w:rsid w:val="00D50757"/>
    <w:rsid w:val="00D507BE"/>
    <w:rsid w:val="00D50947"/>
    <w:rsid w:val="00D50DFA"/>
    <w:rsid w:val="00D50E1F"/>
    <w:rsid w:val="00D50F27"/>
    <w:rsid w:val="00D50F63"/>
    <w:rsid w:val="00D51266"/>
    <w:rsid w:val="00D513A0"/>
    <w:rsid w:val="00D51575"/>
    <w:rsid w:val="00D51659"/>
    <w:rsid w:val="00D516E5"/>
    <w:rsid w:val="00D519D3"/>
    <w:rsid w:val="00D5251A"/>
    <w:rsid w:val="00D52606"/>
    <w:rsid w:val="00D53219"/>
    <w:rsid w:val="00D53826"/>
    <w:rsid w:val="00D538C3"/>
    <w:rsid w:val="00D53927"/>
    <w:rsid w:val="00D539C3"/>
    <w:rsid w:val="00D53C0A"/>
    <w:rsid w:val="00D53D3C"/>
    <w:rsid w:val="00D54350"/>
    <w:rsid w:val="00D5443F"/>
    <w:rsid w:val="00D546EA"/>
    <w:rsid w:val="00D547AA"/>
    <w:rsid w:val="00D5480E"/>
    <w:rsid w:val="00D54868"/>
    <w:rsid w:val="00D54A3F"/>
    <w:rsid w:val="00D54B80"/>
    <w:rsid w:val="00D54DED"/>
    <w:rsid w:val="00D54E9F"/>
    <w:rsid w:val="00D5536E"/>
    <w:rsid w:val="00D55527"/>
    <w:rsid w:val="00D55788"/>
    <w:rsid w:val="00D559D4"/>
    <w:rsid w:val="00D55FCF"/>
    <w:rsid w:val="00D560C2"/>
    <w:rsid w:val="00D563A1"/>
    <w:rsid w:val="00D56701"/>
    <w:rsid w:val="00D568D5"/>
    <w:rsid w:val="00D56BA4"/>
    <w:rsid w:val="00D56C8C"/>
    <w:rsid w:val="00D56DAD"/>
    <w:rsid w:val="00D56F94"/>
    <w:rsid w:val="00D570A3"/>
    <w:rsid w:val="00D57248"/>
    <w:rsid w:val="00D573DB"/>
    <w:rsid w:val="00D57656"/>
    <w:rsid w:val="00D578A6"/>
    <w:rsid w:val="00D5790F"/>
    <w:rsid w:val="00D57C9A"/>
    <w:rsid w:val="00D57D55"/>
    <w:rsid w:val="00D57F46"/>
    <w:rsid w:val="00D57FA2"/>
    <w:rsid w:val="00D57FF3"/>
    <w:rsid w:val="00D601AC"/>
    <w:rsid w:val="00D60212"/>
    <w:rsid w:val="00D602A3"/>
    <w:rsid w:val="00D602D8"/>
    <w:rsid w:val="00D603FD"/>
    <w:rsid w:val="00D60425"/>
    <w:rsid w:val="00D607C4"/>
    <w:rsid w:val="00D60EFD"/>
    <w:rsid w:val="00D60F85"/>
    <w:rsid w:val="00D611D9"/>
    <w:rsid w:val="00D61676"/>
    <w:rsid w:val="00D61755"/>
    <w:rsid w:val="00D620D4"/>
    <w:rsid w:val="00D623A4"/>
    <w:rsid w:val="00D62551"/>
    <w:rsid w:val="00D626F1"/>
    <w:rsid w:val="00D62749"/>
    <w:rsid w:val="00D627B8"/>
    <w:rsid w:val="00D6281B"/>
    <w:rsid w:val="00D6296E"/>
    <w:rsid w:val="00D62A48"/>
    <w:rsid w:val="00D62D56"/>
    <w:rsid w:val="00D6322A"/>
    <w:rsid w:val="00D63251"/>
    <w:rsid w:val="00D6329C"/>
    <w:rsid w:val="00D632E4"/>
    <w:rsid w:val="00D63636"/>
    <w:rsid w:val="00D63A57"/>
    <w:rsid w:val="00D63AD8"/>
    <w:rsid w:val="00D63B29"/>
    <w:rsid w:val="00D63B58"/>
    <w:rsid w:val="00D63E9B"/>
    <w:rsid w:val="00D63EA9"/>
    <w:rsid w:val="00D64112"/>
    <w:rsid w:val="00D641B5"/>
    <w:rsid w:val="00D641DB"/>
    <w:rsid w:val="00D64278"/>
    <w:rsid w:val="00D64517"/>
    <w:rsid w:val="00D64F9A"/>
    <w:rsid w:val="00D64FD7"/>
    <w:rsid w:val="00D65007"/>
    <w:rsid w:val="00D6539E"/>
    <w:rsid w:val="00D653E3"/>
    <w:rsid w:val="00D65CF0"/>
    <w:rsid w:val="00D65D0F"/>
    <w:rsid w:val="00D662F0"/>
    <w:rsid w:val="00D663D3"/>
    <w:rsid w:val="00D666E5"/>
    <w:rsid w:val="00D668EE"/>
    <w:rsid w:val="00D669C0"/>
    <w:rsid w:val="00D66C75"/>
    <w:rsid w:val="00D66F2F"/>
    <w:rsid w:val="00D66FE0"/>
    <w:rsid w:val="00D67158"/>
    <w:rsid w:val="00D671C9"/>
    <w:rsid w:val="00D671DB"/>
    <w:rsid w:val="00D677D8"/>
    <w:rsid w:val="00D6791E"/>
    <w:rsid w:val="00D67C8C"/>
    <w:rsid w:val="00D7013B"/>
    <w:rsid w:val="00D7041E"/>
    <w:rsid w:val="00D70472"/>
    <w:rsid w:val="00D70F91"/>
    <w:rsid w:val="00D7104C"/>
    <w:rsid w:val="00D711D2"/>
    <w:rsid w:val="00D71483"/>
    <w:rsid w:val="00D7148F"/>
    <w:rsid w:val="00D71511"/>
    <w:rsid w:val="00D7170C"/>
    <w:rsid w:val="00D717F9"/>
    <w:rsid w:val="00D719FF"/>
    <w:rsid w:val="00D71B28"/>
    <w:rsid w:val="00D71C2B"/>
    <w:rsid w:val="00D71C7D"/>
    <w:rsid w:val="00D72205"/>
    <w:rsid w:val="00D722DE"/>
    <w:rsid w:val="00D723FB"/>
    <w:rsid w:val="00D72D47"/>
    <w:rsid w:val="00D72DA6"/>
    <w:rsid w:val="00D72EEC"/>
    <w:rsid w:val="00D72FE7"/>
    <w:rsid w:val="00D7322B"/>
    <w:rsid w:val="00D7323F"/>
    <w:rsid w:val="00D73294"/>
    <w:rsid w:val="00D73398"/>
    <w:rsid w:val="00D73445"/>
    <w:rsid w:val="00D73501"/>
    <w:rsid w:val="00D73757"/>
    <w:rsid w:val="00D739CE"/>
    <w:rsid w:val="00D73AF4"/>
    <w:rsid w:val="00D73DE1"/>
    <w:rsid w:val="00D7410A"/>
    <w:rsid w:val="00D74527"/>
    <w:rsid w:val="00D74736"/>
    <w:rsid w:val="00D74933"/>
    <w:rsid w:val="00D74B4B"/>
    <w:rsid w:val="00D74D2B"/>
    <w:rsid w:val="00D75284"/>
    <w:rsid w:val="00D75530"/>
    <w:rsid w:val="00D75570"/>
    <w:rsid w:val="00D755AD"/>
    <w:rsid w:val="00D755FC"/>
    <w:rsid w:val="00D758AF"/>
    <w:rsid w:val="00D75B19"/>
    <w:rsid w:val="00D75BDC"/>
    <w:rsid w:val="00D75C1E"/>
    <w:rsid w:val="00D75E53"/>
    <w:rsid w:val="00D75FB6"/>
    <w:rsid w:val="00D760D4"/>
    <w:rsid w:val="00D7659A"/>
    <w:rsid w:val="00D766A6"/>
    <w:rsid w:val="00D76703"/>
    <w:rsid w:val="00D767C2"/>
    <w:rsid w:val="00D7694D"/>
    <w:rsid w:val="00D76B59"/>
    <w:rsid w:val="00D76B61"/>
    <w:rsid w:val="00D76C0F"/>
    <w:rsid w:val="00D76D36"/>
    <w:rsid w:val="00D76E8D"/>
    <w:rsid w:val="00D76FBA"/>
    <w:rsid w:val="00D77623"/>
    <w:rsid w:val="00D77A94"/>
    <w:rsid w:val="00D8009E"/>
    <w:rsid w:val="00D802A7"/>
    <w:rsid w:val="00D804D4"/>
    <w:rsid w:val="00D80AEE"/>
    <w:rsid w:val="00D80EFA"/>
    <w:rsid w:val="00D811BE"/>
    <w:rsid w:val="00D81515"/>
    <w:rsid w:val="00D8174F"/>
    <w:rsid w:val="00D81B0E"/>
    <w:rsid w:val="00D81B34"/>
    <w:rsid w:val="00D81B55"/>
    <w:rsid w:val="00D81BAE"/>
    <w:rsid w:val="00D81D07"/>
    <w:rsid w:val="00D822ED"/>
    <w:rsid w:val="00D824C1"/>
    <w:rsid w:val="00D826F2"/>
    <w:rsid w:val="00D82CC6"/>
    <w:rsid w:val="00D83092"/>
    <w:rsid w:val="00D830F7"/>
    <w:rsid w:val="00D834F8"/>
    <w:rsid w:val="00D83645"/>
    <w:rsid w:val="00D838B0"/>
    <w:rsid w:val="00D83904"/>
    <w:rsid w:val="00D839C5"/>
    <w:rsid w:val="00D83B64"/>
    <w:rsid w:val="00D83E03"/>
    <w:rsid w:val="00D84093"/>
    <w:rsid w:val="00D84095"/>
    <w:rsid w:val="00D840E0"/>
    <w:rsid w:val="00D84196"/>
    <w:rsid w:val="00D8420D"/>
    <w:rsid w:val="00D84308"/>
    <w:rsid w:val="00D84419"/>
    <w:rsid w:val="00D84791"/>
    <w:rsid w:val="00D847E4"/>
    <w:rsid w:val="00D847F4"/>
    <w:rsid w:val="00D84DA0"/>
    <w:rsid w:val="00D855AB"/>
    <w:rsid w:val="00D85687"/>
    <w:rsid w:val="00D8579A"/>
    <w:rsid w:val="00D8595B"/>
    <w:rsid w:val="00D85ED7"/>
    <w:rsid w:val="00D861BD"/>
    <w:rsid w:val="00D8672B"/>
    <w:rsid w:val="00D8682C"/>
    <w:rsid w:val="00D869FE"/>
    <w:rsid w:val="00D86A4D"/>
    <w:rsid w:val="00D86A6B"/>
    <w:rsid w:val="00D86CA8"/>
    <w:rsid w:val="00D86E5C"/>
    <w:rsid w:val="00D86EF9"/>
    <w:rsid w:val="00D87159"/>
    <w:rsid w:val="00D8717A"/>
    <w:rsid w:val="00D87618"/>
    <w:rsid w:val="00D8781C"/>
    <w:rsid w:val="00D87966"/>
    <w:rsid w:val="00D87BA6"/>
    <w:rsid w:val="00D87CA8"/>
    <w:rsid w:val="00D87EBE"/>
    <w:rsid w:val="00D90233"/>
    <w:rsid w:val="00D9046D"/>
    <w:rsid w:val="00D904C1"/>
    <w:rsid w:val="00D90924"/>
    <w:rsid w:val="00D90DC3"/>
    <w:rsid w:val="00D910EF"/>
    <w:rsid w:val="00D91201"/>
    <w:rsid w:val="00D91309"/>
    <w:rsid w:val="00D91359"/>
    <w:rsid w:val="00D9148C"/>
    <w:rsid w:val="00D91751"/>
    <w:rsid w:val="00D91C51"/>
    <w:rsid w:val="00D91C77"/>
    <w:rsid w:val="00D91D98"/>
    <w:rsid w:val="00D91DFA"/>
    <w:rsid w:val="00D91E1C"/>
    <w:rsid w:val="00D91EE0"/>
    <w:rsid w:val="00D91F4E"/>
    <w:rsid w:val="00D92246"/>
    <w:rsid w:val="00D9244C"/>
    <w:rsid w:val="00D9279E"/>
    <w:rsid w:val="00D92863"/>
    <w:rsid w:val="00D928BF"/>
    <w:rsid w:val="00D9295F"/>
    <w:rsid w:val="00D929F2"/>
    <w:rsid w:val="00D92A46"/>
    <w:rsid w:val="00D92F3C"/>
    <w:rsid w:val="00D934CC"/>
    <w:rsid w:val="00D93FAC"/>
    <w:rsid w:val="00D942FA"/>
    <w:rsid w:val="00D94515"/>
    <w:rsid w:val="00D9479F"/>
    <w:rsid w:val="00D94B97"/>
    <w:rsid w:val="00D94D79"/>
    <w:rsid w:val="00D94E3E"/>
    <w:rsid w:val="00D94F11"/>
    <w:rsid w:val="00D94F74"/>
    <w:rsid w:val="00D95035"/>
    <w:rsid w:val="00D950AB"/>
    <w:rsid w:val="00D9525D"/>
    <w:rsid w:val="00D952A8"/>
    <w:rsid w:val="00D95315"/>
    <w:rsid w:val="00D95597"/>
    <w:rsid w:val="00D95DB4"/>
    <w:rsid w:val="00D9611E"/>
    <w:rsid w:val="00D96359"/>
    <w:rsid w:val="00D96612"/>
    <w:rsid w:val="00D9692F"/>
    <w:rsid w:val="00D96965"/>
    <w:rsid w:val="00D96A01"/>
    <w:rsid w:val="00D97099"/>
    <w:rsid w:val="00D97257"/>
    <w:rsid w:val="00D972C1"/>
    <w:rsid w:val="00D97485"/>
    <w:rsid w:val="00D97492"/>
    <w:rsid w:val="00D97542"/>
    <w:rsid w:val="00D975B8"/>
    <w:rsid w:val="00D97647"/>
    <w:rsid w:val="00D977EB"/>
    <w:rsid w:val="00D978B6"/>
    <w:rsid w:val="00D979D2"/>
    <w:rsid w:val="00D97B38"/>
    <w:rsid w:val="00D97D06"/>
    <w:rsid w:val="00D97D49"/>
    <w:rsid w:val="00D97E1B"/>
    <w:rsid w:val="00D97E8D"/>
    <w:rsid w:val="00D97F44"/>
    <w:rsid w:val="00DA0181"/>
    <w:rsid w:val="00DA0811"/>
    <w:rsid w:val="00DA08AA"/>
    <w:rsid w:val="00DA0A3A"/>
    <w:rsid w:val="00DA0B55"/>
    <w:rsid w:val="00DA0D0D"/>
    <w:rsid w:val="00DA113C"/>
    <w:rsid w:val="00DA1606"/>
    <w:rsid w:val="00DA1608"/>
    <w:rsid w:val="00DA1676"/>
    <w:rsid w:val="00DA19A0"/>
    <w:rsid w:val="00DA1BB4"/>
    <w:rsid w:val="00DA233F"/>
    <w:rsid w:val="00DA2714"/>
    <w:rsid w:val="00DA2750"/>
    <w:rsid w:val="00DA2820"/>
    <w:rsid w:val="00DA286F"/>
    <w:rsid w:val="00DA2970"/>
    <w:rsid w:val="00DA29CA"/>
    <w:rsid w:val="00DA2DB6"/>
    <w:rsid w:val="00DA2FEA"/>
    <w:rsid w:val="00DA31A1"/>
    <w:rsid w:val="00DA32F3"/>
    <w:rsid w:val="00DA33AF"/>
    <w:rsid w:val="00DA3402"/>
    <w:rsid w:val="00DA3589"/>
    <w:rsid w:val="00DA368E"/>
    <w:rsid w:val="00DA36F3"/>
    <w:rsid w:val="00DA37B6"/>
    <w:rsid w:val="00DA39CD"/>
    <w:rsid w:val="00DA3A0F"/>
    <w:rsid w:val="00DA3A6F"/>
    <w:rsid w:val="00DA3AFB"/>
    <w:rsid w:val="00DA3B95"/>
    <w:rsid w:val="00DA3D91"/>
    <w:rsid w:val="00DA4277"/>
    <w:rsid w:val="00DA4416"/>
    <w:rsid w:val="00DA468D"/>
    <w:rsid w:val="00DA4740"/>
    <w:rsid w:val="00DA4908"/>
    <w:rsid w:val="00DA4BF2"/>
    <w:rsid w:val="00DA4F8D"/>
    <w:rsid w:val="00DA534F"/>
    <w:rsid w:val="00DA53B8"/>
    <w:rsid w:val="00DA5448"/>
    <w:rsid w:val="00DA5558"/>
    <w:rsid w:val="00DA5634"/>
    <w:rsid w:val="00DA5672"/>
    <w:rsid w:val="00DA5FC6"/>
    <w:rsid w:val="00DA605B"/>
    <w:rsid w:val="00DA60A4"/>
    <w:rsid w:val="00DA60B1"/>
    <w:rsid w:val="00DA6184"/>
    <w:rsid w:val="00DA63A2"/>
    <w:rsid w:val="00DA664A"/>
    <w:rsid w:val="00DA66D1"/>
    <w:rsid w:val="00DA6E32"/>
    <w:rsid w:val="00DA6F36"/>
    <w:rsid w:val="00DA6F4E"/>
    <w:rsid w:val="00DA71B1"/>
    <w:rsid w:val="00DA7235"/>
    <w:rsid w:val="00DA7258"/>
    <w:rsid w:val="00DA7380"/>
    <w:rsid w:val="00DA76FB"/>
    <w:rsid w:val="00DA7706"/>
    <w:rsid w:val="00DA78DF"/>
    <w:rsid w:val="00DA7AB4"/>
    <w:rsid w:val="00DA7CE4"/>
    <w:rsid w:val="00DA7D0A"/>
    <w:rsid w:val="00DA7E51"/>
    <w:rsid w:val="00DA7F95"/>
    <w:rsid w:val="00DB02C1"/>
    <w:rsid w:val="00DB032F"/>
    <w:rsid w:val="00DB040F"/>
    <w:rsid w:val="00DB0559"/>
    <w:rsid w:val="00DB056F"/>
    <w:rsid w:val="00DB05A5"/>
    <w:rsid w:val="00DB05B7"/>
    <w:rsid w:val="00DB0AC1"/>
    <w:rsid w:val="00DB0AE4"/>
    <w:rsid w:val="00DB0DAF"/>
    <w:rsid w:val="00DB0E03"/>
    <w:rsid w:val="00DB124F"/>
    <w:rsid w:val="00DB172A"/>
    <w:rsid w:val="00DB179F"/>
    <w:rsid w:val="00DB17AD"/>
    <w:rsid w:val="00DB1816"/>
    <w:rsid w:val="00DB1C37"/>
    <w:rsid w:val="00DB1E9C"/>
    <w:rsid w:val="00DB1F29"/>
    <w:rsid w:val="00DB2058"/>
    <w:rsid w:val="00DB2167"/>
    <w:rsid w:val="00DB236B"/>
    <w:rsid w:val="00DB247C"/>
    <w:rsid w:val="00DB2798"/>
    <w:rsid w:val="00DB27D3"/>
    <w:rsid w:val="00DB2E24"/>
    <w:rsid w:val="00DB3016"/>
    <w:rsid w:val="00DB3240"/>
    <w:rsid w:val="00DB36B6"/>
    <w:rsid w:val="00DB37C5"/>
    <w:rsid w:val="00DB38A2"/>
    <w:rsid w:val="00DB3C6F"/>
    <w:rsid w:val="00DB3E2A"/>
    <w:rsid w:val="00DB4399"/>
    <w:rsid w:val="00DB4491"/>
    <w:rsid w:val="00DB472C"/>
    <w:rsid w:val="00DB4D6E"/>
    <w:rsid w:val="00DB4D8D"/>
    <w:rsid w:val="00DB4DCB"/>
    <w:rsid w:val="00DB4E97"/>
    <w:rsid w:val="00DB4EA1"/>
    <w:rsid w:val="00DB4FA6"/>
    <w:rsid w:val="00DB5024"/>
    <w:rsid w:val="00DB522D"/>
    <w:rsid w:val="00DB5D9F"/>
    <w:rsid w:val="00DB5F3B"/>
    <w:rsid w:val="00DB5FDB"/>
    <w:rsid w:val="00DB605D"/>
    <w:rsid w:val="00DB6255"/>
    <w:rsid w:val="00DB64B6"/>
    <w:rsid w:val="00DB6908"/>
    <w:rsid w:val="00DB6A31"/>
    <w:rsid w:val="00DB6EC6"/>
    <w:rsid w:val="00DB6F69"/>
    <w:rsid w:val="00DB708D"/>
    <w:rsid w:val="00DB70A8"/>
    <w:rsid w:val="00DB7455"/>
    <w:rsid w:val="00DB7503"/>
    <w:rsid w:val="00DB7624"/>
    <w:rsid w:val="00DB76F8"/>
    <w:rsid w:val="00DB7850"/>
    <w:rsid w:val="00DB7CD0"/>
    <w:rsid w:val="00DB7D6B"/>
    <w:rsid w:val="00DB7E7A"/>
    <w:rsid w:val="00DC0016"/>
    <w:rsid w:val="00DC00C8"/>
    <w:rsid w:val="00DC0489"/>
    <w:rsid w:val="00DC058F"/>
    <w:rsid w:val="00DC0671"/>
    <w:rsid w:val="00DC078A"/>
    <w:rsid w:val="00DC0AAF"/>
    <w:rsid w:val="00DC0B2B"/>
    <w:rsid w:val="00DC0F9F"/>
    <w:rsid w:val="00DC13A8"/>
    <w:rsid w:val="00DC13E6"/>
    <w:rsid w:val="00DC174F"/>
    <w:rsid w:val="00DC17DE"/>
    <w:rsid w:val="00DC181E"/>
    <w:rsid w:val="00DC1BBC"/>
    <w:rsid w:val="00DC1BE0"/>
    <w:rsid w:val="00DC1EB8"/>
    <w:rsid w:val="00DC20F8"/>
    <w:rsid w:val="00DC28EE"/>
    <w:rsid w:val="00DC2C44"/>
    <w:rsid w:val="00DC2E04"/>
    <w:rsid w:val="00DC2E26"/>
    <w:rsid w:val="00DC2E48"/>
    <w:rsid w:val="00DC2FB5"/>
    <w:rsid w:val="00DC2FCE"/>
    <w:rsid w:val="00DC3546"/>
    <w:rsid w:val="00DC359F"/>
    <w:rsid w:val="00DC3626"/>
    <w:rsid w:val="00DC3636"/>
    <w:rsid w:val="00DC3681"/>
    <w:rsid w:val="00DC3A0C"/>
    <w:rsid w:val="00DC3EC0"/>
    <w:rsid w:val="00DC3F05"/>
    <w:rsid w:val="00DC43E3"/>
    <w:rsid w:val="00DC44EB"/>
    <w:rsid w:val="00DC4617"/>
    <w:rsid w:val="00DC46A2"/>
    <w:rsid w:val="00DC4860"/>
    <w:rsid w:val="00DC4C35"/>
    <w:rsid w:val="00DC4E55"/>
    <w:rsid w:val="00DC52B9"/>
    <w:rsid w:val="00DC5784"/>
    <w:rsid w:val="00DC57B4"/>
    <w:rsid w:val="00DC5975"/>
    <w:rsid w:val="00DC5C22"/>
    <w:rsid w:val="00DC5D3D"/>
    <w:rsid w:val="00DC628E"/>
    <w:rsid w:val="00DC6747"/>
    <w:rsid w:val="00DC69E9"/>
    <w:rsid w:val="00DC6A3B"/>
    <w:rsid w:val="00DC6AF6"/>
    <w:rsid w:val="00DC6D16"/>
    <w:rsid w:val="00DC6DF6"/>
    <w:rsid w:val="00DC6F81"/>
    <w:rsid w:val="00DC6F89"/>
    <w:rsid w:val="00DC710A"/>
    <w:rsid w:val="00DC716F"/>
    <w:rsid w:val="00DC72AC"/>
    <w:rsid w:val="00DC7309"/>
    <w:rsid w:val="00DC7532"/>
    <w:rsid w:val="00DC7800"/>
    <w:rsid w:val="00DC7E81"/>
    <w:rsid w:val="00DD0146"/>
    <w:rsid w:val="00DD0376"/>
    <w:rsid w:val="00DD04C9"/>
    <w:rsid w:val="00DD0844"/>
    <w:rsid w:val="00DD08A6"/>
    <w:rsid w:val="00DD0FC8"/>
    <w:rsid w:val="00DD12A3"/>
    <w:rsid w:val="00DD1692"/>
    <w:rsid w:val="00DD1840"/>
    <w:rsid w:val="00DD1953"/>
    <w:rsid w:val="00DD1B8B"/>
    <w:rsid w:val="00DD1C56"/>
    <w:rsid w:val="00DD1D62"/>
    <w:rsid w:val="00DD2183"/>
    <w:rsid w:val="00DD24C8"/>
    <w:rsid w:val="00DD259A"/>
    <w:rsid w:val="00DD2BAE"/>
    <w:rsid w:val="00DD2E6A"/>
    <w:rsid w:val="00DD2EED"/>
    <w:rsid w:val="00DD2EEF"/>
    <w:rsid w:val="00DD31A6"/>
    <w:rsid w:val="00DD3247"/>
    <w:rsid w:val="00DD34DB"/>
    <w:rsid w:val="00DD34F8"/>
    <w:rsid w:val="00DD3C2D"/>
    <w:rsid w:val="00DD418B"/>
    <w:rsid w:val="00DD444E"/>
    <w:rsid w:val="00DD453B"/>
    <w:rsid w:val="00DD4613"/>
    <w:rsid w:val="00DD4689"/>
    <w:rsid w:val="00DD4BAF"/>
    <w:rsid w:val="00DD4C7E"/>
    <w:rsid w:val="00DD4C8C"/>
    <w:rsid w:val="00DD4CAE"/>
    <w:rsid w:val="00DD4D06"/>
    <w:rsid w:val="00DD4D0F"/>
    <w:rsid w:val="00DD4F25"/>
    <w:rsid w:val="00DD4FC3"/>
    <w:rsid w:val="00DD5434"/>
    <w:rsid w:val="00DD5712"/>
    <w:rsid w:val="00DD57F1"/>
    <w:rsid w:val="00DD582C"/>
    <w:rsid w:val="00DD5905"/>
    <w:rsid w:val="00DD5CDE"/>
    <w:rsid w:val="00DD5DE5"/>
    <w:rsid w:val="00DD5FC9"/>
    <w:rsid w:val="00DD620D"/>
    <w:rsid w:val="00DD677C"/>
    <w:rsid w:val="00DD6857"/>
    <w:rsid w:val="00DD6BFB"/>
    <w:rsid w:val="00DD6DB7"/>
    <w:rsid w:val="00DD6FFF"/>
    <w:rsid w:val="00DD70A6"/>
    <w:rsid w:val="00DD72AE"/>
    <w:rsid w:val="00DD7448"/>
    <w:rsid w:val="00DD75BF"/>
    <w:rsid w:val="00DD7807"/>
    <w:rsid w:val="00DD7F62"/>
    <w:rsid w:val="00DE0160"/>
    <w:rsid w:val="00DE034E"/>
    <w:rsid w:val="00DE03F3"/>
    <w:rsid w:val="00DE04AF"/>
    <w:rsid w:val="00DE0700"/>
    <w:rsid w:val="00DE0B47"/>
    <w:rsid w:val="00DE0E5B"/>
    <w:rsid w:val="00DE10EA"/>
    <w:rsid w:val="00DE1223"/>
    <w:rsid w:val="00DE127C"/>
    <w:rsid w:val="00DE14CD"/>
    <w:rsid w:val="00DE167F"/>
    <w:rsid w:val="00DE1724"/>
    <w:rsid w:val="00DE17CD"/>
    <w:rsid w:val="00DE1B4E"/>
    <w:rsid w:val="00DE1C44"/>
    <w:rsid w:val="00DE2067"/>
    <w:rsid w:val="00DE21D2"/>
    <w:rsid w:val="00DE2689"/>
    <w:rsid w:val="00DE272D"/>
    <w:rsid w:val="00DE27E1"/>
    <w:rsid w:val="00DE2BE2"/>
    <w:rsid w:val="00DE2CD1"/>
    <w:rsid w:val="00DE2E02"/>
    <w:rsid w:val="00DE2FDC"/>
    <w:rsid w:val="00DE3138"/>
    <w:rsid w:val="00DE3219"/>
    <w:rsid w:val="00DE33C2"/>
    <w:rsid w:val="00DE33D2"/>
    <w:rsid w:val="00DE36B4"/>
    <w:rsid w:val="00DE36F0"/>
    <w:rsid w:val="00DE37DD"/>
    <w:rsid w:val="00DE3965"/>
    <w:rsid w:val="00DE39BE"/>
    <w:rsid w:val="00DE3B74"/>
    <w:rsid w:val="00DE3CC5"/>
    <w:rsid w:val="00DE3D52"/>
    <w:rsid w:val="00DE4248"/>
    <w:rsid w:val="00DE42C7"/>
    <w:rsid w:val="00DE4531"/>
    <w:rsid w:val="00DE464F"/>
    <w:rsid w:val="00DE4938"/>
    <w:rsid w:val="00DE4D60"/>
    <w:rsid w:val="00DE4F46"/>
    <w:rsid w:val="00DE4FAC"/>
    <w:rsid w:val="00DE5047"/>
    <w:rsid w:val="00DE518B"/>
    <w:rsid w:val="00DE53C4"/>
    <w:rsid w:val="00DE5548"/>
    <w:rsid w:val="00DE5733"/>
    <w:rsid w:val="00DE574C"/>
    <w:rsid w:val="00DE5822"/>
    <w:rsid w:val="00DE5F0C"/>
    <w:rsid w:val="00DE5F70"/>
    <w:rsid w:val="00DE60E7"/>
    <w:rsid w:val="00DE6442"/>
    <w:rsid w:val="00DE6587"/>
    <w:rsid w:val="00DE6929"/>
    <w:rsid w:val="00DE704C"/>
    <w:rsid w:val="00DE71CC"/>
    <w:rsid w:val="00DE739A"/>
    <w:rsid w:val="00DE75F4"/>
    <w:rsid w:val="00DE7836"/>
    <w:rsid w:val="00DE7843"/>
    <w:rsid w:val="00DE78EB"/>
    <w:rsid w:val="00DE7939"/>
    <w:rsid w:val="00DE7D48"/>
    <w:rsid w:val="00DF0136"/>
    <w:rsid w:val="00DF0412"/>
    <w:rsid w:val="00DF0531"/>
    <w:rsid w:val="00DF058F"/>
    <w:rsid w:val="00DF05A5"/>
    <w:rsid w:val="00DF0713"/>
    <w:rsid w:val="00DF0889"/>
    <w:rsid w:val="00DF1884"/>
    <w:rsid w:val="00DF1998"/>
    <w:rsid w:val="00DF1BB4"/>
    <w:rsid w:val="00DF1DBE"/>
    <w:rsid w:val="00DF1F05"/>
    <w:rsid w:val="00DF2350"/>
    <w:rsid w:val="00DF2AD0"/>
    <w:rsid w:val="00DF319D"/>
    <w:rsid w:val="00DF32AF"/>
    <w:rsid w:val="00DF340E"/>
    <w:rsid w:val="00DF34E6"/>
    <w:rsid w:val="00DF350A"/>
    <w:rsid w:val="00DF35B4"/>
    <w:rsid w:val="00DF398A"/>
    <w:rsid w:val="00DF3C4F"/>
    <w:rsid w:val="00DF3DF7"/>
    <w:rsid w:val="00DF3E0B"/>
    <w:rsid w:val="00DF4152"/>
    <w:rsid w:val="00DF41E5"/>
    <w:rsid w:val="00DF4446"/>
    <w:rsid w:val="00DF459B"/>
    <w:rsid w:val="00DF45A3"/>
    <w:rsid w:val="00DF45AB"/>
    <w:rsid w:val="00DF46FC"/>
    <w:rsid w:val="00DF496C"/>
    <w:rsid w:val="00DF4A82"/>
    <w:rsid w:val="00DF4BC0"/>
    <w:rsid w:val="00DF4D6B"/>
    <w:rsid w:val="00DF4D78"/>
    <w:rsid w:val="00DF4F58"/>
    <w:rsid w:val="00DF5118"/>
    <w:rsid w:val="00DF5367"/>
    <w:rsid w:val="00DF54FC"/>
    <w:rsid w:val="00DF56D2"/>
    <w:rsid w:val="00DF5C7F"/>
    <w:rsid w:val="00DF5CED"/>
    <w:rsid w:val="00DF5E37"/>
    <w:rsid w:val="00DF6125"/>
    <w:rsid w:val="00DF6215"/>
    <w:rsid w:val="00DF62E0"/>
    <w:rsid w:val="00DF638D"/>
    <w:rsid w:val="00DF6890"/>
    <w:rsid w:val="00DF6A5A"/>
    <w:rsid w:val="00DF6ADB"/>
    <w:rsid w:val="00DF7449"/>
    <w:rsid w:val="00DF785D"/>
    <w:rsid w:val="00DF793B"/>
    <w:rsid w:val="00DF7C7E"/>
    <w:rsid w:val="00DF7E7A"/>
    <w:rsid w:val="00DF7F1F"/>
    <w:rsid w:val="00E00072"/>
    <w:rsid w:val="00E001AC"/>
    <w:rsid w:val="00E001EB"/>
    <w:rsid w:val="00E003EE"/>
    <w:rsid w:val="00E00461"/>
    <w:rsid w:val="00E004C0"/>
    <w:rsid w:val="00E007B7"/>
    <w:rsid w:val="00E007BA"/>
    <w:rsid w:val="00E00817"/>
    <w:rsid w:val="00E009DE"/>
    <w:rsid w:val="00E009F7"/>
    <w:rsid w:val="00E00B94"/>
    <w:rsid w:val="00E010B5"/>
    <w:rsid w:val="00E015BD"/>
    <w:rsid w:val="00E017D3"/>
    <w:rsid w:val="00E019D6"/>
    <w:rsid w:val="00E01C6C"/>
    <w:rsid w:val="00E01CBD"/>
    <w:rsid w:val="00E01F05"/>
    <w:rsid w:val="00E02455"/>
    <w:rsid w:val="00E02637"/>
    <w:rsid w:val="00E02691"/>
    <w:rsid w:val="00E02772"/>
    <w:rsid w:val="00E027FA"/>
    <w:rsid w:val="00E0280B"/>
    <w:rsid w:val="00E02953"/>
    <w:rsid w:val="00E02B1D"/>
    <w:rsid w:val="00E02C77"/>
    <w:rsid w:val="00E02E83"/>
    <w:rsid w:val="00E02ECF"/>
    <w:rsid w:val="00E032CD"/>
    <w:rsid w:val="00E0330F"/>
    <w:rsid w:val="00E03412"/>
    <w:rsid w:val="00E0383C"/>
    <w:rsid w:val="00E03CB0"/>
    <w:rsid w:val="00E04080"/>
    <w:rsid w:val="00E043B1"/>
    <w:rsid w:val="00E043B5"/>
    <w:rsid w:val="00E0456D"/>
    <w:rsid w:val="00E04650"/>
    <w:rsid w:val="00E0473C"/>
    <w:rsid w:val="00E04874"/>
    <w:rsid w:val="00E04DA0"/>
    <w:rsid w:val="00E04DA5"/>
    <w:rsid w:val="00E04DB2"/>
    <w:rsid w:val="00E04DEB"/>
    <w:rsid w:val="00E04EC2"/>
    <w:rsid w:val="00E050F1"/>
    <w:rsid w:val="00E054C5"/>
    <w:rsid w:val="00E0596B"/>
    <w:rsid w:val="00E059DD"/>
    <w:rsid w:val="00E05A0F"/>
    <w:rsid w:val="00E05BA3"/>
    <w:rsid w:val="00E05BFE"/>
    <w:rsid w:val="00E05C6A"/>
    <w:rsid w:val="00E05D9B"/>
    <w:rsid w:val="00E05F58"/>
    <w:rsid w:val="00E06112"/>
    <w:rsid w:val="00E06234"/>
    <w:rsid w:val="00E0630D"/>
    <w:rsid w:val="00E06310"/>
    <w:rsid w:val="00E063E7"/>
    <w:rsid w:val="00E066B6"/>
    <w:rsid w:val="00E0677D"/>
    <w:rsid w:val="00E06823"/>
    <w:rsid w:val="00E06D59"/>
    <w:rsid w:val="00E06D9E"/>
    <w:rsid w:val="00E0763F"/>
    <w:rsid w:val="00E07834"/>
    <w:rsid w:val="00E07881"/>
    <w:rsid w:val="00E078C1"/>
    <w:rsid w:val="00E0790F"/>
    <w:rsid w:val="00E079EE"/>
    <w:rsid w:val="00E07F24"/>
    <w:rsid w:val="00E07FDD"/>
    <w:rsid w:val="00E10118"/>
    <w:rsid w:val="00E101BE"/>
    <w:rsid w:val="00E10274"/>
    <w:rsid w:val="00E109A9"/>
    <w:rsid w:val="00E10C02"/>
    <w:rsid w:val="00E10F17"/>
    <w:rsid w:val="00E11293"/>
    <w:rsid w:val="00E11560"/>
    <w:rsid w:val="00E11890"/>
    <w:rsid w:val="00E11992"/>
    <w:rsid w:val="00E11BDB"/>
    <w:rsid w:val="00E11EA8"/>
    <w:rsid w:val="00E12018"/>
    <w:rsid w:val="00E1205F"/>
    <w:rsid w:val="00E121AA"/>
    <w:rsid w:val="00E12344"/>
    <w:rsid w:val="00E1255B"/>
    <w:rsid w:val="00E127E5"/>
    <w:rsid w:val="00E12DB5"/>
    <w:rsid w:val="00E12F40"/>
    <w:rsid w:val="00E13512"/>
    <w:rsid w:val="00E13886"/>
    <w:rsid w:val="00E138CE"/>
    <w:rsid w:val="00E13B7A"/>
    <w:rsid w:val="00E13D56"/>
    <w:rsid w:val="00E13E98"/>
    <w:rsid w:val="00E13FDE"/>
    <w:rsid w:val="00E144CF"/>
    <w:rsid w:val="00E14501"/>
    <w:rsid w:val="00E1489A"/>
    <w:rsid w:val="00E148B0"/>
    <w:rsid w:val="00E1492C"/>
    <w:rsid w:val="00E14C04"/>
    <w:rsid w:val="00E14EFA"/>
    <w:rsid w:val="00E15126"/>
    <w:rsid w:val="00E15714"/>
    <w:rsid w:val="00E159BB"/>
    <w:rsid w:val="00E15A82"/>
    <w:rsid w:val="00E15B4A"/>
    <w:rsid w:val="00E15B8D"/>
    <w:rsid w:val="00E15E99"/>
    <w:rsid w:val="00E16007"/>
    <w:rsid w:val="00E1600D"/>
    <w:rsid w:val="00E16161"/>
    <w:rsid w:val="00E16201"/>
    <w:rsid w:val="00E16266"/>
    <w:rsid w:val="00E1629E"/>
    <w:rsid w:val="00E162F9"/>
    <w:rsid w:val="00E163C1"/>
    <w:rsid w:val="00E167F6"/>
    <w:rsid w:val="00E16B24"/>
    <w:rsid w:val="00E16D16"/>
    <w:rsid w:val="00E16D1D"/>
    <w:rsid w:val="00E16D97"/>
    <w:rsid w:val="00E17179"/>
    <w:rsid w:val="00E17242"/>
    <w:rsid w:val="00E17285"/>
    <w:rsid w:val="00E17344"/>
    <w:rsid w:val="00E17437"/>
    <w:rsid w:val="00E176AB"/>
    <w:rsid w:val="00E17B0D"/>
    <w:rsid w:val="00E17D62"/>
    <w:rsid w:val="00E17E07"/>
    <w:rsid w:val="00E2047F"/>
    <w:rsid w:val="00E2088B"/>
    <w:rsid w:val="00E20989"/>
    <w:rsid w:val="00E20A3C"/>
    <w:rsid w:val="00E20C85"/>
    <w:rsid w:val="00E20D55"/>
    <w:rsid w:val="00E211B4"/>
    <w:rsid w:val="00E21695"/>
    <w:rsid w:val="00E216BB"/>
    <w:rsid w:val="00E21966"/>
    <w:rsid w:val="00E219A6"/>
    <w:rsid w:val="00E21B82"/>
    <w:rsid w:val="00E21D1F"/>
    <w:rsid w:val="00E21F31"/>
    <w:rsid w:val="00E22220"/>
    <w:rsid w:val="00E222AA"/>
    <w:rsid w:val="00E2235C"/>
    <w:rsid w:val="00E225C8"/>
    <w:rsid w:val="00E22977"/>
    <w:rsid w:val="00E22AB1"/>
    <w:rsid w:val="00E22E5A"/>
    <w:rsid w:val="00E230DD"/>
    <w:rsid w:val="00E23219"/>
    <w:rsid w:val="00E23233"/>
    <w:rsid w:val="00E232DF"/>
    <w:rsid w:val="00E233AA"/>
    <w:rsid w:val="00E23701"/>
    <w:rsid w:val="00E23895"/>
    <w:rsid w:val="00E238C1"/>
    <w:rsid w:val="00E23978"/>
    <w:rsid w:val="00E23A16"/>
    <w:rsid w:val="00E23BE9"/>
    <w:rsid w:val="00E23D12"/>
    <w:rsid w:val="00E23DCA"/>
    <w:rsid w:val="00E240C9"/>
    <w:rsid w:val="00E24114"/>
    <w:rsid w:val="00E24463"/>
    <w:rsid w:val="00E24960"/>
    <w:rsid w:val="00E24BBF"/>
    <w:rsid w:val="00E24D6F"/>
    <w:rsid w:val="00E24E1D"/>
    <w:rsid w:val="00E24F28"/>
    <w:rsid w:val="00E24F58"/>
    <w:rsid w:val="00E25078"/>
    <w:rsid w:val="00E2507F"/>
    <w:rsid w:val="00E251C3"/>
    <w:rsid w:val="00E254CE"/>
    <w:rsid w:val="00E25530"/>
    <w:rsid w:val="00E255A5"/>
    <w:rsid w:val="00E255C6"/>
    <w:rsid w:val="00E25689"/>
    <w:rsid w:val="00E25704"/>
    <w:rsid w:val="00E257A2"/>
    <w:rsid w:val="00E259D9"/>
    <w:rsid w:val="00E25BBF"/>
    <w:rsid w:val="00E25C6F"/>
    <w:rsid w:val="00E25D07"/>
    <w:rsid w:val="00E25E2A"/>
    <w:rsid w:val="00E26128"/>
    <w:rsid w:val="00E2643F"/>
    <w:rsid w:val="00E265C1"/>
    <w:rsid w:val="00E26A8D"/>
    <w:rsid w:val="00E26AF7"/>
    <w:rsid w:val="00E26CEE"/>
    <w:rsid w:val="00E26D09"/>
    <w:rsid w:val="00E26ED1"/>
    <w:rsid w:val="00E26F01"/>
    <w:rsid w:val="00E2720C"/>
    <w:rsid w:val="00E274FE"/>
    <w:rsid w:val="00E27530"/>
    <w:rsid w:val="00E2766D"/>
    <w:rsid w:val="00E27784"/>
    <w:rsid w:val="00E278DB"/>
    <w:rsid w:val="00E27A8B"/>
    <w:rsid w:val="00E27B24"/>
    <w:rsid w:val="00E27B85"/>
    <w:rsid w:val="00E27D94"/>
    <w:rsid w:val="00E3003F"/>
    <w:rsid w:val="00E300BF"/>
    <w:rsid w:val="00E30C51"/>
    <w:rsid w:val="00E30C84"/>
    <w:rsid w:val="00E30E20"/>
    <w:rsid w:val="00E30F7D"/>
    <w:rsid w:val="00E30FA4"/>
    <w:rsid w:val="00E31103"/>
    <w:rsid w:val="00E31132"/>
    <w:rsid w:val="00E312C2"/>
    <w:rsid w:val="00E312DE"/>
    <w:rsid w:val="00E3151E"/>
    <w:rsid w:val="00E31890"/>
    <w:rsid w:val="00E31A89"/>
    <w:rsid w:val="00E31DD8"/>
    <w:rsid w:val="00E32203"/>
    <w:rsid w:val="00E3235B"/>
    <w:rsid w:val="00E3241A"/>
    <w:rsid w:val="00E324E5"/>
    <w:rsid w:val="00E32722"/>
    <w:rsid w:val="00E329B5"/>
    <w:rsid w:val="00E32EC5"/>
    <w:rsid w:val="00E33579"/>
    <w:rsid w:val="00E33616"/>
    <w:rsid w:val="00E33867"/>
    <w:rsid w:val="00E33943"/>
    <w:rsid w:val="00E3394F"/>
    <w:rsid w:val="00E33A5C"/>
    <w:rsid w:val="00E33AAB"/>
    <w:rsid w:val="00E33B0E"/>
    <w:rsid w:val="00E33B57"/>
    <w:rsid w:val="00E33CA5"/>
    <w:rsid w:val="00E33EDF"/>
    <w:rsid w:val="00E33F46"/>
    <w:rsid w:val="00E34457"/>
    <w:rsid w:val="00E346A6"/>
    <w:rsid w:val="00E34997"/>
    <w:rsid w:val="00E34E91"/>
    <w:rsid w:val="00E350F3"/>
    <w:rsid w:val="00E3526E"/>
    <w:rsid w:val="00E3529C"/>
    <w:rsid w:val="00E35516"/>
    <w:rsid w:val="00E35542"/>
    <w:rsid w:val="00E355A0"/>
    <w:rsid w:val="00E356BC"/>
    <w:rsid w:val="00E357C9"/>
    <w:rsid w:val="00E358CD"/>
    <w:rsid w:val="00E35904"/>
    <w:rsid w:val="00E35988"/>
    <w:rsid w:val="00E35B25"/>
    <w:rsid w:val="00E35CC7"/>
    <w:rsid w:val="00E35CE0"/>
    <w:rsid w:val="00E35E71"/>
    <w:rsid w:val="00E35EE0"/>
    <w:rsid w:val="00E360F8"/>
    <w:rsid w:val="00E36144"/>
    <w:rsid w:val="00E362B5"/>
    <w:rsid w:val="00E36382"/>
    <w:rsid w:val="00E368D6"/>
    <w:rsid w:val="00E36FD2"/>
    <w:rsid w:val="00E36FE4"/>
    <w:rsid w:val="00E37020"/>
    <w:rsid w:val="00E374F1"/>
    <w:rsid w:val="00E375DE"/>
    <w:rsid w:val="00E37970"/>
    <w:rsid w:val="00E37C8C"/>
    <w:rsid w:val="00E37DAF"/>
    <w:rsid w:val="00E40070"/>
    <w:rsid w:val="00E400B8"/>
    <w:rsid w:val="00E402A6"/>
    <w:rsid w:val="00E403F6"/>
    <w:rsid w:val="00E40537"/>
    <w:rsid w:val="00E40680"/>
    <w:rsid w:val="00E406E2"/>
    <w:rsid w:val="00E408EB"/>
    <w:rsid w:val="00E408F6"/>
    <w:rsid w:val="00E409B6"/>
    <w:rsid w:val="00E40BFF"/>
    <w:rsid w:val="00E40D7B"/>
    <w:rsid w:val="00E40DE8"/>
    <w:rsid w:val="00E40F21"/>
    <w:rsid w:val="00E41233"/>
    <w:rsid w:val="00E4167A"/>
    <w:rsid w:val="00E41699"/>
    <w:rsid w:val="00E41742"/>
    <w:rsid w:val="00E41859"/>
    <w:rsid w:val="00E4187C"/>
    <w:rsid w:val="00E419C2"/>
    <w:rsid w:val="00E41B5E"/>
    <w:rsid w:val="00E41B80"/>
    <w:rsid w:val="00E41CCC"/>
    <w:rsid w:val="00E41D8F"/>
    <w:rsid w:val="00E41DE5"/>
    <w:rsid w:val="00E41DFF"/>
    <w:rsid w:val="00E41E4F"/>
    <w:rsid w:val="00E41F20"/>
    <w:rsid w:val="00E41F80"/>
    <w:rsid w:val="00E42433"/>
    <w:rsid w:val="00E42618"/>
    <w:rsid w:val="00E429C3"/>
    <w:rsid w:val="00E42B40"/>
    <w:rsid w:val="00E42C4C"/>
    <w:rsid w:val="00E42C7F"/>
    <w:rsid w:val="00E42D0E"/>
    <w:rsid w:val="00E430F9"/>
    <w:rsid w:val="00E4318B"/>
    <w:rsid w:val="00E432D4"/>
    <w:rsid w:val="00E43568"/>
    <w:rsid w:val="00E43607"/>
    <w:rsid w:val="00E43659"/>
    <w:rsid w:val="00E439CC"/>
    <w:rsid w:val="00E43AA6"/>
    <w:rsid w:val="00E43D46"/>
    <w:rsid w:val="00E44344"/>
    <w:rsid w:val="00E4440C"/>
    <w:rsid w:val="00E4449E"/>
    <w:rsid w:val="00E44911"/>
    <w:rsid w:val="00E44996"/>
    <w:rsid w:val="00E451B9"/>
    <w:rsid w:val="00E45270"/>
    <w:rsid w:val="00E45C78"/>
    <w:rsid w:val="00E45F33"/>
    <w:rsid w:val="00E45FC9"/>
    <w:rsid w:val="00E46185"/>
    <w:rsid w:val="00E463F8"/>
    <w:rsid w:val="00E465CF"/>
    <w:rsid w:val="00E46764"/>
    <w:rsid w:val="00E4696C"/>
    <w:rsid w:val="00E4696F"/>
    <w:rsid w:val="00E46B50"/>
    <w:rsid w:val="00E47251"/>
    <w:rsid w:val="00E472E3"/>
    <w:rsid w:val="00E473AB"/>
    <w:rsid w:val="00E47638"/>
    <w:rsid w:val="00E478C6"/>
    <w:rsid w:val="00E47D5C"/>
    <w:rsid w:val="00E47E9D"/>
    <w:rsid w:val="00E47EFB"/>
    <w:rsid w:val="00E50054"/>
    <w:rsid w:val="00E500B3"/>
    <w:rsid w:val="00E500E7"/>
    <w:rsid w:val="00E5029D"/>
    <w:rsid w:val="00E5032E"/>
    <w:rsid w:val="00E5039E"/>
    <w:rsid w:val="00E5055B"/>
    <w:rsid w:val="00E5075D"/>
    <w:rsid w:val="00E50BDD"/>
    <w:rsid w:val="00E50CC4"/>
    <w:rsid w:val="00E50D58"/>
    <w:rsid w:val="00E50FF1"/>
    <w:rsid w:val="00E511B8"/>
    <w:rsid w:val="00E513FF"/>
    <w:rsid w:val="00E51494"/>
    <w:rsid w:val="00E518EF"/>
    <w:rsid w:val="00E51A3F"/>
    <w:rsid w:val="00E51B0B"/>
    <w:rsid w:val="00E52398"/>
    <w:rsid w:val="00E523AA"/>
    <w:rsid w:val="00E524F9"/>
    <w:rsid w:val="00E52517"/>
    <w:rsid w:val="00E52663"/>
    <w:rsid w:val="00E528BF"/>
    <w:rsid w:val="00E52BAC"/>
    <w:rsid w:val="00E52C7D"/>
    <w:rsid w:val="00E52E3E"/>
    <w:rsid w:val="00E52F95"/>
    <w:rsid w:val="00E52FFA"/>
    <w:rsid w:val="00E53CB1"/>
    <w:rsid w:val="00E53DB4"/>
    <w:rsid w:val="00E54714"/>
    <w:rsid w:val="00E5471D"/>
    <w:rsid w:val="00E54759"/>
    <w:rsid w:val="00E549FC"/>
    <w:rsid w:val="00E54D12"/>
    <w:rsid w:val="00E54F95"/>
    <w:rsid w:val="00E54FA7"/>
    <w:rsid w:val="00E55005"/>
    <w:rsid w:val="00E55056"/>
    <w:rsid w:val="00E551D3"/>
    <w:rsid w:val="00E5538A"/>
    <w:rsid w:val="00E55406"/>
    <w:rsid w:val="00E556DB"/>
    <w:rsid w:val="00E558F5"/>
    <w:rsid w:val="00E5599F"/>
    <w:rsid w:val="00E55B26"/>
    <w:rsid w:val="00E55BC2"/>
    <w:rsid w:val="00E56142"/>
    <w:rsid w:val="00E5631F"/>
    <w:rsid w:val="00E56555"/>
    <w:rsid w:val="00E565B4"/>
    <w:rsid w:val="00E565E9"/>
    <w:rsid w:val="00E569FB"/>
    <w:rsid w:val="00E56A2B"/>
    <w:rsid w:val="00E56DE5"/>
    <w:rsid w:val="00E57093"/>
    <w:rsid w:val="00E57582"/>
    <w:rsid w:val="00E575BB"/>
    <w:rsid w:val="00E57C20"/>
    <w:rsid w:val="00E57E39"/>
    <w:rsid w:val="00E57E94"/>
    <w:rsid w:val="00E60190"/>
    <w:rsid w:val="00E6041E"/>
    <w:rsid w:val="00E60508"/>
    <w:rsid w:val="00E606DC"/>
    <w:rsid w:val="00E60844"/>
    <w:rsid w:val="00E60BDD"/>
    <w:rsid w:val="00E60D22"/>
    <w:rsid w:val="00E60F16"/>
    <w:rsid w:val="00E60FA0"/>
    <w:rsid w:val="00E61004"/>
    <w:rsid w:val="00E61212"/>
    <w:rsid w:val="00E61642"/>
    <w:rsid w:val="00E6177F"/>
    <w:rsid w:val="00E61D2A"/>
    <w:rsid w:val="00E61E1E"/>
    <w:rsid w:val="00E61E24"/>
    <w:rsid w:val="00E61E7A"/>
    <w:rsid w:val="00E61F11"/>
    <w:rsid w:val="00E62034"/>
    <w:rsid w:val="00E62C58"/>
    <w:rsid w:val="00E62E82"/>
    <w:rsid w:val="00E63041"/>
    <w:rsid w:val="00E63114"/>
    <w:rsid w:val="00E63135"/>
    <w:rsid w:val="00E632C4"/>
    <w:rsid w:val="00E63300"/>
    <w:rsid w:val="00E6353B"/>
    <w:rsid w:val="00E635EE"/>
    <w:rsid w:val="00E63728"/>
    <w:rsid w:val="00E63C08"/>
    <w:rsid w:val="00E63CC6"/>
    <w:rsid w:val="00E63E21"/>
    <w:rsid w:val="00E6426A"/>
    <w:rsid w:val="00E6432C"/>
    <w:rsid w:val="00E643A6"/>
    <w:rsid w:val="00E6449B"/>
    <w:rsid w:val="00E64643"/>
    <w:rsid w:val="00E64BE8"/>
    <w:rsid w:val="00E65009"/>
    <w:rsid w:val="00E65027"/>
    <w:rsid w:val="00E65287"/>
    <w:rsid w:val="00E652D0"/>
    <w:rsid w:val="00E652E1"/>
    <w:rsid w:val="00E65350"/>
    <w:rsid w:val="00E6539C"/>
    <w:rsid w:val="00E653EF"/>
    <w:rsid w:val="00E657A2"/>
    <w:rsid w:val="00E6595A"/>
    <w:rsid w:val="00E65A0E"/>
    <w:rsid w:val="00E65CDF"/>
    <w:rsid w:val="00E65D5F"/>
    <w:rsid w:val="00E65D76"/>
    <w:rsid w:val="00E65E51"/>
    <w:rsid w:val="00E65E6C"/>
    <w:rsid w:val="00E65F0F"/>
    <w:rsid w:val="00E661A3"/>
    <w:rsid w:val="00E66B5A"/>
    <w:rsid w:val="00E66BB1"/>
    <w:rsid w:val="00E66D34"/>
    <w:rsid w:val="00E66EF9"/>
    <w:rsid w:val="00E67091"/>
    <w:rsid w:val="00E6735A"/>
    <w:rsid w:val="00E67400"/>
    <w:rsid w:val="00E675AB"/>
    <w:rsid w:val="00E675F9"/>
    <w:rsid w:val="00E678E1"/>
    <w:rsid w:val="00E67C9E"/>
    <w:rsid w:val="00E70022"/>
    <w:rsid w:val="00E70105"/>
    <w:rsid w:val="00E704ED"/>
    <w:rsid w:val="00E706CB"/>
    <w:rsid w:val="00E70ED1"/>
    <w:rsid w:val="00E7126D"/>
    <w:rsid w:val="00E7141D"/>
    <w:rsid w:val="00E71449"/>
    <w:rsid w:val="00E715B5"/>
    <w:rsid w:val="00E7171C"/>
    <w:rsid w:val="00E71740"/>
    <w:rsid w:val="00E71857"/>
    <w:rsid w:val="00E7197B"/>
    <w:rsid w:val="00E71A5E"/>
    <w:rsid w:val="00E71B41"/>
    <w:rsid w:val="00E71C66"/>
    <w:rsid w:val="00E71E5B"/>
    <w:rsid w:val="00E720A3"/>
    <w:rsid w:val="00E721CD"/>
    <w:rsid w:val="00E725B9"/>
    <w:rsid w:val="00E7264F"/>
    <w:rsid w:val="00E728DC"/>
    <w:rsid w:val="00E72B78"/>
    <w:rsid w:val="00E72FD5"/>
    <w:rsid w:val="00E731B6"/>
    <w:rsid w:val="00E734C6"/>
    <w:rsid w:val="00E73635"/>
    <w:rsid w:val="00E739CA"/>
    <w:rsid w:val="00E73A4D"/>
    <w:rsid w:val="00E73E3E"/>
    <w:rsid w:val="00E74139"/>
    <w:rsid w:val="00E74590"/>
    <w:rsid w:val="00E746F9"/>
    <w:rsid w:val="00E748C9"/>
    <w:rsid w:val="00E74A9A"/>
    <w:rsid w:val="00E74E6F"/>
    <w:rsid w:val="00E74EC2"/>
    <w:rsid w:val="00E74F42"/>
    <w:rsid w:val="00E75239"/>
    <w:rsid w:val="00E7544B"/>
    <w:rsid w:val="00E75980"/>
    <w:rsid w:val="00E75B2A"/>
    <w:rsid w:val="00E75CA7"/>
    <w:rsid w:val="00E75DBF"/>
    <w:rsid w:val="00E75DD1"/>
    <w:rsid w:val="00E75FD4"/>
    <w:rsid w:val="00E76A76"/>
    <w:rsid w:val="00E76DD2"/>
    <w:rsid w:val="00E76F44"/>
    <w:rsid w:val="00E771AD"/>
    <w:rsid w:val="00E7733D"/>
    <w:rsid w:val="00E776FB"/>
    <w:rsid w:val="00E77A7A"/>
    <w:rsid w:val="00E77AEB"/>
    <w:rsid w:val="00E801D4"/>
    <w:rsid w:val="00E80449"/>
    <w:rsid w:val="00E8094E"/>
    <w:rsid w:val="00E80BEE"/>
    <w:rsid w:val="00E80ED7"/>
    <w:rsid w:val="00E80FCD"/>
    <w:rsid w:val="00E80FD7"/>
    <w:rsid w:val="00E81457"/>
    <w:rsid w:val="00E819D8"/>
    <w:rsid w:val="00E819F6"/>
    <w:rsid w:val="00E81AC8"/>
    <w:rsid w:val="00E81B71"/>
    <w:rsid w:val="00E81BF7"/>
    <w:rsid w:val="00E81C37"/>
    <w:rsid w:val="00E81DD6"/>
    <w:rsid w:val="00E822A1"/>
    <w:rsid w:val="00E823F3"/>
    <w:rsid w:val="00E827EE"/>
    <w:rsid w:val="00E82913"/>
    <w:rsid w:val="00E82A6D"/>
    <w:rsid w:val="00E82AD1"/>
    <w:rsid w:val="00E82BF5"/>
    <w:rsid w:val="00E82C20"/>
    <w:rsid w:val="00E82D03"/>
    <w:rsid w:val="00E83370"/>
    <w:rsid w:val="00E83483"/>
    <w:rsid w:val="00E8374C"/>
    <w:rsid w:val="00E83837"/>
    <w:rsid w:val="00E83A71"/>
    <w:rsid w:val="00E83D0C"/>
    <w:rsid w:val="00E84168"/>
    <w:rsid w:val="00E845E0"/>
    <w:rsid w:val="00E84708"/>
    <w:rsid w:val="00E848B6"/>
    <w:rsid w:val="00E84AB6"/>
    <w:rsid w:val="00E84BD6"/>
    <w:rsid w:val="00E84DC4"/>
    <w:rsid w:val="00E84E81"/>
    <w:rsid w:val="00E850FF"/>
    <w:rsid w:val="00E851B3"/>
    <w:rsid w:val="00E851C8"/>
    <w:rsid w:val="00E8539F"/>
    <w:rsid w:val="00E85592"/>
    <w:rsid w:val="00E855CF"/>
    <w:rsid w:val="00E85865"/>
    <w:rsid w:val="00E85912"/>
    <w:rsid w:val="00E85B79"/>
    <w:rsid w:val="00E85DB9"/>
    <w:rsid w:val="00E8671B"/>
    <w:rsid w:val="00E86735"/>
    <w:rsid w:val="00E86C7D"/>
    <w:rsid w:val="00E87049"/>
    <w:rsid w:val="00E87128"/>
    <w:rsid w:val="00E872D8"/>
    <w:rsid w:val="00E873D1"/>
    <w:rsid w:val="00E8743E"/>
    <w:rsid w:val="00E8747A"/>
    <w:rsid w:val="00E874CF"/>
    <w:rsid w:val="00E87950"/>
    <w:rsid w:val="00E87A1E"/>
    <w:rsid w:val="00E87CE1"/>
    <w:rsid w:val="00E87CE7"/>
    <w:rsid w:val="00E87DBD"/>
    <w:rsid w:val="00E87E88"/>
    <w:rsid w:val="00E90095"/>
    <w:rsid w:val="00E901EC"/>
    <w:rsid w:val="00E90332"/>
    <w:rsid w:val="00E903E0"/>
    <w:rsid w:val="00E90489"/>
    <w:rsid w:val="00E906A2"/>
    <w:rsid w:val="00E907A7"/>
    <w:rsid w:val="00E909F8"/>
    <w:rsid w:val="00E90B95"/>
    <w:rsid w:val="00E90D93"/>
    <w:rsid w:val="00E90E5F"/>
    <w:rsid w:val="00E90F6F"/>
    <w:rsid w:val="00E90F79"/>
    <w:rsid w:val="00E91244"/>
    <w:rsid w:val="00E9156A"/>
    <w:rsid w:val="00E91678"/>
    <w:rsid w:val="00E916FA"/>
    <w:rsid w:val="00E91BA6"/>
    <w:rsid w:val="00E91D18"/>
    <w:rsid w:val="00E91DE0"/>
    <w:rsid w:val="00E91F39"/>
    <w:rsid w:val="00E91F59"/>
    <w:rsid w:val="00E92297"/>
    <w:rsid w:val="00E9239D"/>
    <w:rsid w:val="00E9245B"/>
    <w:rsid w:val="00E924E1"/>
    <w:rsid w:val="00E92ADB"/>
    <w:rsid w:val="00E92BA5"/>
    <w:rsid w:val="00E92BD2"/>
    <w:rsid w:val="00E92CA5"/>
    <w:rsid w:val="00E92E07"/>
    <w:rsid w:val="00E92E1D"/>
    <w:rsid w:val="00E933C3"/>
    <w:rsid w:val="00E9375A"/>
    <w:rsid w:val="00E938FC"/>
    <w:rsid w:val="00E93B97"/>
    <w:rsid w:val="00E93D25"/>
    <w:rsid w:val="00E93DE5"/>
    <w:rsid w:val="00E93F0B"/>
    <w:rsid w:val="00E93F91"/>
    <w:rsid w:val="00E94022"/>
    <w:rsid w:val="00E94428"/>
    <w:rsid w:val="00E944DB"/>
    <w:rsid w:val="00E9452E"/>
    <w:rsid w:val="00E947E1"/>
    <w:rsid w:val="00E94883"/>
    <w:rsid w:val="00E94AC2"/>
    <w:rsid w:val="00E94FFD"/>
    <w:rsid w:val="00E95054"/>
    <w:rsid w:val="00E958BF"/>
    <w:rsid w:val="00E95984"/>
    <w:rsid w:val="00E95AAD"/>
    <w:rsid w:val="00E95CF3"/>
    <w:rsid w:val="00E95DD3"/>
    <w:rsid w:val="00E96167"/>
    <w:rsid w:val="00E962B3"/>
    <w:rsid w:val="00E9643A"/>
    <w:rsid w:val="00E96562"/>
    <w:rsid w:val="00E9680A"/>
    <w:rsid w:val="00E96A9F"/>
    <w:rsid w:val="00E96CD4"/>
    <w:rsid w:val="00E96ED7"/>
    <w:rsid w:val="00E97101"/>
    <w:rsid w:val="00E9740C"/>
    <w:rsid w:val="00E97418"/>
    <w:rsid w:val="00E97673"/>
    <w:rsid w:val="00E977B6"/>
    <w:rsid w:val="00E97829"/>
    <w:rsid w:val="00E9783F"/>
    <w:rsid w:val="00E97A50"/>
    <w:rsid w:val="00E97A9B"/>
    <w:rsid w:val="00E97BC4"/>
    <w:rsid w:val="00EA0024"/>
    <w:rsid w:val="00EA0584"/>
    <w:rsid w:val="00EA0D54"/>
    <w:rsid w:val="00EA0D5D"/>
    <w:rsid w:val="00EA0E0D"/>
    <w:rsid w:val="00EA0E51"/>
    <w:rsid w:val="00EA0E65"/>
    <w:rsid w:val="00EA1031"/>
    <w:rsid w:val="00EA10D3"/>
    <w:rsid w:val="00EA11B9"/>
    <w:rsid w:val="00EA1573"/>
    <w:rsid w:val="00EA184E"/>
    <w:rsid w:val="00EA1AFF"/>
    <w:rsid w:val="00EA1BAB"/>
    <w:rsid w:val="00EA1F59"/>
    <w:rsid w:val="00EA2091"/>
    <w:rsid w:val="00EA222D"/>
    <w:rsid w:val="00EA23AA"/>
    <w:rsid w:val="00EA2654"/>
    <w:rsid w:val="00EA2775"/>
    <w:rsid w:val="00EA27B0"/>
    <w:rsid w:val="00EA2B10"/>
    <w:rsid w:val="00EA2B68"/>
    <w:rsid w:val="00EA2D69"/>
    <w:rsid w:val="00EA2E1B"/>
    <w:rsid w:val="00EA2E8E"/>
    <w:rsid w:val="00EA3156"/>
    <w:rsid w:val="00EA321A"/>
    <w:rsid w:val="00EA3266"/>
    <w:rsid w:val="00EA32FB"/>
    <w:rsid w:val="00EA3785"/>
    <w:rsid w:val="00EA3868"/>
    <w:rsid w:val="00EA39B2"/>
    <w:rsid w:val="00EA3E17"/>
    <w:rsid w:val="00EA3E30"/>
    <w:rsid w:val="00EA3E3D"/>
    <w:rsid w:val="00EA3F39"/>
    <w:rsid w:val="00EA45A0"/>
    <w:rsid w:val="00EA462D"/>
    <w:rsid w:val="00EA46E9"/>
    <w:rsid w:val="00EA4792"/>
    <w:rsid w:val="00EA4978"/>
    <w:rsid w:val="00EA4C48"/>
    <w:rsid w:val="00EA4E53"/>
    <w:rsid w:val="00EA50F1"/>
    <w:rsid w:val="00EA51A3"/>
    <w:rsid w:val="00EA522F"/>
    <w:rsid w:val="00EA5252"/>
    <w:rsid w:val="00EA52FD"/>
    <w:rsid w:val="00EA55A8"/>
    <w:rsid w:val="00EA56A6"/>
    <w:rsid w:val="00EA579C"/>
    <w:rsid w:val="00EA57BC"/>
    <w:rsid w:val="00EA581F"/>
    <w:rsid w:val="00EA5B7D"/>
    <w:rsid w:val="00EA5CE2"/>
    <w:rsid w:val="00EA5D70"/>
    <w:rsid w:val="00EA600B"/>
    <w:rsid w:val="00EA63C7"/>
    <w:rsid w:val="00EA645B"/>
    <w:rsid w:val="00EA6BF2"/>
    <w:rsid w:val="00EA6D61"/>
    <w:rsid w:val="00EA7063"/>
    <w:rsid w:val="00EA7379"/>
    <w:rsid w:val="00EA75F8"/>
    <w:rsid w:val="00EB00A1"/>
    <w:rsid w:val="00EB0142"/>
    <w:rsid w:val="00EB03C9"/>
    <w:rsid w:val="00EB049E"/>
    <w:rsid w:val="00EB0542"/>
    <w:rsid w:val="00EB05FC"/>
    <w:rsid w:val="00EB067A"/>
    <w:rsid w:val="00EB09E4"/>
    <w:rsid w:val="00EB0A70"/>
    <w:rsid w:val="00EB0B36"/>
    <w:rsid w:val="00EB0D35"/>
    <w:rsid w:val="00EB0FB5"/>
    <w:rsid w:val="00EB1156"/>
    <w:rsid w:val="00EB13D5"/>
    <w:rsid w:val="00EB15FF"/>
    <w:rsid w:val="00EB1857"/>
    <w:rsid w:val="00EB1E16"/>
    <w:rsid w:val="00EB2284"/>
    <w:rsid w:val="00EB262C"/>
    <w:rsid w:val="00EB2834"/>
    <w:rsid w:val="00EB2F04"/>
    <w:rsid w:val="00EB2F1C"/>
    <w:rsid w:val="00EB3418"/>
    <w:rsid w:val="00EB3490"/>
    <w:rsid w:val="00EB388B"/>
    <w:rsid w:val="00EB3A30"/>
    <w:rsid w:val="00EB3AD4"/>
    <w:rsid w:val="00EB3DA2"/>
    <w:rsid w:val="00EB3DFA"/>
    <w:rsid w:val="00EB3E9E"/>
    <w:rsid w:val="00EB3FBC"/>
    <w:rsid w:val="00EB4148"/>
    <w:rsid w:val="00EB417B"/>
    <w:rsid w:val="00EB426E"/>
    <w:rsid w:val="00EB4287"/>
    <w:rsid w:val="00EB4736"/>
    <w:rsid w:val="00EB47FD"/>
    <w:rsid w:val="00EB4B52"/>
    <w:rsid w:val="00EB4C58"/>
    <w:rsid w:val="00EB4E39"/>
    <w:rsid w:val="00EB5604"/>
    <w:rsid w:val="00EB56A8"/>
    <w:rsid w:val="00EB57F9"/>
    <w:rsid w:val="00EB58F2"/>
    <w:rsid w:val="00EB5BCE"/>
    <w:rsid w:val="00EB5D65"/>
    <w:rsid w:val="00EB63F7"/>
    <w:rsid w:val="00EB6744"/>
    <w:rsid w:val="00EB6CBA"/>
    <w:rsid w:val="00EB6D0F"/>
    <w:rsid w:val="00EB6DCD"/>
    <w:rsid w:val="00EB70F1"/>
    <w:rsid w:val="00EB720E"/>
    <w:rsid w:val="00EB72FF"/>
    <w:rsid w:val="00EB7829"/>
    <w:rsid w:val="00EB7934"/>
    <w:rsid w:val="00EB7E0E"/>
    <w:rsid w:val="00EB7E88"/>
    <w:rsid w:val="00EC0059"/>
    <w:rsid w:val="00EC0138"/>
    <w:rsid w:val="00EC0158"/>
    <w:rsid w:val="00EC0350"/>
    <w:rsid w:val="00EC0968"/>
    <w:rsid w:val="00EC09C6"/>
    <w:rsid w:val="00EC0B11"/>
    <w:rsid w:val="00EC0BDC"/>
    <w:rsid w:val="00EC0E28"/>
    <w:rsid w:val="00EC0FC0"/>
    <w:rsid w:val="00EC133C"/>
    <w:rsid w:val="00EC13D8"/>
    <w:rsid w:val="00EC194A"/>
    <w:rsid w:val="00EC1AE2"/>
    <w:rsid w:val="00EC1B7D"/>
    <w:rsid w:val="00EC1D3D"/>
    <w:rsid w:val="00EC1D9B"/>
    <w:rsid w:val="00EC1F5F"/>
    <w:rsid w:val="00EC2046"/>
    <w:rsid w:val="00EC2175"/>
    <w:rsid w:val="00EC264A"/>
    <w:rsid w:val="00EC2C58"/>
    <w:rsid w:val="00EC3029"/>
    <w:rsid w:val="00EC3096"/>
    <w:rsid w:val="00EC3192"/>
    <w:rsid w:val="00EC3293"/>
    <w:rsid w:val="00EC32AF"/>
    <w:rsid w:val="00EC34A6"/>
    <w:rsid w:val="00EC42C4"/>
    <w:rsid w:val="00EC456C"/>
    <w:rsid w:val="00EC477F"/>
    <w:rsid w:val="00EC478B"/>
    <w:rsid w:val="00EC4A06"/>
    <w:rsid w:val="00EC5349"/>
    <w:rsid w:val="00EC54BB"/>
    <w:rsid w:val="00EC58E4"/>
    <w:rsid w:val="00EC59B6"/>
    <w:rsid w:val="00EC5C40"/>
    <w:rsid w:val="00EC5DB8"/>
    <w:rsid w:val="00EC60E1"/>
    <w:rsid w:val="00EC616F"/>
    <w:rsid w:val="00EC61C4"/>
    <w:rsid w:val="00EC638F"/>
    <w:rsid w:val="00EC64B4"/>
    <w:rsid w:val="00EC67CE"/>
    <w:rsid w:val="00EC6946"/>
    <w:rsid w:val="00EC6A16"/>
    <w:rsid w:val="00EC6B1B"/>
    <w:rsid w:val="00EC6DDA"/>
    <w:rsid w:val="00EC6F26"/>
    <w:rsid w:val="00EC7FC6"/>
    <w:rsid w:val="00ED0345"/>
    <w:rsid w:val="00ED04B1"/>
    <w:rsid w:val="00ED0530"/>
    <w:rsid w:val="00ED0545"/>
    <w:rsid w:val="00ED0793"/>
    <w:rsid w:val="00ED096D"/>
    <w:rsid w:val="00ED0B55"/>
    <w:rsid w:val="00ED102D"/>
    <w:rsid w:val="00ED1389"/>
    <w:rsid w:val="00ED19F2"/>
    <w:rsid w:val="00ED1BB1"/>
    <w:rsid w:val="00ED1EF3"/>
    <w:rsid w:val="00ED1FFC"/>
    <w:rsid w:val="00ED2158"/>
    <w:rsid w:val="00ED21EF"/>
    <w:rsid w:val="00ED233C"/>
    <w:rsid w:val="00ED263F"/>
    <w:rsid w:val="00ED26A7"/>
    <w:rsid w:val="00ED272B"/>
    <w:rsid w:val="00ED2757"/>
    <w:rsid w:val="00ED2922"/>
    <w:rsid w:val="00ED2965"/>
    <w:rsid w:val="00ED2D54"/>
    <w:rsid w:val="00ED2EDF"/>
    <w:rsid w:val="00ED331B"/>
    <w:rsid w:val="00ED34FC"/>
    <w:rsid w:val="00ED370D"/>
    <w:rsid w:val="00ED39E6"/>
    <w:rsid w:val="00ED3A0B"/>
    <w:rsid w:val="00ED3C9F"/>
    <w:rsid w:val="00ED3F2C"/>
    <w:rsid w:val="00ED3F5B"/>
    <w:rsid w:val="00ED4029"/>
    <w:rsid w:val="00ED4154"/>
    <w:rsid w:val="00ED472B"/>
    <w:rsid w:val="00ED476C"/>
    <w:rsid w:val="00ED4978"/>
    <w:rsid w:val="00ED4B87"/>
    <w:rsid w:val="00ED4C02"/>
    <w:rsid w:val="00ED4F95"/>
    <w:rsid w:val="00ED5895"/>
    <w:rsid w:val="00ED5E8E"/>
    <w:rsid w:val="00ED5FF8"/>
    <w:rsid w:val="00ED6053"/>
    <w:rsid w:val="00ED61E6"/>
    <w:rsid w:val="00ED6238"/>
    <w:rsid w:val="00ED6457"/>
    <w:rsid w:val="00ED657A"/>
    <w:rsid w:val="00ED6639"/>
    <w:rsid w:val="00ED66B4"/>
    <w:rsid w:val="00ED686C"/>
    <w:rsid w:val="00ED6A48"/>
    <w:rsid w:val="00ED6BF6"/>
    <w:rsid w:val="00ED6C27"/>
    <w:rsid w:val="00ED70F4"/>
    <w:rsid w:val="00ED730D"/>
    <w:rsid w:val="00ED731A"/>
    <w:rsid w:val="00ED74E8"/>
    <w:rsid w:val="00ED7759"/>
    <w:rsid w:val="00ED7A49"/>
    <w:rsid w:val="00ED7BAC"/>
    <w:rsid w:val="00EE0496"/>
    <w:rsid w:val="00EE05D5"/>
    <w:rsid w:val="00EE07A0"/>
    <w:rsid w:val="00EE08D4"/>
    <w:rsid w:val="00EE1293"/>
    <w:rsid w:val="00EE1402"/>
    <w:rsid w:val="00EE1572"/>
    <w:rsid w:val="00EE15FC"/>
    <w:rsid w:val="00EE1ABC"/>
    <w:rsid w:val="00EE1C03"/>
    <w:rsid w:val="00EE230D"/>
    <w:rsid w:val="00EE2335"/>
    <w:rsid w:val="00EE2621"/>
    <w:rsid w:val="00EE268E"/>
    <w:rsid w:val="00EE28D6"/>
    <w:rsid w:val="00EE30D5"/>
    <w:rsid w:val="00EE316B"/>
    <w:rsid w:val="00EE3522"/>
    <w:rsid w:val="00EE3758"/>
    <w:rsid w:val="00EE3864"/>
    <w:rsid w:val="00EE3897"/>
    <w:rsid w:val="00EE38EC"/>
    <w:rsid w:val="00EE39EF"/>
    <w:rsid w:val="00EE3AE6"/>
    <w:rsid w:val="00EE3B28"/>
    <w:rsid w:val="00EE3CAF"/>
    <w:rsid w:val="00EE3F09"/>
    <w:rsid w:val="00EE3F8A"/>
    <w:rsid w:val="00EE42B9"/>
    <w:rsid w:val="00EE492A"/>
    <w:rsid w:val="00EE4A5B"/>
    <w:rsid w:val="00EE4AAD"/>
    <w:rsid w:val="00EE4B74"/>
    <w:rsid w:val="00EE4BDD"/>
    <w:rsid w:val="00EE4C91"/>
    <w:rsid w:val="00EE4F9F"/>
    <w:rsid w:val="00EE50DB"/>
    <w:rsid w:val="00EE52D0"/>
    <w:rsid w:val="00EE52D8"/>
    <w:rsid w:val="00EE54E0"/>
    <w:rsid w:val="00EE56F6"/>
    <w:rsid w:val="00EE5A8C"/>
    <w:rsid w:val="00EE5BE8"/>
    <w:rsid w:val="00EE5EB2"/>
    <w:rsid w:val="00EE60D8"/>
    <w:rsid w:val="00EE61D2"/>
    <w:rsid w:val="00EE62A6"/>
    <w:rsid w:val="00EE6404"/>
    <w:rsid w:val="00EE6418"/>
    <w:rsid w:val="00EE6BA2"/>
    <w:rsid w:val="00EE6D4D"/>
    <w:rsid w:val="00EE6F11"/>
    <w:rsid w:val="00EE7090"/>
    <w:rsid w:val="00EE722B"/>
    <w:rsid w:val="00EE7441"/>
    <w:rsid w:val="00EE7743"/>
    <w:rsid w:val="00EE78B9"/>
    <w:rsid w:val="00EE7FBA"/>
    <w:rsid w:val="00EF04E3"/>
    <w:rsid w:val="00EF0600"/>
    <w:rsid w:val="00EF089D"/>
    <w:rsid w:val="00EF08C9"/>
    <w:rsid w:val="00EF0902"/>
    <w:rsid w:val="00EF0EA8"/>
    <w:rsid w:val="00EF0F8C"/>
    <w:rsid w:val="00EF1234"/>
    <w:rsid w:val="00EF1353"/>
    <w:rsid w:val="00EF15D7"/>
    <w:rsid w:val="00EF1718"/>
    <w:rsid w:val="00EF18DF"/>
    <w:rsid w:val="00EF19B9"/>
    <w:rsid w:val="00EF2127"/>
    <w:rsid w:val="00EF236D"/>
    <w:rsid w:val="00EF23F1"/>
    <w:rsid w:val="00EF2422"/>
    <w:rsid w:val="00EF2590"/>
    <w:rsid w:val="00EF268D"/>
    <w:rsid w:val="00EF277A"/>
    <w:rsid w:val="00EF27D2"/>
    <w:rsid w:val="00EF2DBC"/>
    <w:rsid w:val="00EF33FF"/>
    <w:rsid w:val="00EF341E"/>
    <w:rsid w:val="00EF38C7"/>
    <w:rsid w:val="00EF3AA7"/>
    <w:rsid w:val="00EF3C03"/>
    <w:rsid w:val="00EF3E10"/>
    <w:rsid w:val="00EF420F"/>
    <w:rsid w:val="00EF44D4"/>
    <w:rsid w:val="00EF4720"/>
    <w:rsid w:val="00EF473A"/>
    <w:rsid w:val="00EF4A6D"/>
    <w:rsid w:val="00EF4AA1"/>
    <w:rsid w:val="00EF4C13"/>
    <w:rsid w:val="00EF4D35"/>
    <w:rsid w:val="00EF4F5A"/>
    <w:rsid w:val="00EF4FBE"/>
    <w:rsid w:val="00EF555D"/>
    <w:rsid w:val="00EF5561"/>
    <w:rsid w:val="00EF55CE"/>
    <w:rsid w:val="00EF56D7"/>
    <w:rsid w:val="00EF5C7E"/>
    <w:rsid w:val="00EF5D11"/>
    <w:rsid w:val="00EF5D25"/>
    <w:rsid w:val="00EF5F9D"/>
    <w:rsid w:val="00EF6136"/>
    <w:rsid w:val="00EF620E"/>
    <w:rsid w:val="00EF625E"/>
    <w:rsid w:val="00EF6308"/>
    <w:rsid w:val="00EF671D"/>
    <w:rsid w:val="00EF6758"/>
    <w:rsid w:val="00EF689C"/>
    <w:rsid w:val="00EF6BF4"/>
    <w:rsid w:val="00EF6C8D"/>
    <w:rsid w:val="00EF6E84"/>
    <w:rsid w:val="00EF7024"/>
    <w:rsid w:val="00EF710D"/>
    <w:rsid w:val="00EF7459"/>
    <w:rsid w:val="00EF7558"/>
    <w:rsid w:val="00EF78FC"/>
    <w:rsid w:val="00EF79AF"/>
    <w:rsid w:val="00EF79C9"/>
    <w:rsid w:val="00EF7A62"/>
    <w:rsid w:val="00EF7A98"/>
    <w:rsid w:val="00F000A7"/>
    <w:rsid w:val="00F00338"/>
    <w:rsid w:val="00F005B0"/>
    <w:rsid w:val="00F00769"/>
    <w:rsid w:val="00F0085B"/>
    <w:rsid w:val="00F00AA9"/>
    <w:rsid w:val="00F00AD9"/>
    <w:rsid w:val="00F00EE8"/>
    <w:rsid w:val="00F01157"/>
    <w:rsid w:val="00F011A7"/>
    <w:rsid w:val="00F011DA"/>
    <w:rsid w:val="00F013CF"/>
    <w:rsid w:val="00F0148C"/>
    <w:rsid w:val="00F018E5"/>
    <w:rsid w:val="00F0199F"/>
    <w:rsid w:val="00F01B3E"/>
    <w:rsid w:val="00F01CD5"/>
    <w:rsid w:val="00F01ED5"/>
    <w:rsid w:val="00F01F14"/>
    <w:rsid w:val="00F028C6"/>
    <w:rsid w:val="00F0293B"/>
    <w:rsid w:val="00F02C0E"/>
    <w:rsid w:val="00F03567"/>
    <w:rsid w:val="00F035AA"/>
    <w:rsid w:val="00F038F1"/>
    <w:rsid w:val="00F038F5"/>
    <w:rsid w:val="00F03CF1"/>
    <w:rsid w:val="00F03F0F"/>
    <w:rsid w:val="00F04117"/>
    <w:rsid w:val="00F042F7"/>
    <w:rsid w:val="00F044CA"/>
    <w:rsid w:val="00F04A67"/>
    <w:rsid w:val="00F05017"/>
    <w:rsid w:val="00F051AD"/>
    <w:rsid w:val="00F052C3"/>
    <w:rsid w:val="00F05496"/>
    <w:rsid w:val="00F056E2"/>
    <w:rsid w:val="00F056F1"/>
    <w:rsid w:val="00F057FF"/>
    <w:rsid w:val="00F059E3"/>
    <w:rsid w:val="00F05D30"/>
    <w:rsid w:val="00F05DDC"/>
    <w:rsid w:val="00F06149"/>
    <w:rsid w:val="00F0619D"/>
    <w:rsid w:val="00F061D4"/>
    <w:rsid w:val="00F0644F"/>
    <w:rsid w:val="00F06625"/>
    <w:rsid w:val="00F06629"/>
    <w:rsid w:val="00F067D8"/>
    <w:rsid w:val="00F06929"/>
    <w:rsid w:val="00F06A3C"/>
    <w:rsid w:val="00F07177"/>
    <w:rsid w:val="00F071B8"/>
    <w:rsid w:val="00F07397"/>
    <w:rsid w:val="00F075BD"/>
    <w:rsid w:val="00F07693"/>
    <w:rsid w:val="00F07A2B"/>
    <w:rsid w:val="00F07AA5"/>
    <w:rsid w:val="00F07B15"/>
    <w:rsid w:val="00F07B1E"/>
    <w:rsid w:val="00F07BBA"/>
    <w:rsid w:val="00F07C17"/>
    <w:rsid w:val="00F07CCB"/>
    <w:rsid w:val="00F07DE7"/>
    <w:rsid w:val="00F10199"/>
    <w:rsid w:val="00F10361"/>
    <w:rsid w:val="00F10893"/>
    <w:rsid w:val="00F10E5A"/>
    <w:rsid w:val="00F11280"/>
    <w:rsid w:val="00F114CE"/>
    <w:rsid w:val="00F114D3"/>
    <w:rsid w:val="00F1168C"/>
    <w:rsid w:val="00F11800"/>
    <w:rsid w:val="00F11AC6"/>
    <w:rsid w:val="00F11D7A"/>
    <w:rsid w:val="00F1216D"/>
    <w:rsid w:val="00F1221D"/>
    <w:rsid w:val="00F124AA"/>
    <w:rsid w:val="00F1299B"/>
    <w:rsid w:val="00F12A39"/>
    <w:rsid w:val="00F12AEA"/>
    <w:rsid w:val="00F12C2B"/>
    <w:rsid w:val="00F12C3C"/>
    <w:rsid w:val="00F12D54"/>
    <w:rsid w:val="00F12D9E"/>
    <w:rsid w:val="00F12FD9"/>
    <w:rsid w:val="00F133DE"/>
    <w:rsid w:val="00F136F2"/>
    <w:rsid w:val="00F13812"/>
    <w:rsid w:val="00F13953"/>
    <w:rsid w:val="00F13A40"/>
    <w:rsid w:val="00F13A91"/>
    <w:rsid w:val="00F13ACF"/>
    <w:rsid w:val="00F13B3E"/>
    <w:rsid w:val="00F13B93"/>
    <w:rsid w:val="00F13E62"/>
    <w:rsid w:val="00F13F68"/>
    <w:rsid w:val="00F14214"/>
    <w:rsid w:val="00F14469"/>
    <w:rsid w:val="00F14684"/>
    <w:rsid w:val="00F146C0"/>
    <w:rsid w:val="00F14709"/>
    <w:rsid w:val="00F14723"/>
    <w:rsid w:val="00F14B20"/>
    <w:rsid w:val="00F15206"/>
    <w:rsid w:val="00F152BB"/>
    <w:rsid w:val="00F1550D"/>
    <w:rsid w:val="00F15D18"/>
    <w:rsid w:val="00F15DBA"/>
    <w:rsid w:val="00F15FCE"/>
    <w:rsid w:val="00F16613"/>
    <w:rsid w:val="00F169C8"/>
    <w:rsid w:val="00F169DC"/>
    <w:rsid w:val="00F16C34"/>
    <w:rsid w:val="00F16EC9"/>
    <w:rsid w:val="00F16ED2"/>
    <w:rsid w:val="00F171BE"/>
    <w:rsid w:val="00F17449"/>
    <w:rsid w:val="00F17889"/>
    <w:rsid w:val="00F17947"/>
    <w:rsid w:val="00F1798E"/>
    <w:rsid w:val="00F17EF1"/>
    <w:rsid w:val="00F17F5D"/>
    <w:rsid w:val="00F203D1"/>
    <w:rsid w:val="00F2077B"/>
    <w:rsid w:val="00F20837"/>
    <w:rsid w:val="00F20B41"/>
    <w:rsid w:val="00F21267"/>
    <w:rsid w:val="00F21304"/>
    <w:rsid w:val="00F21682"/>
    <w:rsid w:val="00F21BBC"/>
    <w:rsid w:val="00F21CCD"/>
    <w:rsid w:val="00F21DC2"/>
    <w:rsid w:val="00F21F6E"/>
    <w:rsid w:val="00F222AD"/>
    <w:rsid w:val="00F2244E"/>
    <w:rsid w:val="00F22462"/>
    <w:rsid w:val="00F2267F"/>
    <w:rsid w:val="00F22709"/>
    <w:rsid w:val="00F22762"/>
    <w:rsid w:val="00F2276F"/>
    <w:rsid w:val="00F2293F"/>
    <w:rsid w:val="00F22A51"/>
    <w:rsid w:val="00F22A85"/>
    <w:rsid w:val="00F22C5A"/>
    <w:rsid w:val="00F22E47"/>
    <w:rsid w:val="00F23722"/>
    <w:rsid w:val="00F23CE6"/>
    <w:rsid w:val="00F23E72"/>
    <w:rsid w:val="00F23EED"/>
    <w:rsid w:val="00F23F95"/>
    <w:rsid w:val="00F242FB"/>
    <w:rsid w:val="00F24305"/>
    <w:rsid w:val="00F244B2"/>
    <w:rsid w:val="00F246F8"/>
    <w:rsid w:val="00F24A55"/>
    <w:rsid w:val="00F24D7A"/>
    <w:rsid w:val="00F24F80"/>
    <w:rsid w:val="00F2516D"/>
    <w:rsid w:val="00F25327"/>
    <w:rsid w:val="00F25462"/>
    <w:rsid w:val="00F256B9"/>
    <w:rsid w:val="00F257A4"/>
    <w:rsid w:val="00F25BCE"/>
    <w:rsid w:val="00F25C64"/>
    <w:rsid w:val="00F26148"/>
    <w:rsid w:val="00F2682D"/>
    <w:rsid w:val="00F26ABC"/>
    <w:rsid w:val="00F26C58"/>
    <w:rsid w:val="00F277CC"/>
    <w:rsid w:val="00F27B15"/>
    <w:rsid w:val="00F27BA0"/>
    <w:rsid w:val="00F27C0A"/>
    <w:rsid w:val="00F27D12"/>
    <w:rsid w:val="00F27E28"/>
    <w:rsid w:val="00F27EBC"/>
    <w:rsid w:val="00F27F6D"/>
    <w:rsid w:val="00F30303"/>
    <w:rsid w:val="00F30672"/>
    <w:rsid w:val="00F3069C"/>
    <w:rsid w:val="00F308AD"/>
    <w:rsid w:val="00F30934"/>
    <w:rsid w:val="00F30B98"/>
    <w:rsid w:val="00F30C01"/>
    <w:rsid w:val="00F30F94"/>
    <w:rsid w:val="00F31010"/>
    <w:rsid w:val="00F310F0"/>
    <w:rsid w:val="00F311C9"/>
    <w:rsid w:val="00F31218"/>
    <w:rsid w:val="00F312B6"/>
    <w:rsid w:val="00F31461"/>
    <w:rsid w:val="00F318C7"/>
    <w:rsid w:val="00F319AE"/>
    <w:rsid w:val="00F31C0D"/>
    <w:rsid w:val="00F32179"/>
    <w:rsid w:val="00F3260E"/>
    <w:rsid w:val="00F33050"/>
    <w:rsid w:val="00F3306A"/>
    <w:rsid w:val="00F331B8"/>
    <w:rsid w:val="00F332F3"/>
    <w:rsid w:val="00F333D0"/>
    <w:rsid w:val="00F33566"/>
    <w:rsid w:val="00F33B2A"/>
    <w:rsid w:val="00F33F36"/>
    <w:rsid w:val="00F34087"/>
    <w:rsid w:val="00F340C4"/>
    <w:rsid w:val="00F342C0"/>
    <w:rsid w:val="00F34358"/>
    <w:rsid w:val="00F34542"/>
    <w:rsid w:val="00F346CA"/>
    <w:rsid w:val="00F347EA"/>
    <w:rsid w:val="00F34A58"/>
    <w:rsid w:val="00F34BD2"/>
    <w:rsid w:val="00F34FB1"/>
    <w:rsid w:val="00F35387"/>
    <w:rsid w:val="00F353B7"/>
    <w:rsid w:val="00F35405"/>
    <w:rsid w:val="00F354E3"/>
    <w:rsid w:val="00F35736"/>
    <w:rsid w:val="00F35D8F"/>
    <w:rsid w:val="00F3607A"/>
    <w:rsid w:val="00F360F0"/>
    <w:rsid w:val="00F36245"/>
    <w:rsid w:val="00F36330"/>
    <w:rsid w:val="00F3635C"/>
    <w:rsid w:val="00F3658F"/>
    <w:rsid w:val="00F36C26"/>
    <w:rsid w:val="00F36EA9"/>
    <w:rsid w:val="00F3744E"/>
    <w:rsid w:val="00F37465"/>
    <w:rsid w:val="00F378D9"/>
    <w:rsid w:val="00F37BD7"/>
    <w:rsid w:val="00F37D3A"/>
    <w:rsid w:val="00F37FCC"/>
    <w:rsid w:val="00F4014D"/>
    <w:rsid w:val="00F40652"/>
    <w:rsid w:val="00F4094B"/>
    <w:rsid w:val="00F40B9D"/>
    <w:rsid w:val="00F40CB3"/>
    <w:rsid w:val="00F40EA7"/>
    <w:rsid w:val="00F40F78"/>
    <w:rsid w:val="00F41135"/>
    <w:rsid w:val="00F41255"/>
    <w:rsid w:val="00F4126F"/>
    <w:rsid w:val="00F4140B"/>
    <w:rsid w:val="00F41497"/>
    <w:rsid w:val="00F416A0"/>
    <w:rsid w:val="00F41AD4"/>
    <w:rsid w:val="00F41C65"/>
    <w:rsid w:val="00F41E2C"/>
    <w:rsid w:val="00F420F3"/>
    <w:rsid w:val="00F42439"/>
    <w:rsid w:val="00F42728"/>
    <w:rsid w:val="00F427FC"/>
    <w:rsid w:val="00F42A1F"/>
    <w:rsid w:val="00F42BB6"/>
    <w:rsid w:val="00F42C20"/>
    <w:rsid w:val="00F42D1D"/>
    <w:rsid w:val="00F42E2B"/>
    <w:rsid w:val="00F42F5D"/>
    <w:rsid w:val="00F431B8"/>
    <w:rsid w:val="00F43455"/>
    <w:rsid w:val="00F4367F"/>
    <w:rsid w:val="00F4372E"/>
    <w:rsid w:val="00F43842"/>
    <w:rsid w:val="00F43B9F"/>
    <w:rsid w:val="00F44133"/>
    <w:rsid w:val="00F44290"/>
    <w:rsid w:val="00F4438D"/>
    <w:rsid w:val="00F444C4"/>
    <w:rsid w:val="00F444D1"/>
    <w:rsid w:val="00F44622"/>
    <w:rsid w:val="00F44661"/>
    <w:rsid w:val="00F44782"/>
    <w:rsid w:val="00F4487E"/>
    <w:rsid w:val="00F4487F"/>
    <w:rsid w:val="00F44AB6"/>
    <w:rsid w:val="00F44AFA"/>
    <w:rsid w:val="00F44BCB"/>
    <w:rsid w:val="00F44CA8"/>
    <w:rsid w:val="00F44CCF"/>
    <w:rsid w:val="00F44D4A"/>
    <w:rsid w:val="00F44E2D"/>
    <w:rsid w:val="00F44FD9"/>
    <w:rsid w:val="00F45413"/>
    <w:rsid w:val="00F45B52"/>
    <w:rsid w:val="00F45CEA"/>
    <w:rsid w:val="00F45EF9"/>
    <w:rsid w:val="00F45F84"/>
    <w:rsid w:val="00F45FB4"/>
    <w:rsid w:val="00F45FD2"/>
    <w:rsid w:val="00F45FDF"/>
    <w:rsid w:val="00F46641"/>
    <w:rsid w:val="00F46709"/>
    <w:rsid w:val="00F467B5"/>
    <w:rsid w:val="00F46A0D"/>
    <w:rsid w:val="00F46B14"/>
    <w:rsid w:val="00F46DA3"/>
    <w:rsid w:val="00F4754F"/>
    <w:rsid w:val="00F478E7"/>
    <w:rsid w:val="00F47A25"/>
    <w:rsid w:val="00F47ABE"/>
    <w:rsid w:val="00F47C2B"/>
    <w:rsid w:val="00F47C4B"/>
    <w:rsid w:val="00F50348"/>
    <w:rsid w:val="00F504EA"/>
    <w:rsid w:val="00F50793"/>
    <w:rsid w:val="00F5083E"/>
    <w:rsid w:val="00F509D7"/>
    <w:rsid w:val="00F50D43"/>
    <w:rsid w:val="00F50EA5"/>
    <w:rsid w:val="00F5108E"/>
    <w:rsid w:val="00F511C1"/>
    <w:rsid w:val="00F51310"/>
    <w:rsid w:val="00F51354"/>
    <w:rsid w:val="00F515CD"/>
    <w:rsid w:val="00F51816"/>
    <w:rsid w:val="00F51909"/>
    <w:rsid w:val="00F519A2"/>
    <w:rsid w:val="00F51A44"/>
    <w:rsid w:val="00F51CA8"/>
    <w:rsid w:val="00F51E6A"/>
    <w:rsid w:val="00F51FD1"/>
    <w:rsid w:val="00F521D9"/>
    <w:rsid w:val="00F5259A"/>
    <w:rsid w:val="00F526FC"/>
    <w:rsid w:val="00F527D1"/>
    <w:rsid w:val="00F528F0"/>
    <w:rsid w:val="00F529A5"/>
    <w:rsid w:val="00F52E5E"/>
    <w:rsid w:val="00F52EED"/>
    <w:rsid w:val="00F532CC"/>
    <w:rsid w:val="00F53409"/>
    <w:rsid w:val="00F534C5"/>
    <w:rsid w:val="00F53563"/>
    <w:rsid w:val="00F53625"/>
    <w:rsid w:val="00F53873"/>
    <w:rsid w:val="00F5394F"/>
    <w:rsid w:val="00F53980"/>
    <w:rsid w:val="00F53CEB"/>
    <w:rsid w:val="00F53E71"/>
    <w:rsid w:val="00F53EBA"/>
    <w:rsid w:val="00F53EC7"/>
    <w:rsid w:val="00F54364"/>
    <w:rsid w:val="00F544D4"/>
    <w:rsid w:val="00F54644"/>
    <w:rsid w:val="00F54721"/>
    <w:rsid w:val="00F54993"/>
    <w:rsid w:val="00F54D78"/>
    <w:rsid w:val="00F55007"/>
    <w:rsid w:val="00F550B9"/>
    <w:rsid w:val="00F551B4"/>
    <w:rsid w:val="00F552A2"/>
    <w:rsid w:val="00F55625"/>
    <w:rsid w:val="00F5644C"/>
    <w:rsid w:val="00F56558"/>
    <w:rsid w:val="00F567A2"/>
    <w:rsid w:val="00F56929"/>
    <w:rsid w:val="00F569A3"/>
    <w:rsid w:val="00F56CA9"/>
    <w:rsid w:val="00F56E7C"/>
    <w:rsid w:val="00F56F64"/>
    <w:rsid w:val="00F572EB"/>
    <w:rsid w:val="00F57369"/>
    <w:rsid w:val="00F57407"/>
    <w:rsid w:val="00F575A9"/>
    <w:rsid w:val="00F578A3"/>
    <w:rsid w:val="00F57B6B"/>
    <w:rsid w:val="00F57C41"/>
    <w:rsid w:val="00F57E1A"/>
    <w:rsid w:val="00F60217"/>
    <w:rsid w:val="00F6028C"/>
    <w:rsid w:val="00F602CF"/>
    <w:rsid w:val="00F603A4"/>
    <w:rsid w:val="00F6041B"/>
    <w:rsid w:val="00F60580"/>
    <w:rsid w:val="00F60626"/>
    <w:rsid w:val="00F60686"/>
    <w:rsid w:val="00F607AC"/>
    <w:rsid w:val="00F6093E"/>
    <w:rsid w:val="00F61067"/>
    <w:rsid w:val="00F612B6"/>
    <w:rsid w:val="00F61416"/>
    <w:rsid w:val="00F61756"/>
    <w:rsid w:val="00F6193C"/>
    <w:rsid w:val="00F61B99"/>
    <w:rsid w:val="00F61EF4"/>
    <w:rsid w:val="00F61F09"/>
    <w:rsid w:val="00F620C1"/>
    <w:rsid w:val="00F62517"/>
    <w:rsid w:val="00F625EE"/>
    <w:rsid w:val="00F62AAC"/>
    <w:rsid w:val="00F62ABB"/>
    <w:rsid w:val="00F62B8F"/>
    <w:rsid w:val="00F63009"/>
    <w:rsid w:val="00F631B6"/>
    <w:rsid w:val="00F63888"/>
    <w:rsid w:val="00F63932"/>
    <w:rsid w:val="00F6393B"/>
    <w:rsid w:val="00F63964"/>
    <w:rsid w:val="00F6396E"/>
    <w:rsid w:val="00F6397D"/>
    <w:rsid w:val="00F63A0C"/>
    <w:rsid w:val="00F63B7A"/>
    <w:rsid w:val="00F63B88"/>
    <w:rsid w:val="00F63BE7"/>
    <w:rsid w:val="00F63D02"/>
    <w:rsid w:val="00F63EE9"/>
    <w:rsid w:val="00F63F98"/>
    <w:rsid w:val="00F63FEC"/>
    <w:rsid w:val="00F64103"/>
    <w:rsid w:val="00F641BA"/>
    <w:rsid w:val="00F64360"/>
    <w:rsid w:val="00F643BE"/>
    <w:rsid w:val="00F643FA"/>
    <w:rsid w:val="00F64419"/>
    <w:rsid w:val="00F645CE"/>
    <w:rsid w:val="00F64AE2"/>
    <w:rsid w:val="00F64CCC"/>
    <w:rsid w:val="00F64CDF"/>
    <w:rsid w:val="00F64CE6"/>
    <w:rsid w:val="00F64D87"/>
    <w:rsid w:val="00F65012"/>
    <w:rsid w:val="00F650CB"/>
    <w:rsid w:val="00F6519B"/>
    <w:rsid w:val="00F65D5C"/>
    <w:rsid w:val="00F65F4D"/>
    <w:rsid w:val="00F6603F"/>
    <w:rsid w:val="00F66292"/>
    <w:rsid w:val="00F663E7"/>
    <w:rsid w:val="00F66424"/>
    <w:rsid w:val="00F664FB"/>
    <w:rsid w:val="00F66999"/>
    <w:rsid w:val="00F66A8E"/>
    <w:rsid w:val="00F66F6F"/>
    <w:rsid w:val="00F67070"/>
    <w:rsid w:val="00F671E7"/>
    <w:rsid w:val="00F67446"/>
    <w:rsid w:val="00F6782D"/>
    <w:rsid w:val="00F67E26"/>
    <w:rsid w:val="00F67E33"/>
    <w:rsid w:val="00F67E76"/>
    <w:rsid w:val="00F704BB"/>
    <w:rsid w:val="00F70566"/>
    <w:rsid w:val="00F70668"/>
    <w:rsid w:val="00F7067B"/>
    <w:rsid w:val="00F7082F"/>
    <w:rsid w:val="00F70AFC"/>
    <w:rsid w:val="00F7106E"/>
    <w:rsid w:val="00F7133A"/>
    <w:rsid w:val="00F715BC"/>
    <w:rsid w:val="00F715F5"/>
    <w:rsid w:val="00F7161A"/>
    <w:rsid w:val="00F71880"/>
    <w:rsid w:val="00F71AB9"/>
    <w:rsid w:val="00F71C7C"/>
    <w:rsid w:val="00F71D16"/>
    <w:rsid w:val="00F71D78"/>
    <w:rsid w:val="00F725B9"/>
    <w:rsid w:val="00F72616"/>
    <w:rsid w:val="00F72658"/>
    <w:rsid w:val="00F7295C"/>
    <w:rsid w:val="00F72B90"/>
    <w:rsid w:val="00F733B2"/>
    <w:rsid w:val="00F73679"/>
    <w:rsid w:val="00F7368D"/>
    <w:rsid w:val="00F736C3"/>
    <w:rsid w:val="00F7376B"/>
    <w:rsid w:val="00F73972"/>
    <w:rsid w:val="00F73BD6"/>
    <w:rsid w:val="00F73D33"/>
    <w:rsid w:val="00F73E0E"/>
    <w:rsid w:val="00F73FF6"/>
    <w:rsid w:val="00F74082"/>
    <w:rsid w:val="00F74083"/>
    <w:rsid w:val="00F741D8"/>
    <w:rsid w:val="00F742F9"/>
    <w:rsid w:val="00F74338"/>
    <w:rsid w:val="00F743A6"/>
    <w:rsid w:val="00F7457D"/>
    <w:rsid w:val="00F746DA"/>
    <w:rsid w:val="00F748B4"/>
    <w:rsid w:val="00F7495A"/>
    <w:rsid w:val="00F74ABC"/>
    <w:rsid w:val="00F74CB3"/>
    <w:rsid w:val="00F74F2E"/>
    <w:rsid w:val="00F74F4F"/>
    <w:rsid w:val="00F75068"/>
    <w:rsid w:val="00F750F8"/>
    <w:rsid w:val="00F752BC"/>
    <w:rsid w:val="00F75317"/>
    <w:rsid w:val="00F754EB"/>
    <w:rsid w:val="00F75AA8"/>
    <w:rsid w:val="00F76293"/>
    <w:rsid w:val="00F7650A"/>
    <w:rsid w:val="00F7655D"/>
    <w:rsid w:val="00F76659"/>
    <w:rsid w:val="00F76B60"/>
    <w:rsid w:val="00F76D54"/>
    <w:rsid w:val="00F76EC8"/>
    <w:rsid w:val="00F76F7F"/>
    <w:rsid w:val="00F774F3"/>
    <w:rsid w:val="00F77831"/>
    <w:rsid w:val="00F77B09"/>
    <w:rsid w:val="00F77C89"/>
    <w:rsid w:val="00F77F05"/>
    <w:rsid w:val="00F77F80"/>
    <w:rsid w:val="00F8005B"/>
    <w:rsid w:val="00F802D2"/>
    <w:rsid w:val="00F802DA"/>
    <w:rsid w:val="00F8043D"/>
    <w:rsid w:val="00F8083F"/>
    <w:rsid w:val="00F80945"/>
    <w:rsid w:val="00F80C1C"/>
    <w:rsid w:val="00F80EF2"/>
    <w:rsid w:val="00F80F72"/>
    <w:rsid w:val="00F81518"/>
    <w:rsid w:val="00F81716"/>
    <w:rsid w:val="00F81A0E"/>
    <w:rsid w:val="00F81F46"/>
    <w:rsid w:val="00F821EA"/>
    <w:rsid w:val="00F82217"/>
    <w:rsid w:val="00F82262"/>
    <w:rsid w:val="00F82371"/>
    <w:rsid w:val="00F8284A"/>
    <w:rsid w:val="00F82B07"/>
    <w:rsid w:val="00F82B11"/>
    <w:rsid w:val="00F82C4D"/>
    <w:rsid w:val="00F830B7"/>
    <w:rsid w:val="00F831B0"/>
    <w:rsid w:val="00F83368"/>
    <w:rsid w:val="00F833A4"/>
    <w:rsid w:val="00F833AE"/>
    <w:rsid w:val="00F83586"/>
    <w:rsid w:val="00F8368B"/>
    <w:rsid w:val="00F83728"/>
    <w:rsid w:val="00F838A3"/>
    <w:rsid w:val="00F83A13"/>
    <w:rsid w:val="00F83BD5"/>
    <w:rsid w:val="00F83C81"/>
    <w:rsid w:val="00F845DA"/>
    <w:rsid w:val="00F846F8"/>
    <w:rsid w:val="00F84882"/>
    <w:rsid w:val="00F84B10"/>
    <w:rsid w:val="00F84B3E"/>
    <w:rsid w:val="00F84B6E"/>
    <w:rsid w:val="00F84CC7"/>
    <w:rsid w:val="00F84F46"/>
    <w:rsid w:val="00F85318"/>
    <w:rsid w:val="00F858EB"/>
    <w:rsid w:val="00F85920"/>
    <w:rsid w:val="00F859E3"/>
    <w:rsid w:val="00F85A6E"/>
    <w:rsid w:val="00F85DCE"/>
    <w:rsid w:val="00F85E21"/>
    <w:rsid w:val="00F85ECA"/>
    <w:rsid w:val="00F86026"/>
    <w:rsid w:val="00F863B2"/>
    <w:rsid w:val="00F865CA"/>
    <w:rsid w:val="00F865DE"/>
    <w:rsid w:val="00F86728"/>
    <w:rsid w:val="00F867EA"/>
    <w:rsid w:val="00F8694D"/>
    <w:rsid w:val="00F86C8C"/>
    <w:rsid w:val="00F86CC3"/>
    <w:rsid w:val="00F86E57"/>
    <w:rsid w:val="00F86E68"/>
    <w:rsid w:val="00F86FA1"/>
    <w:rsid w:val="00F87125"/>
    <w:rsid w:val="00F87318"/>
    <w:rsid w:val="00F8771C"/>
    <w:rsid w:val="00F877FA"/>
    <w:rsid w:val="00F87AD4"/>
    <w:rsid w:val="00F87B9F"/>
    <w:rsid w:val="00F87C65"/>
    <w:rsid w:val="00F87DA2"/>
    <w:rsid w:val="00F87E84"/>
    <w:rsid w:val="00F87F07"/>
    <w:rsid w:val="00F9004B"/>
    <w:rsid w:val="00F903DF"/>
    <w:rsid w:val="00F90620"/>
    <w:rsid w:val="00F9070A"/>
    <w:rsid w:val="00F90C8C"/>
    <w:rsid w:val="00F90FB1"/>
    <w:rsid w:val="00F90FE0"/>
    <w:rsid w:val="00F91446"/>
    <w:rsid w:val="00F91A84"/>
    <w:rsid w:val="00F91F8B"/>
    <w:rsid w:val="00F9206B"/>
    <w:rsid w:val="00F920C7"/>
    <w:rsid w:val="00F92184"/>
    <w:rsid w:val="00F921C0"/>
    <w:rsid w:val="00F924A7"/>
    <w:rsid w:val="00F9272C"/>
    <w:rsid w:val="00F92888"/>
    <w:rsid w:val="00F9288E"/>
    <w:rsid w:val="00F9297E"/>
    <w:rsid w:val="00F92CC4"/>
    <w:rsid w:val="00F92F07"/>
    <w:rsid w:val="00F941D2"/>
    <w:rsid w:val="00F94200"/>
    <w:rsid w:val="00F9423D"/>
    <w:rsid w:val="00F943C0"/>
    <w:rsid w:val="00F94459"/>
    <w:rsid w:val="00F9492B"/>
    <w:rsid w:val="00F94AA5"/>
    <w:rsid w:val="00F94B26"/>
    <w:rsid w:val="00F94F7F"/>
    <w:rsid w:val="00F956FA"/>
    <w:rsid w:val="00F95841"/>
    <w:rsid w:val="00F9585D"/>
    <w:rsid w:val="00F95988"/>
    <w:rsid w:val="00F95B29"/>
    <w:rsid w:val="00F95D5B"/>
    <w:rsid w:val="00F95EDF"/>
    <w:rsid w:val="00F960D3"/>
    <w:rsid w:val="00F96189"/>
    <w:rsid w:val="00F96194"/>
    <w:rsid w:val="00F96233"/>
    <w:rsid w:val="00F962DE"/>
    <w:rsid w:val="00F96574"/>
    <w:rsid w:val="00F965B3"/>
    <w:rsid w:val="00F96769"/>
    <w:rsid w:val="00F96AAF"/>
    <w:rsid w:val="00F96BB4"/>
    <w:rsid w:val="00F96E32"/>
    <w:rsid w:val="00F972B7"/>
    <w:rsid w:val="00F9750A"/>
    <w:rsid w:val="00F97590"/>
    <w:rsid w:val="00F975BE"/>
    <w:rsid w:val="00F975E8"/>
    <w:rsid w:val="00F9762A"/>
    <w:rsid w:val="00F9775F"/>
    <w:rsid w:val="00F977FE"/>
    <w:rsid w:val="00F97D03"/>
    <w:rsid w:val="00F97DD0"/>
    <w:rsid w:val="00F97E90"/>
    <w:rsid w:val="00FA0236"/>
    <w:rsid w:val="00FA03C6"/>
    <w:rsid w:val="00FA0487"/>
    <w:rsid w:val="00FA0539"/>
    <w:rsid w:val="00FA05B8"/>
    <w:rsid w:val="00FA0A0B"/>
    <w:rsid w:val="00FA0C4B"/>
    <w:rsid w:val="00FA0EA1"/>
    <w:rsid w:val="00FA11E4"/>
    <w:rsid w:val="00FA1468"/>
    <w:rsid w:val="00FA1485"/>
    <w:rsid w:val="00FA19D1"/>
    <w:rsid w:val="00FA19FC"/>
    <w:rsid w:val="00FA1B47"/>
    <w:rsid w:val="00FA1D00"/>
    <w:rsid w:val="00FA22AF"/>
    <w:rsid w:val="00FA2465"/>
    <w:rsid w:val="00FA278A"/>
    <w:rsid w:val="00FA27C6"/>
    <w:rsid w:val="00FA297A"/>
    <w:rsid w:val="00FA2A3D"/>
    <w:rsid w:val="00FA2A51"/>
    <w:rsid w:val="00FA2EDD"/>
    <w:rsid w:val="00FA3003"/>
    <w:rsid w:val="00FA3294"/>
    <w:rsid w:val="00FA349E"/>
    <w:rsid w:val="00FA34A9"/>
    <w:rsid w:val="00FA3640"/>
    <w:rsid w:val="00FA3794"/>
    <w:rsid w:val="00FA3B0F"/>
    <w:rsid w:val="00FA3F05"/>
    <w:rsid w:val="00FA3F19"/>
    <w:rsid w:val="00FA3F6E"/>
    <w:rsid w:val="00FA3F70"/>
    <w:rsid w:val="00FA4060"/>
    <w:rsid w:val="00FA43E4"/>
    <w:rsid w:val="00FA4872"/>
    <w:rsid w:val="00FA4BE4"/>
    <w:rsid w:val="00FA4BF6"/>
    <w:rsid w:val="00FA4DA5"/>
    <w:rsid w:val="00FA503E"/>
    <w:rsid w:val="00FA5074"/>
    <w:rsid w:val="00FA5685"/>
    <w:rsid w:val="00FA56CD"/>
    <w:rsid w:val="00FA5874"/>
    <w:rsid w:val="00FA589F"/>
    <w:rsid w:val="00FA5C1A"/>
    <w:rsid w:val="00FA5C45"/>
    <w:rsid w:val="00FA5F11"/>
    <w:rsid w:val="00FA611B"/>
    <w:rsid w:val="00FA6166"/>
    <w:rsid w:val="00FA65DD"/>
    <w:rsid w:val="00FA6619"/>
    <w:rsid w:val="00FA665A"/>
    <w:rsid w:val="00FA6A64"/>
    <w:rsid w:val="00FA6D7C"/>
    <w:rsid w:val="00FA6F0C"/>
    <w:rsid w:val="00FA6FAE"/>
    <w:rsid w:val="00FA7273"/>
    <w:rsid w:val="00FA73D6"/>
    <w:rsid w:val="00FA7453"/>
    <w:rsid w:val="00FA74DF"/>
    <w:rsid w:val="00FA7523"/>
    <w:rsid w:val="00FA779B"/>
    <w:rsid w:val="00FA79B2"/>
    <w:rsid w:val="00FA7C03"/>
    <w:rsid w:val="00FA7CF4"/>
    <w:rsid w:val="00FB0146"/>
    <w:rsid w:val="00FB0471"/>
    <w:rsid w:val="00FB0649"/>
    <w:rsid w:val="00FB0701"/>
    <w:rsid w:val="00FB0C1B"/>
    <w:rsid w:val="00FB0D33"/>
    <w:rsid w:val="00FB0DA7"/>
    <w:rsid w:val="00FB1399"/>
    <w:rsid w:val="00FB1721"/>
    <w:rsid w:val="00FB185F"/>
    <w:rsid w:val="00FB1921"/>
    <w:rsid w:val="00FB194D"/>
    <w:rsid w:val="00FB1ED7"/>
    <w:rsid w:val="00FB20F8"/>
    <w:rsid w:val="00FB220D"/>
    <w:rsid w:val="00FB2306"/>
    <w:rsid w:val="00FB247E"/>
    <w:rsid w:val="00FB2740"/>
    <w:rsid w:val="00FB284A"/>
    <w:rsid w:val="00FB289C"/>
    <w:rsid w:val="00FB28A3"/>
    <w:rsid w:val="00FB2FD4"/>
    <w:rsid w:val="00FB3383"/>
    <w:rsid w:val="00FB33C1"/>
    <w:rsid w:val="00FB3520"/>
    <w:rsid w:val="00FB3D26"/>
    <w:rsid w:val="00FB4356"/>
    <w:rsid w:val="00FB4550"/>
    <w:rsid w:val="00FB4566"/>
    <w:rsid w:val="00FB4862"/>
    <w:rsid w:val="00FB4A0B"/>
    <w:rsid w:val="00FB4AE3"/>
    <w:rsid w:val="00FB4EE3"/>
    <w:rsid w:val="00FB5163"/>
    <w:rsid w:val="00FB5322"/>
    <w:rsid w:val="00FB54B7"/>
    <w:rsid w:val="00FB58F3"/>
    <w:rsid w:val="00FB5C07"/>
    <w:rsid w:val="00FB5D6A"/>
    <w:rsid w:val="00FB5F42"/>
    <w:rsid w:val="00FB606D"/>
    <w:rsid w:val="00FB6165"/>
    <w:rsid w:val="00FB63D9"/>
    <w:rsid w:val="00FB6617"/>
    <w:rsid w:val="00FB6CE5"/>
    <w:rsid w:val="00FB71DE"/>
    <w:rsid w:val="00FB72F7"/>
    <w:rsid w:val="00FB7370"/>
    <w:rsid w:val="00FB774D"/>
    <w:rsid w:val="00FB778D"/>
    <w:rsid w:val="00FB7961"/>
    <w:rsid w:val="00FB7ABC"/>
    <w:rsid w:val="00FB7B5C"/>
    <w:rsid w:val="00FC0130"/>
    <w:rsid w:val="00FC0272"/>
    <w:rsid w:val="00FC03CA"/>
    <w:rsid w:val="00FC073E"/>
    <w:rsid w:val="00FC0786"/>
    <w:rsid w:val="00FC0946"/>
    <w:rsid w:val="00FC0A2D"/>
    <w:rsid w:val="00FC0A69"/>
    <w:rsid w:val="00FC0BCA"/>
    <w:rsid w:val="00FC0C02"/>
    <w:rsid w:val="00FC1171"/>
    <w:rsid w:val="00FC1204"/>
    <w:rsid w:val="00FC1670"/>
    <w:rsid w:val="00FC1680"/>
    <w:rsid w:val="00FC1AB1"/>
    <w:rsid w:val="00FC1CE9"/>
    <w:rsid w:val="00FC1D02"/>
    <w:rsid w:val="00FC1DFB"/>
    <w:rsid w:val="00FC24E5"/>
    <w:rsid w:val="00FC258C"/>
    <w:rsid w:val="00FC287A"/>
    <w:rsid w:val="00FC28EA"/>
    <w:rsid w:val="00FC2C18"/>
    <w:rsid w:val="00FC2C6D"/>
    <w:rsid w:val="00FC3437"/>
    <w:rsid w:val="00FC3855"/>
    <w:rsid w:val="00FC3998"/>
    <w:rsid w:val="00FC3BD6"/>
    <w:rsid w:val="00FC3E13"/>
    <w:rsid w:val="00FC3E7D"/>
    <w:rsid w:val="00FC3FC3"/>
    <w:rsid w:val="00FC406D"/>
    <w:rsid w:val="00FC4150"/>
    <w:rsid w:val="00FC43BF"/>
    <w:rsid w:val="00FC451D"/>
    <w:rsid w:val="00FC45AE"/>
    <w:rsid w:val="00FC45D9"/>
    <w:rsid w:val="00FC46FA"/>
    <w:rsid w:val="00FC4804"/>
    <w:rsid w:val="00FC4B6A"/>
    <w:rsid w:val="00FC4CB8"/>
    <w:rsid w:val="00FC4CE7"/>
    <w:rsid w:val="00FC4D81"/>
    <w:rsid w:val="00FC52D6"/>
    <w:rsid w:val="00FC52E5"/>
    <w:rsid w:val="00FC5476"/>
    <w:rsid w:val="00FC5A2F"/>
    <w:rsid w:val="00FC5CF2"/>
    <w:rsid w:val="00FC5DC2"/>
    <w:rsid w:val="00FC5FBE"/>
    <w:rsid w:val="00FC6032"/>
    <w:rsid w:val="00FC60AB"/>
    <w:rsid w:val="00FC611E"/>
    <w:rsid w:val="00FC6495"/>
    <w:rsid w:val="00FC67CA"/>
    <w:rsid w:val="00FC6889"/>
    <w:rsid w:val="00FC69F9"/>
    <w:rsid w:val="00FC6A20"/>
    <w:rsid w:val="00FC6AFC"/>
    <w:rsid w:val="00FC6C3F"/>
    <w:rsid w:val="00FC6CE3"/>
    <w:rsid w:val="00FC7107"/>
    <w:rsid w:val="00FC713F"/>
    <w:rsid w:val="00FC756A"/>
    <w:rsid w:val="00FC759F"/>
    <w:rsid w:val="00FC7839"/>
    <w:rsid w:val="00FC7870"/>
    <w:rsid w:val="00FC7AF0"/>
    <w:rsid w:val="00FC7C8A"/>
    <w:rsid w:val="00FC7DB7"/>
    <w:rsid w:val="00FC7DFB"/>
    <w:rsid w:val="00FC7DFF"/>
    <w:rsid w:val="00FD0231"/>
    <w:rsid w:val="00FD04F2"/>
    <w:rsid w:val="00FD0543"/>
    <w:rsid w:val="00FD0AC9"/>
    <w:rsid w:val="00FD0DB2"/>
    <w:rsid w:val="00FD156D"/>
    <w:rsid w:val="00FD175C"/>
    <w:rsid w:val="00FD1AA6"/>
    <w:rsid w:val="00FD1B97"/>
    <w:rsid w:val="00FD1FB7"/>
    <w:rsid w:val="00FD2226"/>
    <w:rsid w:val="00FD22C4"/>
    <w:rsid w:val="00FD25CA"/>
    <w:rsid w:val="00FD2704"/>
    <w:rsid w:val="00FD2806"/>
    <w:rsid w:val="00FD2951"/>
    <w:rsid w:val="00FD2F64"/>
    <w:rsid w:val="00FD3070"/>
    <w:rsid w:val="00FD310D"/>
    <w:rsid w:val="00FD335C"/>
    <w:rsid w:val="00FD340C"/>
    <w:rsid w:val="00FD3443"/>
    <w:rsid w:val="00FD36C1"/>
    <w:rsid w:val="00FD3885"/>
    <w:rsid w:val="00FD3B8A"/>
    <w:rsid w:val="00FD3F70"/>
    <w:rsid w:val="00FD4118"/>
    <w:rsid w:val="00FD4358"/>
    <w:rsid w:val="00FD440F"/>
    <w:rsid w:val="00FD459E"/>
    <w:rsid w:val="00FD463B"/>
    <w:rsid w:val="00FD465B"/>
    <w:rsid w:val="00FD47FF"/>
    <w:rsid w:val="00FD480B"/>
    <w:rsid w:val="00FD48B8"/>
    <w:rsid w:val="00FD4B93"/>
    <w:rsid w:val="00FD4C4C"/>
    <w:rsid w:val="00FD4EC0"/>
    <w:rsid w:val="00FD5045"/>
    <w:rsid w:val="00FD5139"/>
    <w:rsid w:val="00FD536E"/>
    <w:rsid w:val="00FD55E8"/>
    <w:rsid w:val="00FD569B"/>
    <w:rsid w:val="00FD593A"/>
    <w:rsid w:val="00FD5B3C"/>
    <w:rsid w:val="00FD5BFC"/>
    <w:rsid w:val="00FD5DA4"/>
    <w:rsid w:val="00FD5FAE"/>
    <w:rsid w:val="00FD600C"/>
    <w:rsid w:val="00FD6038"/>
    <w:rsid w:val="00FD63E1"/>
    <w:rsid w:val="00FD6517"/>
    <w:rsid w:val="00FD6C9B"/>
    <w:rsid w:val="00FD6CCA"/>
    <w:rsid w:val="00FD7124"/>
    <w:rsid w:val="00FD718E"/>
    <w:rsid w:val="00FD7212"/>
    <w:rsid w:val="00FD72C4"/>
    <w:rsid w:val="00FD7348"/>
    <w:rsid w:val="00FD73EF"/>
    <w:rsid w:val="00FD7567"/>
    <w:rsid w:val="00FD77B4"/>
    <w:rsid w:val="00FD7B1A"/>
    <w:rsid w:val="00FD7BCB"/>
    <w:rsid w:val="00FD7CAB"/>
    <w:rsid w:val="00FD7CAD"/>
    <w:rsid w:val="00FD7FD4"/>
    <w:rsid w:val="00FE01BE"/>
    <w:rsid w:val="00FE048C"/>
    <w:rsid w:val="00FE0575"/>
    <w:rsid w:val="00FE06DA"/>
    <w:rsid w:val="00FE0729"/>
    <w:rsid w:val="00FE0740"/>
    <w:rsid w:val="00FE080A"/>
    <w:rsid w:val="00FE083F"/>
    <w:rsid w:val="00FE0CD7"/>
    <w:rsid w:val="00FE0EE9"/>
    <w:rsid w:val="00FE0F18"/>
    <w:rsid w:val="00FE1065"/>
    <w:rsid w:val="00FE112A"/>
    <w:rsid w:val="00FE123C"/>
    <w:rsid w:val="00FE1660"/>
    <w:rsid w:val="00FE1734"/>
    <w:rsid w:val="00FE175F"/>
    <w:rsid w:val="00FE1970"/>
    <w:rsid w:val="00FE19D2"/>
    <w:rsid w:val="00FE1ADF"/>
    <w:rsid w:val="00FE1BBE"/>
    <w:rsid w:val="00FE1CF0"/>
    <w:rsid w:val="00FE1D6B"/>
    <w:rsid w:val="00FE1D71"/>
    <w:rsid w:val="00FE1DB1"/>
    <w:rsid w:val="00FE1E76"/>
    <w:rsid w:val="00FE1FD2"/>
    <w:rsid w:val="00FE2092"/>
    <w:rsid w:val="00FE23B8"/>
    <w:rsid w:val="00FE25A6"/>
    <w:rsid w:val="00FE2703"/>
    <w:rsid w:val="00FE27A9"/>
    <w:rsid w:val="00FE284F"/>
    <w:rsid w:val="00FE2AF9"/>
    <w:rsid w:val="00FE2F27"/>
    <w:rsid w:val="00FE3007"/>
    <w:rsid w:val="00FE30BA"/>
    <w:rsid w:val="00FE3170"/>
    <w:rsid w:val="00FE32A6"/>
    <w:rsid w:val="00FE338D"/>
    <w:rsid w:val="00FE3430"/>
    <w:rsid w:val="00FE3616"/>
    <w:rsid w:val="00FE365B"/>
    <w:rsid w:val="00FE3A09"/>
    <w:rsid w:val="00FE3CB0"/>
    <w:rsid w:val="00FE3D86"/>
    <w:rsid w:val="00FE41E9"/>
    <w:rsid w:val="00FE45E1"/>
    <w:rsid w:val="00FE4650"/>
    <w:rsid w:val="00FE4787"/>
    <w:rsid w:val="00FE479F"/>
    <w:rsid w:val="00FE47FA"/>
    <w:rsid w:val="00FE4985"/>
    <w:rsid w:val="00FE4AD4"/>
    <w:rsid w:val="00FE4FDE"/>
    <w:rsid w:val="00FE4FE3"/>
    <w:rsid w:val="00FE5034"/>
    <w:rsid w:val="00FE5332"/>
    <w:rsid w:val="00FE5451"/>
    <w:rsid w:val="00FE552E"/>
    <w:rsid w:val="00FE5530"/>
    <w:rsid w:val="00FE5603"/>
    <w:rsid w:val="00FE5647"/>
    <w:rsid w:val="00FE56DD"/>
    <w:rsid w:val="00FE56E5"/>
    <w:rsid w:val="00FE56F7"/>
    <w:rsid w:val="00FE572A"/>
    <w:rsid w:val="00FE57B8"/>
    <w:rsid w:val="00FE5B19"/>
    <w:rsid w:val="00FE5B6D"/>
    <w:rsid w:val="00FE5D52"/>
    <w:rsid w:val="00FE60CE"/>
    <w:rsid w:val="00FE634F"/>
    <w:rsid w:val="00FE637F"/>
    <w:rsid w:val="00FE689E"/>
    <w:rsid w:val="00FE6916"/>
    <w:rsid w:val="00FE691C"/>
    <w:rsid w:val="00FE6983"/>
    <w:rsid w:val="00FE6C95"/>
    <w:rsid w:val="00FE6E1C"/>
    <w:rsid w:val="00FE6E20"/>
    <w:rsid w:val="00FE6F15"/>
    <w:rsid w:val="00FE6FF0"/>
    <w:rsid w:val="00FE7007"/>
    <w:rsid w:val="00FE7012"/>
    <w:rsid w:val="00FE7026"/>
    <w:rsid w:val="00FE7155"/>
    <w:rsid w:val="00FE71BE"/>
    <w:rsid w:val="00FE777E"/>
    <w:rsid w:val="00FE77DA"/>
    <w:rsid w:val="00FE786F"/>
    <w:rsid w:val="00FE7B87"/>
    <w:rsid w:val="00FE7C84"/>
    <w:rsid w:val="00FE7C96"/>
    <w:rsid w:val="00FE7D1D"/>
    <w:rsid w:val="00FE7E84"/>
    <w:rsid w:val="00FE7ED4"/>
    <w:rsid w:val="00FF0293"/>
    <w:rsid w:val="00FF036C"/>
    <w:rsid w:val="00FF07A4"/>
    <w:rsid w:val="00FF0A5B"/>
    <w:rsid w:val="00FF0BFB"/>
    <w:rsid w:val="00FF0DCC"/>
    <w:rsid w:val="00FF0DD8"/>
    <w:rsid w:val="00FF0E3E"/>
    <w:rsid w:val="00FF103A"/>
    <w:rsid w:val="00FF16C3"/>
    <w:rsid w:val="00FF1A31"/>
    <w:rsid w:val="00FF1EA6"/>
    <w:rsid w:val="00FF2088"/>
    <w:rsid w:val="00FF2177"/>
    <w:rsid w:val="00FF269C"/>
    <w:rsid w:val="00FF27B1"/>
    <w:rsid w:val="00FF291E"/>
    <w:rsid w:val="00FF294C"/>
    <w:rsid w:val="00FF2953"/>
    <w:rsid w:val="00FF2BCE"/>
    <w:rsid w:val="00FF2CE9"/>
    <w:rsid w:val="00FF2F5D"/>
    <w:rsid w:val="00FF2FEC"/>
    <w:rsid w:val="00FF308D"/>
    <w:rsid w:val="00FF32FA"/>
    <w:rsid w:val="00FF3443"/>
    <w:rsid w:val="00FF367A"/>
    <w:rsid w:val="00FF36AB"/>
    <w:rsid w:val="00FF390D"/>
    <w:rsid w:val="00FF39BB"/>
    <w:rsid w:val="00FF3ADB"/>
    <w:rsid w:val="00FF3B8E"/>
    <w:rsid w:val="00FF3BD6"/>
    <w:rsid w:val="00FF3DD7"/>
    <w:rsid w:val="00FF3E0A"/>
    <w:rsid w:val="00FF4230"/>
    <w:rsid w:val="00FF4310"/>
    <w:rsid w:val="00FF4579"/>
    <w:rsid w:val="00FF45AC"/>
    <w:rsid w:val="00FF4A4D"/>
    <w:rsid w:val="00FF4C63"/>
    <w:rsid w:val="00FF4EAE"/>
    <w:rsid w:val="00FF4F94"/>
    <w:rsid w:val="00FF4FF6"/>
    <w:rsid w:val="00FF51D9"/>
    <w:rsid w:val="00FF5392"/>
    <w:rsid w:val="00FF568C"/>
    <w:rsid w:val="00FF593C"/>
    <w:rsid w:val="00FF5B48"/>
    <w:rsid w:val="00FF5CBA"/>
    <w:rsid w:val="00FF5DD0"/>
    <w:rsid w:val="00FF5E4C"/>
    <w:rsid w:val="00FF5E68"/>
    <w:rsid w:val="00FF5F7A"/>
    <w:rsid w:val="00FF6007"/>
    <w:rsid w:val="00FF6146"/>
    <w:rsid w:val="00FF6187"/>
    <w:rsid w:val="00FF6200"/>
    <w:rsid w:val="00FF6214"/>
    <w:rsid w:val="00FF6220"/>
    <w:rsid w:val="00FF627D"/>
    <w:rsid w:val="00FF6295"/>
    <w:rsid w:val="00FF6457"/>
    <w:rsid w:val="00FF6C9A"/>
    <w:rsid w:val="00FF6F99"/>
    <w:rsid w:val="00FF7219"/>
    <w:rsid w:val="00FF73F9"/>
    <w:rsid w:val="00FF7750"/>
    <w:rsid w:val="00FF7824"/>
    <w:rsid w:val="00FF794E"/>
    <w:rsid w:val="00FF7CC6"/>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v:stroke color="whit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table of authoriti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99" w:unhideWhenUsed="0" w:qFormat="1"/>
    <w:lsdException w:name="Intense Emphasis" w:locked="0" w:semiHidden="0" w:uiPriority="99" w:unhideWhenUsed="0" w:qFormat="1"/>
    <w:lsdException w:name="Subtle Reference" w:locked="0" w:semiHidden="0" w:uiPriority="99" w:unhideWhenUsed="0" w:qFormat="1"/>
    <w:lsdException w:name="Intense Reference" w:locked="0" w:semiHidden="0" w:uiPriority="99" w:unhideWhenUsed="0" w:qFormat="1"/>
    <w:lsdException w:name="Book Title" w:locked="0" w:semiHidden="0" w:uiPriority="99" w:unhideWhenUsed="0" w:qFormat="1"/>
    <w:lsdException w:name="Bibliography" w:locked="0" w:uiPriority="37"/>
    <w:lsdException w:name="TOC Heading" w:locked="0" w:uiPriority="99" w:qFormat="1"/>
  </w:latentStyles>
  <w:style w:type="paragraph" w:default="1" w:styleId="Normal">
    <w:name w:val="Normal"/>
    <w:qFormat/>
    <w:rsid w:val="006815BB"/>
    <w:rPr>
      <w:rFonts w:ascii="Palatino" w:hAnsi="Palatino"/>
      <w:sz w:val="26"/>
    </w:rPr>
  </w:style>
  <w:style w:type="paragraph" w:styleId="Heading1">
    <w:name w:val="heading 1"/>
    <w:aliases w:val="h1"/>
    <w:basedOn w:val="Normal"/>
    <w:link w:val="Heading1Char"/>
    <w:uiPriority w:val="99"/>
    <w:qFormat/>
    <w:rsid w:val="00A4093B"/>
    <w:pPr>
      <w:keepNext/>
      <w:numPr>
        <w:numId w:val="21"/>
      </w:numPr>
      <w:spacing w:before="120" w:after="120"/>
      <w:ind w:right="1440"/>
      <w:outlineLvl w:val="0"/>
    </w:pPr>
    <w:rPr>
      <w:rFonts w:ascii="Helvetica" w:hAnsi="Helvetica"/>
      <w:b/>
      <w:kern w:val="28"/>
    </w:rPr>
  </w:style>
  <w:style w:type="paragraph" w:styleId="Heading2">
    <w:name w:val="heading 2"/>
    <w:aliases w:val="h2"/>
    <w:basedOn w:val="Heading1"/>
    <w:link w:val="Heading2Char"/>
    <w:uiPriority w:val="99"/>
    <w:qFormat/>
    <w:rsid w:val="00214651"/>
    <w:pPr>
      <w:numPr>
        <w:ilvl w:val="1"/>
      </w:numPr>
      <w:ind w:right="720"/>
      <w:outlineLvl w:val="1"/>
    </w:pPr>
  </w:style>
  <w:style w:type="paragraph" w:styleId="Heading3">
    <w:name w:val="heading 3"/>
    <w:aliases w:val="h3"/>
    <w:basedOn w:val="Heading1"/>
    <w:link w:val="Heading3Char"/>
    <w:uiPriority w:val="99"/>
    <w:qFormat/>
    <w:rsid w:val="005719C6"/>
    <w:pPr>
      <w:numPr>
        <w:ilvl w:val="2"/>
      </w:numPr>
      <w:outlineLvl w:val="2"/>
    </w:pPr>
  </w:style>
  <w:style w:type="paragraph" w:styleId="Heading4">
    <w:name w:val="heading 4"/>
    <w:aliases w:val="h4"/>
    <w:basedOn w:val="Heading3"/>
    <w:link w:val="Heading4Char"/>
    <w:uiPriority w:val="99"/>
    <w:qFormat/>
    <w:rsid w:val="00D87EBE"/>
    <w:pPr>
      <w:numPr>
        <w:ilvl w:val="3"/>
      </w:numPr>
      <w:tabs>
        <w:tab w:val="clear" w:pos="2160"/>
        <w:tab w:val="num" w:pos="1800"/>
      </w:tabs>
      <w:ind w:left="1800" w:hanging="1080"/>
      <w:outlineLvl w:val="3"/>
    </w:pPr>
  </w:style>
  <w:style w:type="paragraph" w:styleId="Heading5">
    <w:name w:val="heading 5"/>
    <w:aliases w:val="h5"/>
    <w:basedOn w:val="Heading4"/>
    <w:link w:val="Heading5Char"/>
    <w:uiPriority w:val="99"/>
    <w:qFormat/>
    <w:rsid w:val="002570D5"/>
    <w:pPr>
      <w:numPr>
        <w:ilvl w:val="4"/>
      </w:numPr>
      <w:tabs>
        <w:tab w:val="clear" w:pos="3600"/>
        <w:tab w:val="num" w:pos="1980"/>
      </w:tabs>
      <w:ind w:left="1980" w:hanging="1260"/>
      <w:outlineLvl w:val="4"/>
    </w:pPr>
  </w:style>
  <w:style w:type="paragraph" w:styleId="Heading6">
    <w:name w:val="heading 6"/>
    <w:aliases w:val="h6"/>
    <w:basedOn w:val="Heading5"/>
    <w:link w:val="Heading6Char"/>
    <w:uiPriority w:val="99"/>
    <w:qFormat/>
    <w:rsid w:val="00F45FB4"/>
    <w:pPr>
      <w:numPr>
        <w:ilvl w:val="5"/>
        <w:numId w:val="22"/>
      </w:numPr>
      <w:outlineLvl w:val="5"/>
    </w:pPr>
  </w:style>
  <w:style w:type="paragraph" w:styleId="Heading7">
    <w:name w:val="heading 7"/>
    <w:aliases w:val="h7"/>
    <w:basedOn w:val="Heading6"/>
    <w:link w:val="Heading7Char"/>
    <w:uiPriority w:val="99"/>
    <w:qFormat/>
    <w:rsid w:val="00F45FB4"/>
    <w:pPr>
      <w:numPr>
        <w:ilvl w:val="6"/>
      </w:numPr>
      <w:outlineLvl w:val="6"/>
    </w:pPr>
  </w:style>
  <w:style w:type="paragraph" w:styleId="Heading8">
    <w:name w:val="heading 8"/>
    <w:aliases w:val="h8"/>
    <w:basedOn w:val="Heading7"/>
    <w:next w:val="Normal"/>
    <w:link w:val="Heading8Char"/>
    <w:uiPriority w:val="99"/>
    <w:qFormat/>
    <w:rsid w:val="00F45FB4"/>
    <w:pPr>
      <w:numPr>
        <w:ilvl w:val="7"/>
      </w:numPr>
      <w:outlineLvl w:val="7"/>
    </w:pPr>
  </w:style>
  <w:style w:type="paragraph" w:styleId="Heading9">
    <w:name w:val="heading 9"/>
    <w:aliases w:val="h9"/>
    <w:basedOn w:val="Heading8"/>
    <w:next w:val="Normal"/>
    <w:link w:val="Heading9Char"/>
    <w:uiPriority w:val="99"/>
    <w:qFormat/>
    <w:rsid w:val="00F45FB4"/>
    <w:pPr>
      <w:numPr>
        <w:ilvl w:val="8"/>
      </w:numPr>
      <w:ind w:right="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A4093B"/>
    <w:rPr>
      <w:rFonts w:ascii="Helvetica" w:hAnsi="Helvetica"/>
      <w:b/>
      <w:kern w:val="28"/>
      <w:sz w:val="26"/>
    </w:rPr>
  </w:style>
  <w:style w:type="character" w:customStyle="1" w:styleId="Heading2Char">
    <w:name w:val="Heading 2 Char"/>
    <w:aliases w:val="h2 Char"/>
    <w:link w:val="Heading2"/>
    <w:uiPriority w:val="99"/>
    <w:locked/>
    <w:rsid w:val="00214651"/>
    <w:rPr>
      <w:rFonts w:ascii="Helvetica" w:hAnsi="Helvetica"/>
      <w:b/>
      <w:kern w:val="28"/>
      <w:sz w:val="26"/>
    </w:rPr>
  </w:style>
  <w:style w:type="character" w:customStyle="1" w:styleId="Heading3Char">
    <w:name w:val="Heading 3 Char"/>
    <w:aliases w:val="h3 Char"/>
    <w:link w:val="Heading3"/>
    <w:uiPriority w:val="99"/>
    <w:locked/>
    <w:rsid w:val="005719C6"/>
    <w:rPr>
      <w:rFonts w:ascii="Helvetica" w:hAnsi="Helvetica"/>
      <w:b/>
      <w:kern w:val="28"/>
      <w:sz w:val="26"/>
    </w:rPr>
  </w:style>
  <w:style w:type="character" w:customStyle="1" w:styleId="Heading4Char">
    <w:name w:val="Heading 4 Char"/>
    <w:aliases w:val="h4 Char"/>
    <w:link w:val="Heading4"/>
    <w:uiPriority w:val="99"/>
    <w:locked/>
    <w:rsid w:val="00D87EBE"/>
    <w:rPr>
      <w:rFonts w:ascii="Helvetica" w:hAnsi="Helvetica"/>
      <w:b/>
      <w:kern w:val="28"/>
      <w:sz w:val="26"/>
    </w:rPr>
  </w:style>
  <w:style w:type="character" w:customStyle="1" w:styleId="Heading5Char">
    <w:name w:val="Heading 5 Char"/>
    <w:aliases w:val="h5 Char"/>
    <w:link w:val="Heading5"/>
    <w:uiPriority w:val="99"/>
    <w:locked/>
    <w:rsid w:val="002570D5"/>
    <w:rPr>
      <w:rFonts w:ascii="Helvetica" w:hAnsi="Helvetica"/>
      <w:b/>
      <w:kern w:val="28"/>
      <w:sz w:val="26"/>
    </w:rPr>
  </w:style>
  <w:style w:type="character" w:customStyle="1" w:styleId="Heading6Char">
    <w:name w:val="Heading 6 Char"/>
    <w:aliases w:val="h6 Char"/>
    <w:link w:val="Heading6"/>
    <w:uiPriority w:val="99"/>
    <w:locked/>
    <w:rsid w:val="005719C6"/>
    <w:rPr>
      <w:rFonts w:ascii="Helvetica" w:hAnsi="Helvetica"/>
      <w:b/>
      <w:kern w:val="28"/>
      <w:sz w:val="26"/>
    </w:rPr>
  </w:style>
  <w:style w:type="character" w:customStyle="1" w:styleId="Heading7Char">
    <w:name w:val="Heading 7 Char"/>
    <w:aliases w:val="h7 Char"/>
    <w:link w:val="Heading7"/>
    <w:uiPriority w:val="99"/>
    <w:locked/>
    <w:rsid w:val="005719C6"/>
    <w:rPr>
      <w:rFonts w:ascii="Helvetica" w:hAnsi="Helvetica"/>
      <w:b/>
      <w:kern w:val="28"/>
      <w:sz w:val="26"/>
    </w:rPr>
  </w:style>
  <w:style w:type="character" w:customStyle="1" w:styleId="Heading8Char">
    <w:name w:val="Heading 8 Char"/>
    <w:aliases w:val="h8 Char"/>
    <w:link w:val="Heading8"/>
    <w:uiPriority w:val="99"/>
    <w:locked/>
    <w:rsid w:val="005719C6"/>
    <w:rPr>
      <w:rFonts w:ascii="Helvetica" w:hAnsi="Helvetica"/>
      <w:b/>
      <w:kern w:val="28"/>
      <w:sz w:val="26"/>
    </w:rPr>
  </w:style>
  <w:style w:type="character" w:customStyle="1" w:styleId="Heading9Char">
    <w:name w:val="Heading 9 Char"/>
    <w:aliases w:val="h9 Char"/>
    <w:link w:val="Heading9"/>
    <w:uiPriority w:val="99"/>
    <w:locked/>
    <w:rsid w:val="00096A5A"/>
    <w:rPr>
      <w:rFonts w:ascii="Helvetica" w:hAnsi="Helvetica"/>
      <w:b/>
      <w:kern w:val="28"/>
      <w:sz w:val="26"/>
    </w:rPr>
  </w:style>
  <w:style w:type="paragraph" w:customStyle="1" w:styleId="standard">
    <w:name w:val="standard"/>
    <w:basedOn w:val="Normal"/>
    <w:link w:val="standardChar"/>
    <w:rsid w:val="00E60844"/>
    <w:pPr>
      <w:spacing w:line="360" w:lineRule="auto"/>
      <w:ind w:firstLine="720"/>
    </w:pPr>
  </w:style>
  <w:style w:type="paragraph" w:styleId="CommentText">
    <w:name w:val="annotation text"/>
    <w:basedOn w:val="Normal"/>
    <w:link w:val="CommentTextChar"/>
    <w:uiPriority w:val="99"/>
    <w:semiHidden/>
    <w:rsid w:val="00E60844"/>
    <w:rPr>
      <w:sz w:val="20"/>
    </w:rPr>
  </w:style>
  <w:style w:type="character" w:customStyle="1" w:styleId="CommentTextChar">
    <w:name w:val="Comment Text Char"/>
    <w:link w:val="CommentText"/>
    <w:uiPriority w:val="99"/>
    <w:semiHidden/>
    <w:locked/>
    <w:rsid w:val="001B7596"/>
    <w:rPr>
      <w:rFonts w:ascii="Palatino" w:hAnsi="Palatino" w:cs="Times New Roman"/>
      <w:sz w:val="20"/>
    </w:rPr>
  </w:style>
  <w:style w:type="paragraph" w:styleId="CommentSubject">
    <w:name w:val="annotation subject"/>
    <w:basedOn w:val="CommentText"/>
    <w:next w:val="CommentText"/>
    <w:link w:val="CommentSubjectChar"/>
    <w:uiPriority w:val="99"/>
    <w:semiHidden/>
    <w:rsid w:val="00E60844"/>
    <w:rPr>
      <w:b/>
    </w:rPr>
  </w:style>
  <w:style w:type="character" w:customStyle="1" w:styleId="CommentSubjectChar">
    <w:name w:val="Comment Subject Char"/>
    <w:link w:val="CommentSubject"/>
    <w:uiPriority w:val="99"/>
    <w:semiHidden/>
    <w:locked/>
    <w:rsid w:val="001B7596"/>
    <w:rPr>
      <w:rFonts w:ascii="Palatino" w:hAnsi="Palatino" w:cs="Times New Roman"/>
      <w:b/>
      <w:sz w:val="20"/>
    </w:rPr>
  </w:style>
  <w:style w:type="paragraph" w:customStyle="1" w:styleId="Quotation">
    <w:name w:val="Quotation"/>
    <w:basedOn w:val="Normal"/>
    <w:next w:val="Normal"/>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iPriority w:val="99"/>
    <w:qFormat/>
    <w:rsid w:val="00DE4938"/>
    <w:pPr>
      <w:tabs>
        <w:tab w:val="left" w:pos="216"/>
      </w:tabs>
      <w:spacing w:after="60"/>
      <w:ind w:left="216" w:hanging="216"/>
    </w:pPr>
    <w:rPr>
      <w:sz w:val="22"/>
    </w:rPr>
  </w:style>
  <w:style w:type="paragraph" w:styleId="BodyText">
    <w:name w:val="Body Text"/>
    <w:basedOn w:val="Normal"/>
    <w:link w:val="BodyTextChar"/>
    <w:uiPriority w:val="1"/>
    <w:unhideWhenUsed/>
    <w:qFormat/>
    <w:locked/>
    <w:rsid w:val="00902B0C"/>
    <w:pPr>
      <w:spacing w:after="240"/>
    </w:pPr>
    <w:rPr>
      <w:rFonts w:ascii="Times New Roman" w:hAnsi="Times New Roman"/>
      <w:sz w:val="24"/>
      <w:szCs w:val="22"/>
      <w:lang w:eastAsia="zh-CN"/>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uiPriority w:val="99"/>
    <w:qFormat/>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8"/>
      </w:numPr>
      <w:suppressAutoHyphens/>
      <w:spacing w:line="360" w:lineRule="auto"/>
    </w:pPr>
  </w:style>
  <w:style w:type="paragraph" w:styleId="TOC4">
    <w:name w:val="toc 4"/>
    <w:basedOn w:val="Normal"/>
    <w:next w:val="Normal"/>
    <w:uiPriority w:val="39"/>
    <w:rsid w:val="009170FA"/>
    <w:pPr>
      <w:tabs>
        <w:tab w:val="left" w:pos="3510"/>
        <w:tab w:val="right" w:leader="dot" w:pos="9346"/>
      </w:tabs>
      <w:ind w:left="3510" w:right="720" w:hanging="1080"/>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uiPriority w:val="99"/>
    <w:locked/>
    <w:rsid w:val="00163666"/>
    <w:pPr>
      <w:tabs>
        <w:tab w:val="center" w:pos="4680"/>
        <w:tab w:val="right" w:pos="9360"/>
      </w:tabs>
    </w:pPr>
  </w:style>
  <w:style w:type="character" w:customStyle="1" w:styleId="HeaderChar">
    <w:name w:val="Header Char"/>
    <w:link w:val="Header"/>
    <w:uiPriority w:val="99"/>
    <w:rsid w:val="00163666"/>
    <w:rPr>
      <w:rFonts w:ascii="Palatino" w:hAnsi="Palatino"/>
      <w:sz w:val="26"/>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uiPriority w:val="99"/>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uiPriority w:val="99"/>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numbering" w:customStyle="1" w:styleId="AppendixHeader">
    <w:name w:val="Appendix Header"/>
    <w:uiPriority w:val="99"/>
    <w:rsid w:val="00AD7257"/>
    <w:pPr>
      <w:numPr>
        <w:numId w:val="19"/>
      </w:numPr>
    </w:pPr>
  </w:style>
  <w:style w:type="character" w:customStyle="1" w:styleId="BodyTextChar">
    <w:name w:val="Body Text Char"/>
    <w:link w:val="BodyText"/>
    <w:uiPriority w:val="1"/>
    <w:rsid w:val="00902B0C"/>
    <w:rPr>
      <w:sz w:val="24"/>
      <w:szCs w:val="22"/>
      <w:lang w:eastAsia="zh-CN"/>
    </w:rPr>
  </w:style>
  <w:style w:type="paragraph" w:styleId="Quote">
    <w:name w:val="Quote"/>
    <w:basedOn w:val="Normal"/>
    <w:next w:val="Normal"/>
    <w:link w:val="QuoteChar"/>
    <w:uiPriority w:val="99"/>
    <w:qFormat/>
    <w:rsid w:val="00902B0C"/>
    <w:pPr>
      <w:spacing w:after="240"/>
      <w:ind w:left="1440" w:right="1440"/>
    </w:pPr>
    <w:rPr>
      <w:rFonts w:ascii="Times New Roman" w:hAnsi="Times New Roman"/>
      <w:sz w:val="24"/>
    </w:rPr>
  </w:style>
  <w:style w:type="character" w:customStyle="1" w:styleId="QuoteChar">
    <w:name w:val="Quote Char"/>
    <w:link w:val="Quote"/>
    <w:rsid w:val="00902B0C"/>
    <w:rPr>
      <w:sz w:val="24"/>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styleId="ListParagraph">
    <w:name w:val="List Paragraph"/>
    <w:basedOn w:val="Normal"/>
    <w:uiPriority w:val="34"/>
    <w:qFormat/>
    <w:rsid w:val="00AD7257"/>
    <w:pPr>
      <w:ind w:left="720"/>
      <w:contextualSpacing/>
    </w:pPr>
  </w:style>
  <w:style w:type="paragraph" w:styleId="TOC1">
    <w:name w:val="toc 1"/>
    <w:basedOn w:val="Normal"/>
    <w:next w:val="Normal"/>
    <w:uiPriority w:val="39"/>
    <w:qFormat/>
    <w:rsid w:val="00120DD7"/>
    <w:pPr>
      <w:keepNext/>
      <w:tabs>
        <w:tab w:val="left" w:pos="520"/>
        <w:tab w:val="right" w:leader="dot" w:pos="9350"/>
      </w:tabs>
      <w:spacing w:before="20" w:after="40"/>
      <w:ind w:right="720"/>
    </w:pPr>
    <w:rPr>
      <w:noProof/>
      <w:szCs w:val="26"/>
    </w:rPr>
  </w:style>
  <w:style w:type="paragraph" w:styleId="TOC2">
    <w:name w:val="toc 2"/>
    <w:basedOn w:val="Normal"/>
    <w:next w:val="Normal"/>
    <w:autoRedefine/>
    <w:uiPriority w:val="39"/>
    <w:qFormat/>
    <w:rsid w:val="00557C97"/>
    <w:pPr>
      <w:tabs>
        <w:tab w:val="left" w:pos="1170"/>
        <w:tab w:val="right" w:leader="dot" w:pos="9350"/>
      </w:tabs>
      <w:spacing w:before="20" w:after="20"/>
      <w:ind w:left="1166" w:right="720" w:hanging="619"/>
    </w:pPr>
    <w:rPr>
      <w:noProof/>
      <w:szCs w:val="26"/>
    </w:rPr>
  </w:style>
  <w:style w:type="paragraph" w:styleId="TOC3">
    <w:name w:val="toc 3"/>
    <w:basedOn w:val="Normal"/>
    <w:next w:val="Normal"/>
    <w:autoRedefine/>
    <w:uiPriority w:val="39"/>
    <w:qFormat/>
    <w:rsid w:val="009170FA"/>
    <w:pPr>
      <w:tabs>
        <w:tab w:val="left" w:pos="2250"/>
        <w:tab w:val="right" w:leader="dot" w:pos="9350"/>
      </w:tabs>
      <w:ind w:left="2250" w:right="720" w:hanging="810"/>
    </w:pPr>
    <w:rPr>
      <w:noProof/>
      <w:szCs w:val="24"/>
    </w:rPr>
  </w:style>
  <w:style w:type="paragraph" w:styleId="TOC5">
    <w:name w:val="toc 5"/>
    <w:basedOn w:val="Normal"/>
    <w:next w:val="Normal"/>
    <w:autoRedefine/>
    <w:uiPriority w:val="39"/>
    <w:rsid w:val="00633FD0"/>
    <w:pPr>
      <w:tabs>
        <w:tab w:val="left" w:pos="4680"/>
        <w:tab w:val="right" w:leader="dot" w:pos="9346"/>
      </w:tabs>
      <w:ind w:left="4680" w:right="720" w:hanging="1260"/>
    </w:pPr>
    <w:rPr>
      <w:noProof/>
      <w:szCs w:val="24"/>
    </w:rPr>
  </w:style>
  <w:style w:type="paragraph" w:styleId="TOC6">
    <w:name w:val="toc 6"/>
    <w:basedOn w:val="Normal"/>
    <w:next w:val="Normal"/>
    <w:autoRedefine/>
    <w:uiPriority w:val="39"/>
    <w:rsid w:val="00E60844"/>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Normal"/>
    <w:next w:val="Normal"/>
    <w:uiPriority w:val="39"/>
    <w:rsid w:val="0000439C"/>
    <w:pPr>
      <w:tabs>
        <w:tab w:val="right" w:leader="dot" w:pos="9350"/>
      </w:tabs>
      <w:spacing w:before="20" w:after="20"/>
      <w:ind w:left="806" w:right="720" w:hanging="518"/>
    </w:pPr>
    <w:rPr>
      <w:noProof/>
      <w:szCs w:val="26"/>
    </w:rPr>
  </w:style>
  <w:style w:type="paragraph" w:styleId="NormalWeb">
    <w:name w:val="Normal (Web)"/>
    <w:basedOn w:val="Normal"/>
    <w:uiPriority w:val="99"/>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B83F57"/>
    <w:pPr>
      <w:spacing w:line="240" w:lineRule="auto"/>
      <w:ind w:firstLine="0"/>
    </w:pPr>
    <w:rPr>
      <w:sz w:val="24"/>
      <w:vertAlign w:val="superscript"/>
    </w:rPr>
  </w:style>
  <w:style w:type="paragraph" w:customStyle="1" w:styleId="TOCHeader">
    <w:name w:val="TOC Header"/>
    <w:basedOn w:val="Normal"/>
    <w:rsid w:val="00902B0C"/>
    <w:pPr>
      <w:ind w:left="115" w:right="115"/>
      <w:jc w:val="center"/>
    </w:pPr>
    <w:rPr>
      <w:rFonts w:ascii="Times New Roman" w:hAnsi="Times New Roman"/>
      <w:sz w:val="24"/>
    </w:rPr>
  </w:style>
  <w:style w:type="character" w:customStyle="1" w:styleId="standardChar">
    <w:name w:val="standard Char"/>
    <w:link w:val="standard"/>
    <w:locked/>
    <w:rsid w:val="00E60844"/>
    <w:rPr>
      <w:rFonts w:ascii="Palatino" w:hAnsi="Palatino"/>
      <w:sz w:val="26"/>
      <w:lang w:val="en-US" w:eastAsia="en-US"/>
    </w:rPr>
  </w:style>
  <w:style w:type="paragraph" w:customStyle="1" w:styleId="Level1">
    <w:name w:val="Level 1"/>
    <w:basedOn w:val="Normal"/>
    <w:rsid w:val="00E60844"/>
    <w:pPr>
      <w:keepNext/>
      <w:numPr>
        <w:numId w:val="6"/>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6"/>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uiPriority w:val="99"/>
    <w:locked/>
    <w:rsid w:val="00DE4938"/>
    <w:rPr>
      <w:rFonts w:ascii="Palatino" w:hAnsi="Palatino"/>
      <w:sz w:val="22"/>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6"/>
      </w:numPr>
      <w:suppressAutoHyphens/>
      <w:spacing w:after="240"/>
      <w:outlineLvl w:val="2"/>
    </w:pPr>
    <w:rPr>
      <w:rFonts w:ascii="Times New Roman" w:eastAsia="SimSun" w:hAnsi="Times New Roman"/>
      <w:sz w:val="24"/>
    </w:rPr>
  </w:style>
  <w:style w:type="paragraph" w:customStyle="1" w:styleId="Level4">
    <w:name w:val="Level 4"/>
    <w:basedOn w:val="Normal"/>
    <w:rsid w:val="00E60844"/>
    <w:pPr>
      <w:numPr>
        <w:ilvl w:val="3"/>
        <w:numId w:val="6"/>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 5"/>
    <w:basedOn w:val="Normal"/>
    <w:rsid w:val="00E60844"/>
    <w:pPr>
      <w:numPr>
        <w:ilvl w:val="4"/>
        <w:numId w:val="6"/>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6"/>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6"/>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rsid w:val="007B3791"/>
    <w:pPr>
      <w:numPr>
        <w:numId w:val="18"/>
      </w:numPr>
      <w:spacing w:after="80" w:line="240" w:lineRule="auto"/>
      <w:ind w:right="720"/>
    </w:pPr>
    <w:rPr>
      <w:rFonts w:eastAsia="Calibri"/>
    </w:rPr>
  </w:style>
  <w:style w:type="paragraph" w:customStyle="1" w:styleId="Level8">
    <w:name w:val="Level 8"/>
    <w:basedOn w:val="Normal"/>
    <w:rsid w:val="00E60844"/>
    <w:pPr>
      <w:numPr>
        <w:ilvl w:val="7"/>
        <w:numId w:val="6"/>
      </w:numPr>
      <w:suppressAutoHyphens/>
      <w:spacing w:after="240"/>
      <w:outlineLvl w:val="7"/>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character" w:customStyle="1" w:styleId="StandardFootnoteReferenceChar">
    <w:name w:val="Standard Footnote Reference Char"/>
    <w:link w:val="StandardFootnoteReference"/>
    <w:locked/>
    <w:rsid w:val="00B83F57"/>
    <w:rPr>
      <w:rFonts w:ascii="Palatino" w:hAnsi="Palatino"/>
      <w:sz w:val="24"/>
      <w:vertAlign w:val="superscript"/>
    </w:rPr>
  </w:style>
  <w:style w:type="character" w:styleId="Emphasis">
    <w:name w:val="Emphasis"/>
    <w:uiPriority w:val="20"/>
    <w:qFormat/>
    <w:rsid w:val="00E60844"/>
    <w:rPr>
      <w:rFonts w:cs="Times New Roman"/>
      <w:i/>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paragraph" w:customStyle="1" w:styleId="StyleListParagraphHelveticaBold">
    <w:name w:val="Style List Paragraph + Helvetica Bold"/>
    <w:basedOn w:val="ListParagraph"/>
    <w:rsid w:val="00AD7257"/>
    <w:pPr>
      <w:jc w:val="center"/>
    </w:pPr>
    <w:rPr>
      <w:rFonts w:ascii="Helvetica" w:hAnsi="Helvetica"/>
      <w:b/>
      <w:bCs/>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7B3791"/>
    <w:rPr>
      <w:rFonts w:ascii="Palatino" w:eastAsia="Calibri"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Normal0">
    <w:name w:val="@Normal"/>
    <w:rsid w:val="00F00AD9"/>
    <w:pPr>
      <w:suppressAutoHyphens/>
    </w:pPr>
    <w:rPr>
      <w:sz w:val="24"/>
    </w:rPr>
  </w:style>
  <w:style w:type="paragraph" w:customStyle="1" w:styleId="StyleStandardQuotationAfter4pt">
    <w:name w:val="Style Standard Quotation + After:  4 pt"/>
    <w:basedOn w:val="StandardQuotation"/>
    <w:rsid w:val="00E60844"/>
    <w:pPr>
      <w:spacing w:after="80"/>
    </w:pPr>
  </w:style>
  <w:style w:type="character" w:styleId="Strong">
    <w:name w:val="Strong"/>
    <w:uiPriority w:val="99"/>
    <w:qFormat/>
    <w:rsid w:val="00E60844"/>
    <w:rPr>
      <w:rFonts w:cs="Times New Roman"/>
      <w:b/>
    </w:rPr>
  </w:style>
  <w:style w:type="paragraph" w:styleId="Subtitle">
    <w:name w:val="Subtitle"/>
    <w:basedOn w:val="Normal"/>
    <w:link w:val="SubtitleChar"/>
    <w:uiPriority w:val="99"/>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uiPriority w:val="99"/>
    <w:semiHidden/>
    <w:rsid w:val="00E60844"/>
    <w:pPr>
      <w:ind w:left="240" w:hanging="240"/>
    </w:pPr>
    <w:rPr>
      <w:rFonts w:ascii="Times New Roman" w:hAnsi="Times New Roman"/>
      <w:sz w:val="24"/>
      <w:szCs w:val="24"/>
    </w:rPr>
  </w:style>
  <w:style w:type="numbering" w:customStyle="1" w:styleId="AppendixA">
    <w:name w:val="Appendix A"/>
    <w:basedOn w:val="AppendixHeader"/>
    <w:uiPriority w:val="99"/>
    <w:rsid w:val="00B46F39"/>
    <w:pPr>
      <w:numPr>
        <w:numId w:val="20"/>
      </w:numPr>
    </w:p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styleId="TOCHeading">
    <w:name w:val="TOC Heading"/>
    <w:basedOn w:val="Heading1"/>
    <w:next w:val="Normal"/>
    <w:uiPriority w:val="99"/>
    <w:semiHidden/>
    <w:unhideWhenUsed/>
    <w:qFormat/>
    <w:rsid w:val="00A232EF"/>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rsid w:val="00E84708"/>
    <w:rPr>
      <w:rFonts w:ascii="Palatino" w:hAnsi="Palatino"/>
      <w:sz w:val="26"/>
    </w:rPr>
  </w:style>
  <w:style w:type="numbering" w:styleId="1ai">
    <w:name w:val="Outline List 1"/>
    <w:basedOn w:val="NoList"/>
    <w:rsid w:val="00D22974"/>
    <w:pPr>
      <w:numPr>
        <w:numId w:val="5"/>
      </w:numPr>
    </w:pPr>
  </w:style>
  <w:style w:type="numbering" w:customStyle="1" w:styleId="Style1">
    <w:name w:val="Style1"/>
    <w:rsid w:val="00F45FB4"/>
    <w:pPr>
      <w:numPr>
        <w:numId w:val="7"/>
      </w:numPr>
    </w:pPr>
  </w:style>
  <w:style w:type="paragraph" w:customStyle="1" w:styleId="sub2">
    <w:name w:val="sub2"/>
    <w:basedOn w:val="Normal"/>
    <w:rsid w:val="005B7F80"/>
    <w:pPr>
      <w:spacing w:line="360" w:lineRule="auto"/>
      <w:ind w:firstLine="2160"/>
    </w:pPr>
  </w:style>
  <w:style w:type="table" w:styleId="MediumGrid3-Accent1">
    <w:name w:val="Medium Grid 3 Accent 1"/>
    <w:basedOn w:val="TableNormal"/>
    <w:uiPriority w:val="69"/>
    <w:rsid w:val="002937AE"/>
    <w:pPr>
      <w:ind w:firstLine="360"/>
    </w:pPr>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ListParagraphHelveticaBoldCentered">
    <w:name w:val="Style List Paragraph + Helvetica Bold Centered"/>
    <w:basedOn w:val="ListParagraph"/>
    <w:rsid w:val="00A232EF"/>
    <w:pPr>
      <w:jc w:val="center"/>
    </w:pPr>
    <w:rPr>
      <w:b/>
      <w:bCs/>
    </w:rPr>
  </w:style>
  <w:style w:type="paragraph" w:customStyle="1" w:styleId="para3">
    <w:name w:val="para3"/>
    <w:basedOn w:val="Normal"/>
    <w:rsid w:val="00A83655"/>
    <w:pPr>
      <w:spacing w:before="100" w:beforeAutospacing="1" w:after="100" w:afterAutospacing="1"/>
    </w:pPr>
    <w:rPr>
      <w:rFonts w:ascii="Times New Roman" w:hAnsi="Times New Roman"/>
      <w:color w:val="000000"/>
      <w:sz w:val="24"/>
      <w:szCs w:val="24"/>
    </w:rPr>
  </w:style>
  <w:style w:type="paragraph" w:customStyle="1" w:styleId="Subject">
    <w:name w:val="Subject"/>
    <w:basedOn w:val="Normal"/>
    <w:qFormat/>
    <w:rsid w:val="00281A2C"/>
    <w:pPr>
      <w:spacing w:before="240" w:line="240" w:lineRule="atLeast"/>
      <w:ind w:left="1224" w:hanging="1224"/>
    </w:pPr>
    <w:rPr>
      <w:rFonts w:ascii="Arial" w:eastAsia="Calibri" w:hAnsi="Arial"/>
      <w:b/>
      <w:smallCaps/>
      <w:sz w:val="24"/>
      <w:szCs w:val="24"/>
    </w:rPr>
  </w:style>
  <w:style w:type="paragraph" w:customStyle="1" w:styleId="TitlePage">
    <w:name w:val="Title Page"/>
    <w:basedOn w:val="Normal"/>
    <w:rsid w:val="00A83655"/>
    <w:pPr>
      <w:jc w:val="center"/>
    </w:pPr>
    <w:rPr>
      <w:rFonts w:ascii="Times New Roman" w:hAnsi="Times New Roman"/>
      <w:b/>
      <w:bCs/>
      <w:sz w:val="24"/>
    </w:rPr>
  </w:style>
  <w:style w:type="paragraph" w:customStyle="1" w:styleId="Quote10">
    <w:name w:val="Quote 1"/>
    <w:basedOn w:val="Normal"/>
    <w:rsid w:val="00E95984"/>
    <w:pPr>
      <w:spacing w:before="240"/>
      <w:ind w:left="1440" w:right="1440"/>
    </w:pPr>
    <w:rPr>
      <w:rFonts w:ascii="Times New Roman" w:hAnsi="Times New Roman"/>
      <w:sz w:val="24"/>
    </w:rPr>
  </w:style>
  <w:style w:type="paragraph" w:customStyle="1" w:styleId="DeclStyle">
    <w:name w:val="Decl_Style"/>
    <w:basedOn w:val="Normal"/>
    <w:rsid w:val="009A3B27"/>
    <w:pPr>
      <w:numPr>
        <w:ilvl w:val="2"/>
        <w:numId w:val="12"/>
      </w:numPr>
      <w:tabs>
        <w:tab w:val="clear" w:pos="1620"/>
      </w:tabs>
      <w:suppressAutoHyphens/>
      <w:spacing w:line="480" w:lineRule="auto"/>
      <w:ind w:left="0" w:firstLine="720"/>
    </w:pPr>
    <w:rPr>
      <w:rFonts w:ascii="Times New Roman" w:hAnsi="Times New Roman"/>
      <w:color w:val="000000"/>
      <w:sz w:val="24"/>
    </w:rPr>
  </w:style>
  <w:style w:type="paragraph" w:customStyle="1" w:styleId="StyleHeading2TimesNewRoman">
    <w:name w:val="Style Heading 2 + Times New Roman"/>
    <w:basedOn w:val="Heading2"/>
    <w:rsid w:val="009A3B27"/>
    <w:pPr>
      <w:keepLines/>
      <w:numPr>
        <w:ilvl w:val="0"/>
        <w:numId w:val="13"/>
      </w:numPr>
      <w:spacing w:before="240" w:after="240"/>
      <w:ind w:right="0" w:hanging="720"/>
    </w:pPr>
    <w:rPr>
      <w:rFonts w:ascii="Times New Roman" w:hAnsi="Times New Roman"/>
      <w:bCs/>
      <w:sz w:val="24"/>
      <w:u w:val="single"/>
    </w:rPr>
  </w:style>
  <w:style w:type="paragraph" w:customStyle="1" w:styleId="StyleHeading3TimesNewRoman">
    <w:name w:val="Style Heading 3 + Times New Roman"/>
    <w:basedOn w:val="Heading3"/>
    <w:rsid w:val="009A3B27"/>
    <w:pPr>
      <w:numPr>
        <w:ilvl w:val="0"/>
        <w:numId w:val="14"/>
      </w:numPr>
      <w:spacing w:before="240" w:after="240"/>
      <w:ind w:right="0" w:hanging="720"/>
    </w:pPr>
    <w:rPr>
      <w:rFonts w:ascii="Times New Roman" w:hAnsi="Times New Roman"/>
      <w:bCs/>
      <w:sz w:val="24"/>
    </w:rPr>
  </w:style>
  <w:style w:type="paragraph" w:customStyle="1" w:styleId="StyleHeading4TimesNewRoman">
    <w:name w:val="Style Heading 4 + Times New Roman"/>
    <w:basedOn w:val="Heading4"/>
    <w:rsid w:val="009A3B27"/>
    <w:pPr>
      <w:numPr>
        <w:ilvl w:val="0"/>
        <w:numId w:val="15"/>
      </w:numPr>
      <w:spacing w:before="240" w:after="240"/>
      <w:ind w:right="0" w:hanging="720"/>
    </w:pPr>
    <w:rPr>
      <w:rFonts w:ascii="Times New Roman" w:hAnsi="Times New Roman"/>
      <w:iCs/>
      <w:sz w:val="24"/>
    </w:rPr>
  </w:style>
  <w:style w:type="paragraph" w:customStyle="1" w:styleId="OutHead1">
    <w:name w:val="OutHead1"/>
    <w:basedOn w:val="Normal"/>
    <w:next w:val="Normal"/>
    <w:uiPriority w:val="1"/>
    <w:qFormat/>
    <w:rsid w:val="00866EAF"/>
    <w:pPr>
      <w:keepNext/>
      <w:numPr>
        <w:numId w:val="16"/>
      </w:numPr>
      <w:pBdr>
        <w:top w:val="nil"/>
        <w:left w:val="nil"/>
        <w:bottom w:val="nil"/>
        <w:right w:val="nil"/>
        <w:between w:val="nil"/>
        <w:bar w:val="nil"/>
      </w:pBdr>
      <w:spacing w:after="240"/>
      <w:jc w:val="center"/>
      <w:outlineLvl w:val="0"/>
    </w:pPr>
    <w:rPr>
      <w:rFonts w:ascii="Times New Roman" w:eastAsia="Arial Unicode MS" w:hAnsi="Times New Roman"/>
      <w:b/>
      <w:caps/>
      <w:color w:val="000000"/>
      <w:sz w:val="24"/>
      <w:bdr w:val="nil"/>
    </w:rPr>
  </w:style>
  <w:style w:type="paragraph" w:customStyle="1" w:styleId="OutHead2">
    <w:name w:val="OutHead2"/>
    <w:basedOn w:val="Normal"/>
    <w:next w:val="Normal"/>
    <w:uiPriority w:val="1"/>
    <w:qFormat/>
    <w:rsid w:val="00866EAF"/>
    <w:pPr>
      <w:keepNext/>
      <w:numPr>
        <w:ilvl w:val="1"/>
        <w:numId w:val="16"/>
      </w:numPr>
      <w:pBdr>
        <w:top w:val="nil"/>
        <w:left w:val="nil"/>
        <w:bottom w:val="nil"/>
        <w:right w:val="nil"/>
        <w:between w:val="nil"/>
        <w:bar w:val="nil"/>
      </w:pBdr>
      <w:spacing w:after="240"/>
      <w:outlineLvl w:val="1"/>
    </w:pPr>
    <w:rPr>
      <w:rFonts w:ascii="Times New Roman" w:eastAsia="Arial Unicode MS" w:hAnsi="Times New Roman"/>
      <w:b/>
      <w:color w:val="000000"/>
      <w:sz w:val="24"/>
      <w:bdr w:val="nil"/>
    </w:rPr>
  </w:style>
  <w:style w:type="paragraph" w:customStyle="1" w:styleId="OutHead3">
    <w:name w:val="OutHead3"/>
    <w:basedOn w:val="Normal"/>
    <w:next w:val="Normal"/>
    <w:uiPriority w:val="1"/>
    <w:qFormat/>
    <w:rsid w:val="00866EAF"/>
    <w:pPr>
      <w:keepNext/>
      <w:numPr>
        <w:ilvl w:val="2"/>
        <w:numId w:val="16"/>
      </w:numPr>
      <w:pBdr>
        <w:top w:val="nil"/>
        <w:left w:val="nil"/>
        <w:bottom w:val="nil"/>
        <w:right w:val="nil"/>
        <w:between w:val="nil"/>
        <w:bar w:val="nil"/>
      </w:pBdr>
      <w:spacing w:after="240"/>
      <w:outlineLvl w:val="2"/>
    </w:pPr>
    <w:rPr>
      <w:rFonts w:ascii="Times New Roman" w:eastAsia="Arial Unicode MS" w:hAnsi="Times New Roman"/>
      <w:b/>
      <w:color w:val="000000"/>
      <w:sz w:val="24"/>
      <w:bdr w:val="nil"/>
    </w:rPr>
  </w:style>
  <w:style w:type="paragraph" w:customStyle="1" w:styleId="OutHead4">
    <w:name w:val="OutHead4"/>
    <w:basedOn w:val="Normal"/>
    <w:next w:val="Normal"/>
    <w:uiPriority w:val="1"/>
    <w:qFormat/>
    <w:rsid w:val="00866EAF"/>
    <w:pPr>
      <w:keepNext/>
      <w:numPr>
        <w:ilvl w:val="3"/>
        <w:numId w:val="16"/>
      </w:numPr>
      <w:pBdr>
        <w:top w:val="nil"/>
        <w:left w:val="nil"/>
        <w:bottom w:val="nil"/>
        <w:right w:val="nil"/>
        <w:between w:val="nil"/>
        <w:bar w:val="nil"/>
      </w:pBdr>
      <w:spacing w:after="240"/>
      <w:outlineLvl w:val="3"/>
    </w:pPr>
    <w:rPr>
      <w:rFonts w:ascii="Times New Roman" w:eastAsia="Arial Unicode MS" w:hAnsi="Times New Roman"/>
      <w:b/>
      <w:color w:val="000000"/>
      <w:sz w:val="24"/>
      <w:bdr w:val="nil"/>
    </w:rPr>
  </w:style>
  <w:style w:type="paragraph" w:customStyle="1" w:styleId="OutHead5">
    <w:name w:val="OutHead5"/>
    <w:basedOn w:val="Normal"/>
    <w:next w:val="Normal"/>
    <w:uiPriority w:val="1"/>
    <w:qFormat/>
    <w:rsid w:val="00866EAF"/>
    <w:pPr>
      <w:keepNext/>
      <w:numPr>
        <w:ilvl w:val="4"/>
        <w:numId w:val="16"/>
      </w:numPr>
      <w:pBdr>
        <w:top w:val="nil"/>
        <w:left w:val="nil"/>
        <w:bottom w:val="nil"/>
        <w:right w:val="nil"/>
        <w:between w:val="nil"/>
        <w:bar w:val="nil"/>
      </w:pBdr>
      <w:spacing w:after="240"/>
      <w:outlineLvl w:val="4"/>
    </w:pPr>
    <w:rPr>
      <w:rFonts w:ascii="Times New Roman" w:eastAsia="Arial Unicode MS" w:hAnsi="Times New Roman"/>
      <w:b/>
      <w:color w:val="000000"/>
      <w:sz w:val="24"/>
      <w:bdr w:val="nil"/>
    </w:rPr>
  </w:style>
  <w:style w:type="paragraph" w:customStyle="1" w:styleId="OutHead6">
    <w:name w:val="OutHead6"/>
    <w:basedOn w:val="Normal"/>
    <w:next w:val="Normal"/>
    <w:uiPriority w:val="1"/>
    <w:qFormat/>
    <w:rsid w:val="00866EAF"/>
    <w:pPr>
      <w:keepNext/>
      <w:numPr>
        <w:ilvl w:val="5"/>
        <w:numId w:val="16"/>
      </w:numPr>
      <w:pBdr>
        <w:top w:val="nil"/>
        <w:left w:val="nil"/>
        <w:bottom w:val="nil"/>
        <w:right w:val="nil"/>
        <w:between w:val="nil"/>
        <w:bar w:val="nil"/>
      </w:pBdr>
      <w:spacing w:after="240"/>
      <w:outlineLvl w:val="5"/>
    </w:pPr>
    <w:rPr>
      <w:rFonts w:ascii="Times New Roman" w:eastAsia="Arial Unicode MS" w:hAnsi="Times New Roman"/>
      <w:b/>
      <w:color w:val="000000"/>
      <w:sz w:val="24"/>
      <w:bdr w:val="nil"/>
    </w:rPr>
  </w:style>
  <w:style w:type="paragraph" w:customStyle="1" w:styleId="OutHead7">
    <w:name w:val="OutHead7"/>
    <w:basedOn w:val="Normal"/>
    <w:next w:val="Normal"/>
    <w:uiPriority w:val="1"/>
    <w:qFormat/>
    <w:rsid w:val="00866EAF"/>
    <w:pPr>
      <w:keepNext/>
      <w:numPr>
        <w:ilvl w:val="6"/>
        <w:numId w:val="16"/>
      </w:numPr>
      <w:pBdr>
        <w:top w:val="nil"/>
        <w:left w:val="nil"/>
        <w:bottom w:val="nil"/>
        <w:right w:val="nil"/>
        <w:between w:val="nil"/>
        <w:bar w:val="nil"/>
      </w:pBdr>
      <w:spacing w:after="240"/>
      <w:outlineLvl w:val="6"/>
    </w:pPr>
    <w:rPr>
      <w:rFonts w:ascii="Times New Roman" w:eastAsia="Arial Unicode MS" w:hAnsi="Times New Roman"/>
      <w:b/>
      <w:color w:val="000000"/>
      <w:sz w:val="24"/>
      <w:bdr w:val="nil"/>
    </w:rPr>
  </w:style>
  <w:style w:type="paragraph" w:customStyle="1" w:styleId="OutHead8">
    <w:name w:val="OutHead8"/>
    <w:basedOn w:val="Normal"/>
    <w:next w:val="Normal"/>
    <w:uiPriority w:val="1"/>
    <w:qFormat/>
    <w:rsid w:val="00866EAF"/>
    <w:pPr>
      <w:keepNext/>
      <w:numPr>
        <w:ilvl w:val="7"/>
        <w:numId w:val="16"/>
      </w:numPr>
      <w:pBdr>
        <w:top w:val="nil"/>
        <w:left w:val="nil"/>
        <w:bottom w:val="nil"/>
        <w:right w:val="nil"/>
        <w:between w:val="nil"/>
        <w:bar w:val="nil"/>
      </w:pBdr>
      <w:spacing w:after="240"/>
      <w:outlineLvl w:val="7"/>
    </w:pPr>
    <w:rPr>
      <w:rFonts w:ascii="Times New Roman" w:eastAsia="Arial Unicode MS" w:hAnsi="Times New Roman"/>
      <w:b/>
      <w:color w:val="000000"/>
      <w:sz w:val="24"/>
      <w:bdr w:val="nil"/>
    </w:rPr>
  </w:style>
  <w:style w:type="paragraph" w:customStyle="1" w:styleId="Quote2">
    <w:name w:val="Quote2"/>
    <w:basedOn w:val="standard"/>
    <w:rsid w:val="00324D31"/>
    <w:pPr>
      <w:spacing w:before="120" w:after="240" w:line="240" w:lineRule="auto"/>
      <w:ind w:left="720" w:right="720" w:firstLine="0"/>
    </w:pPr>
  </w:style>
  <w:style w:type="paragraph" w:customStyle="1" w:styleId="sub1">
    <w:name w:val="sub1"/>
    <w:basedOn w:val="Normal"/>
    <w:rsid w:val="00324D31"/>
    <w:pPr>
      <w:spacing w:line="360" w:lineRule="auto"/>
      <w:ind w:firstLine="1440"/>
    </w:pPr>
  </w:style>
  <w:style w:type="paragraph" w:styleId="BalloonText">
    <w:name w:val="Balloon Text"/>
    <w:basedOn w:val="Normal"/>
    <w:link w:val="BalloonTextChar"/>
    <w:uiPriority w:val="99"/>
    <w:semiHidden/>
    <w:unhideWhenUsed/>
    <w:locked/>
    <w:rsid w:val="00C543C6"/>
    <w:rPr>
      <w:rFonts w:ascii="Tahoma" w:hAnsi="Tahoma" w:cs="Tahoma"/>
      <w:sz w:val="16"/>
      <w:szCs w:val="16"/>
    </w:rPr>
  </w:style>
  <w:style w:type="character" w:customStyle="1" w:styleId="BalloonTextChar">
    <w:name w:val="Balloon Text Char"/>
    <w:link w:val="BalloonText"/>
    <w:uiPriority w:val="99"/>
    <w:semiHidden/>
    <w:rsid w:val="00C543C6"/>
    <w:rPr>
      <w:rFonts w:ascii="Tahoma" w:hAnsi="Tahoma" w:cs="Tahoma"/>
      <w:sz w:val="16"/>
      <w:szCs w:val="16"/>
    </w:rPr>
  </w:style>
  <w:style w:type="paragraph" w:customStyle="1" w:styleId="BodyText6">
    <w:name w:val="Body Text 6"/>
    <w:basedOn w:val="BodyText"/>
    <w:autoRedefine/>
    <w:rsid w:val="00AF57B4"/>
    <w:pPr>
      <w:spacing w:after="120" w:line="360" w:lineRule="auto"/>
      <w:ind w:firstLine="907"/>
    </w:pPr>
    <w:rPr>
      <w:sz w:val="26"/>
      <w:szCs w:val="20"/>
      <w:lang w:eastAsia="en-US"/>
    </w:rPr>
  </w:style>
  <w:style w:type="character" w:customStyle="1" w:styleId="enumbell">
    <w:name w:val="enumbell"/>
    <w:basedOn w:val="DefaultParagraphFont"/>
    <w:rsid w:val="00F66292"/>
  </w:style>
  <w:style w:type="character" w:customStyle="1" w:styleId="ptext-">
    <w:name w:val="ptext-"/>
    <w:basedOn w:val="DefaultParagraphFont"/>
    <w:rsid w:val="00F66292"/>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ocked/>
    <w:rsid w:val="00DF1DBE"/>
    <w:rPr>
      <w:rFonts w:ascii="Palatino" w:hAnsi="Palatino"/>
      <w:sz w:val="24"/>
    </w:rPr>
  </w:style>
  <w:style w:type="character" w:customStyle="1" w:styleId="StandardBulletCharChar">
    <w:name w:val="Standard Bullet Char Char"/>
    <w:locked/>
    <w:rsid w:val="00DF1DBE"/>
    <w:rPr>
      <w:rFonts w:ascii="Palatino" w:hAnsi="Palatino"/>
      <w:sz w:val="26"/>
    </w:rPr>
  </w:style>
  <w:style w:type="paragraph" w:customStyle="1" w:styleId="Hang2">
    <w:name w:val="Hang2"/>
    <w:basedOn w:val="Normal"/>
    <w:uiPriority w:val="3"/>
    <w:qFormat/>
    <w:rsid w:val="003C39F9"/>
    <w:pPr>
      <w:spacing w:after="240"/>
      <w:ind w:left="1800" w:hanging="360"/>
    </w:pPr>
    <w:rPr>
      <w:rFonts w:ascii="Times New Roman" w:hAnsi="Times New Roman"/>
      <w:sz w:val="24"/>
    </w:rPr>
  </w:style>
  <w:style w:type="character" w:customStyle="1" w:styleId="term">
    <w:name w:val="term"/>
    <w:basedOn w:val="DefaultParagraphFont"/>
    <w:rsid w:val="007F755E"/>
  </w:style>
  <w:style w:type="paragraph" w:customStyle="1" w:styleId="AfterQuote">
    <w:name w:val="AfterQuote"/>
    <w:basedOn w:val="Normal"/>
    <w:next w:val="Normal"/>
    <w:uiPriority w:val="2"/>
    <w:qFormat/>
    <w:rsid w:val="00ED04B1"/>
    <w:pPr>
      <w:spacing w:after="240"/>
    </w:pPr>
    <w:rPr>
      <w:rFonts w:ascii="Times New Roman" w:hAnsi="Times New Roman"/>
      <w:sz w:val="24"/>
    </w:rPr>
  </w:style>
  <w:style w:type="paragraph" w:customStyle="1" w:styleId="DWTNorm">
    <w:name w:val="DWTNorm"/>
    <w:basedOn w:val="Normal"/>
    <w:link w:val="DWTNormChar"/>
    <w:qFormat/>
    <w:rsid w:val="00ED04B1"/>
    <w:pPr>
      <w:spacing w:line="480" w:lineRule="auto"/>
      <w:ind w:firstLine="720"/>
      <w:jc w:val="both"/>
    </w:pPr>
    <w:rPr>
      <w:rFonts w:ascii="Times New Roman" w:hAnsi="Times New Roman"/>
      <w:sz w:val="24"/>
    </w:rPr>
  </w:style>
  <w:style w:type="paragraph" w:customStyle="1" w:styleId="DWTQuote">
    <w:name w:val="DWTQuote"/>
    <w:basedOn w:val="DWTNorm"/>
    <w:next w:val="AfterQuote"/>
    <w:uiPriority w:val="2"/>
    <w:qFormat/>
    <w:rsid w:val="00ED04B1"/>
    <w:pPr>
      <w:spacing w:after="240" w:line="240" w:lineRule="auto"/>
      <w:ind w:left="720" w:right="720" w:firstLine="0"/>
    </w:pPr>
  </w:style>
  <w:style w:type="paragraph" w:customStyle="1" w:styleId="DWTTitle">
    <w:name w:val="DWTTitle"/>
    <w:basedOn w:val="Normal"/>
    <w:next w:val="DWTNorm"/>
    <w:uiPriority w:val="2"/>
    <w:qFormat/>
    <w:rsid w:val="00ED04B1"/>
    <w:pPr>
      <w:keepNext/>
      <w:widowControl w:val="0"/>
      <w:spacing w:after="240"/>
      <w:jc w:val="center"/>
    </w:pPr>
    <w:rPr>
      <w:rFonts w:ascii="Times New Roman" w:hAnsi="Times New Roman"/>
      <w:b/>
      <w:caps/>
      <w:sz w:val="24"/>
    </w:rPr>
  </w:style>
  <w:style w:type="paragraph" w:styleId="Caption">
    <w:name w:val="caption"/>
    <w:basedOn w:val="Normal"/>
    <w:next w:val="Normal"/>
    <w:uiPriority w:val="99"/>
    <w:semiHidden/>
    <w:qFormat/>
    <w:locked/>
    <w:rsid w:val="00ED04B1"/>
    <w:pPr>
      <w:spacing w:after="200"/>
    </w:pPr>
    <w:rPr>
      <w:rFonts w:ascii="Times New Roman" w:hAnsi="Times New Roman"/>
      <w:b/>
      <w:bCs/>
      <w:color w:val="4F81BD"/>
      <w:sz w:val="18"/>
      <w:szCs w:val="18"/>
    </w:rPr>
  </w:style>
  <w:style w:type="paragraph" w:styleId="Title">
    <w:name w:val="Title"/>
    <w:basedOn w:val="Normal"/>
    <w:next w:val="Normal"/>
    <w:link w:val="TitleChar"/>
    <w:uiPriority w:val="99"/>
    <w:qFormat/>
    <w:locked/>
    <w:rsid w:val="00ED04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D04B1"/>
    <w:rPr>
      <w:rFonts w:ascii="Cambria" w:hAnsi="Cambria"/>
      <w:color w:val="17365D"/>
      <w:spacing w:val="5"/>
      <w:kern w:val="28"/>
      <w:sz w:val="52"/>
      <w:szCs w:val="52"/>
    </w:rPr>
  </w:style>
  <w:style w:type="paragraph" w:styleId="NoSpacing">
    <w:name w:val="No Spacing"/>
    <w:uiPriority w:val="99"/>
    <w:qFormat/>
    <w:rsid w:val="00ED04B1"/>
    <w:rPr>
      <w:sz w:val="24"/>
      <w:szCs w:val="24"/>
    </w:rPr>
  </w:style>
  <w:style w:type="paragraph" w:styleId="IntenseQuote">
    <w:name w:val="Intense Quote"/>
    <w:basedOn w:val="Normal"/>
    <w:next w:val="Normal"/>
    <w:link w:val="IntenseQuoteChar"/>
    <w:uiPriority w:val="99"/>
    <w:qFormat/>
    <w:rsid w:val="00ED04B1"/>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99"/>
    <w:rsid w:val="00ED04B1"/>
    <w:rPr>
      <w:b/>
      <w:bCs/>
      <w:i/>
      <w:iCs/>
      <w:color w:val="4F81BD"/>
      <w:sz w:val="24"/>
      <w:szCs w:val="24"/>
    </w:rPr>
  </w:style>
  <w:style w:type="character" w:styleId="SubtleEmphasis">
    <w:name w:val="Subtle Emphasis"/>
    <w:uiPriority w:val="99"/>
    <w:qFormat/>
    <w:rsid w:val="00ED04B1"/>
    <w:rPr>
      <w:i/>
      <w:iCs/>
      <w:color w:val="808080"/>
    </w:rPr>
  </w:style>
  <w:style w:type="character" w:styleId="IntenseEmphasis">
    <w:name w:val="Intense Emphasis"/>
    <w:uiPriority w:val="99"/>
    <w:qFormat/>
    <w:rsid w:val="00ED04B1"/>
    <w:rPr>
      <w:b/>
      <w:bCs/>
      <w:i/>
      <w:iCs/>
      <w:color w:val="4F81BD"/>
    </w:rPr>
  </w:style>
  <w:style w:type="character" w:styleId="SubtleReference">
    <w:name w:val="Subtle Reference"/>
    <w:uiPriority w:val="99"/>
    <w:qFormat/>
    <w:rsid w:val="00ED04B1"/>
    <w:rPr>
      <w:smallCaps/>
      <w:color w:val="C0504D"/>
      <w:u w:val="single"/>
    </w:rPr>
  </w:style>
  <w:style w:type="character" w:styleId="IntenseReference">
    <w:name w:val="Intense Reference"/>
    <w:uiPriority w:val="99"/>
    <w:qFormat/>
    <w:rsid w:val="00ED04B1"/>
    <w:rPr>
      <w:b/>
      <w:bCs/>
      <w:smallCaps/>
      <w:color w:val="C0504D"/>
      <w:spacing w:val="5"/>
      <w:u w:val="single"/>
    </w:rPr>
  </w:style>
  <w:style w:type="character" w:styleId="BookTitle">
    <w:name w:val="Book Title"/>
    <w:uiPriority w:val="99"/>
    <w:qFormat/>
    <w:rsid w:val="00ED04B1"/>
    <w:rPr>
      <w:b/>
      <w:bCs/>
      <w:smallCaps/>
      <w:spacing w:val="5"/>
    </w:rPr>
  </w:style>
  <w:style w:type="character" w:customStyle="1" w:styleId="DocID">
    <w:name w:val="DocID"/>
    <w:basedOn w:val="DefaultParagraphFont"/>
    <w:uiPriority w:val="99"/>
    <w:semiHidden/>
    <w:rsid w:val="00ED04B1"/>
    <w:rPr>
      <w:rFonts w:ascii="Times New Roman" w:hAnsi="Times New Roman"/>
      <w:sz w:val="16"/>
    </w:rPr>
  </w:style>
  <w:style w:type="character" w:styleId="CommentReference">
    <w:name w:val="annotation reference"/>
    <w:basedOn w:val="DefaultParagraphFont"/>
    <w:uiPriority w:val="99"/>
    <w:semiHidden/>
    <w:locked/>
    <w:rsid w:val="00ED04B1"/>
    <w:rPr>
      <w:sz w:val="16"/>
      <w:szCs w:val="16"/>
    </w:rPr>
  </w:style>
  <w:style w:type="character" w:customStyle="1" w:styleId="DWTNormChar">
    <w:name w:val="DWTNorm Char"/>
    <w:basedOn w:val="DefaultParagraphFont"/>
    <w:link w:val="DWTNorm"/>
    <w:locked/>
    <w:rsid w:val="00ED04B1"/>
    <w:rPr>
      <w:sz w:val="24"/>
    </w:rPr>
  </w:style>
  <w:style w:type="character" w:customStyle="1" w:styleId="num">
    <w:name w:val="num"/>
    <w:basedOn w:val="DefaultParagraphFont"/>
    <w:rsid w:val="00ED04B1"/>
  </w:style>
  <w:style w:type="paragraph" w:customStyle="1" w:styleId="Hang1">
    <w:name w:val="Hang1"/>
    <w:basedOn w:val="DWTNorm"/>
    <w:uiPriority w:val="3"/>
    <w:qFormat/>
    <w:rsid w:val="00ED04B1"/>
    <w:pPr>
      <w:ind w:left="1080" w:hanging="360"/>
    </w:pPr>
  </w:style>
  <w:style w:type="character" w:customStyle="1" w:styleId="quiet">
    <w:name w:val="quiet"/>
    <w:basedOn w:val="DefaultParagraphFont"/>
    <w:rsid w:val="00ED04B1"/>
  </w:style>
  <w:style w:type="character" w:customStyle="1" w:styleId="annotation">
    <w:name w:val="annotation"/>
    <w:basedOn w:val="DefaultParagraphFont"/>
    <w:rsid w:val="00ED04B1"/>
  </w:style>
  <w:style w:type="paragraph" w:customStyle="1" w:styleId="outlinelevel1">
    <w:name w:val="outline_level_1"/>
    <w:basedOn w:val="Normal"/>
    <w:rsid w:val="00ED04B1"/>
    <w:pPr>
      <w:spacing w:before="100" w:beforeAutospacing="1" w:after="100" w:afterAutospacing="1"/>
    </w:pPr>
    <w:rPr>
      <w:rFonts w:ascii="Times New Roman" w:hAnsi="Times New Roman"/>
      <w:sz w:val="24"/>
      <w:szCs w:val="24"/>
    </w:rPr>
  </w:style>
  <w:style w:type="character" w:customStyle="1" w:styleId="outlineheading1">
    <w:name w:val="outline_heading_1"/>
    <w:basedOn w:val="DefaultParagraphFont"/>
    <w:rsid w:val="00ED04B1"/>
  </w:style>
  <w:style w:type="character" w:customStyle="1" w:styleId="cosearchterm">
    <w:name w:val="co_searchterm"/>
    <w:basedOn w:val="DefaultParagraphFont"/>
    <w:rsid w:val="00ED04B1"/>
  </w:style>
  <w:style w:type="character" w:customStyle="1" w:styleId="pmterms2">
    <w:name w:val="pmterms2"/>
    <w:basedOn w:val="DefaultParagraphFont"/>
    <w:rsid w:val="00ED04B1"/>
  </w:style>
  <w:style w:type="character" w:customStyle="1" w:styleId="sssh">
    <w:name w:val="ss_sh"/>
    <w:basedOn w:val="DefaultParagraphFont"/>
    <w:rsid w:val="00667148"/>
  </w:style>
  <w:style w:type="character" w:customStyle="1" w:styleId="FootnoteReferencebyTim">
    <w:name w:val="Footnote Reference by Tim"/>
    <w:rsid w:val="005238F9"/>
    <w:rPr>
      <w:rFonts w:ascii="Palatino" w:hAnsi="Palatino"/>
      <w:dstrike w:val="0"/>
      <w:color w:val="000000"/>
      <w:position w:val="2"/>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table of authoriti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99" w:unhideWhenUsed="0" w:qFormat="1"/>
    <w:lsdException w:name="Intense Emphasis" w:locked="0" w:semiHidden="0" w:uiPriority="99" w:unhideWhenUsed="0" w:qFormat="1"/>
    <w:lsdException w:name="Subtle Reference" w:locked="0" w:semiHidden="0" w:uiPriority="99" w:unhideWhenUsed="0" w:qFormat="1"/>
    <w:lsdException w:name="Intense Reference" w:locked="0" w:semiHidden="0" w:uiPriority="99" w:unhideWhenUsed="0" w:qFormat="1"/>
    <w:lsdException w:name="Book Title" w:locked="0" w:semiHidden="0" w:uiPriority="99" w:unhideWhenUsed="0" w:qFormat="1"/>
    <w:lsdException w:name="Bibliography" w:locked="0" w:uiPriority="37"/>
    <w:lsdException w:name="TOC Heading" w:locked="0" w:uiPriority="99" w:qFormat="1"/>
  </w:latentStyles>
  <w:style w:type="paragraph" w:default="1" w:styleId="Normal">
    <w:name w:val="Normal"/>
    <w:qFormat/>
    <w:rsid w:val="006815BB"/>
    <w:rPr>
      <w:rFonts w:ascii="Palatino" w:hAnsi="Palatino"/>
      <w:sz w:val="26"/>
    </w:rPr>
  </w:style>
  <w:style w:type="paragraph" w:styleId="Heading1">
    <w:name w:val="heading 1"/>
    <w:aliases w:val="h1"/>
    <w:basedOn w:val="Normal"/>
    <w:link w:val="Heading1Char"/>
    <w:uiPriority w:val="99"/>
    <w:qFormat/>
    <w:rsid w:val="00A4093B"/>
    <w:pPr>
      <w:keepNext/>
      <w:numPr>
        <w:numId w:val="21"/>
      </w:numPr>
      <w:spacing w:before="120" w:after="120"/>
      <w:ind w:right="1440"/>
      <w:outlineLvl w:val="0"/>
    </w:pPr>
    <w:rPr>
      <w:rFonts w:ascii="Helvetica" w:hAnsi="Helvetica"/>
      <w:b/>
      <w:kern w:val="28"/>
    </w:rPr>
  </w:style>
  <w:style w:type="paragraph" w:styleId="Heading2">
    <w:name w:val="heading 2"/>
    <w:aliases w:val="h2"/>
    <w:basedOn w:val="Heading1"/>
    <w:link w:val="Heading2Char"/>
    <w:uiPriority w:val="99"/>
    <w:qFormat/>
    <w:rsid w:val="00214651"/>
    <w:pPr>
      <w:numPr>
        <w:ilvl w:val="1"/>
      </w:numPr>
      <w:ind w:right="720"/>
      <w:outlineLvl w:val="1"/>
    </w:pPr>
  </w:style>
  <w:style w:type="paragraph" w:styleId="Heading3">
    <w:name w:val="heading 3"/>
    <w:aliases w:val="h3"/>
    <w:basedOn w:val="Heading1"/>
    <w:link w:val="Heading3Char"/>
    <w:uiPriority w:val="99"/>
    <w:qFormat/>
    <w:rsid w:val="005719C6"/>
    <w:pPr>
      <w:numPr>
        <w:ilvl w:val="2"/>
      </w:numPr>
      <w:outlineLvl w:val="2"/>
    </w:pPr>
  </w:style>
  <w:style w:type="paragraph" w:styleId="Heading4">
    <w:name w:val="heading 4"/>
    <w:aliases w:val="h4"/>
    <w:basedOn w:val="Heading3"/>
    <w:link w:val="Heading4Char"/>
    <w:uiPriority w:val="99"/>
    <w:qFormat/>
    <w:rsid w:val="00D87EBE"/>
    <w:pPr>
      <w:numPr>
        <w:ilvl w:val="3"/>
      </w:numPr>
      <w:tabs>
        <w:tab w:val="clear" w:pos="2160"/>
        <w:tab w:val="num" w:pos="1800"/>
      </w:tabs>
      <w:ind w:left="1800" w:hanging="1080"/>
      <w:outlineLvl w:val="3"/>
    </w:pPr>
  </w:style>
  <w:style w:type="paragraph" w:styleId="Heading5">
    <w:name w:val="heading 5"/>
    <w:aliases w:val="h5"/>
    <w:basedOn w:val="Heading4"/>
    <w:link w:val="Heading5Char"/>
    <w:uiPriority w:val="99"/>
    <w:qFormat/>
    <w:rsid w:val="002570D5"/>
    <w:pPr>
      <w:numPr>
        <w:ilvl w:val="4"/>
      </w:numPr>
      <w:tabs>
        <w:tab w:val="clear" w:pos="3600"/>
        <w:tab w:val="num" w:pos="1980"/>
      </w:tabs>
      <w:ind w:left="1980" w:hanging="1260"/>
      <w:outlineLvl w:val="4"/>
    </w:pPr>
  </w:style>
  <w:style w:type="paragraph" w:styleId="Heading6">
    <w:name w:val="heading 6"/>
    <w:aliases w:val="h6"/>
    <w:basedOn w:val="Heading5"/>
    <w:link w:val="Heading6Char"/>
    <w:uiPriority w:val="99"/>
    <w:qFormat/>
    <w:rsid w:val="00F45FB4"/>
    <w:pPr>
      <w:numPr>
        <w:ilvl w:val="5"/>
        <w:numId w:val="22"/>
      </w:numPr>
      <w:outlineLvl w:val="5"/>
    </w:pPr>
  </w:style>
  <w:style w:type="paragraph" w:styleId="Heading7">
    <w:name w:val="heading 7"/>
    <w:aliases w:val="h7"/>
    <w:basedOn w:val="Heading6"/>
    <w:link w:val="Heading7Char"/>
    <w:uiPriority w:val="99"/>
    <w:qFormat/>
    <w:rsid w:val="00F45FB4"/>
    <w:pPr>
      <w:numPr>
        <w:ilvl w:val="6"/>
      </w:numPr>
      <w:outlineLvl w:val="6"/>
    </w:pPr>
  </w:style>
  <w:style w:type="paragraph" w:styleId="Heading8">
    <w:name w:val="heading 8"/>
    <w:aliases w:val="h8"/>
    <w:basedOn w:val="Heading7"/>
    <w:next w:val="Normal"/>
    <w:link w:val="Heading8Char"/>
    <w:uiPriority w:val="99"/>
    <w:qFormat/>
    <w:rsid w:val="00F45FB4"/>
    <w:pPr>
      <w:numPr>
        <w:ilvl w:val="7"/>
      </w:numPr>
      <w:outlineLvl w:val="7"/>
    </w:pPr>
  </w:style>
  <w:style w:type="paragraph" w:styleId="Heading9">
    <w:name w:val="heading 9"/>
    <w:aliases w:val="h9"/>
    <w:basedOn w:val="Heading8"/>
    <w:next w:val="Normal"/>
    <w:link w:val="Heading9Char"/>
    <w:uiPriority w:val="99"/>
    <w:qFormat/>
    <w:rsid w:val="00F45FB4"/>
    <w:pPr>
      <w:numPr>
        <w:ilvl w:val="8"/>
      </w:numPr>
      <w:ind w:right="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A4093B"/>
    <w:rPr>
      <w:rFonts w:ascii="Helvetica" w:hAnsi="Helvetica"/>
      <w:b/>
      <w:kern w:val="28"/>
      <w:sz w:val="26"/>
    </w:rPr>
  </w:style>
  <w:style w:type="character" w:customStyle="1" w:styleId="Heading2Char">
    <w:name w:val="Heading 2 Char"/>
    <w:aliases w:val="h2 Char"/>
    <w:link w:val="Heading2"/>
    <w:uiPriority w:val="99"/>
    <w:locked/>
    <w:rsid w:val="00214651"/>
    <w:rPr>
      <w:rFonts w:ascii="Helvetica" w:hAnsi="Helvetica"/>
      <w:b/>
      <w:kern w:val="28"/>
      <w:sz w:val="26"/>
    </w:rPr>
  </w:style>
  <w:style w:type="character" w:customStyle="1" w:styleId="Heading3Char">
    <w:name w:val="Heading 3 Char"/>
    <w:aliases w:val="h3 Char"/>
    <w:link w:val="Heading3"/>
    <w:uiPriority w:val="99"/>
    <w:locked/>
    <w:rsid w:val="005719C6"/>
    <w:rPr>
      <w:rFonts w:ascii="Helvetica" w:hAnsi="Helvetica"/>
      <w:b/>
      <w:kern w:val="28"/>
      <w:sz w:val="26"/>
    </w:rPr>
  </w:style>
  <w:style w:type="character" w:customStyle="1" w:styleId="Heading4Char">
    <w:name w:val="Heading 4 Char"/>
    <w:aliases w:val="h4 Char"/>
    <w:link w:val="Heading4"/>
    <w:uiPriority w:val="99"/>
    <w:locked/>
    <w:rsid w:val="00D87EBE"/>
    <w:rPr>
      <w:rFonts w:ascii="Helvetica" w:hAnsi="Helvetica"/>
      <w:b/>
      <w:kern w:val="28"/>
      <w:sz w:val="26"/>
    </w:rPr>
  </w:style>
  <w:style w:type="character" w:customStyle="1" w:styleId="Heading5Char">
    <w:name w:val="Heading 5 Char"/>
    <w:aliases w:val="h5 Char"/>
    <w:link w:val="Heading5"/>
    <w:uiPriority w:val="99"/>
    <w:locked/>
    <w:rsid w:val="002570D5"/>
    <w:rPr>
      <w:rFonts w:ascii="Helvetica" w:hAnsi="Helvetica"/>
      <w:b/>
      <w:kern w:val="28"/>
      <w:sz w:val="26"/>
    </w:rPr>
  </w:style>
  <w:style w:type="character" w:customStyle="1" w:styleId="Heading6Char">
    <w:name w:val="Heading 6 Char"/>
    <w:aliases w:val="h6 Char"/>
    <w:link w:val="Heading6"/>
    <w:uiPriority w:val="99"/>
    <w:locked/>
    <w:rsid w:val="005719C6"/>
    <w:rPr>
      <w:rFonts w:ascii="Helvetica" w:hAnsi="Helvetica"/>
      <w:b/>
      <w:kern w:val="28"/>
      <w:sz w:val="26"/>
    </w:rPr>
  </w:style>
  <w:style w:type="character" w:customStyle="1" w:styleId="Heading7Char">
    <w:name w:val="Heading 7 Char"/>
    <w:aliases w:val="h7 Char"/>
    <w:link w:val="Heading7"/>
    <w:uiPriority w:val="99"/>
    <w:locked/>
    <w:rsid w:val="005719C6"/>
    <w:rPr>
      <w:rFonts w:ascii="Helvetica" w:hAnsi="Helvetica"/>
      <w:b/>
      <w:kern w:val="28"/>
      <w:sz w:val="26"/>
    </w:rPr>
  </w:style>
  <w:style w:type="character" w:customStyle="1" w:styleId="Heading8Char">
    <w:name w:val="Heading 8 Char"/>
    <w:aliases w:val="h8 Char"/>
    <w:link w:val="Heading8"/>
    <w:uiPriority w:val="99"/>
    <w:locked/>
    <w:rsid w:val="005719C6"/>
    <w:rPr>
      <w:rFonts w:ascii="Helvetica" w:hAnsi="Helvetica"/>
      <w:b/>
      <w:kern w:val="28"/>
      <w:sz w:val="26"/>
    </w:rPr>
  </w:style>
  <w:style w:type="character" w:customStyle="1" w:styleId="Heading9Char">
    <w:name w:val="Heading 9 Char"/>
    <w:aliases w:val="h9 Char"/>
    <w:link w:val="Heading9"/>
    <w:uiPriority w:val="99"/>
    <w:locked/>
    <w:rsid w:val="00096A5A"/>
    <w:rPr>
      <w:rFonts w:ascii="Helvetica" w:hAnsi="Helvetica"/>
      <w:b/>
      <w:kern w:val="28"/>
      <w:sz w:val="26"/>
    </w:rPr>
  </w:style>
  <w:style w:type="paragraph" w:customStyle="1" w:styleId="standard">
    <w:name w:val="standard"/>
    <w:basedOn w:val="Normal"/>
    <w:link w:val="standardChar"/>
    <w:rsid w:val="00E60844"/>
    <w:pPr>
      <w:spacing w:line="360" w:lineRule="auto"/>
      <w:ind w:firstLine="720"/>
    </w:pPr>
  </w:style>
  <w:style w:type="paragraph" w:styleId="CommentText">
    <w:name w:val="annotation text"/>
    <w:basedOn w:val="Normal"/>
    <w:link w:val="CommentTextChar"/>
    <w:uiPriority w:val="99"/>
    <w:semiHidden/>
    <w:rsid w:val="00E60844"/>
    <w:rPr>
      <w:sz w:val="20"/>
    </w:rPr>
  </w:style>
  <w:style w:type="character" w:customStyle="1" w:styleId="CommentTextChar">
    <w:name w:val="Comment Text Char"/>
    <w:link w:val="CommentText"/>
    <w:uiPriority w:val="99"/>
    <w:semiHidden/>
    <w:locked/>
    <w:rsid w:val="001B7596"/>
    <w:rPr>
      <w:rFonts w:ascii="Palatino" w:hAnsi="Palatino" w:cs="Times New Roman"/>
      <w:sz w:val="20"/>
    </w:rPr>
  </w:style>
  <w:style w:type="paragraph" w:styleId="CommentSubject">
    <w:name w:val="annotation subject"/>
    <w:basedOn w:val="CommentText"/>
    <w:next w:val="CommentText"/>
    <w:link w:val="CommentSubjectChar"/>
    <w:uiPriority w:val="99"/>
    <w:semiHidden/>
    <w:rsid w:val="00E60844"/>
    <w:rPr>
      <w:b/>
    </w:rPr>
  </w:style>
  <w:style w:type="character" w:customStyle="1" w:styleId="CommentSubjectChar">
    <w:name w:val="Comment Subject Char"/>
    <w:link w:val="CommentSubject"/>
    <w:uiPriority w:val="99"/>
    <w:semiHidden/>
    <w:locked/>
    <w:rsid w:val="001B7596"/>
    <w:rPr>
      <w:rFonts w:ascii="Palatino" w:hAnsi="Palatino" w:cs="Times New Roman"/>
      <w:b/>
      <w:sz w:val="20"/>
    </w:rPr>
  </w:style>
  <w:style w:type="paragraph" w:customStyle="1" w:styleId="Quotation">
    <w:name w:val="Quotation"/>
    <w:basedOn w:val="Normal"/>
    <w:next w:val="Normal"/>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iPriority w:val="99"/>
    <w:qFormat/>
    <w:rsid w:val="00DE4938"/>
    <w:pPr>
      <w:tabs>
        <w:tab w:val="left" w:pos="216"/>
      </w:tabs>
      <w:spacing w:after="60"/>
      <w:ind w:left="216" w:hanging="216"/>
    </w:pPr>
    <w:rPr>
      <w:sz w:val="22"/>
    </w:rPr>
  </w:style>
  <w:style w:type="paragraph" w:styleId="BodyText">
    <w:name w:val="Body Text"/>
    <w:basedOn w:val="Normal"/>
    <w:link w:val="BodyTextChar"/>
    <w:uiPriority w:val="1"/>
    <w:unhideWhenUsed/>
    <w:qFormat/>
    <w:locked/>
    <w:rsid w:val="00902B0C"/>
    <w:pPr>
      <w:spacing w:after="240"/>
    </w:pPr>
    <w:rPr>
      <w:rFonts w:ascii="Times New Roman" w:hAnsi="Times New Roman"/>
      <w:sz w:val="24"/>
      <w:szCs w:val="22"/>
      <w:lang w:eastAsia="zh-CN"/>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uiPriority w:val="99"/>
    <w:qFormat/>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8"/>
      </w:numPr>
      <w:suppressAutoHyphens/>
      <w:spacing w:line="360" w:lineRule="auto"/>
    </w:pPr>
  </w:style>
  <w:style w:type="paragraph" w:styleId="TOC4">
    <w:name w:val="toc 4"/>
    <w:basedOn w:val="Normal"/>
    <w:next w:val="Normal"/>
    <w:uiPriority w:val="39"/>
    <w:rsid w:val="009170FA"/>
    <w:pPr>
      <w:tabs>
        <w:tab w:val="left" w:pos="3510"/>
        <w:tab w:val="right" w:leader="dot" w:pos="9346"/>
      </w:tabs>
      <w:ind w:left="3510" w:right="720" w:hanging="1080"/>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uiPriority w:val="99"/>
    <w:locked/>
    <w:rsid w:val="00163666"/>
    <w:pPr>
      <w:tabs>
        <w:tab w:val="center" w:pos="4680"/>
        <w:tab w:val="right" w:pos="9360"/>
      </w:tabs>
    </w:pPr>
  </w:style>
  <w:style w:type="character" w:customStyle="1" w:styleId="HeaderChar">
    <w:name w:val="Header Char"/>
    <w:link w:val="Header"/>
    <w:uiPriority w:val="99"/>
    <w:rsid w:val="00163666"/>
    <w:rPr>
      <w:rFonts w:ascii="Palatino" w:hAnsi="Palatino"/>
      <w:sz w:val="26"/>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uiPriority w:val="99"/>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uiPriority w:val="99"/>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numbering" w:customStyle="1" w:styleId="AppendixHeader">
    <w:name w:val="Appendix Header"/>
    <w:uiPriority w:val="99"/>
    <w:rsid w:val="00AD7257"/>
    <w:pPr>
      <w:numPr>
        <w:numId w:val="19"/>
      </w:numPr>
    </w:pPr>
  </w:style>
  <w:style w:type="character" w:customStyle="1" w:styleId="BodyTextChar">
    <w:name w:val="Body Text Char"/>
    <w:link w:val="BodyText"/>
    <w:uiPriority w:val="1"/>
    <w:rsid w:val="00902B0C"/>
    <w:rPr>
      <w:sz w:val="24"/>
      <w:szCs w:val="22"/>
      <w:lang w:eastAsia="zh-CN"/>
    </w:rPr>
  </w:style>
  <w:style w:type="paragraph" w:styleId="Quote">
    <w:name w:val="Quote"/>
    <w:basedOn w:val="Normal"/>
    <w:next w:val="Normal"/>
    <w:link w:val="QuoteChar"/>
    <w:uiPriority w:val="99"/>
    <w:qFormat/>
    <w:rsid w:val="00902B0C"/>
    <w:pPr>
      <w:spacing w:after="240"/>
      <w:ind w:left="1440" w:right="1440"/>
    </w:pPr>
    <w:rPr>
      <w:rFonts w:ascii="Times New Roman" w:hAnsi="Times New Roman"/>
      <w:sz w:val="24"/>
    </w:rPr>
  </w:style>
  <w:style w:type="character" w:customStyle="1" w:styleId="QuoteChar">
    <w:name w:val="Quote Char"/>
    <w:link w:val="Quote"/>
    <w:rsid w:val="00902B0C"/>
    <w:rPr>
      <w:sz w:val="24"/>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styleId="ListParagraph">
    <w:name w:val="List Paragraph"/>
    <w:basedOn w:val="Normal"/>
    <w:uiPriority w:val="34"/>
    <w:qFormat/>
    <w:rsid w:val="00AD7257"/>
    <w:pPr>
      <w:ind w:left="720"/>
      <w:contextualSpacing/>
    </w:pPr>
  </w:style>
  <w:style w:type="paragraph" w:styleId="TOC1">
    <w:name w:val="toc 1"/>
    <w:basedOn w:val="Normal"/>
    <w:next w:val="Normal"/>
    <w:uiPriority w:val="39"/>
    <w:qFormat/>
    <w:rsid w:val="00120DD7"/>
    <w:pPr>
      <w:keepNext/>
      <w:tabs>
        <w:tab w:val="left" w:pos="520"/>
        <w:tab w:val="right" w:leader="dot" w:pos="9350"/>
      </w:tabs>
      <w:spacing w:before="20" w:after="40"/>
      <w:ind w:right="720"/>
    </w:pPr>
    <w:rPr>
      <w:noProof/>
      <w:szCs w:val="26"/>
    </w:rPr>
  </w:style>
  <w:style w:type="paragraph" w:styleId="TOC2">
    <w:name w:val="toc 2"/>
    <w:basedOn w:val="Normal"/>
    <w:next w:val="Normal"/>
    <w:autoRedefine/>
    <w:uiPriority w:val="39"/>
    <w:qFormat/>
    <w:rsid w:val="00557C97"/>
    <w:pPr>
      <w:tabs>
        <w:tab w:val="left" w:pos="1170"/>
        <w:tab w:val="right" w:leader="dot" w:pos="9350"/>
      </w:tabs>
      <w:spacing w:before="20" w:after="20"/>
      <w:ind w:left="1166" w:right="720" w:hanging="619"/>
    </w:pPr>
    <w:rPr>
      <w:noProof/>
      <w:szCs w:val="26"/>
    </w:rPr>
  </w:style>
  <w:style w:type="paragraph" w:styleId="TOC3">
    <w:name w:val="toc 3"/>
    <w:basedOn w:val="Normal"/>
    <w:next w:val="Normal"/>
    <w:autoRedefine/>
    <w:uiPriority w:val="39"/>
    <w:qFormat/>
    <w:rsid w:val="009170FA"/>
    <w:pPr>
      <w:tabs>
        <w:tab w:val="left" w:pos="2250"/>
        <w:tab w:val="right" w:leader="dot" w:pos="9350"/>
      </w:tabs>
      <w:ind w:left="2250" w:right="720" w:hanging="810"/>
    </w:pPr>
    <w:rPr>
      <w:noProof/>
      <w:szCs w:val="24"/>
    </w:rPr>
  </w:style>
  <w:style w:type="paragraph" w:styleId="TOC5">
    <w:name w:val="toc 5"/>
    <w:basedOn w:val="Normal"/>
    <w:next w:val="Normal"/>
    <w:autoRedefine/>
    <w:uiPriority w:val="39"/>
    <w:rsid w:val="00633FD0"/>
    <w:pPr>
      <w:tabs>
        <w:tab w:val="left" w:pos="4680"/>
        <w:tab w:val="right" w:leader="dot" w:pos="9346"/>
      </w:tabs>
      <w:ind w:left="4680" w:right="720" w:hanging="1260"/>
    </w:pPr>
    <w:rPr>
      <w:noProof/>
      <w:szCs w:val="24"/>
    </w:rPr>
  </w:style>
  <w:style w:type="paragraph" w:styleId="TOC6">
    <w:name w:val="toc 6"/>
    <w:basedOn w:val="Normal"/>
    <w:next w:val="Normal"/>
    <w:autoRedefine/>
    <w:uiPriority w:val="39"/>
    <w:rsid w:val="00E60844"/>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Normal"/>
    <w:next w:val="Normal"/>
    <w:uiPriority w:val="39"/>
    <w:rsid w:val="0000439C"/>
    <w:pPr>
      <w:tabs>
        <w:tab w:val="right" w:leader="dot" w:pos="9350"/>
      </w:tabs>
      <w:spacing w:before="20" w:after="20"/>
      <w:ind w:left="806" w:right="720" w:hanging="518"/>
    </w:pPr>
    <w:rPr>
      <w:noProof/>
      <w:szCs w:val="26"/>
    </w:rPr>
  </w:style>
  <w:style w:type="paragraph" w:styleId="NormalWeb">
    <w:name w:val="Normal (Web)"/>
    <w:basedOn w:val="Normal"/>
    <w:uiPriority w:val="99"/>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B83F57"/>
    <w:pPr>
      <w:spacing w:line="240" w:lineRule="auto"/>
      <w:ind w:firstLine="0"/>
    </w:pPr>
    <w:rPr>
      <w:sz w:val="24"/>
      <w:vertAlign w:val="superscript"/>
    </w:rPr>
  </w:style>
  <w:style w:type="paragraph" w:customStyle="1" w:styleId="TOCHeader">
    <w:name w:val="TOC Header"/>
    <w:basedOn w:val="Normal"/>
    <w:rsid w:val="00902B0C"/>
    <w:pPr>
      <w:ind w:left="115" w:right="115"/>
      <w:jc w:val="center"/>
    </w:pPr>
    <w:rPr>
      <w:rFonts w:ascii="Times New Roman" w:hAnsi="Times New Roman"/>
      <w:sz w:val="24"/>
    </w:rPr>
  </w:style>
  <w:style w:type="character" w:customStyle="1" w:styleId="standardChar">
    <w:name w:val="standard Char"/>
    <w:link w:val="standard"/>
    <w:locked/>
    <w:rsid w:val="00E60844"/>
    <w:rPr>
      <w:rFonts w:ascii="Palatino" w:hAnsi="Palatino"/>
      <w:sz w:val="26"/>
      <w:lang w:val="en-US" w:eastAsia="en-US"/>
    </w:rPr>
  </w:style>
  <w:style w:type="paragraph" w:customStyle="1" w:styleId="Level1">
    <w:name w:val="Level 1"/>
    <w:basedOn w:val="Normal"/>
    <w:rsid w:val="00E60844"/>
    <w:pPr>
      <w:keepNext/>
      <w:numPr>
        <w:numId w:val="6"/>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6"/>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uiPriority w:val="99"/>
    <w:locked/>
    <w:rsid w:val="00DE4938"/>
    <w:rPr>
      <w:rFonts w:ascii="Palatino" w:hAnsi="Palatino"/>
      <w:sz w:val="22"/>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6"/>
      </w:numPr>
      <w:suppressAutoHyphens/>
      <w:spacing w:after="240"/>
      <w:outlineLvl w:val="2"/>
    </w:pPr>
    <w:rPr>
      <w:rFonts w:ascii="Times New Roman" w:eastAsia="SimSun" w:hAnsi="Times New Roman"/>
      <w:sz w:val="24"/>
    </w:rPr>
  </w:style>
  <w:style w:type="paragraph" w:customStyle="1" w:styleId="Level4">
    <w:name w:val="Level 4"/>
    <w:basedOn w:val="Normal"/>
    <w:rsid w:val="00E60844"/>
    <w:pPr>
      <w:numPr>
        <w:ilvl w:val="3"/>
        <w:numId w:val="6"/>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 5"/>
    <w:basedOn w:val="Normal"/>
    <w:rsid w:val="00E60844"/>
    <w:pPr>
      <w:numPr>
        <w:ilvl w:val="4"/>
        <w:numId w:val="6"/>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6"/>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6"/>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rsid w:val="007B3791"/>
    <w:pPr>
      <w:numPr>
        <w:numId w:val="18"/>
      </w:numPr>
      <w:spacing w:after="80" w:line="240" w:lineRule="auto"/>
      <w:ind w:right="720"/>
    </w:pPr>
    <w:rPr>
      <w:rFonts w:eastAsia="Calibri"/>
    </w:rPr>
  </w:style>
  <w:style w:type="paragraph" w:customStyle="1" w:styleId="Level8">
    <w:name w:val="Level 8"/>
    <w:basedOn w:val="Normal"/>
    <w:rsid w:val="00E60844"/>
    <w:pPr>
      <w:numPr>
        <w:ilvl w:val="7"/>
        <w:numId w:val="6"/>
      </w:numPr>
      <w:suppressAutoHyphens/>
      <w:spacing w:after="240"/>
      <w:outlineLvl w:val="7"/>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character" w:customStyle="1" w:styleId="StandardFootnoteReferenceChar">
    <w:name w:val="Standard Footnote Reference Char"/>
    <w:link w:val="StandardFootnoteReference"/>
    <w:locked/>
    <w:rsid w:val="00B83F57"/>
    <w:rPr>
      <w:rFonts w:ascii="Palatino" w:hAnsi="Palatino"/>
      <w:sz w:val="24"/>
      <w:vertAlign w:val="superscript"/>
    </w:rPr>
  </w:style>
  <w:style w:type="character" w:styleId="Emphasis">
    <w:name w:val="Emphasis"/>
    <w:uiPriority w:val="20"/>
    <w:qFormat/>
    <w:rsid w:val="00E60844"/>
    <w:rPr>
      <w:rFonts w:cs="Times New Roman"/>
      <w:i/>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paragraph" w:customStyle="1" w:styleId="StyleListParagraphHelveticaBold">
    <w:name w:val="Style List Paragraph + Helvetica Bold"/>
    <w:basedOn w:val="ListParagraph"/>
    <w:rsid w:val="00AD7257"/>
    <w:pPr>
      <w:jc w:val="center"/>
    </w:pPr>
    <w:rPr>
      <w:rFonts w:ascii="Helvetica" w:hAnsi="Helvetica"/>
      <w:b/>
      <w:bCs/>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7B3791"/>
    <w:rPr>
      <w:rFonts w:ascii="Palatino" w:eastAsia="Calibri"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Normal0">
    <w:name w:val="@Normal"/>
    <w:rsid w:val="00F00AD9"/>
    <w:pPr>
      <w:suppressAutoHyphens/>
    </w:pPr>
    <w:rPr>
      <w:sz w:val="24"/>
    </w:rPr>
  </w:style>
  <w:style w:type="paragraph" w:customStyle="1" w:styleId="StyleStandardQuotationAfter4pt">
    <w:name w:val="Style Standard Quotation + After:  4 pt"/>
    <w:basedOn w:val="StandardQuotation"/>
    <w:rsid w:val="00E60844"/>
    <w:pPr>
      <w:spacing w:after="80"/>
    </w:pPr>
  </w:style>
  <w:style w:type="character" w:styleId="Strong">
    <w:name w:val="Strong"/>
    <w:uiPriority w:val="99"/>
    <w:qFormat/>
    <w:rsid w:val="00E60844"/>
    <w:rPr>
      <w:rFonts w:cs="Times New Roman"/>
      <w:b/>
    </w:rPr>
  </w:style>
  <w:style w:type="paragraph" w:styleId="Subtitle">
    <w:name w:val="Subtitle"/>
    <w:basedOn w:val="Normal"/>
    <w:link w:val="SubtitleChar"/>
    <w:uiPriority w:val="99"/>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uiPriority w:val="99"/>
    <w:semiHidden/>
    <w:rsid w:val="00E60844"/>
    <w:pPr>
      <w:ind w:left="240" w:hanging="240"/>
    </w:pPr>
    <w:rPr>
      <w:rFonts w:ascii="Times New Roman" w:hAnsi="Times New Roman"/>
      <w:sz w:val="24"/>
      <w:szCs w:val="24"/>
    </w:rPr>
  </w:style>
  <w:style w:type="numbering" w:customStyle="1" w:styleId="AppendixA">
    <w:name w:val="Appendix A"/>
    <w:basedOn w:val="AppendixHeader"/>
    <w:uiPriority w:val="99"/>
    <w:rsid w:val="00B46F39"/>
    <w:pPr>
      <w:numPr>
        <w:numId w:val="20"/>
      </w:numPr>
    </w:p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styleId="TOCHeading">
    <w:name w:val="TOC Heading"/>
    <w:basedOn w:val="Heading1"/>
    <w:next w:val="Normal"/>
    <w:uiPriority w:val="99"/>
    <w:semiHidden/>
    <w:unhideWhenUsed/>
    <w:qFormat/>
    <w:rsid w:val="00A232EF"/>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rsid w:val="00E84708"/>
    <w:rPr>
      <w:rFonts w:ascii="Palatino" w:hAnsi="Palatino"/>
      <w:sz w:val="26"/>
    </w:rPr>
  </w:style>
  <w:style w:type="numbering" w:styleId="1ai">
    <w:name w:val="Outline List 1"/>
    <w:basedOn w:val="NoList"/>
    <w:rsid w:val="00D22974"/>
    <w:pPr>
      <w:numPr>
        <w:numId w:val="5"/>
      </w:numPr>
    </w:pPr>
  </w:style>
  <w:style w:type="numbering" w:customStyle="1" w:styleId="Style1">
    <w:name w:val="Style1"/>
    <w:rsid w:val="00F45FB4"/>
    <w:pPr>
      <w:numPr>
        <w:numId w:val="7"/>
      </w:numPr>
    </w:pPr>
  </w:style>
  <w:style w:type="paragraph" w:customStyle="1" w:styleId="sub2">
    <w:name w:val="sub2"/>
    <w:basedOn w:val="Normal"/>
    <w:rsid w:val="005B7F80"/>
    <w:pPr>
      <w:spacing w:line="360" w:lineRule="auto"/>
      <w:ind w:firstLine="2160"/>
    </w:pPr>
  </w:style>
  <w:style w:type="table" w:styleId="MediumGrid3-Accent1">
    <w:name w:val="Medium Grid 3 Accent 1"/>
    <w:basedOn w:val="TableNormal"/>
    <w:uiPriority w:val="69"/>
    <w:rsid w:val="002937AE"/>
    <w:pPr>
      <w:ind w:firstLine="360"/>
    </w:pPr>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ListParagraphHelveticaBoldCentered">
    <w:name w:val="Style List Paragraph + Helvetica Bold Centered"/>
    <w:basedOn w:val="ListParagraph"/>
    <w:rsid w:val="00A232EF"/>
    <w:pPr>
      <w:jc w:val="center"/>
    </w:pPr>
    <w:rPr>
      <w:b/>
      <w:bCs/>
    </w:rPr>
  </w:style>
  <w:style w:type="paragraph" w:customStyle="1" w:styleId="para3">
    <w:name w:val="para3"/>
    <w:basedOn w:val="Normal"/>
    <w:rsid w:val="00A83655"/>
    <w:pPr>
      <w:spacing w:before="100" w:beforeAutospacing="1" w:after="100" w:afterAutospacing="1"/>
    </w:pPr>
    <w:rPr>
      <w:rFonts w:ascii="Times New Roman" w:hAnsi="Times New Roman"/>
      <w:color w:val="000000"/>
      <w:sz w:val="24"/>
      <w:szCs w:val="24"/>
    </w:rPr>
  </w:style>
  <w:style w:type="paragraph" w:customStyle="1" w:styleId="Subject">
    <w:name w:val="Subject"/>
    <w:basedOn w:val="Normal"/>
    <w:qFormat/>
    <w:rsid w:val="00281A2C"/>
    <w:pPr>
      <w:spacing w:before="240" w:line="240" w:lineRule="atLeast"/>
      <w:ind w:left="1224" w:hanging="1224"/>
    </w:pPr>
    <w:rPr>
      <w:rFonts w:ascii="Arial" w:eastAsia="Calibri" w:hAnsi="Arial"/>
      <w:b/>
      <w:smallCaps/>
      <w:sz w:val="24"/>
      <w:szCs w:val="24"/>
    </w:rPr>
  </w:style>
  <w:style w:type="paragraph" w:customStyle="1" w:styleId="TitlePage">
    <w:name w:val="Title Page"/>
    <w:basedOn w:val="Normal"/>
    <w:rsid w:val="00A83655"/>
    <w:pPr>
      <w:jc w:val="center"/>
    </w:pPr>
    <w:rPr>
      <w:rFonts w:ascii="Times New Roman" w:hAnsi="Times New Roman"/>
      <w:b/>
      <w:bCs/>
      <w:sz w:val="24"/>
    </w:rPr>
  </w:style>
  <w:style w:type="paragraph" w:customStyle="1" w:styleId="Quote10">
    <w:name w:val="Quote 1"/>
    <w:basedOn w:val="Normal"/>
    <w:rsid w:val="00E95984"/>
    <w:pPr>
      <w:spacing w:before="240"/>
      <w:ind w:left="1440" w:right="1440"/>
    </w:pPr>
    <w:rPr>
      <w:rFonts w:ascii="Times New Roman" w:hAnsi="Times New Roman"/>
      <w:sz w:val="24"/>
    </w:rPr>
  </w:style>
  <w:style w:type="paragraph" w:customStyle="1" w:styleId="DeclStyle">
    <w:name w:val="Decl_Style"/>
    <w:basedOn w:val="Normal"/>
    <w:rsid w:val="009A3B27"/>
    <w:pPr>
      <w:numPr>
        <w:ilvl w:val="2"/>
        <w:numId w:val="12"/>
      </w:numPr>
      <w:tabs>
        <w:tab w:val="clear" w:pos="1620"/>
      </w:tabs>
      <w:suppressAutoHyphens/>
      <w:spacing w:line="480" w:lineRule="auto"/>
      <w:ind w:left="0" w:firstLine="720"/>
    </w:pPr>
    <w:rPr>
      <w:rFonts w:ascii="Times New Roman" w:hAnsi="Times New Roman"/>
      <w:color w:val="000000"/>
      <w:sz w:val="24"/>
    </w:rPr>
  </w:style>
  <w:style w:type="paragraph" w:customStyle="1" w:styleId="StyleHeading2TimesNewRoman">
    <w:name w:val="Style Heading 2 + Times New Roman"/>
    <w:basedOn w:val="Heading2"/>
    <w:rsid w:val="009A3B27"/>
    <w:pPr>
      <w:keepLines/>
      <w:numPr>
        <w:ilvl w:val="0"/>
        <w:numId w:val="13"/>
      </w:numPr>
      <w:spacing w:before="240" w:after="240"/>
      <w:ind w:right="0" w:hanging="720"/>
    </w:pPr>
    <w:rPr>
      <w:rFonts w:ascii="Times New Roman" w:hAnsi="Times New Roman"/>
      <w:bCs/>
      <w:sz w:val="24"/>
      <w:u w:val="single"/>
    </w:rPr>
  </w:style>
  <w:style w:type="paragraph" w:customStyle="1" w:styleId="StyleHeading3TimesNewRoman">
    <w:name w:val="Style Heading 3 + Times New Roman"/>
    <w:basedOn w:val="Heading3"/>
    <w:rsid w:val="009A3B27"/>
    <w:pPr>
      <w:numPr>
        <w:ilvl w:val="0"/>
        <w:numId w:val="14"/>
      </w:numPr>
      <w:spacing w:before="240" w:after="240"/>
      <w:ind w:right="0" w:hanging="720"/>
    </w:pPr>
    <w:rPr>
      <w:rFonts w:ascii="Times New Roman" w:hAnsi="Times New Roman"/>
      <w:bCs/>
      <w:sz w:val="24"/>
    </w:rPr>
  </w:style>
  <w:style w:type="paragraph" w:customStyle="1" w:styleId="StyleHeading4TimesNewRoman">
    <w:name w:val="Style Heading 4 + Times New Roman"/>
    <w:basedOn w:val="Heading4"/>
    <w:rsid w:val="009A3B27"/>
    <w:pPr>
      <w:numPr>
        <w:ilvl w:val="0"/>
        <w:numId w:val="15"/>
      </w:numPr>
      <w:spacing w:before="240" w:after="240"/>
      <w:ind w:right="0" w:hanging="720"/>
    </w:pPr>
    <w:rPr>
      <w:rFonts w:ascii="Times New Roman" w:hAnsi="Times New Roman"/>
      <w:iCs/>
      <w:sz w:val="24"/>
    </w:rPr>
  </w:style>
  <w:style w:type="paragraph" w:customStyle="1" w:styleId="OutHead1">
    <w:name w:val="OutHead1"/>
    <w:basedOn w:val="Normal"/>
    <w:next w:val="Normal"/>
    <w:uiPriority w:val="1"/>
    <w:qFormat/>
    <w:rsid w:val="00866EAF"/>
    <w:pPr>
      <w:keepNext/>
      <w:numPr>
        <w:numId w:val="16"/>
      </w:numPr>
      <w:pBdr>
        <w:top w:val="nil"/>
        <w:left w:val="nil"/>
        <w:bottom w:val="nil"/>
        <w:right w:val="nil"/>
        <w:between w:val="nil"/>
        <w:bar w:val="nil"/>
      </w:pBdr>
      <w:spacing w:after="240"/>
      <w:jc w:val="center"/>
      <w:outlineLvl w:val="0"/>
    </w:pPr>
    <w:rPr>
      <w:rFonts w:ascii="Times New Roman" w:eastAsia="Arial Unicode MS" w:hAnsi="Times New Roman"/>
      <w:b/>
      <w:caps/>
      <w:color w:val="000000"/>
      <w:sz w:val="24"/>
      <w:bdr w:val="nil"/>
    </w:rPr>
  </w:style>
  <w:style w:type="paragraph" w:customStyle="1" w:styleId="OutHead2">
    <w:name w:val="OutHead2"/>
    <w:basedOn w:val="Normal"/>
    <w:next w:val="Normal"/>
    <w:uiPriority w:val="1"/>
    <w:qFormat/>
    <w:rsid w:val="00866EAF"/>
    <w:pPr>
      <w:keepNext/>
      <w:numPr>
        <w:ilvl w:val="1"/>
        <w:numId w:val="16"/>
      </w:numPr>
      <w:pBdr>
        <w:top w:val="nil"/>
        <w:left w:val="nil"/>
        <w:bottom w:val="nil"/>
        <w:right w:val="nil"/>
        <w:between w:val="nil"/>
        <w:bar w:val="nil"/>
      </w:pBdr>
      <w:spacing w:after="240"/>
      <w:outlineLvl w:val="1"/>
    </w:pPr>
    <w:rPr>
      <w:rFonts w:ascii="Times New Roman" w:eastAsia="Arial Unicode MS" w:hAnsi="Times New Roman"/>
      <w:b/>
      <w:color w:val="000000"/>
      <w:sz w:val="24"/>
      <w:bdr w:val="nil"/>
    </w:rPr>
  </w:style>
  <w:style w:type="paragraph" w:customStyle="1" w:styleId="OutHead3">
    <w:name w:val="OutHead3"/>
    <w:basedOn w:val="Normal"/>
    <w:next w:val="Normal"/>
    <w:uiPriority w:val="1"/>
    <w:qFormat/>
    <w:rsid w:val="00866EAF"/>
    <w:pPr>
      <w:keepNext/>
      <w:numPr>
        <w:ilvl w:val="2"/>
        <w:numId w:val="16"/>
      </w:numPr>
      <w:pBdr>
        <w:top w:val="nil"/>
        <w:left w:val="nil"/>
        <w:bottom w:val="nil"/>
        <w:right w:val="nil"/>
        <w:between w:val="nil"/>
        <w:bar w:val="nil"/>
      </w:pBdr>
      <w:spacing w:after="240"/>
      <w:outlineLvl w:val="2"/>
    </w:pPr>
    <w:rPr>
      <w:rFonts w:ascii="Times New Roman" w:eastAsia="Arial Unicode MS" w:hAnsi="Times New Roman"/>
      <w:b/>
      <w:color w:val="000000"/>
      <w:sz w:val="24"/>
      <w:bdr w:val="nil"/>
    </w:rPr>
  </w:style>
  <w:style w:type="paragraph" w:customStyle="1" w:styleId="OutHead4">
    <w:name w:val="OutHead4"/>
    <w:basedOn w:val="Normal"/>
    <w:next w:val="Normal"/>
    <w:uiPriority w:val="1"/>
    <w:qFormat/>
    <w:rsid w:val="00866EAF"/>
    <w:pPr>
      <w:keepNext/>
      <w:numPr>
        <w:ilvl w:val="3"/>
        <w:numId w:val="16"/>
      </w:numPr>
      <w:pBdr>
        <w:top w:val="nil"/>
        <w:left w:val="nil"/>
        <w:bottom w:val="nil"/>
        <w:right w:val="nil"/>
        <w:between w:val="nil"/>
        <w:bar w:val="nil"/>
      </w:pBdr>
      <w:spacing w:after="240"/>
      <w:outlineLvl w:val="3"/>
    </w:pPr>
    <w:rPr>
      <w:rFonts w:ascii="Times New Roman" w:eastAsia="Arial Unicode MS" w:hAnsi="Times New Roman"/>
      <w:b/>
      <w:color w:val="000000"/>
      <w:sz w:val="24"/>
      <w:bdr w:val="nil"/>
    </w:rPr>
  </w:style>
  <w:style w:type="paragraph" w:customStyle="1" w:styleId="OutHead5">
    <w:name w:val="OutHead5"/>
    <w:basedOn w:val="Normal"/>
    <w:next w:val="Normal"/>
    <w:uiPriority w:val="1"/>
    <w:qFormat/>
    <w:rsid w:val="00866EAF"/>
    <w:pPr>
      <w:keepNext/>
      <w:numPr>
        <w:ilvl w:val="4"/>
        <w:numId w:val="16"/>
      </w:numPr>
      <w:pBdr>
        <w:top w:val="nil"/>
        <w:left w:val="nil"/>
        <w:bottom w:val="nil"/>
        <w:right w:val="nil"/>
        <w:between w:val="nil"/>
        <w:bar w:val="nil"/>
      </w:pBdr>
      <w:spacing w:after="240"/>
      <w:outlineLvl w:val="4"/>
    </w:pPr>
    <w:rPr>
      <w:rFonts w:ascii="Times New Roman" w:eastAsia="Arial Unicode MS" w:hAnsi="Times New Roman"/>
      <w:b/>
      <w:color w:val="000000"/>
      <w:sz w:val="24"/>
      <w:bdr w:val="nil"/>
    </w:rPr>
  </w:style>
  <w:style w:type="paragraph" w:customStyle="1" w:styleId="OutHead6">
    <w:name w:val="OutHead6"/>
    <w:basedOn w:val="Normal"/>
    <w:next w:val="Normal"/>
    <w:uiPriority w:val="1"/>
    <w:qFormat/>
    <w:rsid w:val="00866EAF"/>
    <w:pPr>
      <w:keepNext/>
      <w:numPr>
        <w:ilvl w:val="5"/>
        <w:numId w:val="16"/>
      </w:numPr>
      <w:pBdr>
        <w:top w:val="nil"/>
        <w:left w:val="nil"/>
        <w:bottom w:val="nil"/>
        <w:right w:val="nil"/>
        <w:between w:val="nil"/>
        <w:bar w:val="nil"/>
      </w:pBdr>
      <w:spacing w:after="240"/>
      <w:outlineLvl w:val="5"/>
    </w:pPr>
    <w:rPr>
      <w:rFonts w:ascii="Times New Roman" w:eastAsia="Arial Unicode MS" w:hAnsi="Times New Roman"/>
      <w:b/>
      <w:color w:val="000000"/>
      <w:sz w:val="24"/>
      <w:bdr w:val="nil"/>
    </w:rPr>
  </w:style>
  <w:style w:type="paragraph" w:customStyle="1" w:styleId="OutHead7">
    <w:name w:val="OutHead7"/>
    <w:basedOn w:val="Normal"/>
    <w:next w:val="Normal"/>
    <w:uiPriority w:val="1"/>
    <w:qFormat/>
    <w:rsid w:val="00866EAF"/>
    <w:pPr>
      <w:keepNext/>
      <w:numPr>
        <w:ilvl w:val="6"/>
        <w:numId w:val="16"/>
      </w:numPr>
      <w:pBdr>
        <w:top w:val="nil"/>
        <w:left w:val="nil"/>
        <w:bottom w:val="nil"/>
        <w:right w:val="nil"/>
        <w:between w:val="nil"/>
        <w:bar w:val="nil"/>
      </w:pBdr>
      <w:spacing w:after="240"/>
      <w:outlineLvl w:val="6"/>
    </w:pPr>
    <w:rPr>
      <w:rFonts w:ascii="Times New Roman" w:eastAsia="Arial Unicode MS" w:hAnsi="Times New Roman"/>
      <w:b/>
      <w:color w:val="000000"/>
      <w:sz w:val="24"/>
      <w:bdr w:val="nil"/>
    </w:rPr>
  </w:style>
  <w:style w:type="paragraph" w:customStyle="1" w:styleId="OutHead8">
    <w:name w:val="OutHead8"/>
    <w:basedOn w:val="Normal"/>
    <w:next w:val="Normal"/>
    <w:uiPriority w:val="1"/>
    <w:qFormat/>
    <w:rsid w:val="00866EAF"/>
    <w:pPr>
      <w:keepNext/>
      <w:numPr>
        <w:ilvl w:val="7"/>
        <w:numId w:val="16"/>
      </w:numPr>
      <w:pBdr>
        <w:top w:val="nil"/>
        <w:left w:val="nil"/>
        <w:bottom w:val="nil"/>
        <w:right w:val="nil"/>
        <w:between w:val="nil"/>
        <w:bar w:val="nil"/>
      </w:pBdr>
      <w:spacing w:after="240"/>
      <w:outlineLvl w:val="7"/>
    </w:pPr>
    <w:rPr>
      <w:rFonts w:ascii="Times New Roman" w:eastAsia="Arial Unicode MS" w:hAnsi="Times New Roman"/>
      <w:b/>
      <w:color w:val="000000"/>
      <w:sz w:val="24"/>
      <w:bdr w:val="nil"/>
    </w:rPr>
  </w:style>
  <w:style w:type="paragraph" w:customStyle="1" w:styleId="Quote2">
    <w:name w:val="Quote2"/>
    <w:basedOn w:val="standard"/>
    <w:rsid w:val="00324D31"/>
    <w:pPr>
      <w:spacing w:before="120" w:after="240" w:line="240" w:lineRule="auto"/>
      <w:ind w:left="720" w:right="720" w:firstLine="0"/>
    </w:pPr>
  </w:style>
  <w:style w:type="paragraph" w:customStyle="1" w:styleId="sub1">
    <w:name w:val="sub1"/>
    <w:basedOn w:val="Normal"/>
    <w:rsid w:val="00324D31"/>
    <w:pPr>
      <w:spacing w:line="360" w:lineRule="auto"/>
      <w:ind w:firstLine="1440"/>
    </w:pPr>
  </w:style>
  <w:style w:type="paragraph" w:styleId="BalloonText">
    <w:name w:val="Balloon Text"/>
    <w:basedOn w:val="Normal"/>
    <w:link w:val="BalloonTextChar"/>
    <w:uiPriority w:val="99"/>
    <w:semiHidden/>
    <w:unhideWhenUsed/>
    <w:locked/>
    <w:rsid w:val="00C543C6"/>
    <w:rPr>
      <w:rFonts w:ascii="Tahoma" w:hAnsi="Tahoma" w:cs="Tahoma"/>
      <w:sz w:val="16"/>
      <w:szCs w:val="16"/>
    </w:rPr>
  </w:style>
  <w:style w:type="character" w:customStyle="1" w:styleId="BalloonTextChar">
    <w:name w:val="Balloon Text Char"/>
    <w:link w:val="BalloonText"/>
    <w:uiPriority w:val="99"/>
    <w:semiHidden/>
    <w:rsid w:val="00C543C6"/>
    <w:rPr>
      <w:rFonts w:ascii="Tahoma" w:hAnsi="Tahoma" w:cs="Tahoma"/>
      <w:sz w:val="16"/>
      <w:szCs w:val="16"/>
    </w:rPr>
  </w:style>
  <w:style w:type="paragraph" w:customStyle="1" w:styleId="BodyText6">
    <w:name w:val="Body Text 6"/>
    <w:basedOn w:val="BodyText"/>
    <w:autoRedefine/>
    <w:rsid w:val="00AF57B4"/>
    <w:pPr>
      <w:spacing w:after="120" w:line="360" w:lineRule="auto"/>
      <w:ind w:firstLine="907"/>
    </w:pPr>
    <w:rPr>
      <w:sz w:val="26"/>
      <w:szCs w:val="20"/>
      <w:lang w:eastAsia="en-US"/>
    </w:rPr>
  </w:style>
  <w:style w:type="character" w:customStyle="1" w:styleId="enumbell">
    <w:name w:val="enumbell"/>
    <w:basedOn w:val="DefaultParagraphFont"/>
    <w:rsid w:val="00F66292"/>
  </w:style>
  <w:style w:type="character" w:customStyle="1" w:styleId="ptext-">
    <w:name w:val="ptext-"/>
    <w:basedOn w:val="DefaultParagraphFont"/>
    <w:rsid w:val="00F66292"/>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ocked/>
    <w:rsid w:val="00DF1DBE"/>
    <w:rPr>
      <w:rFonts w:ascii="Palatino" w:hAnsi="Palatino"/>
      <w:sz w:val="24"/>
    </w:rPr>
  </w:style>
  <w:style w:type="character" w:customStyle="1" w:styleId="StandardBulletCharChar">
    <w:name w:val="Standard Bullet Char Char"/>
    <w:locked/>
    <w:rsid w:val="00DF1DBE"/>
    <w:rPr>
      <w:rFonts w:ascii="Palatino" w:hAnsi="Palatino"/>
      <w:sz w:val="26"/>
    </w:rPr>
  </w:style>
  <w:style w:type="paragraph" w:customStyle="1" w:styleId="Hang2">
    <w:name w:val="Hang2"/>
    <w:basedOn w:val="Normal"/>
    <w:uiPriority w:val="3"/>
    <w:qFormat/>
    <w:rsid w:val="003C39F9"/>
    <w:pPr>
      <w:spacing w:after="240"/>
      <w:ind w:left="1800" w:hanging="360"/>
    </w:pPr>
    <w:rPr>
      <w:rFonts w:ascii="Times New Roman" w:hAnsi="Times New Roman"/>
      <w:sz w:val="24"/>
    </w:rPr>
  </w:style>
  <w:style w:type="character" w:customStyle="1" w:styleId="term">
    <w:name w:val="term"/>
    <w:basedOn w:val="DefaultParagraphFont"/>
    <w:rsid w:val="007F755E"/>
  </w:style>
  <w:style w:type="paragraph" w:customStyle="1" w:styleId="AfterQuote">
    <w:name w:val="AfterQuote"/>
    <w:basedOn w:val="Normal"/>
    <w:next w:val="Normal"/>
    <w:uiPriority w:val="2"/>
    <w:qFormat/>
    <w:rsid w:val="00ED04B1"/>
    <w:pPr>
      <w:spacing w:after="240"/>
    </w:pPr>
    <w:rPr>
      <w:rFonts w:ascii="Times New Roman" w:hAnsi="Times New Roman"/>
      <w:sz w:val="24"/>
    </w:rPr>
  </w:style>
  <w:style w:type="paragraph" w:customStyle="1" w:styleId="DWTNorm">
    <w:name w:val="DWTNorm"/>
    <w:basedOn w:val="Normal"/>
    <w:link w:val="DWTNormChar"/>
    <w:qFormat/>
    <w:rsid w:val="00ED04B1"/>
    <w:pPr>
      <w:spacing w:line="480" w:lineRule="auto"/>
      <w:ind w:firstLine="720"/>
      <w:jc w:val="both"/>
    </w:pPr>
    <w:rPr>
      <w:rFonts w:ascii="Times New Roman" w:hAnsi="Times New Roman"/>
      <w:sz w:val="24"/>
    </w:rPr>
  </w:style>
  <w:style w:type="paragraph" w:customStyle="1" w:styleId="DWTQuote">
    <w:name w:val="DWTQuote"/>
    <w:basedOn w:val="DWTNorm"/>
    <w:next w:val="AfterQuote"/>
    <w:uiPriority w:val="2"/>
    <w:qFormat/>
    <w:rsid w:val="00ED04B1"/>
    <w:pPr>
      <w:spacing w:after="240" w:line="240" w:lineRule="auto"/>
      <w:ind w:left="720" w:right="720" w:firstLine="0"/>
    </w:pPr>
  </w:style>
  <w:style w:type="paragraph" w:customStyle="1" w:styleId="DWTTitle">
    <w:name w:val="DWTTitle"/>
    <w:basedOn w:val="Normal"/>
    <w:next w:val="DWTNorm"/>
    <w:uiPriority w:val="2"/>
    <w:qFormat/>
    <w:rsid w:val="00ED04B1"/>
    <w:pPr>
      <w:keepNext/>
      <w:widowControl w:val="0"/>
      <w:spacing w:after="240"/>
      <w:jc w:val="center"/>
    </w:pPr>
    <w:rPr>
      <w:rFonts w:ascii="Times New Roman" w:hAnsi="Times New Roman"/>
      <w:b/>
      <w:caps/>
      <w:sz w:val="24"/>
    </w:rPr>
  </w:style>
  <w:style w:type="paragraph" w:styleId="Caption">
    <w:name w:val="caption"/>
    <w:basedOn w:val="Normal"/>
    <w:next w:val="Normal"/>
    <w:uiPriority w:val="99"/>
    <w:semiHidden/>
    <w:qFormat/>
    <w:locked/>
    <w:rsid w:val="00ED04B1"/>
    <w:pPr>
      <w:spacing w:after="200"/>
    </w:pPr>
    <w:rPr>
      <w:rFonts w:ascii="Times New Roman" w:hAnsi="Times New Roman"/>
      <w:b/>
      <w:bCs/>
      <w:color w:val="4F81BD"/>
      <w:sz w:val="18"/>
      <w:szCs w:val="18"/>
    </w:rPr>
  </w:style>
  <w:style w:type="paragraph" w:styleId="Title">
    <w:name w:val="Title"/>
    <w:basedOn w:val="Normal"/>
    <w:next w:val="Normal"/>
    <w:link w:val="TitleChar"/>
    <w:uiPriority w:val="99"/>
    <w:qFormat/>
    <w:locked/>
    <w:rsid w:val="00ED04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D04B1"/>
    <w:rPr>
      <w:rFonts w:ascii="Cambria" w:hAnsi="Cambria"/>
      <w:color w:val="17365D"/>
      <w:spacing w:val="5"/>
      <w:kern w:val="28"/>
      <w:sz w:val="52"/>
      <w:szCs w:val="52"/>
    </w:rPr>
  </w:style>
  <w:style w:type="paragraph" w:styleId="NoSpacing">
    <w:name w:val="No Spacing"/>
    <w:uiPriority w:val="99"/>
    <w:qFormat/>
    <w:rsid w:val="00ED04B1"/>
    <w:rPr>
      <w:sz w:val="24"/>
      <w:szCs w:val="24"/>
    </w:rPr>
  </w:style>
  <w:style w:type="paragraph" w:styleId="IntenseQuote">
    <w:name w:val="Intense Quote"/>
    <w:basedOn w:val="Normal"/>
    <w:next w:val="Normal"/>
    <w:link w:val="IntenseQuoteChar"/>
    <w:uiPriority w:val="99"/>
    <w:qFormat/>
    <w:rsid w:val="00ED04B1"/>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99"/>
    <w:rsid w:val="00ED04B1"/>
    <w:rPr>
      <w:b/>
      <w:bCs/>
      <w:i/>
      <w:iCs/>
      <w:color w:val="4F81BD"/>
      <w:sz w:val="24"/>
      <w:szCs w:val="24"/>
    </w:rPr>
  </w:style>
  <w:style w:type="character" w:styleId="SubtleEmphasis">
    <w:name w:val="Subtle Emphasis"/>
    <w:uiPriority w:val="99"/>
    <w:qFormat/>
    <w:rsid w:val="00ED04B1"/>
    <w:rPr>
      <w:i/>
      <w:iCs/>
      <w:color w:val="808080"/>
    </w:rPr>
  </w:style>
  <w:style w:type="character" w:styleId="IntenseEmphasis">
    <w:name w:val="Intense Emphasis"/>
    <w:uiPriority w:val="99"/>
    <w:qFormat/>
    <w:rsid w:val="00ED04B1"/>
    <w:rPr>
      <w:b/>
      <w:bCs/>
      <w:i/>
      <w:iCs/>
      <w:color w:val="4F81BD"/>
    </w:rPr>
  </w:style>
  <w:style w:type="character" w:styleId="SubtleReference">
    <w:name w:val="Subtle Reference"/>
    <w:uiPriority w:val="99"/>
    <w:qFormat/>
    <w:rsid w:val="00ED04B1"/>
    <w:rPr>
      <w:smallCaps/>
      <w:color w:val="C0504D"/>
      <w:u w:val="single"/>
    </w:rPr>
  </w:style>
  <w:style w:type="character" w:styleId="IntenseReference">
    <w:name w:val="Intense Reference"/>
    <w:uiPriority w:val="99"/>
    <w:qFormat/>
    <w:rsid w:val="00ED04B1"/>
    <w:rPr>
      <w:b/>
      <w:bCs/>
      <w:smallCaps/>
      <w:color w:val="C0504D"/>
      <w:spacing w:val="5"/>
      <w:u w:val="single"/>
    </w:rPr>
  </w:style>
  <w:style w:type="character" w:styleId="BookTitle">
    <w:name w:val="Book Title"/>
    <w:uiPriority w:val="99"/>
    <w:qFormat/>
    <w:rsid w:val="00ED04B1"/>
    <w:rPr>
      <w:b/>
      <w:bCs/>
      <w:smallCaps/>
      <w:spacing w:val="5"/>
    </w:rPr>
  </w:style>
  <w:style w:type="character" w:customStyle="1" w:styleId="DocID">
    <w:name w:val="DocID"/>
    <w:basedOn w:val="DefaultParagraphFont"/>
    <w:uiPriority w:val="99"/>
    <w:semiHidden/>
    <w:rsid w:val="00ED04B1"/>
    <w:rPr>
      <w:rFonts w:ascii="Times New Roman" w:hAnsi="Times New Roman"/>
      <w:sz w:val="16"/>
    </w:rPr>
  </w:style>
  <w:style w:type="character" w:styleId="CommentReference">
    <w:name w:val="annotation reference"/>
    <w:basedOn w:val="DefaultParagraphFont"/>
    <w:uiPriority w:val="99"/>
    <w:semiHidden/>
    <w:locked/>
    <w:rsid w:val="00ED04B1"/>
    <w:rPr>
      <w:sz w:val="16"/>
      <w:szCs w:val="16"/>
    </w:rPr>
  </w:style>
  <w:style w:type="character" w:customStyle="1" w:styleId="DWTNormChar">
    <w:name w:val="DWTNorm Char"/>
    <w:basedOn w:val="DefaultParagraphFont"/>
    <w:link w:val="DWTNorm"/>
    <w:locked/>
    <w:rsid w:val="00ED04B1"/>
    <w:rPr>
      <w:sz w:val="24"/>
    </w:rPr>
  </w:style>
  <w:style w:type="character" w:customStyle="1" w:styleId="num">
    <w:name w:val="num"/>
    <w:basedOn w:val="DefaultParagraphFont"/>
    <w:rsid w:val="00ED04B1"/>
  </w:style>
  <w:style w:type="paragraph" w:customStyle="1" w:styleId="Hang1">
    <w:name w:val="Hang1"/>
    <w:basedOn w:val="DWTNorm"/>
    <w:uiPriority w:val="3"/>
    <w:qFormat/>
    <w:rsid w:val="00ED04B1"/>
    <w:pPr>
      <w:ind w:left="1080" w:hanging="360"/>
    </w:pPr>
  </w:style>
  <w:style w:type="character" w:customStyle="1" w:styleId="quiet">
    <w:name w:val="quiet"/>
    <w:basedOn w:val="DefaultParagraphFont"/>
    <w:rsid w:val="00ED04B1"/>
  </w:style>
  <w:style w:type="character" w:customStyle="1" w:styleId="annotation">
    <w:name w:val="annotation"/>
    <w:basedOn w:val="DefaultParagraphFont"/>
    <w:rsid w:val="00ED04B1"/>
  </w:style>
  <w:style w:type="paragraph" w:customStyle="1" w:styleId="outlinelevel1">
    <w:name w:val="outline_level_1"/>
    <w:basedOn w:val="Normal"/>
    <w:rsid w:val="00ED04B1"/>
    <w:pPr>
      <w:spacing w:before="100" w:beforeAutospacing="1" w:after="100" w:afterAutospacing="1"/>
    </w:pPr>
    <w:rPr>
      <w:rFonts w:ascii="Times New Roman" w:hAnsi="Times New Roman"/>
      <w:sz w:val="24"/>
      <w:szCs w:val="24"/>
    </w:rPr>
  </w:style>
  <w:style w:type="character" w:customStyle="1" w:styleId="outlineheading1">
    <w:name w:val="outline_heading_1"/>
    <w:basedOn w:val="DefaultParagraphFont"/>
    <w:rsid w:val="00ED04B1"/>
  </w:style>
  <w:style w:type="character" w:customStyle="1" w:styleId="cosearchterm">
    <w:name w:val="co_searchterm"/>
    <w:basedOn w:val="DefaultParagraphFont"/>
    <w:rsid w:val="00ED04B1"/>
  </w:style>
  <w:style w:type="character" w:customStyle="1" w:styleId="pmterms2">
    <w:name w:val="pmterms2"/>
    <w:basedOn w:val="DefaultParagraphFont"/>
    <w:rsid w:val="00ED04B1"/>
  </w:style>
  <w:style w:type="character" w:customStyle="1" w:styleId="sssh">
    <w:name w:val="ss_sh"/>
    <w:basedOn w:val="DefaultParagraphFont"/>
    <w:rsid w:val="00667148"/>
  </w:style>
  <w:style w:type="character" w:customStyle="1" w:styleId="FootnoteReferencebyTim">
    <w:name w:val="Footnote Reference by Tim"/>
    <w:rsid w:val="005238F9"/>
    <w:rPr>
      <w:rFonts w:ascii="Palatino" w:hAnsi="Palatino"/>
      <w:dstrike w:val="0"/>
      <w:color w:val="000000"/>
      <w:position w:val="2"/>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150"/>
          <w:marRight w:val="150"/>
          <w:marTop w:val="150"/>
          <w:marBottom w:val="15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777956">
      <w:bodyDiv w:val="1"/>
      <w:marLeft w:val="0"/>
      <w:marRight w:val="0"/>
      <w:marTop w:val="0"/>
      <w:marBottom w:val="0"/>
      <w:divBdr>
        <w:top w:val="none" w:sz="0" w:space="0" w:color="auto"/>
        <w:left w:val="none" w:sz="0" w:space="0" w:color="auto"/>
        <w:bottom w:val="none" w:sz="0" w:space="0" w:color="auto"/>
        <w:right w:val="none" w:sz="0" w:space="0" w:color="auto"/>
      </w:divBdr>
      <w:divsChild>
        <w:div w:id="33972078">
          <w:marLeft w:val="0"/>
          <w:marRight w:val="0"/>
          <w:marTop w:val="0"/>
          <w:marBottom w:val="0"/>
          <w:divBdr>
            <w:top w:val="none" w:sz="0" w:space="0" w:color="auto"/>
            <w:left w:val="none" w:sz="0" w:space="0" w:color="auto"/>
            <w:bottom w:val="none" w:sz="0" w:space="0" w:color="auto"/>
            <w:right w:val="none" w:sz="0" w:space="0" w:color="auto"/>
          </w:divBdr>
        </w:div>
        <w:div w:id="490486661">
          <w:marLeft w:val="0"/>
          <w:marRight w:val="0"/>
          <w:marTop w:val="0"/>
          <w:marBottom w:val="0"/>
          <w:divBdr>
            <w:top w:val="none" w:sz="0" w:space="0" w:color="auto"/>
            <w:left w:val="none" w:sz="0" w:space="0" w:color="auto"/>
            <w:bottom w:val="none" w:sz="0" w:space="0" w:color="auto"/>
            <w:right w:val="none" w:sz="0" w:space="0" w:color="auto"/>
          </w:divBdr>
        </w:div>
      </w:divsChild>
    </w:div>
    <w:div w:id="17855002">
      <w:bodyDiv w:val="1"/>
      <w:marLeft w:val="0"/>
      <w:marRight w:val="0"/>
      <w:marTop w:val="0"/>
      <w:marBottom w:val="0"/>
      <w:divBdr>
        <w:top w:val="none" w:sz="0" w:space="0" w:color="auto"/>
        <w:left w:val="none" w:sz="0" w:space="0" w:color="auto"/>
        <w:bottom w:val="none" w:sz="0" w:space="0" w:color="auto"/>
        <w:right w:val="none" w:sz="0" w:space="0" w:color="auto"/>
      </w:divBdr>
    </w:div>
    <w:div w:id="23794152">
      <w:bodyDiv w:val="1"/>
      <w:marLeft w:val="0"/>
      <w:marRight w:val="0"/>
      <w:marTop w:val="0"/>
      <w:marBottom w:val="0"/>
      <w:divBdr>
        <w:top w:val="none" w:sz="0" w:space="0" w:color="auto"/>
        <w:left w:val="none" w:sz="0" w:space="0" w:color="auto"/>
        <w:bottom w:val="none" w:sz="0" w:space="0" w:color="auto"/>
        <w:right w:val="none" w:sz="0" w:space="0" w:color="auto"/>
      </w:divBdr>
    </w:div>
    <w:div w:id="308825347">
      <w:bodyDiv w:val="1"/>
      <w:marLeft w:val="0"/>
      <w:marRight w:val="0"/>
      <w:marTop w:val="0"/>
      <w:marBottom w:val="0"/>
      <w:divBdr>
        <w:top w:val="none" w:sz="0" w:space="0" w:color="auto"/>
        <w:left w:val="none" w:sz="0" w:space="0" w:color="auto"/>
        <w:bottom w:val="none" w:sz="0" w:space="0" w:color="auto"/>
        <w:right w:val="none" w:sz="0" w:space="0" w:color="auto"/>
      </w:divBdr>
      <w:divsChild>
        <w:div w:id="1951087802">
          <w:marLeft w:val="0"/>
          <w:marRight w:val="0"/>
          <w:marTop w:val="0"/>
          <w:marBottom w:val="0"/>
          <w:divBdr>
            <w:top w:val="none" w:sz="0" w:space="0" w:color="auto"/>
            <w:left w:val="none" w:sz="0" w:space="0" w:color="auto"/>
            <w:bottom w:val="none" w:sz="0" w:space="0" w:color="auto"/>
            <w:right w:val="none" w:sz="0" w:space="0" w:color="auto"/>
          </w:divBdr>
        </w:div>
        <w:div w:id="1131941082">
          <w:marLeft w:val="0"/>
          <w:marRight w:val="0"/>
          <w:marTop w:val="0"/>
          <w:marBottom w:val="0"/>
          <w:divBdr>
            <w:top w:val="none" w:sz="0" w:space="0" w:color="auto"/>
            <w:left w:val="none" w:sz="0" w:space="0" w:color="auto"/>
            <w:bottom w:val="none" w:sz="0" w:space="0" w:color="auto"/>
            <w:right w:val="none" w:sz="0" w:space="0" w:color="auto"/>
          </w:divBdr>
        </w:div>
      </w:divsChild>
    </w:div>
    <w:div w:id="344862759">
      <w:bodyDiv w:val="1"/>
      <w:marLeft w:val="0"/>
      <w:marRight w:val="0"/>
      <w:marTop w:val="0"/>
      <w:marBottom w:val="0"/>
      <w:divBdr>
        <w:top w:val="none" w:sz="0" w:space="0" w:color="auto"/>
        <w:left w:val="none" w:sz="0" w:space="0" w:color="auto"/>
        <w:bottom w:val="none" w:sz="0" w:space="0" w:color="auto"/>
        <w:right w:val="none" w:sz="0" w:space="0" w:color="auto"/>
      </w:divBdr>
      <w:divsChild>
        <w:div w:id="919677473">
          <w:marLeft w:val="0"/>
          <w:marRight w:val="0"/>
          <w:marTop w:val="0"/>
          <w:marBottom w:val="0"/>
          <w:divBdr>
            <w:top w:val="none" w:sz="0" w:space="0" w:color="auto"/>
            <w:left w:val="none" w:sz="0" w:space="0" w:color="auto"/>
            <w:bottom w:val="none" w:sz="0" w:space="0" w:color="auto"/>
            <w:right w:val="none" w:sz="0" w:space="0" w:color="auto"/>
          </w:divBdr>
          <w:divsChild>
            <w:div w:id="9527902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6602430">
      <w:bodyDiv w:val="1"/>
      <w:marLeft w:val="0"/>
      <w:marRight w:val="0"/>
      <w:marTop w:val="0"/>
      <w:marBottom w:val="0"/>
      <w:divBdr>
        <w:top w:val="none" w:sz="0" w:space="0" w:color="auto"/>
        <w:left w:val="none" w:sz="0" w:space="0" w:color="auto"/>
        <w:bottom w:val="none" w:sz="0" w:space="0" w:color="auto"/>
        <w:right w:val="none" w:sz="0" w:space="0" w:color="auto"/>
      </w:divBdr>
      <w:divsChild>
        <w:div w:id="2024476299">
          <w:marLeft w:val="0"/>
          <w:marRight w:val="0"/>
          <w:marTop w:val="0"/>
          <w:marBottom w:val="0"/>
          <w:divBdr>
            <w:top w:val="none" w:sz="0" w:space="0" w:color="auto"/>
            <w:left w:val="none" w:sz="0" w:space="0" w:color="auto"/>
            <w:bottom w:val="none" w:sz="0" w:space="0" w:color="auto"/>
            <w:right w:val="none" w:sz="0" w:space="0" w:color="auto"/>
          </w:divBdr>
        </w:div>
        <w:div w:id="2035689579">
          <w:marLeft w:val="0"/>
          <w:marRight w:val="0"/>
          <w:marTop w:val="0"/>
          <w:marBottom w:val="0"/>
          <w:divBdr>
            <w:top w:val="none" w:sz="0" w:space="0" w:color="auto"/>
            <w:left w:val="none" w:sz="0" w:space="0" w:color="auto"/>
            <w:bottom w:val="none" w:sz="0" w:space="0" w:color="auto"/>
            <w:right w:val="none" w:sz="0" w:space="0" w:color="auto"/>
          </w:divBdr>
        </w:div>
        <w:div w:id="855311403">
          <w:marLeft w:val="0"/>
          <w:marRight w:val="0"/>
          <w:marTop w:val="0"/>
          <w:marBottom w:val="0"/>
          <w:divBdr>
            <w:top w:val="none" w:sz="0" w:space="0" w:color="auto"/>
            <w:left w:val="none" w:sz="0" w:space="0" w:color="auto"/>
            <w:bottom w:val="none" w:sz="0" w:space="0" w:color="auto"/>
            <w:right w:val="none" w:sz="0" w:space="0" w:color="auto"/>
          </w:divBdr>
        </w:div>
        <w:div w:id="1652052537">
          <w:marLeft w:val="0"/>
          <w:marRight w:val="0"/>
          <w:marTop w:val="0"/>
          <w:marBottom w:val="0"/>
          <w:divBdr>
            <w:top w:val="none" w:sz="0" w:space="0" w:color="auto"/>
            <w:left w:val="none" w:sz="0" w:space="0" w:color="auto"/>
            <w:bottom w:val="none" w:sz="0" w:space="0" w:color="auto"/>
            <w:right w:val="none" w:sz="0" w:space="0" w:color="auto"/>
          </w:divBdr>
        </w:div>
        <w:div w:id="2034459505">
          <w:marLeft w:val="0"/>
          <w:marRight w:val="0"/>
          <w:marTop w:val="0"/>
          <w:marBottom w:val="0"/>
          <w:divBdr>
            <w:top w:val="none" w:sz="0" w:space="0" w:color="auto"/>
            <w:left w:val="none" w:sz="0" w:space="0" w:color="auto"/>
            <w:bottom w:val="none" w:sz="0" w:space="0" w:color="auto"/>
            <w:right w:val="none" w:sz="0" w:space="0" w:color="auto"/>
          </w:divBdr>
        </w:div>
        <w:div w:id="327103315">
          <w:marLeft w:val="0"/>
          <w:marRight w:val="0"/>
          <w:marTop w:val="0"/>
          <w:marBottom w:val="0"/>
          <w:divBdr>
            <w:top w:val="none" w:sz="0" w:space="0" w:color="auto"/>
            <w:left w:val="none" w:sz="0" w:space="0" w:color="auto"/>
            <w:bottom w:val="none" w:sz="0" w:space="0" w:color="auto"/>
            <w:right w:val="none" w:sz="0" w:space="0" w:color="auto"/>
          </w:divBdr>
        </w:div>
        <w:div w:id="337659219">
          <w:marLeft w:val="0"/>
          <w:marRight w:val="0"/>
          <w:marTop w:val="0"/>
          <w:marBottom w:val="0"/>
          <w:divBdr>
            <w:top w:val="none" w:sz="0" w:space="0" w:color="auto"/>
            <w:left w:val="none" w:sz="0" w:space="0" w:color="auto"/>
            <w:bottom w:val="none" w:sz="0" w:space="0" w:color="auto"/>
            <w:right w:val="none" w:sz="0" w:space="0" w:color="auto"/>
          </w:divBdr>
        </w:div>
      </w:divsChild>
    </w:div>
    <w:div w:id="527983648">
      <w:bodyDiv w:val="1"/>
      <w:marLeft w:val="0"/>
      <w:marRight w:val="0"/>
      <w:marTop w:val="0"/>
      <w:marBottom w:val="0"/>
      <w:divBdr>
        <w:top w:val="none" w:sz="0" w:space="0" w:color="auto"/>
        <w:left w:val="none" w:sz="0" w:space="0" w:color="auto"/>
        <w:bottom w:val="none" w:sz="0" w:space="0" w:color="auto"/>
        <w:right w:val="none" w:sz="0" w:space="0" w:color="auto"/>
      </w:divBdr>
    </w:div>
    <w:div w:id="539707374">
      <w:bodyDiv w:val="1"/>
      <w:marLeft w:val="0"/>
      <w:marRight w:val="0"/>
      <w:marTop w:val="0"/>
      <w:marBottom w:val="0"/>
      <w:divBdr>
        <w:top w:val="none" w:sz="0" w:space="0" w:color="auto"/>
        <w:left w:val="none" w:sz="0" w:space="0" w:color="auto"/>
        <w:bottom w:val="none" w:sz="0" w:space="0" w:color="auto"/>
        <w:right w:val="none" w:sz="0" w:space="0" w:color="auto"/>
      </w:divBdr>
    </w:div>
    <w:div w:id="555287332">
      <w:bodyDiv w:val="1"/>
      <w:marLeft w:val="0"/>
      <w:marRight w:val="0"/>
      <w:marTop w:val="0"/>
      <w:marBottom w:val="0"/>
      <w:divBdr>
        <w:top w:val="none" w:sz="0" w:space="0" w:color="auto"/>
        <w:left w:val="none" w:sz="0" w:space="0" w:color="auto"/>
        <w:bottom w:val="none" w:sz="0" w:space="0" w:color="auto"/>
        <w:right w:val="none" w:sz="0" w:space="0" w:color="auto"/>
      </w:divBdr>
      <w:divsChild>
        <w:div w:id="1960450544">
          <w:marLeft w:val="0"/>
          <w:marRight w:val="0"/>
          <w:marTop w:val="0"/>
          <w:marBottom w:val="0"/>
          <w:divBdr>
            <w:top w:val="none" w:sz="0" w:space="0" w:color="auto"/>
            <w:left w:val="none" w:sz="0" w:space="0" w:color="auto"/>
            <w:bottom w:val="none" w:sz="0" w:space="0" w:color="auto"/>
            <w:right w:val="none" w:sz="0" w:space="0" w:color="auto"/>
          </w:divBdr>
        </w:div>
        <w:div w:id="296030628">
          <w:marLeft w:val="0"/>
          <w:marRight w:val="0"/>
          <w:marTop w:val="0"/>
          <w:marBottom w:val="0"/>
          <w:divBdr>
            <w:top w:val="none" w:sz="0" w:space="0" w:color="auto"/>
            <w:left w:val="none" w:sz="0" w:space="0" w:color="auto"/>
            <w:bottom w:val="none" w:sz="0" w:space="0" w:color="auto"/>
            <w:right w:val="none" w:sz="0" w:space="0" w:color="auto"/>
          </w:divBdr>
        </w:div>
        <w:div w:id="1029455334">
          <w:marLeft w:val="0"/>
          <w:marRight w:val="0"/>
          <w:marTop w:val="0"/>
          <w:marBottom w:val="0"/>
          <w:divBdr>
            <w:top w:val="none" w:sz="0" w:space="0" w:color="auto"/>
            <w:left w:val="none" w:sz="0" w:space="0" w:color="auto"/>
            <w:bottom w:val="none" w:sz="0" w:space="0" w:color="auto"/>
            <w:right w:val="none" w:sz="0" w:space="0" w:color="auto"/>
          </w:divBdr>
        </w:div>
        <w:div w:id="949703204">
          <w:marLeft w:val="0"/>
          <w:marRight w:val="0"/>
          <w:marTop w:val="0"/>
          <w:marBottom w:val="0"/>
          <w:divBdr>
            <w:top w:val="none" w:sz="0" w:space="0" w:color="auto"/>
            <w:left w:val="none" w:sz="0" w:space="0" w:color="auto"/>
            <w:bottom w:val="none" w:sz="0" w:space="0" w:color="auto"/>
            <w:right w:val="none" w:sz="0" w:space="0" w:color="auto"/>
          </w:divBdr>
        </w:div>
        <w:div w:id="1258095324">
          <w:marLeft w:val="0"/>
          <w:marRight w:val="0"/>
          <w:marTop w:val="0"/>
          <w:marBottom w:val="0"/>
          <w:divBdr>
            <w:top w:val="none" w:sz="0" w:space="0" w:color="auto"/>
            <w:left w:val="none" w:sz="0" w:space="0" w:color="auto"/>
            <w:bottom w:val="none" w:sz="0" w:space="0" w:color="auto"/>
            <w:right w:val="none" w:sz="0" w:space="0" w:color="auto"/>
          </w:divBdr>
        </w:div>
        <w:div w:id="1219777607">
          <w:marLeft w:val="0"/>
          <w:marRight w:val="0"/>
          <w:marTop w:val="0"/>
          <w:marBottom w:val="0"/>
          <w:divBdr>
            <w:top w:val="none" w:sz="0" w:space="0" w:color="auto"/>
            <w:left w:val="none" w:sz="0" w:space="0" w:color="auto"/>
            <w:bottom w:val="none" w:sz="0" w:space="0" w:color="auto"/>
            <w:right w:val="none" w:sz="0" w:space="0" w:color="auto"/>
          </w:divBdr>
        </w:div>
        <w:div w:id="1155727878">
          <w:marLeft w:val="0"/>
          <w:marRight w:val="0"/>
          <w:marTop w:val="0"/>
          <w:marBottom w:val="0"/>
          <w:divBdr>
            <w:top w:val="none" w:sz="0" w:space="0" w:color="auto"/>
            <w:left w:val="none" w:sz="0" w:space="0" w:color="auto"/>
            <w:bottom w:val="none" w:sz="0" w:space="0" w:color="auto"/>
            <w:right w:val="none" w:sz="0" w:space="0" w:color="auto"/>
          </w:divBdr>
        </w:div>
        <w:div w:id="478811039">
          <w:marLeft w:val="0"/>
          <w:marRight w:val="0"/>
          <w:marTop w:val="0"/>
          <w:marBottom w:val="0"/>
          <w:divBdr>
            <w:top w:val="none" w:sz="0" w:space="0" w:color="auto"/>
            <w:left w:val="none" w:sz="0" w:space="0" w:color="auto"/>
            <w:bottom w:val="none" w:sz="0" w:space="0" w:color="auto"/>
            <w:right w:val="none" w:sz="0" w:space="0" w:color="auto"/>
          </w:divBdr>
        </w:div>
        <w:div w:id="1126699180">
          <w:marLeft w:val="0"/>
          <w:marRight w:val="0"/>
          <w:marTop w:val="0"/>
          <w:marBottom w:val="0"/>
          <w:divBdr>
            <w:top w:val="none" w:sz="0" w:space="0" w:color="auto"/>
            <w:left w:val="none" w:sz="0" w:space="0" w:color="auto"/>
            <w:bottom w:val="none" w:sz="0" w:space="0" w:color="auto"/>
            <w:right w:val="none" w:sz="0" w:space="0" w:color="auto"/>
          </w:divBdr>
        </w:div>
        <w:div w:id="845706151">
          <w:marLeft w:val="0"/>
          <w:marRight w:val="0"/>
          <w:marTop w:val="0"/>
          <w:marBottom w:val="0"/>
          <w:divBdr>
            <w:top w:val="none" w:sz="0" w:space="0" w:color="auto"/>
            <w:left w:val="none" w:sz="0" w:space="0" w:color="auto"/>
            <w:bottom w:val="none" w:sz="0" w:space="0" w:color="auto"/>
            <w:right w:val="none" w:sz="0" w:space="0" w:color="auto"/>
          </w:divBdr>
        </w:div>
        <w:div w:id="155852581">
          <w:marLeft w:val="0"/>
          <w:marRight w:val="0"/>
          <w:marTop w:val="0"/>
          <w:marBottom w:val="0"/>
          <w:divBdr>
            <w:top w:val="none" w:sz="0" w:space="0" w:color="auto"/>
            <w:left w:val="none" w:sz="0" w:space="0" w:color="auto"/>
            <w:bottom w:val="none" w:sz="0" w:space="0" w:color="auto"/>
            <w:right w:val="none" w:sz="0" w:space="0" w:color="auto"/>
          </w:divBdr>
        </w:div>
        <w:div w:id="1419139360">
          <w:marLeft w:val="0"/>
          <w:marRight w:val="0"/>
          <w:marTop w:val="0"/>
          <w:marBottom w:val="0"/>
          <w:divBdr>
            <w:top w:val="none" w:sz="0" w:space="0" w:color="auto"/>
            <w:left w:val="none" w:sz="0" w:space="0" w:color="auto"/>
            <w:bottom w:val="none" w:sz="0" w:space="0" w:color="auto"/>
            <w:right w:val="none" w:sz="0" w:space="0" w:color="auto"/>
          </w:divBdr>
        </w:div>
        <w:div w:id="1261257758">
          <w:marLeft w:val="0"/>
          <w:marRight w:val="0"/>
          <w:marTop w:val="0"/>
          <w:marBottom w:val="0"/>
          <w:divBdr>
            <w:top w:val="none" w:sz="0" w:space="0" w:color="auto"/>
            <w:left w:val="none" w:sz="0" w:space="0" w:color="auto"/>
            <w:bottom w:val="none" w:sz="0" w:space="0" w:color="auto"/>
            <w:right w:val="none" w:sz="0" w:space="0" w:color="auto"/>
          </w:divBdr>
        </w:div>
        <w:div w:id="1160728764">
          <w:marLeft w:val="0"/>
          <w:marRight w:val="0"/>
          <w:marTop w:val="0"/>
          <w:marBottom w:val="0"/>
          <w:divBdr>
            <w:top w:val="none" w:sz="0" w:space="0" w:color="auto"/>
            <w:left w:val="none" w:sz="0" w:space="0" w:color="auto"/>
            <w:bottom w:val="none" w:sz="0" w:space="0" w:color="auto"/>
            <w:right w:val="none" w:sz="0" w:space="0" w:color="auto"/>
          </w:divBdr>
        </w:div>
        <w:div w:id="1606424563">
          <w:marLeft w:val="0"/>
          <w:marRight w:val="0"/>
          <w:marTop w:val="0"/>
          <w:marBottom w:val="0"/>
          <w:divBdr>
            <w:top w:val="none" w:sz="0" w:space="0" w:color="auto"/>
            <w:left w:val="none" w:sz="0" w:space="0" w:color="auto"/>
            <w:bottom w:val="none" w:sz="0" w:space="0" w:color="auto"/>
            <w:right w:val="none" w:sz="0" w:space="0" w:color="auto"/>
          </w:divBdr>
        </w:div>
        <w:div w:id="1632664746">
          <w:marLeft w:val="0"/>
          <w:marRight w:val="0"/>
          <w:marTop w:val="0"/>
          <w:marBottom w:val="0"/>
          <w:divBdr>
            <w:top w:val="none" w:sz="0" w:space="0" w:color="auto"/>
            <w:left w:val="none" w:sz="0" w:space="0" w:color="auto"/>
            <w:bottom w:val="none" w:sz="0" w:space="0" w:color="auto"/>
            <w:right w:val="none" w:sz="0" w:space="0" w:color="auto"/>
          </w:divBdr>
        </w:div>
      </w:divsChild>
    </w:div>
    <w:div w:id="613248625">
      <w:bodyDiv w:val="1"/>
      <w:marLeft w:val="0"/>
      <w:marRight w:val="0"/>
      <w:marTop w:val="0"/>
      <w:marBottom w:val="0"/>
      <w:divBdr>
        <w:top w:val="none" w:sz="0" w:space="0" w:color="auto"/>
        <w:left w:val="none" w:sz="0" w:space="0" w:color="auto"/>
        <w:bottom w:val="none" w:sz="0" w:space="0" w:color="auto"/>
        <w:right w:val="none" w:sz="0" w:space="0" w:color="auto"/>
      </w:divBdr>
    </w:div>
    <w:div w:id="617419123">
      <w:bodyDiv w:val="1"/>
      <w:marLeft w:val="0"/>
      <w:marRight w:val="0"/>
      <w:marTop w:val="0"/>
      <w:marBottom w:val="0"/>
      <w:divBdr>
        <w:top w:val="none" w:sz="0" w:space="0" w:color="auto"/>
        <w:left w:val="none" w:sz="0" w:space="0" w:color="auto"/>
        <w:bottom w:val="none" w:sz="0" w:space="0" w:color="auto"/>
        <w:right w:val="none" w:sz="0" w:space="0" w:color="auto"/>
      </w:divBdr>
    </w:div>
    <w:div w:id="621347667">
      <w:bodyDiv w:val="1"/>
      <w:marLeft w:val="0"/>
      <w:marRight w:val="0"/>
      <w:marTop w:val="0"/>
      <w:marBottom w:val="0"/>
      <w:divBdr>
        <w:top w:val="none" w:sz="0" w:space="0" w:color="auto"/>
        <w:left w:val="none" w:sz="0" w:space="0" w:color="auto"/>
        <w:bottom w:val="none" w:sz="0" w:space="0" w:color="auto"/>
        <w:right w:val="none" w:sz="0" w:space="0" w:color="auto"/>
      </w:divBdr>
      <w:divsChild>
        <w:div w:id="22756571">
          <w:marLeft w:val="0"/>
          <w:marRight w:val="0"/>
          <w:marTop w:val="0"/>
          <w:marBottom w:val="0"/>
          <w:divBdr>
            <w:top w:val="none" w:sz="0" w:space="0" w:color="auto"/>
            <w:left w:val="none" w:sz="0" w:space="0" w:color="auto"/>
            <w:bottom w:val="none" w:sz="0" w:space="0" w:color="auto"/>
            <w:right w:val="none" w:sz="0" w:space="0" w:color="auto"/>
          </w:divBdr>
        </w:div>
        <w:div w:id="361368794">
          <w:marLeft w:val="0"/>
          <w:marRight w:val="0"/>
          <w:marTop w:val="0"/>
          <w:marBottom w:val="0"/>
          <w:divBdr>
            <w:top w:val="none" w:sz="0" w:space="0" w:color="auto"/>
            <w:left w:val="none" w:sz="0" w:space="0" w:color="auto"/>
            <w:bottom w:val="none" w:sz="0" w:space="0" w:color="auto"/>
            <w:right w:val="none" w:sz="0" w:space="0" w:color="auto"/>
          </w:divBdr>
        </w:div>
        <w:div w:id="409431925">
          <w:marLeft w:val="0"/>
          <w:marRight w:val="0"/>
          <w:marTop w:val="0"/>
          <w:marBottom w:val="0"/>
          <w:divBdr>
            <w:top w:val="none" w:sz="0" w:space="0" w:color="auto"/>
            <w:left w:val="none" w:sz="0" w:space="0" w:color="auto"/>
            <w:bottom w:val="none" w:sz="0" w:space="0" w:color="auto"/>
            <w:right w:val="none" w:sz="0" w:space="0" w:color="auto"/>
          </w:divBdr>
        </w:div>
        <w:div w:id="463154811">
          <w:marLeft w:val="0"/>
          <w:marRight w:val="0"/>
          <w:marTop w:val="0"/>
          <w:marBottom w:val="0"/>
          <w:divBdr>
            <w:top w:val="none" w:sz="0" w:space="0" w:color="auto"/>
            <w:left w:val="none" w:sz="0" w:space="0" w:color="auto"/>
            <w:bottom w:val="none" w:sz="0" w:space="0" w:color="auto"/>
            <w:right w:val="none" w:sz="0" w:space="0" w:color="auto"/>
          </w:divBdr>
        </w:div>
        <w:div w:id="492843526">
          <w:marLeft w:val="0"/>
          <w:marRight w:val="0"/>
          <w:marTop w:val="0"/>
          <w:marBottom w:val="0"/>
          <w:divBdr>
            <w:top w:val="none" w:sz="0" w:space="0" w:color="auto"/>
            <w:left w:val="none" w:sz="0" w:space="0" w:color="auto"/>
            <w:bottom w:val="none" w:sz="0" w:space="0" w:color="auto"/>
            <w:right w:val="none" w:sz="0" w:space="0" w:color="auto"/>
          </w:divBdr>
        </w:div>
        <w:div w:id="716510125">
          <w:marLeft w:val="0"/>
          <w:marRight w:val="0"/>
          <w:marTop w:val="0"/>
          <w:marBottom w:val="0"/>
          <w:divBdr>
            <w:top w:val="none" w:sz="0" w:space="0" w:color="auto"/>
            <w:left w:val="none" w:sz="0" w:space="0" w:color="auto"/>
            <w:bottom w:val="none" w:sz="0" w:space="0" w:color="auto"/>
            <w:right w:val="none" w:sz="0" w:space="0" w:color="auto"/>
          </w:divBdr>
        </w:div>
        <w:div w:id="730466284">
          <w:marLeft w:val="0"/>
          <w:marRight w:val="0"/>
          <w:marTop w:val="0"/>
          <w:marBottom w:val="0"/>
          <w:divBdr>
            <w:top w:val="none" w:sz="0" w:space="0" w:color="auto"/>
            <w:left w:val="none" w:sz="0" w:space="0" w:color="auto"/>
            <w:bottom w:val="none" w:sz="0" w:space="0" w:color="auto"/>
            <w:right w:val="none" w:sz="0" w:space="0" w:color="auto"/>
          </w:divBdr>
        </w:div>
        <w:div w:id="799301301">
          <w:marLeft w:val="0"/>
          <w:marRight w:val="0"/>
          <w:marTop w:val="0"/>
          <w:marBottom w:val="0"/>
          <w:divBdr>
            <w:top w:val="none" w:sz="0" w:space="0" w:color="auto"/>
            <w:left w:val="none" w:sz="0" w:space="0" w:color="auto"/>
            <w:bottom w:val="none" w:sz="0" w:space="0" w:color="auto"/>
            <w:right w:val="none" w:sz="0" w:space="0" w:color="auto"/>
          </w:divBdr>
        </w:div>
        <w:div w:id="847015534">
          <w:marLeft w:val="0"/>
          <w:marRight w:val="0"/>
          <w:marTop w:val="0"/>
          <w:marBottom w:val="0"/>
          <w:divBdr>
            <w:top w:val="none" w:sz="0" w:space="0" w:color="auto"/>
            <w:left w:val="none" w:sz="0" w:space="0" w:color="auto"/>
            <w:bottom w:val="none" w:sz="0" w:space="0" w:color="auto"/>
            <w:right w:val="none" w:sz="0" w:space="0" w:color="auto"/>
          </w:divBdr>
        </w:div>
        <w:div w:id="903179692">
          <w:marLeft w:val="0"/>
          <w:marRight w:val="0"/>
          <w:marTop w:val="0"/>
          <w:marBottom w:val="0"/>
          <w:divBdr>
            <w:top w:val="none" w:sz="0" w:space="0" w:color="auto"/>
            <w:left w:val="none" w:sz="0" w:space="0" w:color="auto"/>
            <w:bottom w:val="none" w:sz="0" w:space="0" w:color="auto"/>
            <w:right w:val="none" w:sz="0" w:space="0" w:color="auto"/>
          </w:divBdr>
        </w:div>
        <w:div w:id="923994339">
          <w:marLeft w:val="0"/>
          <w:marRight w:val="0"/>
          <w:marTop w:val="0"/>
          <w:marBottom w:val="0"/>
          <w:divBdr>
            <w:top w:val="none" w:sz="0" w:space="0" w:color="auto"/>
            <w:left w:val="none" w:sz="0" w:space="0" w:color="auto"/>
            <w:bottom w:val="none" w:sz="0" w:space="0" w:color="auto"/>
            <w:right w:val="none" w:sz="0" w:space="0" w:color="auto"/>
          </w:divBdr>
        </w:div>
        <w:div w:id="997810087">
          <w:marLeft w:val="0"/>
          <w:marRight w:val="0"/>
          <w:marTop w:val="0"/>
          <w:marBottom w:val="0"/>
          <w:divBdr>
            <w:top w:val="none" w:sz="0" w:space="0" w:color="auto"/>
            <w:left w:val="none" w:sz="0" w:space="0" w:color="auto"/>
            <w:bottom w:val="none" w:sz="0" w:space="0" w:color="auto"/>
            <w:right w:val="none" w:sz="0" w:space="0" w:color="auto"/>
          </w:divBdr>
        </w:div>
        <w:div w:id="1082487968">
          <w:marLeft w:val="0"/>
          <w:marRight w:val="0"/>
          <w:marTop w:val="0"/>
          <w:marBottom w:val="0"/>
          <w:divBdr>
            <w:top w:val="none" w:sz="0" w:space="0" w:color="auto"/>
            <w:left w:val="none" w:sz="0" w:space="0" w:color="auto"/>
            <w:bottom w:val="none" w:sz="0" w:space="0" w:color="auto"/>
            <w:right w:val="none" w:sz="0" w:space="0" w:color="auto"/>
          </w:divBdr>
        </w:div>
        <w:div w:id="1197355898">
          <w:marLeft w:val="0"/>
          <w:marRight w:val="0"/>
          <w:marTop w:val="0"/>
          <w:marBottom w:val="0"/>
          <w:divBdr>
            <w:top w:val="none" w:sz="0" w:space="0" w:color="auto"/>
            <w:left w:val="none" w:sz="0" w:space="0" w:color="auto"/>
            <w:bottom w:val="none" w:sz="0" w:space="0" w:color="auto"/>
            <w:right w:val="none" w:sz="0" w:space="0" w:color="auto"/>
          </w:divBdr>
        </w:div>
        <w:div w:id="1442456470">
          <w:marLeft w:val="0"/>
          <w:marRight w:val="0"/>
          <w:marTop w:val="0"/>
          <w:marBottom w:val="0"/>
          <w:divBdr>
            <w:top w:val="none" w:sz="0" w:space="0" w:color="auto"/>
            <w:left w:val="none" w:sz="0" w:space="0" w:color="auto"/>
            <w:bottom w:val="none" w:sz="0" w:space="0" w:color="auto"/>
            <w:right w:val="none" w:sz="0" w:space="0" w:color="auto"/>
          </w:divBdr>
        </w:div>
        <w:div w:id="1507860463">
          <w:marLeft w:val="0"/>
          <w:marRight w:val="0"/>
          <w:marTop w:val="0"/>
          <w:marBottom w:val="0"/>
          <w:divBdr>
            <w:top w:val="none" w:sz="0" w:space="0" w:color="auto"/>
            <w:left w:val="none" w:sz="0" w:space="0" w:color="auto"/>
            <w:bottom w:val="none" w:sz="0" w:space="0" w:color="auto"/>
            <w:right w:val="none" w:sz="0" w:space="0" w:color="auto"/>
          </w:divBdr>
        </w:div>
        <w:div w:id="1743286201">
          <w:marLeft w:val="0"/>
          <w:marRight w:val="0"/>
          <w:marTop w:val="0"/>
          <w:marBottom w:val="0"/>
          <w:divBdr>
            <w:top w:val="none" w:sz="0" w:space="0" w:color="auto"/>
            <w:left w:val="none" w:sz="0" w:space="0" w:color="auto"/>
            <w:bottom w:val="none" w:sz="0" w:space="0" w:color="auto"/>
            <w:right w:val="none" w:sz="0" w:space="0" w:color="auto"/>
          </w:divBdr>
        </w:div>
        <w:div w:id="1861354283">
          <w:marLeft w:val="0"/>
          <w:marRight w:val="0"/>
          <w:marTop w:val="0"/>
          <w:marBottom w:val="0"/>
          <w:divBdr>
            <w:top w:val="none" w:sz="0" w:space="0" w:color="auto"/>
            <w:left w:val="none" w:sz="0" w:space="0" w:color="auto"/>
            <w:bottom w:val="none" w:sz="0" w:space="0" w:color="auto"/>
            <w:right w:val="none" w:sz="0" w:space="0" w:color="auto"/>
          </w:divBdr>
        </w:div>
        <w:div w:id="1911697946">
          <w:marLeft w:val="0"/>
          <w:marRight w:val="0"/>
          <w:marTop w:val="0"/>
          <w:marBottom w:val="0"/>
          <w:divBdr>
            <w:top w:val="none" w:sz="0" w:space="0" w:color="auto"/>
            <w:left w:val="none" w:sz="0" w:space="0" w:color="auto"/>
            <w:bottom w:val="none" w:sz="0" w:space="0" w:color="auto"/>
            <w:right w:val="none" w:sz="0" w:space="0" w:color="auto"/>
          </w:divBdr>
        </w:div>
        <w:div w:id="1928030442">
          <w:marLeft w:val="0"/>
          <w:marRight w:val="0"/>
          <w:marTop w:val="0"/>
          <w:marBottom w:val="0"/>
          <w:divBdr>
            <w:top w:val="none" w:sz="0" w:space="0" w:color="auto"/>
            <w:left w:val="none" w:sz="0" w:space="0" w:color="auto"/>
            <w:bottom w:val="none" w:sz="0" w:space="0" w:color="auto"/>
            <w:right w:val="none" w:sz="0" w:space="0" w:color="auto"/>
          </w:divBdr>
        </w:div>
        <w:div w:id="1937248152">
          <w:marLeft w:val="0"/>
          <w:marRight w:val="0"/>
          <w:marTop w:val="0"/>
          <w:marBottom w:val="0"/>
          <w:divBdr>
            <w:top w:val="none" w:sz="0" w:space="0" w:color="auto"/>
            <w:left w:val="none" w:sz="0" w:space="0" w:color="auto"/>
            <w:bottom w:val="none" w:sz="0" w:space="0" w:color="auto"/>
            <w:right w:val="none" w:sz="0" w:space="0" w:color="auto"/>
          </w:divBdr>
        </w:div>
        <w:div w:id="1965694090">
          <w:marLeft w:val="0"/>
          <w:marRight w:val="0"/>
          <w:marTop w:val="0"/>
          <w:marBottom w:val="0"/>
          <w:divBdr>
            <w:top w:val="none" w:sz="0" w:space="0" w:color="auto"/>
            <w:left w:val="none" w:sz="0" w:space="0" w:color="auto"/>
            <w:bottom w:val="none" w:sz="0" w:space="0" w:color="auto"/>
            <w:right w:val="none" w:sz="0" w:space="0" w:color="auto"/>
          </w:divBdr>
        </w:div>
        <w:div w:id="2041200510">
          <w:marLeft w:val="0"/>
          <w:marRight w:val="0"/>
          <w:marTop w:val="0"/>
          <w:marBottom w:val="0"/>
          <w:divBdr>
            <w:top w:val="none" w:sz="0" w:space="0" w:color="auto"/>
            <w:left w:val="none" w:sz="0" w:space="0" w:color="auto"/>
            <w:bottom w:val="none" w:sz="0" w:space="0" w:color="auto"/>
            <w:right w:val="none" w:sz="0" w:space="0" w:color="auto"/>
          </w:divBdr>
        </w:div>
        <w:div w:id="2043826417">
          <w:marLeft w:val="0"/>
          <w:marRight w:val="0"/>
          <w:marTop w:val="0"/>
          <w:marBottom w:val="0"/>
          <w:divBdr>
            <w:top w:val="none" w:sz="0" w:space="0" w:color="auto"/>
            <w:left w:val="none" w:sz="0" w:space="0" w:color="auto"/>
            <w:bottom w:val="none" w:sz="0" w:space="0" w:color="auto"/>
            <w:right w:val="none" w:sz="0" w:space="0" w:color="auto"/>
          </w:divBdr>
        </w:div>
        <w:div w:id="2106924364">
          <w:marLeft w:val="0"/>
          <w:marRight w:val="0"/>
          <w:marTop w:val="0"/>
          <w:marBottom w:val="0"/>
          <w:divBdr>
            <w:top w:val="none" w:sz="0" w:space="0" w:color="auto"/>
            <w:left w:val="none" w:sz="0" w:space="0" w:color="auto"/>
            <w:bottom w:val="none" w:sz="0" w:space="0" w:color="auto"/>
            <w:right w:val="none" w:sz="0" w:space="0" w:color="auto"/>
          </w:divBdr>
        </w:div>
      </w:divsChild>
    </w:div>
    <w:div w:id="698286845">
      <w:bodyDiv w:val="1"/>
      <w:marLeft w:val="0"/>
      <w:marRight w:val="0"/>
      <w:marTop w:val="0"/>
      <w:marBottom w:val="0"/>
      <w:divBdr>
        <w:top w:val="none" w:sz="0" w:space="0" w:color="auto"/>
        <w:left w:val="none" w:sz="0" w:space="0" w:color="auto"/>
        <w:bottom w:val="none" w:sz="0" w:space="0" w:color="auto"/>
        <w:right w:val="none" w:sz="0" w:space="0" w:color="auto"/>
      </w:divBdr>
      <w:divsChild>
        <w:div w:id="245696626">
          <w:marLeft w:val="0"/>
          <w:marRight w:val="0"/>
          <w:marTop w:val="0"/>
          <w:marBottom w:val="0"/>
          <w:divBdr>
            <w:top w:val="none" w:sz="0" w:space="0" w:color="auto"/>
            <w:left w:val="none" w:sz="0" w:space="0" w:color="auto"/>
            <w:bottom w:val="none" w:sz="0" w:space="0" w:color="auto"/>
            <w:right w:val="none" w:sz="0" w:space="0" w:color="auto"/>
          </w:divBdr>
        </w:div>
        <w:div w:id="235020892">
          <w:marLeft w:val="0"/>
          <w:marRight w:val="0"/>
          <w:marTop w:val="0"/>
          <w:marBottom w:val="0"/>
          <w:divBdr>
            <w:top w:val="none" w:sz="0" w:space="0" w:color="auto"/>
            <w:left w:val="none" w:sz="0" w:space="0" w:color="auto"/>
            <w:bottom w:val="none" w:sz="0" w:space="0" w:color="auto"/>
            <w:right w:val="none" w:sz="0" w:space="0" w:color="auto"/>
          </w:divBdr>
        </w:div>
      </w:divsChild>
    </w:div>
    <w:div w:id="877741130">
      <w:bodyDiv w:val="1"/>
      <w:marLeft w:val="0"/>
      <w:marRight w:val="0"/>
      <w:marTop w:val="0"/>
      <w:marBottom w:val="0"/>
      <w:divBdr>
        <w:top w:val="none" w:sz="0" w:space="0" w:color="auto"/>
        <w:left w:val="none" w:sz="0" w:space="0" w:color="auto"/>
        <w:bottom w:val="none" w:sz="0" w:space="0" w:color="auto"/>
        <w:right w:val="none" w:sz="0" w:space="0" w:color="auto"/>
      </w:divBdr>
    </w:div>
    <w:div w:id="886600930">
      <w:bodyDiv w:val="1"/>
      <w:marLeft w:val="0"/>
      <w:marRight w:val="0"/>
      <w:marTop w:val="0"/>
      <w:marBottom w:val="0"/>
      <w:divBdr>
        <w:top w:val="none" w:sz="0" w:space="0" w:color="auto"/>
        <w:left w:val="none" w:sz="0" w:space="0" w:color="auto"/>
        <w:bottom w:val="none" w:sz="0" w:space="0" w:color="auto"/>
        <w:right w:val="none" w:sz="0" w:space="0" w:color="auto"/>
      </w:divBdr>
    </w:div>
    <w:div w:id="978218960">
      <w:bodyDiv w:val="1"/>
      <w:marLeft w:val="0"/>
      <w:marRight w:val="0"/>
      <w:marTop w:val="0"/>
      <w:marBottom w:val="0"/>
      <w:divBdr>
        <w:top w:val="none" w:sz="0" w:space="0" w:color="auto"/>
        <w:left w:val="none" w:sz="0" w:space="0" w:color="auto"/>
        <w:bottom w:val="none" w:sz="0" w:space="0" w:color="auto"/>
        <w:right w:val="none" w:sz="0" w:space="0" w:color="auto"/>
      </w:divBdr>
      <w:divsChild>
        <w:div w:id="320931238">
          <w:marLeft w:val="0"/>
          <w:marRight w:val="0"/>
          <w:marTop w:val="0"/>
          <w:marBottom w:val="0"/>
          <w:divBdr>
            <w:top w:val="none" w:sz="0" w:space="0" w:color="auto"/>
            <w:left w:val="none" w:sz="0" w:space="0" w:color="auto"/>
            <w:bottom w:val="none" w:sz="0" w:space="0" w:color="auto"/>
            <w:right w:val="none" w:sz="0" w:space="0" w:color="auto"/>
          </w:divBdr>
        </w:div>
        <w:div w:id="1040859417">
          <w:marLeft w:val="0"/>
          <w:marRight w:val="0"/>
          <w:marTop w:val="0"/>
          <w:marBottom w:val="0"/>
          <w:divBdr>
            <w:top w:val="none" w:sz="0" w:space="0" w:color="auto"/>
            <w:left w:val="none" w:sz="0" w:space="0" w:color="auto"/>
            <w:bottom w:val="none" w:sz="0" w:space="0" w:color="auto"/>
            <w:right w:val="none" w:sz="0" w:space="0" w:color="auto"/>
          </w:divBdr>
        </w:div>
        <w:div w:id="126244159">
          <w:marLeft w:val="0"/>
          <w:marRight w:val="0"/>
          <w:marTop w:val="0"/>
          <w:marBottom w:val="0"/>
          <w:divBdr>
            <w:top w:val="none" w:sz="0" w:space="0" w:color="auto"/>
            <w:left w:val="none" w:sz="0" w:space="0" w:color="auto"/>
            <w:bottom w:val="none" w:sz="0" w:space="0" w:color="auto"/>
            <w:right w:val="none" w:sz="0" w:space="0" w:color="auto"/>
          </w:divBdr>
        </w:div>
        <w:div w:id="2080863955">
          <w:marLeft w:val="0"/>
          <w:marRight w:val="0"/>
          <w:marTop w:val="0"/>
          <w:marBottom w:val="0"/>
          <w:divBdr>
            <w:top w:val="none" w:sz="0" w:space="0" w:color="auto"/>
            <w:left w:val="none" w:sz="0" w:space="0" w:color="auto"/>
            <w:bottom w:val="none" w:sz="0" w:space="0" w:color="auto"/>
            <w:right w:val="none" w:sz="0" w:space="0" w:color="auto"/>
          </w:divBdr>
        </w:div>
        <w:div w:id="441538413">
          <w:marLeft w:val="0"/>
          <w:marRight w:val="0"/>
          <w:marTop w:val="0"/>
          <w:marBottom w:val="0"/>
          <w:divBdr>
            <w:top w:val="none" w:sz="0" w:space="0" w:color="auto"/>
            <w:left w:val="none" w:sz="0" w:space="0" w:color="auto"/>
            <w:bottom w:val="none" w:sz="0" w:space="0" w:color="auto"/>
            <w:right w:val="none" w:sz="0" w:space="0" w:color="auto"/>
          </w:divBdr>
        </w:div>
        <w:div w:id="626545000">
          <w:marLeft w:val="0"/>
          <w:marRight w:val="0"/>
          <w:marTop w:val="0"/>
          <w:marBottom w:val="0"/>
          <w:divBdr>
            <w:top w:val="none" w:sz="0" w:space="0" w:color="auto"/>
            <w:left w:val="none" w:sz="0" w:space="0" w:color="auto"/>
            <w:bottom w:val="none" w:sz="0" w:space="0" w:color="auto"/>
            <w:right w:val="none" w:sz="0" w:space="0" w:color="auto"/>
          </w:divBdr>
        </w:div>
        <w:div w:id="293567009">
          <w:marLeft w:val="0"/>
          <w:marRight w:val="0"/>
          <w:marTop w:val="0"/>
          <w:marBottom w:val="0"/>
          <w:divBdr>
            <w:top w:val="none" w:sz="0" w:space="0" w:color="auto"/>
            <w:left w:val="none" w:sz="0" w:space="0" w:color="auto"/>
            <w:bottom w:val="none" w:sz="0" w:space="0" w:color="auto"/>
            <w:right w:val="none" w:sz="0" w:space="0" w:color="auto"/>
          </w:divBdr>
        </w:div>
        <w:div w:id="2105419833">
          <w:marLeft w:val="0"/>
          <w:marRight w:val="0"/>
          <w:marTop w:val="0"/>
          <w:marBottom w:val="0"/>
          <w:divBdr>
            <w:top w:val="none" w:sz="0" w:space="0" w:color="auto"/>
            <w:left w:val="none" w:sz="0" w:space="0" w:color="auto"/>
            <w:bottom w:val="none" w:sz="0" w:space="0" w:color="auto"/>
            <w:right w:val="none" w:sz="0" w:space="0" w:color="auto"/>
          </w:divBdr>
        </w:div>
        <w:div w:id="697966777">
          <w:marLeft w:val="0"/>
          <w:marRight w:val="0"/>
          <w:marTop w:val="0"/>
          <w:marBottom w:val="0"/>
          <w:divBdr>
            <w:top w:val="none" w:sz="0" w:space="0" w:color="auto"/>
            <w:left w:val="none" w:sz="0" w:space="0" w:color="auto"/>
            <w:bottom w:val="none" w:sz="0" w:space="0" w:color="auto"/>
            <w:right w:val="none" w:sz="0" w:space="0" w:color="auto"/>
          </w:divBdr>
        </w:div>
        <w:div w:id="1949968283">
          <w:marLeft w:val="0"/>
          <w:marRight w:val="0"/>
          <w:marTop w:val="0"/>
          <w:marBottom w:val="0"/>
          <w:divBdr>
            <w:top w:val="none" w:sz="0" w:space="0" w:color="auto"/>
            <w:left w:val="none" w:sz="0" w:space="0" w:color="auto"/>
            <w:bottom w:val="none" w:sz="0" w:space="0" w:color="auto"/>
            <w:right w:val="none" w:sz="0" w:space="0" w:color="auto"/>
          </w:divBdr>
        </w:div>
        <w:div w:id="118375644">
          <w:marLeft w:val="0"/>
          <w:marRight w:val="0"/>
          <w:marTop w:val="0"/>
          <w:marBottom w:val="0"/>
          <w:divBdr>
            <w:top w:val="none" w:sz="0" w:space="0" w:color="auto"/>
            <w:left w:val="none" w:sz="0" w:space="0" w:color="auto"/>
            <w:bottom w:val="none" w:sz="0" w:space="0" w:color="auto"/>
            <w:right w:val="none" w:sz="0" w:space="0" w:color="auto"/>
          </w:divBdr>
        </w:div>
        <w:div w:id="1190333564">
          <w:marLeft w:val="0"/>
          <w:marRight w:val="0"/>
          <w:marTop w:val="0"/>
          <w:marBottom w:val="0"/>
          <w:divBdr>
            <w:top w:val="none" w:sz="0" w:space="0" w:color="auto"/>
            <w:left w:val="none" w:sz="0" w:space="0" w:color="auto"/>
            <w:bottom w:val="none" w:sz="0" w:space="0" w:color="auto"/>
            <w:right w:val="none" w:sz="0" w:space="0" w:color="auto"/>
          </w:divBdr>
        </w:div>
        <w:div w:id="2084640302">
          <w:marLeft w:val="0"/>
          <w:marRight w:val="0"/>
          <w:marTop w:val="0"/>
          <w:marBottom w:val="0"/>
          <w:divBdr>
            <w:top w:val="none" w:sz="0" w:space="0" w:color="auto"/>
            <w:left w:val="none" w:sz="0" w:space="0" w:color="auto"/>
            <w:bottom w:val="none" w:sz="0" w:space="0" w:color="auto"/>
            <w:right w:val="none" w:sz="0" w:space="0" w:color="auto"/>
          </w:divBdr>
        </w:div>
        <w:div w:id="1802376829">
          <w:marLeft w:val="0"/>
          <w:marRight w:val="0"/>
          <w:marTop w:val="0"/>
          <w:marBottom w:val="0"/>
          <w:divBdr>
            <w:top w:val="none" w:sz="0" w:space="0" w:color="auto"/>
            <w:left w:val="none" w:sz="0" w:space="0" w:color="auto"/>
            <w:bottom w:val="none" w:sz="0" w:space="0" w:color="auto"/>
            <w:right w:val="none" w:sz="0" w:space="0" w:color="auto"/>
          </w:divBdr>
        </w:div>
        <w:div w:id="932931538">
          <w:marLeft w:val="0"/>
          <w:marRight w:val="0"/>
          <w:marTop w:val="0"/>
          <w:marBottom w:val="0"/>
          <w:divBdr>
            <w:top w:val="none" w:sz="0" w:space="0" w:color="auto"/>
            <w:left w:val="none" w:sz="0" w:space="0" w:color="auto"/>
            <w:bottom w:val="none" w:sz="0" w:space="0" w:color="auto"/>
            <w:right w:val="none" w:sz="0" w:space="0" w:color="auto"/>
          </w:divBdr>
        </w:div>
        <w:div w:id="2109735144">
          <w:marLeft w:val="0"/>
          <w:marRight w:val="0"/>
          <w:marTop w:val="0"/>
          <w:marBottom w:val="0"/>
          <w:divBdr>
            <w:top w:val="none" w:sz="0" w:space="0" w:color="auto"/>
            <w:left w:val="none" w:sz="0" w:space="0" w:color="auto"/>
            <w:bottom w:val="none" w:sz="0" w:space="0" w:color="auto"/>
            <w:right w:val="none" w:sz="0" w:space="0" w:color="auto"/>
          </w:divBdr>
        </w:div>
        <w:div w:id="961612240">
          <w:marLeft w:val="0"/>
          <w:marRight w:val="0"/>
          <w:marTop w:val="0"/>
          <w:marBottom w:val="0"/>
          <w:divBdr>
            <w:top w:val="none" w:sz="0" w:space="0" w:color="auto"/>
            <w:left w:val="none" w:sz="0" w:space="0" w:color="auto"/>
            <w:bottom w:val="none" w:sz="0" w:space="0" w:color="auto"/>
            <w:right w:val="none" w:sz="0" w:space="0" w:color="auto"/>
          </w:divBdr>
        </w:div>
        <w:div w:id="191194385">
          <w:marLeft w:val="0"/>
          <w:marRight w:val="0"/>
          <w:marTop w:val="0"/>
          <w:marBottom w:val="0"/>
          <w:divBdr>
            <w:top w:val="none" w:sz="0" w:space="0" w:color="auto"/>
            <w:left w:val="none" w:sz="0" w:space="0" w:color="auto"/>
            <w:bottom w:val="none" w:sz="0" w:space="0" w:color="auto"/>
            <w:right w:val="none" w:sz="0" w:space="0" w:color="auto"/>
          </w:divBdr>
        </w:div>
        <w:div w:id="1531256549">
          <w:marLeft w:val="0"/>
          <w:marRight w:val="0"/>
          <w:marTop w:val="0"/>
          <w:marBottom w:val="0"/>
          <w:divBdr>
            <w:top w:val="none" w:sz="0" w:space="0" w:color="auto"/>
            <w:left w:val="none" w:sz="0" w:space="0" w:color="auto"/>
            <w:bottom w:val="none" w:sz="0" w:space="0" w:color="auto"/>
            <w:right w:val="none" w:sz="0" w:space="0" w:color="auto"/>
          </w:divBdr>
        </w:div>
        <w:div w:id="1442719355">
          <w:marLeft w:val="0"/>
          <w:marRight w:val="0"/>
          <w:marTop w:val="0"/>
          <w:marBottom w:val="0"/>
          <w:divBdr>
            <w:top w:val="none" w:sz="0" w:space="0" w:color="auto"/>
            <w:left w:val="none" w:sz="0" w:space="0" w:color="auto"/>
            <w:bottom w:val="none" w:sz="0" w:space="0" w:color="auto"/>
            <w:right w:val="none" w:sz="0" w:space="0" w:color="auto"/>
          </w:divBdr>
        </w:div>
        <w:div w:id="1218054159">
          <w:marLeft w:val="0"/>
          <w:marRight w:val="0"/>
          <w:marTop w:val="0"/>
          <w:marBottom w:val="0"/>
          <w:divBdr>
            <w:top w:val="none" w:sz="0" w:space="0" w:color="auto"/>
            <w:left w:val="none" w:sz="0" w:space="0" w:color="auto"/>
            <w:bottom w:val="none" w:sz="0" w:space="0" w:color="auto"/>
            <w:right w:val="none" w:sz="0" w:space="0" w:color="auto"/>
          </w:divBdr>
        </w:div>
      </w:divsChild>
    </w:div>
    <w:div w:id="1031421099">
      <w:bodyDiv w:val="1"/>
      <w:marLeft w:val="0"/>
      <w:marRight w:val="0"/>
      <w:marTop w:val="0"/>
      <w:marBottom w:val="0"/>
      <w:divBdr>
        <w:top w:val="none" w:sz="0" w:space="0" w:color="auto"/>
        <w:left w:val="none" w:sz="0" w:space="0" w:color="auto"/>
        <w:bottom w:val="none" w:sz="0" w:space="0" w:color="auto"/>
        <w:right w:val="none" w:sz="0" w:space="0" w:color="auto"/>
      </w:divBdr>
      <w:divsChild>
        <w:div w:id="994794124">
          <w:marLeft w:val="0"/>
          <w:marRight w:val="0"/>
          <w:marTop w:val="0"/>
          <w:marBottom w:val="0"/>
          <w:divBdr>
            <w:top w:val="none" w:sz="0" w:space="0" w:color="auto"/>
            <w:left w:val="none" w:sz="0" w:space="0" w:color="auto"/>
            <w:bottom w:val="none" w:sz="0" w:space="0" w:color="auto"/>
            <w:right w:val="none" w:sz="0" w:space="0" w:color="auto"/>
          </w:divBdr>
        </w:div>
        <w:div w:id="1623463248">
          <w:marLeft w:val="0"/>
          <w:marRight w:val="0"/>
          <w:marTop w:val="0"/>
          <w:marBottom w:val="0"/>
          <w:divBdr>
            <w:top w:val="none" w:sz="0" w:space="0" w:color="auto"/>
            <w:left w:val="none" w:sz="0" w:space="0" w:color="auto"/>
            <w:bottom w:val="none" w:sz="0" w:space="0" w:color="auto"/>
            <w:right w:val="none" w:sz="0" w:space="0" w:color="auto"/>
          </w:divBdr>
        </w:div>
        <w:div w:id="843980654">
          <w:marLeft w:val="0"/>
          <w:marRight w:val="0"/>
          <w:marTop w:val="0"/>
          <w:marBottom w:val="0"/>
          <w:divBdr>
            <w:top w:val="none" w:sz="0" w:space="0" w:color="auto"/>
            <w:left w:val="none" w:sz="0" w:space="0" w:color="auto"/>
            <w:bottom w:val="none" w:sz="0" w:space="0" w:color="auto"/>
            <w:right w:val="none" w:sz="0" w:space="0" w:color="auto"/>
          </w:divBdr>
        </w:div>
      </w:divsChild>
    </w:div>
    <w:div w:id="1033731720">
      <w:bodyDiv w:val="1"/>
      <w:marLeft w:val="0"/>
      <w:marRight w:val="0"/>
      <w:marTop w:val="0"/>
      <w:marBottom w:val="0"/>
      <w:divBdr>
        <w:top w:val="none" w:sz="0" w:space="0" w:color="auto"/>
        <w:left w:val="none" w:sz="0" w:space="0" w:color="auto"/>
        <w:bottom w:val="none" w:sz="0" w:space="0" w:color="auto"/>
        <w:right w:val="none" w:sz="0" w:space="0" w:color="auto"/>
      </w:divBdr>
      <w:divsChild>
        <w:div w:id="398676842">
          <w:marLeft w:val="0"/>
          <w:marRight w:val="0"/>
          <w:marTop w:val="0"/>
          <w:marBottom w:val="0"/>
          <w:divBdr>
            <w:top w:val="none" w:sz="0" w:space="0" w:color="auto"/>
            <w:left w:val="none" w:sz="0" w:space="0" w:color="auto"/>
            <w:bottom w:val="none" w:sz="0" w:space="0" w:color="auto"/>
            <w:right w:val="none" w:sz="0" w:space="0" w:color="auto"/>
          </w:divBdr>
        </w:div>
        <w:div w:id="915361084">
          <w:marLeft w:val="0"/>
          <w:marRight w:val="0"/>
          <w:marTop w:val="0"/>
          <w:marBottom w:val="0"/>
          <w:divBdr>
            <w:top w:val="none" w:sz="0" w:space="0" w:color="auto"/>
            <w:left w:val="none" w:sz="0" w:space="0" w:color="auto"/>
            <w:bottom w:val="none" w:sz="0" w:space="0" w:color="auto"/>
            <w:right w:val="none" w:sz="0" w:space="0" w:color="auto"/>
          </w:divBdr>
        </w:div>
        <w:div w:id="544758185">
          <w:marLeft w:val="0"/>
          <w:marRight w:val="0"/>
          <w:marTop w:val="0"/>
          <w:marBottom w:val="0"/>
          <w:divBdr>
            <w:top w:val="none" w:sz="0" w:space="0" w:color="auto"/>
            <w:left w:val="none" w:sz="0" w:space="0" w:color="auto"/>
            <w:bottom w:val="none" w:sz="0" w:space="0" w:color="auto"/>
            <w:right w:val="none" w:sz="0" w:space="0" w:color="auto"/>
          </w:divBdr>
        </w:div>
        <w:div w:id="1300111255">
          <w:marLeft w:val="0"/>
          <w:marRight w:val="0"/>
          <w:marTop w:val="0"/>
          <w:marBottom w:val="0"/>
          <w:divBdr>
            <w:top w:val="none" w:sz="0" w:space="0" w:color="auto"/>
            <w:left w:val="none" w:sz="0" w:space="0" w:color="auto"/>
            <w:bottom w:val="none" w:sz="0" w:space="0" w:color="auto"/>
            <w:right w:val="none" w:sz="0" w:space="0" w:color="auto"/>
          </w:divBdr>
        </w:div>
        <w:div w:id="2031829873">
          <w:marLeft w:val="0"/>
          <w:marRight w:val="0"/>
          <w:marTop w:val="0"/>
          <w:marBottom w:val="0"/>
          <w:divBdr>
            <w:top w:val="none" w:sz="0" w:space="0" w:color="auto"/>
            <w:left w:val="none" w:sz="0" w:space="0" w:color="auto"/>
            <w:bottom w:val="none" w:sz="0" w:space="0" w:color="auto"/>
            <w:right w:val="none" w:sz="0" w:space="0" w:color="auto"/>
          </w:divBdr>
        </w:div>
        <w:div w:id="1667707234">
          <w:marLeft w:val="0"/>
          <w:marRight w:val="0"/>
          <w:marTop w:val="0"/>
          <w:marBottom w:val="0"/>
          <w:divBdr>
            <w:top w:val="none" w:sz="0" w:space="0" w:color="auto"/>
            <w:left w:val="none" w:sz="0" w:space="0" w:color="auto"/>
            <w:bottom w:val="none" w:sz="0" w:space="0" w:color="auto"/>
            <w:right w:val="none" w:sz="0" w:space="0" w:color="auto"/>
          </w:divBdr>
        </w:div>
        <w:div w:id="136803137">
          <w:marLeft w:val="0"/>
          <w:marRight w:val="0"/>
          <w:marTop w:val="0"/>
          <w:marBottom w:val="0"/>
          <w:divBdr>
            <w:top w:val="none" w:sz="0" w:space="0" w:color="auto"/>
            <w:left w:val="none" w:sz="0" w:space="0" w:color="auto"/>
            <w:bottom w:val="none" w:sz="0" w:space="0" w:color="auto"/>
            <w:right w:val="none" w:sz="0" w:space="0" w:color="auto"/>
          </w:divBdr>
        </w:div>
      </w:divsChild>
    </w:div>
    <w:div w:id="1066075620">
      <w:bodyDiv w:val="1"/>
      <w:marLeft w:val="0"/>
      <w:marRight w:val="0"/>
      <w:marTop w:val="0"/>
      <w:marBottom w:val="0"/>
      <w:divBdr>
        <w:top w:val="none" w:sz="0" w:space="0" w:color="auto"/>
        <w:left w:val="none" w:sz="0" w:space="0" w:color="auto"/>
        <w:bottom w:val="none" w:sz="0" w:space="0" w:color="auto"/>
        <w:right w:val="none" w:sz="0" w:space="0" w:color="auto"/>
      </w:divBdr>
      <w:divsChild>
        <w:div w:id="599528659">
          <w:marLeft w:val="0"/>
          <w:marRight w:val="0"/>
          <w:marTop w:val="0"/>
          <w:marBottom w:val="0"/>
          <w:divBdr>
            <w:top w:val="none" w:sz="0" w:space="0" w:color="auto"/>
            <w:left w:val="none" w:sz="0" w:space="0" w:color="auto"/>
            <w:bottom w:val="none" w:sz="0" w:space="0" w:color="auto"/>
            <w:right w:val="none" w:sz="0" w:space="0" w:color="auto"/>
          </w:divBdr>
        </w:div>
        <w:div w:id="1667200682">
          <w:marLeft w:val="0"/>
          <w:marRight w:val="0"/>
          <w:marTop w:val="0"/>
          <w:marBottom w:val="0"/>
          <w:divBdr>
            <w:top w:val="none" w:sz="0" w:space="0" w:color="auto"/>
            <w:left w:val="none" w:sz="0" w:space="0" w:color="auto"/>
            <w:bottom w:val="none" w:sz="0" w:space="0" w:color="auto"/>
            <w:right w:val="none" w:sz="0" w:space="0" w:color="auto"/>
          </w:divBdr>
        </w:div>
        <w:div w:id="96020456">
          <w:marLeft w:val="0"/>
          <w:marRight w:val="0"/>
          <w:marTop w:val="0"/>
          <w:marBottom w:val="0"/>
          <w:divBdr>
            <w:top w:val="none" w:sz="0" w:space="0" w:color="auto"/>
            <w:left w:val="none" w:sz="0" w:space="0" w:color="auto"/>
            <w:bottom w:val="none" w:sz="0" w:space="0" w:color="auto"/>
            <w:right w:val="none" w:sz="0" w:space="0" w:color="auto"/>
          </w:divBdr>
        </w:div>
        <w:div w:id="2143577275">
          <w:marLeft w:val="0"/>
          <w:marRight w:val="0"/>
          <w:marTop w:val="0"/>
          <w:marBottom w:val="0"/>
          <w:divBdr>
            <w:top w:val="none" w:sz="0" w:space="0" w:color="auto"/>
            <w:left w:val="none" w:sz="0" w:space="0" w:color="auto"/>
            <w:bottom w:val="none" w:sz="0" w:space="0" w:color="auto"/>
            <w:right w:val="none" w:sz="0" w:space="0" w:color="auto"/>
          </w:divBdr>
        </w:div>
        <w:div w:id="1859272244">
          <w:marLeft w:val="0"/>
          <w:marRight w:val="0"/>
          <w:marTop w:val="0"/>
          <w:marBottom w:val="0"/>
          <w:divBdr>
            <w:top w:val="none" w:sz="0" w:space="0" w:color="auto"/>
            <w:left w:val="none" w:sz="0" w:space="0" w:color="auto"/>
            <w:bottom w:val="none" w:sz="0" w:space="0" w:color="auto"/>
            <w:right w:val="none" w:sz="0" w:space="0" w:color="auto"/>
          </w:divBdr>
        </w:div>
        <w:div w:id="1878543951">
          <w:marLeft w:val="0"/>
          <w:marRight w:val="0"/>
          <w:marTop w:val="0"/>
          <w:marBottom w:val="0"/>
          <w:divBdr>
            <w:top w:val="none" w:sz="0" w:space="0" w:color="auto"/>
            <w:left w:val="none" w:sz="0" w:space="0" w:color="auto"/>
            <w:bottom w:val="none" w:sz="0" w:space="0" w:color="auto"/>
            <w:right w:val="none" w:sz="0" w:space="0" w:color="auto"/>
          </w:divBdr>
        </w:div>
        <w:div w:id="994456459">
          <w:marLeft w:val="0"/>
          <w:marRight w:val="0"/>
          <w:marTop w:val="0"/>
          <w:marBottom w:val="0"/>
          <w:divBdr>
            <w:top w:val="none" w:sz="0" w:space="0" w:color="auto"/>
            <w:left w:val="none" w:sz="0" w:space="0" w:color="auto"/>
            <w:bottom w:val="none" w:sz="0" w:space="0" w:color="auto"/>
            <w:right w:val="none" w:sz="0" w:space="0" w:color="auto"/>
          </w:divBdr>
        </w:div>
        <w:div w:id="1962763673">
          <w:marLeft w:val="0"/>
          <w:marRight w:val="0"/>
          <w:marTop w:val="0"/>
          <w:marBottom w:val="0"/>
          <w:divBdr>
            <w:top w:val="none" w:sz="0" w:space="0" w:color="auto"/>
            <w:left w:val="none" w:sz="0" w:space="0" w:color="auto"/>
            <w:bottom w:val="none" w:sz="0" w:space="0" w:color="auto"/>
            <w:right w:val="none" w:sz="0" w:space="0" w:color="auto"/>
          </w:divBdr>
        </w:div>
        <w:div w:id="842628513">
          <w:marLeft w:val="0"/>
          <w:marRight w:val="0"/>
          <w:marTop w:val="0"/>
          <w:marBottom w:val="0"/>
          <w:divBdr>
            <w:top w:val="none" w:sz="0" w:space="0" w:color="auto"/>
            <w:left w:val="none" w:sz="0" w:space="0" w:color="auto"/>
            <w:bottom w:val="none" w:sz="0" w:space="0" w:color="auto"/>
            <w:right w:val="none" w:sz="0" w:space="0" w:color="auto"/>
          </w:divBdr>
        </w:div>
        <w:div w:id="1103526258">
          <w:marLeft w:val="0"/>
          <w:marRight w:val="0"/>
          <w:marTop w:val="0"/>
          <w:marBottom w:val="0"/>
          <w:divBdr>
            <w:top w:val="none" w:sz="0" w:space="0" w:color="auto"/>
            <w:left w:val="none" w:sz="0" w:space="0" w:color="auto"/>
            <w:bottom w:val="none" w:sz="0" w:space="0" w:color="auto"/>
            <w:right w:val="none" w:sz="0" w:space="0" w:color="auto"/>
          </w:divBdr>
        </w:div>
        <w:div w:id="659769059">
          <w:marLeft w:val="0"/>
          <w:marRight w:val="0"/>
          <w:marTop w:val="0"/>
          <w:marBottom w:val="0"/>
          <w:divBdr>
            <w:top w:val="none" w:sz="0" w:space="0" w:color="auto"/>
            <w:left w:val="none" w:sz="0" w:space="0" w:color="auto"/>
            <w:bottom w:val="none" w:sz="0" w:space="0" w:color="auto"/>
            <w:right w:val="none" w:sz="0" w:space="0" w:color="auto"/>
          </w:divBdr>
        </w:div>
        <w:div w:id="331954245">
          <w:marLeft w:val="0"/>
          <w:marRight w:val="0"/>
          <w:marTop w:val="0"/>
          <w:marBottom w:val="0"/>
          <w:divBdr>
            <w:top w:val="none" w:sz="0" w:space="0" w:color="auto"/>
            <w:left w:val="none" w:sz="0" w:space="0" w:color="auto"/>
            <w:bottom w:val="none" w:sz="0" w:space="0" w:color="auto"/>
            <w:right w:val="none" w:sz="0" w:space="0" w:color="auto"/>
          </w:divBdr>
        </w:div>
        <w:div w:id="1225214062">
          <w:marLeft w:val="0"/>
          <w:marRight w:val="0"/>
          <w:marTop w:val="0"/>
          <w:marBottom w:val="0"/>
          <w:divBdr>
            <w:top w:val="none" w:sz="0" w:space="0" w:color="auto"/>
            <w:left w:val="none" w:sz="0" w:space="0" w:color="auto"/>
            <w:bottom w:val="none" w:sz="0" w:space="0" w:color="auto"/>
            <w:right w:val="none" w:sz="0" w:space="0" w:color="auto"/>
          </w:divBdr>
        </w:div>
        <w:div w:id="1242566620">
          <w:marLeft w:val="0"/>
          <w:marRight w:val="0"/>
          <w:marTop w:val="0"/>
          <w:marBottom w:val="0"/>
          <w:divBdr>
            <w:top w:val="none" w:sz="0" w:space="0" w:color="auto"/>
            <w:left w:val="none" w:sz="0" w:space="0" w:color="auto"/>
            <w:bottom w:val="none" w:sz="0" w:space="0" w:color="auto"/>
            <w:right w:val="none" w:sz="0" w:space="0" w:color="auto"/>
          </w:divBdr>
        </w:div>
        <w:div w:id="18315147">
          <w:marLeft w:val="0"/>
          <w:marRight w:val="0"/>
          <w:marTop w:val="0"/>
          <w:marBottom w:val="0"/>
          <w:divBdr>
            <w:top w:val="none" w:sz="0" w:space="0" w:color="auto"/>
            <w:left w:val="none" w:sz="0" w:space="0" w:color="auto"/>
            <w:bottom w:val="none" w:sz="0" w:space="0" w:color="auto"/>
            <w:right w:val="none" w:sz="0" w:space="0" w:color="auto"/>
          </w:divBdr>
        </w:div>
        <w:div w:id="965358721">
          <w:marLeft w:val="0"/>
          <w:marRight w:val="0"/>
          <w:marTop w:val="0"/>
          <w:marBottom w:val="0"/>
          <w:divBdr>
            <w:top w:val="none" w:sz="0" w:space="0" w:color="auto"/>
            <w:left w:val="none" w:sz="0" w:space="0" w:color="auto"/>
            <w:bottom w:val="none" w:sz="0" w:space="0" w:color="auto"/>
            <w:right w:val="none" w:sz="0" w:space="0" w:color="auto"/>
          </w:divBdr>
        </w:div>
      </w:divsChild>
    </w:div>
    <w:div w:id="1137990615">
      <w:bodyDiv w:val="1"/>
      <w:marLeft w:val="0"/>
      <w:marRight w:val="0"/>
      <w:marTop w:val="0"/>
      <w:marBottom w:val="0"/>
      <w:divBdr>
        <w:top w:val="none" w:sz="0" w:space="0" w:color="auto"/>
        <w:left w:val="none" w:sz="0" w:space="0" w:color="auto"/>
        <w:bottom w:val="none" w:sz="0" w:space="0" w:color="auto"/>
        <w:right w:val="none" w:sz="0" w:space="0" w:color="auto"/>
      </w:divBdr>
    </w:div>
    <w:div w:id="1144616515">
      <w:bodyDiv w:val="1"/>
      <w:marLeft w:val="0"/>
      <w:marRight w:val="0"/>
      <w:marTop w:val="0"/>
      <w:marBottom w:val="0"/>
      <w:divBdr>
        <w:top w:val="none" w:sz="0" w:space="0" w:color="auto"/>
        <w:left w:val="none" w:sz="0" w:space="0" w:color="auto"/>
        <w:bottom w:val="none" w:sz="0" w:space="0" w:color="auto"/>
        <w:right w:val="none" w:sz="0" w:space="0" w:color="auto"/>
      </w:divBdr>
      <w:divsChild>
        <w:div w:id="289895930">
          <w:marLeft w:val="0"/>
          <w:marRight w:val="0"/>
          <w:marTop w:val="0"/>
          <w:marBottom w:val="0"/>
          <w:divBdr>
            <w:top w:val="none" w:sz="0" w:space="0" w:color="auto"/>
            <w:left w:val="none" w:sz="0" w:space="0" w:color="auto"/>
            <w:bottom w:val="none" w:sz="0" w:space="0" w:color="auto"/>
            <w:right w:val="none" w:sz="0" w:space="0" w:color="auto"/>
          </w:divBdr>
        </w:div>
        <w:div w:id="383525452">
          <w:marLeft w:val="0"/>
          <w:marRight w:val="0"/>
          <w:marTop w:val="0"/>
          <w:marBottom w:val="0"/>
          <w:divBdr>
            <w:top w:val="none" w:sz="0" w:space="0" w:color="auto"/>
            <w:left w:val="none" w:sz="0" w:space="0" w:color="auto"/>
            <w:bottom w:val="none" w:sz="0" w:space="0" w:color="auto"/>
            <w:right w:val="none" w:sz="0" w:space="0" w:color="auto"/>
          </w:divBdr>
        </w:div>
        <w:div w:id="476998471">
          <w:marLeft w:val="0"/>
          <w:marRight w:val="0"/>
          <w:marTop w:val="0"/>
          <w:marBottom w:val="0"/>
          <w:divBdr>
            <w:top w:val="none" w:sz="0" w:space="0" w:color="auto"/>
            <w:left w:val="none" w:sz="0" w:space="0" w:color="auto"/>
            <w:bottom w:val="none" w:sz="0" w:space="0" w:color="auto"/>
            <w:right w:val="none" w:sz="0" w:space="0" w:color="auto"/>
          </w:divBdr>
        </w:div>
        <w:div w:id="682704647">
          <w:marLeft w:val="0"/>
          <w:marRight w:val="0"/>
          <w:marTop w:val="0"/>
          <w:marBottom w:val="0"/>
          <w:divBdr>
            <w:top w:val="none" w:sz="0" w:space="0" w:color="auto"/>
            <w:left w:val="none" w:sz="0" w:space="0" w:color="auto"/>
            <w:bottom w:val="none" w:sz="0" w:space="0" w:color="auto"/>
            <w:right w:val="none" w:sz="0" w:space="0" w:color="auto"/>
          </w:divBdr>
        </w:div>
        <w:div w:id="1532302345">
          <w:marLeft w:val="0"/>
          <w:marRight w:val="0"/>
          <w:marTop w:val="0"/>
          <w:marBottom w:val="0"/>
          <w:divBdr>
            <w:top w:val="none" w:sz="0" w:space="0" w:color="auto"/>
            <w:left w:val="none" w:sz="0" w:space="0" w:color="auto"/>
            <w:bottom w:val="none" w:sz="0" w:space="0" w:color="auto"/>
            <w:right w:val="none" w:sz="0" w:space="0" w:color="auto"/>
          </w:divBdr>
        </w:div>
      </w:divsChild>
    </w:div>
    <w:div w:id="1244604070">
      <w:bodyDiv w:val="1"/>
      <w:marLeft w:val="0"/>
      <w:marRight w:val="0"/>
      <w:marTop w:val="0"/>
      <w:marBottom w:val="0"/>
      <w:divBdr>
        <w:top w:val="none" w:sz="0" w:space="0" w:color="auto"/>
        <w:left w:val="none" w:sz="0" w:space="0" w:color="auto"/>
        <w:bottom w:val="none" w:sz="0" w:space="0" w:color="auto"/>
        <w:right w:val="none" w:sz="0" w:space="0" w:color="auto"/>
      </w:divBdr>
      <w:divsChild>
        <w:div w:id="2077118802">
          <w:marLeft w:val="0"/>
          <w:marRight w:val="0"/>
          <w:marTop w:val="0"/>
          <w:marBottom w:val="0"/>
          <w:divBdr>
            <w:top w:val="none" w:sz="0" w:space="0" w:color="auto"/>
            <w:left w:val="none" w:sz="0" w:space="0" w:color="auto"/>
            <w:bottom w:val="none" w:sz="0" w:space="0" w:color="auto"/>
            <w:right w:val="none" w:sz="0" w:space="0" w:color="auto"/>
          </w:divBdr>
        </w:div>
        <w:div w:id="1139494482">
          <w:marLeft w:val="0"/>
          <w:marRight w:val="0"/>
          <w:marTop w:val="0"/>
          <w:marBottom w:val="0"/>
          <w:divBdr>
            <w:top w:val="none" w:sz="0" w:space="0" w:color="auto"/>
            <w:left w:val="none" w:sz="0" w:space="0" w:color="auto"/>
            <w:bottom w:val="none" w:sz="0" w:space="0" w:color="auto"/>
            <w:right w:val="none" w:sz="0" w:space="0" w:color="auto"/>
          </w:divBdr>
        </w:div>
      </w:divsChild>
    </w:div>
    <w:div w:id="1360158083">
      <w:bodyDiv w:val="1"/>
      <w:marLeft w:val="0"/>
      <w:marRight w:val="0"/>
      <w:marTop w:val="0"/>
      <w:marBottom w:val="0"/>
      <w:divBdr>
        <w:top w:val="none" w:sz="0" w:space="0" w:color="auto"/>
        <w:left w:val="none" w:sz="0" w:space="0" w:color="auto"/>
        <w:bottom w:val="none" w:sz="0" w:space="0" w:color="auto"/>
        <w:right w:val="none" w:sz="0" w:space="0" w:color="auto"/>
      </w:divBdr>
      <w:divsChild>
        <w:div w:id="2085645871">
          <w:marLeft w:val="0"/>
          <w:marRight w:val="0"/>
          <w:marTop w:val="0"/>
          <w:marBottom w:val="0"/>
          <w:divBdr>
            <w:top w:val="none" w:sz="0" w:space="0" w:color="auto"/>
            <w:left w:val="none" w:sz="0" w:space="0" w:color="auto"/>
            <w:bottom w:val="none" w:sz="0" w:space="0" w:color="auto"/>
            <w:right w:val="none" w:sz="0" w:space="0" w:color="auto"/>
          </w:divBdr>
          <w:divsChild>
            <w:div w:id="1874346309">
              <w:marLeft w:val="0"/>
              <w:marRight w:val="0"/>
              <w:marTop w:val="0"/>
              <w:marBottom w:val="0"/>
              <w:divBdr>
                <w:top w:val="none" w:sz="0" w:space="0" w:color="auto"/>
                <w:left w:val="none" w:sz="0" w:space="0" w:color="auto"/>
                <w:bottom w:val="none" w:sz="0" w:space="0" w:color="auto"/>
                <w:right w:val="none" w:sz="0" w:space="0" w:color="auto"/>
              </w:divBdr>
            </w:div>
          </w:divsChild>
        </w:div>
        <w:div w:id="1541891608">
          <w:marLeft w:val="0"/>
          <w:marRight w:val="0"/>
          <w:marTop w:val="0"/>
          <w:marBottom w:val="0"/>
          <w:divBdr>
            <w:top w:val="none" w:sz="0" w:space="0" w:color="auto"/>
            <w:left w:val="none" w:sz="0" w:space="0" w:color="auto"/>
            <w:bottom w:val="none" w:sz="0" w:space="0" w:color="auto"/>
            <w:right w:val="none" w:sz="0" w:space="0" w:color="auto"/>
          </w:divBdr>
          <w:divsChild>
            <w:div w:id="756751045">
              <w:marLeft w:val="0"/>
              <w:marRight w:val="0"/>
              <w:marTop w:val="0"/>
              <w:marBottom w:val="0"/>
              <w:divBdr>
                <w:top w:val="none" w:sz="0" w:space="0" w:color="auto"/>
                <w:left w:val="none" w:sz="0" w:space="0" w:color="auto"/>
                <w:bottom w:val="none" w:sz="0" w:space="0" w:color="auto"/>
                <w:right w:val="none" w:sz="0" w:space="0" w:color="auto"/>
              </w:divBdr>
              <w:divsChild>
                <w:div w:id="614599252">
                  <w:marLeft w:val="0"/>
                  <w:marRight w:val="0"/>
                  <w:marTop w:val="0"/>
                  <w:marBottom w:val="0"/>
                  <w:divBdr>
                    <w:top w:val="none" w:sz="0" w:space="0" w:color="auto"/>
                    <w:left w:val="none" w:sz="0" w:space="0" w:color="auto"/>
                    <w:bottom w:val="none" w:sz="0" w:space="0" w:color="auto"/>
                    <w:right w:val="none" w:sz="0" w:space="0" w:color="auto"/>
                  </w:divBdr>
                </w:div>
                <w:div w:id="1386760375">
                  <w:marLeft w:val="0"/>
                  <w:marRight w:val="0"/>
                  <w:marTop w:val="0"/>
                  <w:marBottom w:val="0"/>
                  <w:divBdr>
                    <w:top w:val="none" w:sz="0" w:space="0" w:color="auto"/>
                    <w:left w:val="none" w:sz="0" w:space="0" w:color="auto"/>
                    <w:bottom w:val="none" w:sz="0" w:space="0" w:color="auto"/>
                    <w:right w:val="none" w:sz="0" w:space="0" w:color="auto"/>
                  </w:divBdr>
                </w:div>
              </w:divsChild>
            </w:div>
            <w:div w:id="67965082">
              <w:marLeft w:val="0"/>
              <w:marRight w:val="0"/>
              <w:marTop w:val="0"/>
              <w:marBottom w:val="0"/>
              <w:divBdr>
                <w:top w:val="none" w:sz="0" w:space="0" w:color="auto"/>
                <w:left w:val="none" w:sz="0" w:space="0" w:color="auto"/>
                <w:bottom w:val="none" w:sz="0" w:space="0" w:color="auto"/>
                <w:right w:val="none" w:sz="0" w:space="0" w:color="auto"/>
              </w:divBdr>
            </w:div>
            <w:div w:id="1684818830">
              <w:marLeft w:val="0"/>
              <w:marRight w:val="0"/>
              <w:marTop w:val="0"/>
              <w:marBottom w:val="0"/>
              <w:divBdr>
                <w:top w:val="none" w:sz="0" w:space="0" w:color="auto"/>
                <w:left w:val="none" w:sz="0" w:space="0" w:color="auto"/>
                <w:bottom w:val="none" w:sz="0" w:space="0" w:color="auto"/>
                <w:right w:val="none" w:sz="0" w:space="0" w:color="auto"/>
              </w:divBdr>
            </w:div>
            <w:div w:id="819931783">
              <w:marLeft w:val="0"/>
              <w:marRight w:val="0"/>
              <w:marTop w:val="0"/>
              <w:marBottom w:val="0"/>
              <w:divBdr>
                <w:top w:val="none" w:sz="0" w:space="0" w:color="auto"/>
                <w:left w:val="none" w:sz="0" w:space="0" w:color="auto"/>
                <w:bottom w:val="none" w:sz="0" w:space="0" w:color="auto"/>
                <w:right w:val="none" w:sz="0" w:space="0" w:color="auto"/>
              </w:divBdr>
            </w:div>
            <w:div w:id="79717315">
              <w:marLeft w:val="0"/>
              <w:marRight w:val="0"/>
              <w:marTop w:val="0"/>
              <w:marBottom w:val="0"/>
              <w:divBdr>
                <w:top w:val="none" w:sz="0" w:space="0" w:color="auto"/>
                <w:left w:val="none" w:sz="0" w:space="0" w:color="auto"/>
                <w:bottom w:val="none" w:sz="0" w:space="0" w:color="auto"/>
                <w:right w:val="none" w:sz="0" w:space="0" w:color="auto"/>
              </w:divBdr>
            </w:div>
          </w:divsChild>
        </w:div>
        <w:div w:id="1019086867">
          <w:marLeft w:val="0"/>
          <w:marRight w:val="0"/>
          <w:marTop w:val="0"/>
          <w:marBottom w:val="0"/>
          <w:divBdr>
            <w:top w:val="none" w:sz="0" w:space="0" w:color="auto"/>
            <w:left w:val="none" w:sz="0" w:space="0" w:color="auto"/>
            <w:bottom w:val="none" w:sz="0" w:space="0" w:color="auto"/>
            <w:right w:val="none" w:sz="0" w:space="0" w:color="auto"/>
          </w:divBdr>
          <w:divsChild>
            <w:div w:id="1536456574">
              <w:marLeft w:val="0"/>
              <w:marRight w:val="0"/>
              <w:marTop w:val="0"/>
              <w:marBottom w:val="0"/>
              <w:divBdr>
                <w:top w:val="none" w:sz="0" w:space="0" w:color="auto"/>
                <w:left w:val="none" w:sz="0" w:space="0" w:color="auto"/>
                <w:bottom w:val="none" w:sz="0" w:space="0" w:color="auto"/>
                <w:right w:val="none" w:sz="0" w:space="0" w:color="auto"/>
              </w:divBdr>
            </w:div>
            <w:div w:id="1201474566">
              <w:marLeft w:val="0"/>
              <w:marRight w:val="0"/>
              <w:marTop w:val="0"/>
              <w:marBottom w:val="0"/>
              <w:divBdr>
                <w:top w:val="none" w:sz="0" w:space="0" w:color="auto"/>
                <w:left w:val="none" w:sz="0" w:space="0" w:color="auto"/>
                <w:bottom w:val="none" w:sz="0" w:space="0" w:color="auto"/>
                <w:right w:val="none" w:sz="0" w:space="0" w:color="auto"/>
              </w:divBdr>
            </w:div>
            <w:div w:id="1160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7734">
      <w:bodyDiv w:val="1"/>
      <w:marLeft w:val="0"/>
      <w:marRight w:val="0"/>
      <w:marTop w:val="0"/>
      <w:marBottom w:val="0"/>
      <w:divBdr>
        <w:top w:val="none" w:sz="0" w:space="0" w:color="auto"/>
        <w:left w:val="none" w:sz="0" w:space="0" w:color="auto"/>
        <w:bottom w:val="none" w:sz="0" w:space="0" w:color="auto"/>
        <w:right w:val="none" w:sz="0" w:space="0" w:color="auto"/>
      </w:divBdr>
      <w:divsChild>
        <w:div w:id="1061950118">
          <w:marLeft w:val="0"/>
          <w:marRight w:val="0"/>
          <w:marTop w:val="0"/>
          <w:marBottom w:val="0"/>
          <w:divBdr>
            <w:top w:val="none" w:sz="0" w:space="0" w:color="auto"/>
            <w:left w:val="none" w:sz="0" w:space="0" w:color="auto"/>
            <w:bottom w:val="none" w:sz="0" w:space="0" w:color="auto"/>
            <w:right w:val="none" w:sz="0" w:space="0" w:color="auto"/>
          </w:divBdr>
        </w:div>
        <w:div w:id="156270032">
          <w:marLeft w:val="0"/>
          <w:marRight w:val="0"/>
          <w:marTop w:val="0"/>
          <w:marBottom w:val="0"/>
          <w:divBdr>
            <w:top w:val="none" w:sz="0" w:space="0" w:color="auto"/>
            <w:left w:val="none" w:sz="0" w:space="0" w:color="auto"/>
            <w:bottom w:val="none" w:sz="0" w:space="0" w:color="auto"/>
            <w:right w:val="none" w:sz="0" w:space="0" w:color="auto"/>
          </w:divBdr>
        </w:div>
      </w:divsChild>
    </w:div>
    <w:div w:id="1441223112">
      <w:bodyDiv w:val="1"/>
      <w:marLeft w:val="0"/>
      <w:marRight w:val="0"/>
      <w:marTop w:val="0"/>
      <w:marBottom w:val="0"/>
      <w:divBdr>
        <w:top w:val="none" w:sz="0" w:space="0" w:color="auto"/>
        <w:left w:val="none" w:sz="0" w:space="0" w:color="auto"/>
        <w:bottom w:val="none" w:sz="0" w:space="0" w:color="auto"/>
        <w:right w:val="none" w:sz="0" w:space="0" w:color="auto"/>
      </w:divBdr>
      <w:divsChild>
        <w:div w:id="488442589">
          <w:marLeft w:val="0"/>
          <w:marRight w:val="0"/>
          <w:marTop w:val="0"/>
          <w:marBottom w:val="0"/>
          <w:divBdr>
            <w:top w:val="none" w:sz="0" w:space="0" w:color="auto"/>
            <w:left w:val="none" w:sz="0" w:space="0" w:color="auto"/>
            <w:bottom w:val="none" w:sz="0" w:space="0" w:color="auto"/>
            <w:right w:val="none" w:sz="0" w:space="0" w:color="auto"/>
          </w:divBdr>
        </w:div>
        <w:div w:id="1226994591">
          <w:marLeft w:val="0"/>
          <w:marRight w:val="0"/>
          <w:marTop w:val="0"/>
          <w:marBottom w:val="0"/>
          <w:divBdr>
            <w:top w:val="none" w:sz="0" w:space="0" w:color="auto"/>
            <w:left w:val="none" w:sz="0" w:space="0" w:color="auto"/>
            <w:bottom w:val="none" w:sz="0" w:space="0" w:color="auto"/>
            <w:right w:val="none" w:sz="0" w:space="0" w:color="auto"/>
          </w:divBdr>
        </w:div>
      </w:divsChild>
    </w:div>
    <w:div w:id="1470628103">
      <w:bodyDiv w:val="1"/>
      <w:marLeft w:val="0"/>
      <w:marRight w:val="0"/>
      <w:marTop w:val="0"/>
      <w:marBottom w:val="0"/>
      <w:divBdr>
        <w:top w:val="none" w:sz="0" w:space="0" w:color="auto"/>
        <w:left w:val="none" w:sz="0" w:space="0" w:color="auto"/>
        <w:bottom w:val="none" w:sz="0" w:space="0" w:color="auto"/>
        <w:right w:val="none" w:sz="0" w:space="0" w:color="auto"/>
      </w:divBdr>
      <w:divsChild>
        <w:div w:id="2049142126">
          <w:marLeft w:val="0"/>
          <w:marRight w:val="0"/>
          <w:marTop w:val="0"/>
          <w:marBottom w:val="0"/>
          <w:divBdr>
            <w:top w:val="none" w:sz="0" w:space="0" w:color="auto"/>
            <w:left w:val="none" w:sz="0" w:space="0" w:color="auto"/>
            <w:bottom w:val="none" w:sz="0" w:space="0" w:color="auto"/>
            <w:right w:val="none" w:sz="0" w:space="0" w:color="auto"/>
          </w:divBdr>
        </w:div>
        <w:div w:id="914510972">
          <w:marLeft w:val="0"/>
          <w:marRight w:val="0"/>
          <w:marTop w:val="0"/>
          <w:marBottom w:val="0"/>
          <w:divBdr>
            <w:top w:val="none" w:sz="0" w:space="0" w:color="auto"/>
            <w:left w:val="none" w:sz="0" w:space="0" w:color="auto"/>
            <w:bottom w:val="none" w:sz="0" w:space="0" w:color="auto"/>
            <w:right w:val="none" w:sz="0" w:space="0" w:color="auto"/>
          </w:divBdr>
        </w:div>
        <w:div w:id="767191402">
          <w:marLeft w:val="0"/>
          <w:marRight w:val="0"/>
          <w:marTop w:val="0"/>
          <w:marBottom w:val="0"/>
          <w:divBdr>
            <w:top w:val="none" w:sz="0" w:space="0" w:color="auto"/>
            <w:left w:val="none" w:sz="0" w:space="0" w:color="auto"/>
            <w:bottom w:val="none" w:sz="0" w:space="0" w:color="auto"/>
            <w:right w:val="none" w:sz="0" w:space="0" w:color="auto"/>
          </w:divBdr>
        </w:div>
        <w:div w:id="486942798">
          <w:marLeft w:val="0"/>
          <w:marRight w:val="0"/>
          <w:marTop w:val="0"/>
          <w:marBottom w:val="0"/>
          <w:divBdr>
            <w:top w:val="none" w:sz="0" w:space="0" w:color="auto"/>
            <w:left w:val="none" w:sz="0" w:space="0" w:color="auto"/>
            <w:bottom w:val="none" w:sz="0" w:space="0" w:color="auto"/>
            <w:right w:val="none" w:sz="0" w:space="0" w:color="auto"/>
          </w:divBdr>
        </w:div>
        <w:div w:id="1315378724">
          <w:marLeft w:val="0"/>
          <w:marRight w:val="0"/>
          <w:marTop w:val="0"/>
          <w:marBottom w:val="0"/>
          <w:divBdr>
            <w:top w:val="none" w:sz="0" w:space="0" w:color="auto"/>
            <w:left w:val="none" w:sz="0" w:space="0" w:color="auto"/>
            <w:bottom w:val="none" w:sz="0" w:space="0" w:color="auto"/>
            <w:right w:val="none" w:sz="0" w:space="0" w:color="auto"/>
          </w:divBdr>
        </w:div>
        <w:div w:id="1596791039">
          <w:marLeft w:val="0"/>
          <w:marRight w:val="0"/>
          <w:marTop w:val="0"/>
          <w:marBottom w:val="0"/>
          <w:divBdr>
            <w:top w:val="none" w:sz="0" w:space="0" w:color="auto"/>
            <w:left w:val="none" w:sz="0" w:space="0" w:color="auto"/>
            <w:bottom w:val="none" w:sz="0" w:space="0" w:color="auto"/>
            <w:right w:val="none" w:sz="0" w:space="0" w:color="auto"/>
          </w:divBdr>
        </w:div>
        <w:div w:id="193660933">
          <w:marLeft w:val="0"/>
          <w:marRight w:val="0"/>
          <w:marTop w:val="0"/>
          <w:marBottom w:val="0"/>
          <w:divBdr>
            <w:top w:val="none" w:sz="0" w:space="0" w:color="auto"/>
            <w:left w:val="none" w:sz="0" w:space="0" w:color="auto"/>
            <w:bottom w:val="none" w:sz="0" w:space="0" w:color="auto"/>
            <w:right w:val="none" w:sz="0" w:space="0" w:color="auto"/>
          </w:divBdr>
        </w:div>
        <w:div w:id="957105713">
          <w:marLeft w:val="0"/>
          <w:marRight w:val="0"/>
          <w:marTop w:val="0"/>
          <w:marBottom w:val="0"/>
          <w:divBdr>
            <w:top w:val="none" w:sz="0" w:space="0" w:color="auto"/>
            <w:left w:val="none" w:sz="0" w:space="0" w:color="auto"/>
            <w:bottom w:val="none" w:sz="0" w:space="0" w:color="auto"/>
            <w:right w:val="none" w:sz="0" w:space="0" w:color="auto"/>
          </w:divBdr>
        </w:div>
      </w:divsChild>
    </w:div>
    <w:div w:id="1495340556">
      <w:bodyDiv w:val="1"/>
      <w:marLeft w:val="0"/>
      <w:marRight w:val="0"/>
      <w:marTop w:val="0"/>
      <w:marBottom w:val="0"/>
      <w:divBdr>
        <w:top w:val="none" w:sz="0" w:space="0" w:color="auto"/>
        <w:left w:val="none" w:sz="0" w:space="0" w:color="auto"/>
        <w:bottom w:val="none" w:sz="0" w:space="0" w:color="auto"/>
        <w:right w:val="none" w:sz="0" w:space="0" w:color="auto"/>
      </w:divBdr>
    </w:div>
    <w:div w:id="1497039197">
      <w:bodyDiv w:val="1"/>
      <w:marLeft w:val="0"/>
      <w:marRight w:val="0"/>
      <w:marTop w:val="0"/>
      <w:marBottom w:val="0"/>
      <w:divBdr>
        <w:top w:val="none" w:sz="0" w:space="0" w:color="auto"/>
        <w:left w:val="none" w:sz="0" w:space="0" w:color="auto"/>
        <w:bottom w:val="none" w:sz="0" w:space="0" w:color="auto"/>
        <w:right w:val="none" w:sz="0" w:space="0" w:color="auto"/>
      </w:divBdr>
    </w:div>
    <w:div w:id="1561287005">
      <w:bodyDiv w:val="1"/>
      <w:marLeft w:val="0"/>
      <w:marRight w:val="0"/>
      <w:marTop w:val="0"/>
      <w:marBottom w:val="0"/>
      <w:divBdr>
        <w:top w:val="none" w:sz="0" w:space="0" w:color="auto"/>
        <w:left w:val="none" w:sz="0" w:space="0" w:color="auto"/>
        <w:bottom w:val="none" w:sz="0" w:space="0" w:color="auto"/>
        <w:right w:val="none" w:sz="0" w:space="0" w:color="auto"/>
      </w:divBdr>
      <w:divsChild>
        <w:div w:id="363558229">
          <w:marLeft w:val="0"/>
          <w:marRight w:val="0"/>
          <w:marTop w:val="0"/>
          <w:marBottom w:val="0"/>
          <w:divBdr>
            <w:top w:val="none" w:sz="0" w:space="0" w:color="auto"/>
            <w:left w:val="none" w:sz="0" w:space="0" w:color="auto"/>
            <w:bottom w:val="none" w:sz="0" w:space="0" w:color="auto"/>
            <w:right w:val="none" w:sz="0" w:space="0" w:color="auto"/>
          </w:divBdr>
        </w:div>
        <w:div w:id="2018194932">
          <w:marLeft w:val="0"/>
          <w:marRight w:val="0"/>
          <w:marTop w:val="0"/>
          <w:marBottom w:val="0"/>
          <w:divBdr>
            <w:top w:val="none" w:sz="0" w:space="0" w:color="auto"/>
            <w:left w:val="none" w:sz="0" w:space="0" w:color="auto"/>
            <w:bottom w:val="none" w:sz="0" w:space="0" w:color="auto"/>
            <w:right w:val="none" w:sz="0" w:space="0" w:color="auto"/>
          </w:divBdr>
        </w:div>
        <w:div w:id="1718970620">
          <w:marLeft w:val="0"/>
          <w:marRight w:val="0"/>
          <w:marTop w:val="0"/>
          <w:marBottom w:val="0"/>
          <w:divBdr>
            <w:top w:val="none" w:sz="0" w:space="0" w:color="auto"/>
            <w:left w:val="none" w:sz="0" w:space="0" w:color="auto"/>
            <w:bottom w:val="none" w:sz="0" w:space="0" w:color="auto"/>
            <w:right w:val="none" w:sz="0" w:space="0" w:color="auto"/>
          </w:divBdr>
        </w:div>
        <w:div w:id="1167209044">
          <w:marLeft w:val="0"/>
          <w:marRight w:val="0"/>
          <w:marTop w:val="0"/>
          <w:marBottom w:val="0"/>
          <w:divBdr>
            <w:top w:val="none" w:sz="0" w:space="0" w:color="auto"/>
            <w:left w:val="none" w:sz="0" w:space="0" w:color="auto"/>
            <w:bottom w:val="none" w:sz="0" w:space="0" w:color="auto"/>
            <w:right w:val="none" w:sz="0" w:space="0" w:color="auto"/>
          </w:divBdr>
        </w:div>
        <w:div w:id="1710303045">
          <w:marLeft w:val="0"/>
          <w:marRight w:val="0"/>
          <w:marTop w:val="0"/>
          <w:marBottom w:val="0"/>
          <w:divBdr>
            <w:top w:val="none" w:sz="0" w:space="0" w:color="auto"/>
            <w:left w:val="none" w:sz="0" w:space="0" w:color="auto"/>
            <w:bottom w:val="none" w:sz="0" w:space="0" w:color="auto"/>
            <w:right w:val="none" w:sz="0" w:space="0" w:color="auto"/>
          </w:divBdr>
        </w:div>
        <w:div w:id="549532197">
          <w:marLeft w:val="0"/>
          <w:marRight w:val="0"/>
          <w:marTop w:val="0"/>
          <w:marBottom w:val="0"/>
          <w:divBdr>
            <w:top w:val="none" w:sz="0" w:space="0" w:color="auto"/>
            <w:left w:val="none" w:sz="0" w:space="0" w:color="auto"/>
            <w:bottom w:val="none" w:sz="0" w:space="0" w:color="auto"/>
            <w:right w:val="none" w:sz="0" w:space="0" w:color="auto"/>
          </w:divBdr>
        </w:div>
        <w:div w:id="1007556730">
          <w:marLeft w:val="0"/>
          <w:marRight w:val="0"/>
          <w:marTop w:val="0"/>
          <w:marBottom w:val="0"/>
          <w:divBdr>
            <w:top w:val="none" w:sz="0" w:space="0" w:color="auto"/>
            <w:left w:val="none" w:sz="0" w:space="0" w:color="auto"/>
            <w:bottom w:val="none" w:sz="0" w:space="0" w:color="auto"/>
            <w:right w:val="none" w:sz="0" w:space="0" w:color="auto"/>
          </w:divBdr>
        </w:div>
        <w:div w:id="411124322">
          <w:marLeft w:val="0"/>
          <w:marRight w:val="0"/>
          <w:marTop w:val="0"/>
          <w:marBottom w:val="0"/>
          <w:divBdr>
            <w:top w:val="none" w:sz="0" w:space="0" w:color="auto"/>
            <w:left w:val="none" w:sz="0" w:space="0" w:color="auto"/>
            <w:bottom w:val="none" w:sz="0" w:space="0" w:color="auto"/>
            <w:right w:val="none" w:sz="0" w:space="0" w:color="auto"/>
          </w:divBdr>
        </w:div>
        <w:div w:id="1185627746">
          <w:marLeft w:val="0"/>
          <w:marRight w:val="0"/>
          <w:marTop w:val="0"/>
          <w:marBottom w:val="0"/>
          <w:divBdr>
            <w:top w:val="none" w:sz="0" w:space="0" w:color="auto"/>
            <w:left w:val="none" w:sz="0" w:space="0" w:color="auto"/>
            <w:bottom w:val="none" w:sz="0" w:space="0" w:color="auto"/>
            <w:right w:val="none" w:sz="0" w:space="0" w:color="auto"/>
          </w:divBdr>
        </w:div>
        <w:div w:id="1060253879">
          <w:marLeft w:val="0"/>
          <w:marRight w:val="0"/>
          <w:marTop w:val="0"/>
          <w:marBottom w:val="0"/>
          <w:divBdr>
            <w:top w:val="none" w:sz="0" w:space="0" w:color="auto"/>
            <w:left w:val="none" w:sz="0" w:space="0" w:color="auto"/>
            <w:bottom w:val="none" w:sz="0" w:space="0" w:color="auto"/>
            <w:right w:val="none" w:sz="0" w:space="0" w:color="auto"/>
          </w:divBdr>
        </w:div>
        <w:div w:id="198858353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06856901">
          <w:marLeft w:val="0"/>
          <w:marRight w:val="0"/>
          <w:marTop w:val="0"/>
          <w:marBottom w:val="0"/>
          <w:divBdr>
            <w:top w:val="none" w:sz="0" w:space="0" w:color="auto"/>
            <w:left w:val="none" w:sz="0" w:space="0" w:color="auto"/>
            <w:bottom w:val="none" w:sz="0" w:space="0" w:color="auto"/>
            <w:right w:val="none" w:sz="0" w:space="0" w:color="auto"/>
          </w:divBdr>
        </w:div>
        <w:div w:id="1391735434">
          <w:marLeft w:val="0"/>
          <w:marRight w:val="0"/>
          <w:marTop w:val="0"/>
          <w:marBottom w:val="0"/>
          <w:divBdr>
            <w:top w:val="none" w:sz="0" w:space="0" w:color="auto"/>
            <w:left w:val="none" w:sz="0" w:space="0" w:color="auto"/>
            <w:bottom w:val="none" w:sz="0" w:space="0" w:color="auto"/>
            <w:right w:val="none" w:sz="0" w:space="0" w:color="auto"/>
          </w:divBdr>
        </w:div>
      </w:divsChild>
    </w:div>
    <w:div w:id="1670516981">
      <w:bodyDiv w:val="1"/>
      <w:marLeft w:val="0"/>
      <w:marRight w:val="0"/>
      <w:marTop w:val="0"/>
      <w:marBottom w:val="0"/>
      <w:divBdr>
        <w:top w:val="none" w:sz="0" w:space="0" w:color="auto"/>
        <w:left w:val="none" w:sz="0" w:space="0" w:color="auto"/>
        <w:bottom w:val="none" w:sz="0" w:space="0" w:color="auto"/>
        <w:right w:val="none" w:sz="0" w:space="0" w:color="auto"/>
      </w:divBdr>
    </w:div>
    <w:div w:id="1728650226">
      <w:bodyDiv w:val="1"/>
      <w:marLeft w:val="0"/>
      <w:marRight w:val="0"/>
      <w:marTop w:val="0"/>
      <w:marBottom w:val="0"/>
      <w:divBdr>
        <w:top w:val="none" w:sz="0" w:space="0" w:color="auto"/>
        <w:left w:val="none" w:sz="0" w:space="0" w:color="auto"/>
        <w:bottom w:val="none" w:sz="0" w:space="0" w:color="auto"/>
        <w:right w:val="none" w:sz="0" w:space="0" w:color="auto"/>
      </w:divBdr>
    </w:div>
    <w:div w:id="1926843621">
      <w:bodyDiv w:val="1"/>
      <w:marLeft w:val="0"/>
      <w:marRight w:val="0"/>
      <w:marTop w:val="0"/>
      <w:marBottom w:val="0"/>
      <w:divBdr>
        <w:top w:val="none" w:sz="0" w:space="0" w:color="auto"/>
        <w:left w:val="none" w:sz="0" w:space="0" w:color="auto"/>
        <w:bottom w:val="none" w:sz="0" w:space="0" w:color="auto"/>
        <w:right w:val="none" w:sz="0" w:space="0" w:color="auto"/>
      </w:divBdr>
    </w:div>
    <w:div w:id="1972398184">
      <w:bodyDiv w:val="1"/>
      <w:marLeft w:val="0"/>
      <w:marRight w:val="0"/>
      <w:marTop w:val="0"/>
      <w:marBottom w:val="0"/>
      <w:divBdr>
        <w:top w:val="none" w:sz="0" w:space="0" w:color="auto"/>
        <w:left w:val="none" w:sz="0" w:space="0" w:color="auto"/>
        <w:bottom w:val="none" w:sz="0" w:space="0" w:color="auto"/>
        <w:right w:val="none" w:sz="0" w:space="0" w:color="auto"/>
      </w:divBdr>
    </w:div>
    <w:div w:id="2142772185">
      <w:bodyDiv w:val="1"/>
      <w:marLeft w:val="0"/>
      <w:marRight w:val="0"/>
      <w:marTop w:val="0"/>
      <w:marBottom w:val="0"/>
      <w:divBdr>
        <w:top w:val="none" w:sz="0" w:space="0" w:color="auto"/>
        <w:left w:val="none" w:sz="0" w:space="0" w:color="auto"/>
        <w:bottom w:val="none" w:sz="0" w:space="0" w:color="auto"/>
        <w:right w:val="none" w:sz="0" w:space="0" w:color="auto"/>
      </w:divBdr>
      <w:divsChild>
        <w:div w:id="674842072">
          <w:marLeft w:val="0"/>
          <w:marRight w:val="0"/>
          <w:marTop w:val="0"/>
          <w:marBottom w:val="0"/>
          <w:divBdr>
            <w:top w:val="none" w:sz="0" w:space="0" w:color="auto"/>
            <w:left w:val="none" w:sz="0" w:space="0" w:color="auto"/>
            <w:bottom w:val="none" w:sz="0" w:space="0" w:color="auto"/>
            <w:right w:val="none" w:sz="0" w:space="0" w:color="auto"/>
          </w:divBdr>
        </w:div>
        <w:div w:id="401147891">
          <w:marLeft w:val="0"/>
          <w:marRight w:val="0"/>
          <w:marTop w:val="0"/>
          <w:marBottom w:val="0"/>
          <w:divBdr>
            <w:top w:val="none" w:sz="0" w:space="0" w:color="auto"/>
            <w:left w:val="none" w:sz="0" w:space="0" w:color="auto"/>
            <w:bottom w:val="none" w:sz="0" w:space="0" w:color="auto"/>
            <w:right w:val="none" w:sz="0" w:space="0" w:color="auto"/>
          </w:divBdr>
        </w:div>
        <w:div w:id="1945071811">
          <w:marLeft w:val="0"/>
          <w:marRight w:val="0"/>
          <w:marTop w:val="0"/>
          <w:marBottom w:val="0"/>
          <w:divBdr>
            <w:top w:val="none" w:sz="0" w:space="0" w:color="auto"/>
            <w:left w:val="none" w:sz="0" w:space="0" w:color="auto"/>
            <w:bottom w:val="none" w:sz="0" w:space="0" w:color="auto"/>
            <w:right w:val="none" w:sz="0" w:space="0" w:color="auto"/>
          </w:divBdr>
        </w:div>
        <w:div w:id="41757839">
          <w:marLeft w:val="0"/>
          <w:marRight w:val="0"/>
          <w:marTop w:val="0"/>
          <w:marBottom w:val="0"/>
          <w:divBdr>
            <w:top w:val="none" w:sz="0" w:space="0" w:color="auto"/>
            <w:left w:val="none" w:sz="0" w:space="0" w:color="auto"/>
            <w:bottom w:val="none" w:sz="0" w:space="0" w:color="auto"/>
            <w:right w:val="none" w:sz="0" w:space="0" w:color="auto"/>
          </w:divBdr>
        </w:div>
        <w:div w:id="1897546780">
          <w:marLeft w:val="0"/>
          <w:marRight w:val="0"/>
          <w:marTop w:val="0"/>
          <w:marBottom w:val="0"/>
          <w:divBdr>
            <w:top w:val="none" w:sz="0" w:space="0" w:color="auto"/>
            <w:left w:val="none" w:sz="0" w:space="0" w:color="auto"/>
            <w:bottom w:val="none" w:sz="0" w:space="0" w:color="auto"/>
            <w:right w:val="none" w:sz="0" w:space="0" w:color="auto"/>
          </w:divBdr>
        </w:div>
        <w:div w:id="78914288">
          <w:marLeft w:val="0"/>
          <w:marRight w:val="0"/>
          <w:marTop w:val="0"/>
          <w:marBottom w:val="0"/>
          <w:divBdr>
            <w:top w:val="none" w:sz="0" w:space="0" w:color="auto"/>
            <w:left w:val="none" w:sz="0" w:space="0" w:color="auto"/>
            <w:bottom w:val="none" w:sz="0" w:space="0" w:color="auto"/>
            <w:right w:val="none" w:sz="0" w:space="0" w:color="auto"/>
          </w:divBdr>
        </w:div>
        <w:div w:id="18538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9D23-E5BF-48DD-86E0-3C40E403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22277</Words>
  <Characters>126980</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148960</CharactersWithSpaces>
  <SharedDoc>false</SharedDoc>
  <HyperlinkBase> </HyperlinkBase>
  <HLinks>
    <vt:vector size="18" baseType="variant">
      <vt:variant>
        <vt:i4>5374011</vt:i4>
      </vt:variant>
      <vt:variant>
        <vt:i4>108</vt:i4>
      </vt:variant>
      <vt:variant>
        <vt:i4>0</vt:i4>
      </vt:variant>
      <vt:variant>
        <vt:i4>5</vt:i4>
      </vt:variant>
      <vt:variant>
        <vt:lpwstr>mailto:public.advisor.la@cpuc.ca.gov</vt:lpwstr>
      </vt:variant>
      <vt:variant>
        <vt:lpwstr/>
      </vt:variant>
      <vt:variant>
        <vt:i4>2359320</vt:i4>
      </vt:variant>
      <vt:variant>
        <vt:i4>105</vt:i4>
      </vt:variant>
      <vt:variant>
        <vt:i4>0</vt:i4>
      </vt:variant>
      <vt:variant>
        <vt:i4>5</vt:i4>
      </vt:variant>
      <vt:variant>
        <vt:lpwstr>mailto:public.advisor@cpuc.ca.gov</vt:lpwstr>
      </vt:variant>
      <vt:variant>
        <vt:lpwstr/>
      </vt:variant>
      <vt:variant>
        <vt:i4>8257606</vt:i4>
      </vt:variant>
      <vt:variant>
        <vt:i4>102</vt:i4>
      </vt:variant>
      <vt:variant>
        <vt:i4>0</vt:i4>
      </vt:variant>
      <vt:variant>
        <vt:i4>5</vt:i4>
      </vt:variant>
      <vt:variant>
        <vt:lpwstr>mailto:efile-help@cpuc.ca.gov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2012-01-09T20:48:00Z</cp:lastPrinted>
  <dcterms:created xsi:type="dcterms:W3CDTF">2018-04-24T15:55:00Z</dcterms:created>
  <dcterms:modified xsi:type="dcterms:W3CDTF">2018-04-24T17:11:00Z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oFAAspTNh41gn7D8qgpk9g7mWsl1za8KxhrTF3lsCoOyvTtroDDmqdrfHeiKYCX2XHCcpNwbce/uC7DA
RwY/JNZ9QlyAzUFskf5SJ3zQ5YSWi9KWGqV6AAiiYKeGg9zLkceaDXoHdL8B6kvARwY/JNZ9QlyA
zUFskf5SJ3zQ5YSWi9KWGqV6AAiiYCLcZDW5pCA60xI3+O/k94EOyEPtVhkDC7wJBni3CQ1JMn5d
UvVgxLa3PUGDfu8uA</vt:lpwstr>
  </property>
  <property fmtid="{D5CDD505-2E9C-101B-9397-08002B2CF9AE}" pid="3" name="MAIL_MSG_ID2">
    <vt:lpwstr>2/IlZZ/d+vDRZ9NpmncX19ezDX8sm3x+Y+oiEPDPCryi/O6t5A6rAL+gQqU
vkEY/Wjmnn3aDrBrO/XIAtHjczgDf7uuaEe8k906pHx/1TR3</vt:lpwstr>
  </property>
  <property fmtid="{D5CDD505-2E9C-101B-9397-08002B2CF9AE}" pid="4" name="RESPONSE_SENDER_NAME">
    <vt:lpwstr>sAAAE9kkUq3pEoK5XvmFaxxeelMiA9XciRxxGfzru5Ch1Zc=</vt:lpwstr>
  </property>
  <property fmtid="{D5CDD505-2E9C-101B-9397-08002B2CF9AE}" pid="5" name="EMAIL_OWNER_ADDRESS">
    <vt:lpwstr>4AAA9DNYQidmug6ZyMifLcTdT+J4q/4Y+1kq4P8yaLq9F6/For0IxUB0Lw==</vt:lpwstr>
  </property>
</Properties>
</file>