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FD03EB1" w14:textId="77777777" w:rsidR="00B221EE" w:rsidRPr="00E055CA" w:rsidRDefault="00403B51" w:rsidP="00AB2357">
      <w:pPr>
        <w:tabs>
          <w:tab w:val="left" w:pos="450"/>
        </w:tabs>
        <w:rPr>
          <w:rFonts w:ascii="Palatino Linotype" w:hAnsi="Palatino Linotype"/>
          <w:b/>
          <w:szCs w:val="24"/>
        </w:rPr>
      </w:pPr>
      <w:r w:rsidRPr="00E055CA">
        <w:rPr>
          <w:rFonts w:ascii="Palatino Linotype" w:hAnsi="Palatino Linotype"/>
          <w:szCs w:val="24"/>
        </w:rPr>
        <w:t xml:space="preserve">  </w:t>
      </w:r>
      <w:r w:rsidR="0000085E" w:rsidRPr="00E055CA">
        <w:rPr>
          <w:rFonts w:ascii="Palatino Linotype" w:hAnsi="Palatino Linotype"/>
          <w:szCs w:val="24"/>
        </w:rPr>
        <w:tab/>
      </w:r>
      <w:r w:rsidR="0000085E" w:rsidRPr="00E055CA">
        <w:rPr>
          <w:rFonts w:ascii="Palatino Linotype" w:hAnsi="Palatino Linotype"/>
          <w:szCs w:val="24"/>
        </w:rPr>
        <w:tab/>
      </w:r>
      <w:r w:rsidR="0000085E" w:rsidRPr="00E055CA">
        <w:rPr>
          <w:rFonts w:ascii="Palatino Linotype" w:hAnsi="Palatino Linotype"/>
          <w:szCs w:val="24"/>
        </w:rPr>
        <w:tab/>
      </w:r>
      <w:r w:rsidR="0000085E" w:rsidRPr="00E055CA">
        <w:rPr>
          <w:rFonts w:ascii="Palatino Linotype" w:hAnsi="Palatino Linotype"/>
          <w:szCs w:val="24"/>
        </w:rPr>
        <w:tab/>
      </w:r>
      <w:r w:rsidR="0000085E" w:rsidRPr="00E055CA">
        <w:rPr>
          <w:rFonts w:ascii="Palatino Linotype" w:hAnsi="Palatino Linotype"/>
          <w:szCs w:val="24"/>
        </w:rPr>
        <w:tab/>
      </w:r>
      <w:r w:rsidR="0000085E" w:rsidRPr="00E055CA">
        <w:rPr>
          <w:rFonts w:ascii="Palatino Linotype" w:hAnsi="Palatino Linotype"/>
          <w:b/>
          <w:szCs w:val="24"/>
        </w:rPr>
        <w:tab/>
      </w:r>
      <w:r w:rsidR="0000085E" w:rsidRPr="00E055CA">
        <w:rPr>
          <w:rFonts w:ascii="Palatino Linotype" w:hAnsi="Palatino Linotype"/>
          <w:b/>
          <w:szCs w:val="24"/>
        </w:rPr>
        <w:tab/>
        <w:t xml:space="preserve">      </w:t>
      </w:r>
    </w:p>
    <w:p w14:paraId="5301EA2F" w14:textId="77777777" w:rsidR="00B221EE" w:rsidRPr="00E055CA" w:rsidRDefault="00B221EE">
      <w:pPr>
        <w:jc w:val="center"/>
        <w:rPr>
          <w:rFonts w:ascii="Palatino Linotype" w:hAnsi="Palatino Linotype"/>
          <w:b/>
          <w:szCs w:val="24"/>
        </w:rPr>
      </w:pPr>
      <w:r w:rsidRPr="00E055CA">
        <w:rPr>
          <w:rFonts w:ascii="Palatino Linotype" w:hAnsi="Palatino Linotype"/>
          <w:b/>
          <w:szCs w:val="24"/>
        </w:rPr>
        <w:t>PUBLIC UTILITIES COMMISSION OF THE STATE OF CALIFORNIA</w:t>
      </w:r>
    </w:p>
    <w:p w14:paraId="0B81FDC5" w14:textId="77777777" w:rsidR="00B221EE" w:rsidRPr="00E055CA" w:rsidRDefault="00B221EE">
      <w:pPr>
        <w:jc w:val="center"/>
        <w:rPr>
          <w:rFonts w:ascii="Palatino Linotype" w:hAnsi="Palatino Linotype"/>
          <w:b/>
          <w:szCs w:val="24"/>
        </w:rPr>
      </w:pPr>
    </w:p>
    <w:tbl>
      <w:tblPr>
        <w:tblW w:w="9450" w:type="dxa"/>
        <w:tblInd w:w="108" w:type="dxa"/>
        <w:tblLayout w:type="fixed"/>
        <w:tblLook w:val="0000" w:firstRow="0" w:lastRow="0" w:firstColumn="0" w:lastColumn="0" w:noHBand="0" w:noVBand="0"/>
      </w:tblPr>
      <w:tblGrid>
        <w:gridCol w:w="4788"/>
        <w:gridCol w:w="4662"/>
      </w:tblGrid>
      <w:tr w:rsidR="00B221EE" w:rsidRPr="00E055CA" w14:paraId="44E71C04" w14:textId="77777777">
        <w:tc>
          <w:tcPr>
            <w:tcW w:w="4788" w:type="dxa"/>
            <w:tcBorders>
              <w:top w:val="nil"/>
              <w:left w:val="nil"/>
              <w:bottom w:val="nil"/>
              <w:right w:val="nil"/>
            </w:tcBorders>
          </w:tcPr>
          <w:p w14:paraId="14F1293D" w14:textId="77777777" w:rsidR="00B221EE" w:rsidRPr="00E055CA" w:rsidRDefault="00B221EE">
            <w:pPr>
              <w:rPr>
                <w:rFonts w:ascii="Palatino Linotype" w:hAnsi="Palatino Linotype"/>
                <w:b/>
                <w:szCs w:val="24"/>
                <w:lang w:val="fr-FR"/>
              </w:rPr>
            </w:pPr>
            <w:r w:rsidRPr="00E055CA">
              <w:rPr>
                <w:rFonts w:ascii="Palatino Linotype" w:hAnsi="Palatino Linotype"/>
                <w:b/>
                <w:szCs w:val="24"/>
                <w:lang w:val="fr-FR"/>
              </w:rPr>
              <w:t>Communications Division</w:t>
            </w:r>
          </w:p>
        </w:tc>
        <w:tc>
          <w:tcPr>
            <w:tcW w:w="4662" w:type="dxa"/>
            <w:tcBorders>
              <w:top w:val="nil"/>
              <w:left w:val="nil"/>
              <w:bottom w:val="nil"/>
              <w:right w:val="nil"/>
            </w:tcBorders>
          </w:tcPr>
          <w:p w14:paraId="02C7C542" w14:textId="36E62D20" w:rsidR="00B221EE" w:rsidRPr="00E055CA" w:rsidRDefault="00B221EE" w:rsidP="007E69BF">
            <w:pPr>
              <w:jc w:val="right"/>
              <w:rPr>
                <w:rFonts w:ascii="Palatino Linotype" w:hAnsi="Palatino Linotype"/>
                <w:b/>
                <w:szCs w:val="24"/>
                <w:lang w:val="fr-FR"/>
              </w:rPr>
            </w:pPr>
            <w:r w:rsidRPr="00E055CA">
              <w:rPr>
                <w:rFonts w:ascii="Palatino Linotype" w:hAnsi="Palatino Linotype"/>
                <w:b/>
                <w:szCs w:val="24"/>
                <w:lang w:val="fr-FR"/>
              </w:rPr>
              <w:t>RESOLUTION T-</w:t>
            </w:r>
            <w:r w:rsidR="007E69BF">
              <w:rPr>
                <w:rFonts w:ascii="Palatino Linotype" w:hAnsi="Palatino Linotype"/>
                <w:b/>
                <w:szCs w:val="24"/>
                <w:lang w:val="fr-FR"/>
              </w:rPr>
              <w:t>17620</w:t>
            </w:r>
          </w:p>
        </w:tc>
      </w:tr>
      <w:tr w:rsidR="004F5F27" w:rsidRPr="00E055CA" w14:paraId="6DDE1CA7" w14:textId="77777777">
        <w:tc>
          <w:tcPr>
            <w:tcW w:w="4788" w:type="dxa"/>
            <w:tcBorders>
              <w:top w:val="nil"/>
              <w:left w:val="nil"/>
              <w:bottom w:val="nil"/>
              <w:right w:val="nil"/>
            </w:tcBorders>
          </w:tcPr>
          <w:p w14:paraId="712A9148" w14:textId="77777777" w:rsidR="00B221EE" w:rsidRPr="00E055CA" w:rsidRDefault="00B221EE">
            <w:pPr>
              <w:rPr>
                <w:rFonts w:ascii="Palatino Linotype" w:hAnsi="Palatino Linotype"/>
                <w:b/>
                <w:szCs w:val="24"/>
              </w:rPr>
            </w:pPr>
            <w:r w:rsidRPr="00E055CA">
              <w:rPr>
                <w:rFonts w:ascii="Palatino Linotype" w:hAnsi="Palatino Linotype"/>
                <w:b/>
                <w:szCs w:val="24"/>
              </w:rPr>
              <w:t>Carrier Oversight &amp; Programs Branch</w:t>
            </w:r>
          </w:p>
        </w:tc>
        <w:tc>
          <w:tcPr>
            <w:tcW w:w="4662" w:type="dxa"/>
            <w:tcBorders>
              <w:top w:val="nil"/>
              <w:left w:val="nil"/>
              <w:bottom w:val="nil"/>
              <w:right w:val="nil"/>
            </w:tcBorders>
          </w:tcPr>
          <w:p w14:paraId="0914611C" w14:textId="063405AA" w:rsidR="00B221EE" w:rsidRPr="00E055CA" w:rsidRDefault="006C2690" w:rsidP="00AB07F1">
            <w:pPr>
              <w:jc w:val="center"/>
              <w:rPr>
                <w:rFonts w:ascii="Palatino Linotype" w:hAnsi="Palatino Linotype"/>
                <w:b/>
                <w:color w:val="FF0000"/>
                <w:szCs w:val="24"/>
              </w:rPr>
            </w:pPr>
            <w:r w:rsidRPr="00E055CA">
              <w:rPr>
                <w:rFonts w:ascii="Palatino Linotype" w:hAnsi="Palatino Linotype"/>
                <w:b/>
                <w:color w:val="FF0000"/>
                <w:szCs w:val="24"/>
              </w:rPr>
              <w:t xml:space="preserve">             </w:t>
            </w:r>
            <w:r w:rsidR="00FA078A" w:rsidRPr="00E055CA">
              <w:rPr>
                <w:rFonts w:ascii="Palatino Linotype" w:hAnsi="Palatino Linotype"/>
                <w:b/>
                <w:color w:val="FF0000"/>
                <w:szCs w:val="24"/>
              </w:rPr>
              <w:t xml:space="preserve"> </w:t>
            </w:r>
            <w:r w:rsidR="00E65DB1" w:rsidRPr="00E055CA">
              <w:rPr>
                <w:rFonts w:ascii="Palatino Linotype" w:hAnsi="Palatino Linotype"/>
                <w:b/>
                <w:color w:val="FF0000"/>
                <w:szCs w:val="24"/>
              </w:rPr>
              <w:t xml:space="preserve">                         </w:t>
            </w:r>
            <w:r w:rsidR="00945E84">
              <w:rPr>
                <w:rFonts w:ascii="Palatino Linotype" w:hAnsi="Palatino Linotype"/>
                <w:b/>
                <w:szCs w:val="24"/>
              </w:rPr>
              <w:t>June 21</w:t>
            </w:r>
            <w:r w:rsidR="00FC003F" w:rsidRPr="00E055CA">
              <w:rPr>
                <w:rFonts w:ascii="Palatino Linotype" w:hAnsi="Palatino Linotype"/>
                <w:b/>
                <w:szCs w:val="24"/>
              </w:rPr>
              <w:t>, 201</w:t>
            </w:r>
            <w:r w:rsidR="00945E84">
              <w:rPr>
                <w:rFonts w:ascii="Palatino Linotype" w:hAnsi="Palatino Linotype"/>
                <w:b/>
                <w:szCs w:val="24"/>
              </w:rPr>
              <w:t>8</w:t>
            </w:r>
          </w:p>
        </w:tc>
      </w:tr>
    </w:tbl>
    <w:p w14:paraId="7CFE1652" w14:textId="77777777" w:rsidR="00B221EE" w:rsidRPr="00E055CA" w:rsidRDefault="00B221EE">
      <w:pPr>
        <w:rPr>
          <w:rFonts w:ascii="Palatino Linotype" w:hAnsi="Palatino Linotype"/>
          <w:szCs w:val="24"/>
        </w:rPr>
      </w:pPr>
    </w:p>
    <w:p w14:paraId="3AAB381B" w14:textId="77777777" w:rsidR="00B221EE" w:rsidRPr="00E055CA" w:rsidRDefault="00B221EE">
      <w:pPr>
        <w:jc w:val="center"/>
        <w:rPr>
          <w:rFonts w:ascii="Palatino Linotype" w:hAnsi="Palatino Linotype"/>
          <w:szCs w:val="24"/>
        </w:rPr>
      </w:pPr>
      <w:r w:rsidRPr="00E055CA">
        <w:rPr>
          <w:rFonts w:ascii="Palatino Linotype" w:hAnsi="Palatino Linotype"/>
          <w:b/>
          <w:szCs w:val="24"/>
          <w:u w:val="single"/>
        </w:rPr>
        <w:t>R</w:t>
      </w:r>
      <w:r w:rsidRPr="00E055CA">
        <w:rPr>
          <w:rFonts w:ascii="Palatino Linotype" w:hAnsi="Palatino Linotype"/>
          <w:szCs w:val="24"/>
        </w:rPr>
        <w:t xml:space="preserve"> </w:t>
      </w:r>
      <w:r w:rsidRPr="00E055CA">
        <w:rPr>
          <w:rFonts w:ascii="Palatino Linotype" w:hAnsi="Palatino Linotype"/>
          <w:b/>
          <w:szCs w:val="24"/>
          <w:u w:val="single"/>
        </w:rPr>
        <w:t>E</w:t>
      </w:r>
      <w:r w:rsidRPr="00E055CA">
        <w:rPr>
          <w:rFonts w:ascii="Palatino Linotype" w:hAnsi="Palatino Linotype"/>
          <w:szCs w:val="24"/>
        </w:rPr>
        <w:t xml:space="preserve"> </w:t>
      </w:r>
      <w:r w:rsidRPr="00E055CA">
        <w:rPr>
          <w:rFonts w:ascii="Palatino Linotype" w:hAnsi="Palatino Linotype"/>
          <w:b/>
          <w:szCs w:val="24"/>
          <w:u w:val="single"/>
        </w:rPr>
        <w:t>S</w:t>
      </w:r>
      <w:r w:rsidRPr="00E055CA">
        <w:rPr>
          <w:rFonts w:ascii="Palatino Linotype" w:hAnsi="Palatino Linotype"/>
          <w:szCs w:val="24"/>
        </w:rPr>
        <w:t xml:space="preserve"> </w:t>
      </w:r>
      <w:r w:rsidRPr="00E055CA">
        <w:rPr>
          <w:rFonts w:ascii="Palatino Linotype" w:hAnsi="Palatino Linotype"/>
          <w:b/>
          <w:szCs w:val="24"/>
          <w:u w:val="single"/>
        </w:rPr>
        <w:t>O</w:t>
      </w:r>
      <w:r w:rsidRPr="00E055CA">
        <w:rPr>
          <w:rFonts w:ascii="Palatino Linotype" w:hAnsi="Palatino Linotype"/>
          <w:szCs w:val="24"/>
        </w:rPr>
        <w:t xml:space="preserve"> </w:t>
      </w:r>
      <w:r w:rsidRPr="00E055CA">
        <w:rPr>
          <w:rFonts w:ascii="Palatino Linotype" w:hAnsi="Palatino Linotype"/>
          <w:b/>
          <w:szCs w:val="24"/>
          <w:u w:val="single"/>
        </w:rPr>
        <w:t>L</w:t>
      </w:r>
      <w:r w:rsidRPr="00E055CA">
        <w:rPr>
          <w:rFonts w:ascii="Palatino Linotype" w:hAnsi="Palatino Linotype"/>
          <w:szCs w:val="24"/>
        </w:rPr>
        <w:t xml:space="preserve"> </w:t>
      </w:r>
      <w:r w:rsidRPr="00E055CA">
        <w:rPr>
          <w:rFonts w:ascii="Palatino Linotype" w:hAnsi="Palatino Linotype"/>
          <w:b/>
          <w:szCs w:val="24"/>
          <w:u w:val="single"/>
        </w:rPr>
        <w:t>U</w:t>
      </w:r>
      <w:r w:rsidRPr="00E055CA">
        <w:rPr>
          <w:rFonts w:ascii="Palatino Linotype" w:hAnsi="Palatino Linotype"/>
          <w:szCs w:val="24"/>
        </w:rPr>
        <w:t xml:space="preserve"> </w:t>
      </w:r>
      <w:r w:rsidRPr="00E055CA">
        <w:rPr>
          <w:rFonts w:ascii="Palatino Linotype" w:hAnsi="Palatino Linotype"/>
          <w:b/>
          <w:szCs w:val="24"/>
          <w:u w:val="single"/>
        </w:rPr>
        <w:t>T</w:t>
      </w:r>
      <w:r w:rsidRPr="00E055CA">
        <w:rPr>
          <w:rFonts w:ascii="Palatino Linotype" w:hAnsi="Palatino Linotype"/>
          <w:szCs w:val="24"/>
        </w:rPr>
        <w:t xml:space="preserve"> </w:t>
      </w:r>
      <w:r w:rsidRPr="00E055CA">
        <w:rPr>
          <w:rFonts w:ascii="Palatino Linotype" w:hAnsi="Palatino Linotype"/>
          <w:b/>
          <w:szCs w:val="24"/>
          <w:u w:val="single"/>
        </w:rPr>
        <w:t>I</w:t>
      </w:r>
      <w:r w:rsidRPr="00E055CA">
        <w:rPr>
          <w:rFonts w:ascii="Palatino Linotype" w:hAnsi="Palatino Linotype"/>
          <w:szCs w:val="24"/>
        </w:rPr>
        <w:t xml:space="preserve"> </w:t>
      </w:r>
      <w:r w:rsidRPr="00E055CA">
        <w:rPr>
          <w:rFonts w:ascii="Palatino Linotype" w:hAnsi="Palatino Linotype"/>
          <w:b/>
          <w:szCs w:val="24"/>
          <w:u w:val="single"/>
        </w:rPr>
        <w:t>O</w:t>
      </w:r>
      <w:r w:rsidRPr="00E055CA">
        <w:rPr>
          <w:rFonts w:ascii="Palatino Linotype" w:hAnsi="Palatino Linotype"/>
          <w:szCs w:val="24"/>
        </w:rPr>
        <w:t xml:space="preserve"> </w:t>
      </w:r>
      <w:r w:rsidRPr="00E055CA">
        <w:rPr>
          <w:rFonts w:ascii="Palatino Linotype" w:hAnsi="Palatino Linotype"/>
          <w:b/>
          <w:szCs w:val="24"/>
          <w:u w:val="single"/>
        </w:rPr>
        <w:t>N</w:t>
      </w:r>
    </w:p>
    <w:p w14:paraId="55944870" w14:textId="77777777" w:rsidR="00B221EE" w:rsidRPr="00E055CA" w:rsidRDefault="00B221EE" w:rsidP="00D23E2A">
      <w:pPr>
        <w:tabs>
          <w:tab w:val="left" w:pos="6075"/>
        </w:tabs>
        <w:rPr>
          <w:rFonts w:ascii="Palatino Linotype" w:hAnsi="Palatino Linotype"/>
          <w:szCs w:val="24"/>
        </w:rPr>
      </w:pPr>
      <w:r w:rsidRPr="00E055CA">
        <w:rPr>
          <w:rFonts w:ascii="Palatino Linotype" w:hAnsi="Palatino Linotype"/>
          <w:szCs w:val="24"/>
        </w:rPr>
        <w:tab/>
      </w:r>
    </w:p>
    <w:p w14:paraId="34ABC85B" w14:textId="296942E4" w:rsidR="00B221EE" w:rsidRPr="00E055CA" w:rsidRDefault="00B221EE" w:rsidP="00374453">
      <w:pPr>
        <w:pStyle w:val="BlockText"/>
        <w:ind w:left="810" w:right="720"/>
        <w:rPr>
          <w:rFonts w:ascii="Palatino Linotype" w:hAnsi="Palatino Linotype"/>
          <w:szCs w:val="24"/>
        </w:rPr>
      </w:pPr>
      <w:proofErr w:type="gramStart"/>
      <w:r w:rsidRPr="00E055CA">
        <w:rPr>
          <w:rFonts w:ascii="Palatino Linotype" w:hAnsi="Palatino Linotype"/>
          <w:szCs w:val="24"/>
        </w:rPr>
        <w:t>Resolution T-</w:t>
      </w:r>
      <w:bookmarkStart w:id="0" w:name="OLE_LINK6"/>
      <w:bookmarkStart w:id="1" w:name="OLE_LINK7"/>
      <w:r w:rsidR="00C80771">
        <w:rPr>
          <w:rFonts w:ascii="Palatino Linotype" w:hAnsi="Palatino Linotype"/>
          <w:szCs w:val="24"/>
        </w:rPr>
        <w:t>17620</w:t>
      </w:r>
      <w:r w:rsidRPr="00E055CA">
        <w:rPr>
          <w:rFonts w:ascii="Palatino Linotype" w:hAnsi="Palatino Linotype"/>
          <w:szCs w:val="24"/>
        </w:rPr>
        <w:t>.</w:t>
      </w:r>
      <w:proofErr w:type="gramEnd"/>
      <w:r w:rsidRPr="00E055CA">
        <w:rPr>
          <w:rFonts w:ascii="Palatino Linotype" w:hAnsi="Palatino Linotype"/>
          <w:szCs w:val="24"/>
        </w:rPr>
        <w:t xml:space="preserve">   </w:t>
      </w:r>
      <w:bookmarkStart w:id="2" w:name="OLE_LINK8"/>
      <w:bookmarkStart w:id="3" w:name="OLE_LINK11"/>
      <w:r w:rsidR="00945E84">
        <w:rPr>
          <w:rFonts w:ascii="Palatino Linotype" w:hAnsi="Palatino Linotype"/>
          <w:szCs w:val="24"/>
        </w:rPr>
        <w:t>Reinstatement of</w:t>
      </w:r>
      <w:r w:rsidR="00B362FD" w:rsidRPr="00E055CA">
        <w:rPr>
          <w:rFonts w:ascii="Palatino Linotype" w:hAnsi="Palatino Linotype"/>
          <w:szCs w:val="24"/>
        </w:rPr>
        <w:t xml:space="preserve"> Operating </w:t>
      </w:r>
      <w:r w:rsidR="00C37E60" w:rsidRPr="00E055CA">
        <w:rPr>
          <w:rFonts w:ascii="Palatino Linotype" w:hAnsi="Palatino Linotype"/>
          <w:szCs w:val="24"/>
        </w:rPr>
        <w:t>Authorit</w:t>
      </w:r>
      <w:r w:rsidR="00C37E60">
        <w:rPr>
          <w:rFonts w:ascii="Palatino Linotype" w:hAnsi="Palatino Linotype"/>
          <w:szCs w:val="24"/>
        </w:rPr>
        <w:t>ies</w:t>
      </w:r>
      <w:r w:rsidR="00C37E60" w:rsidRPr="00E055CA">
        <w:rPr>
          <w:rFonts w:ascii="Palatino Linotype" w:hAnsi="Palatino Linotype"/>
          <w:szCs w:val="24"/>
        </w:rPr>
        <w:t xml:space="preserve"> </w:t>
      </w:r>
      <w:r w:rsidR="00B362FD" w:rsidRPr="00E055CA">
        <w:rPr>
          <w:rFonts w:ascii="Palatino Linotype" w:hAnsi="Palatino Linotype"/>
          <w:szCs w:val="24"/>
        </w:rPr>
        <w:t xml:space="preserve">of </w:t>
      </w:r>
      <w:proofErr w:type="spellStart"/>
      <w:r w:rsidR="001A28A4">
        <w:rPr>
          <w:rFonts w:ascii="Palatino Linotype" w:hAnsi="Palatino Linotype"/>
          <w:szCs w:val="24"/>
        </w:rPr>
        <w:t>Entelegent</w:t>
      </w:r>
      <w:proofErr w:type="spellEnd"/>
      <w:r w:rsidR="001A28A4">
        <w:rPr>
          <w:rFonts w:ascii="Palatino Linotype" w:hAnsi="Palatino Linotype"/>
          <w:szCs w:val="24"/>
        </w:rPr>
        <w:t xml:space="preserve"> So</w:t>
      </w:r>
      <w:r w:rsidR="0093486C">
        <w:rPr>
          <w:rFonts w:ascii="Palatino Linotype" w:hAnsi="Palatino Linotype"/>
          <w:szCs w:val="24"/>
        </w:rPr>
        <w:t>lu</w:t>
      </w:r>
      <w:r w:rsidR="001A28A4">
        <w:rPr>
          <w:rFonts w:ascii="Palatino Linotype" w:hAnsi="Palatino Linotype"/>
          <w:szCs w:val="24"/>
        </w:rPr>
        <w:t xml:space="preserve">tions, Inc. (U-7151-C), </w:t>
      </w:r>
      <w:proofErr w:type="spellStart"/>
      <w:r w:rsidR="001A28A4">
        <w:rPr>
          <w:rFonts w:ascii="Palatino Linotype" w:hAnsi="Palatino Linotype"/>
          <w:szCs w:val="24"/>
        </w:rPr>
        <w:t>Comtech</w:t>
      </w:r>
      <w:proofErr w:type="spellEnd"/>
      <w:r w:rsidR="001A28A4">
        <w:rPr>
          <w:rFonts w:ascii="Palatino Linotype" w:hAnsi="Palatino Linotype"/>
          <w:szCs w:val="24"/>
        </w:rPr>
        <w:t xml:space="preserve"> 21, LLC (U-6469-C), and</w:t>
      </w:r>
      <w:r w:rsidR="00AD486F">
        <w:rPr>
          <w:rFonts w:ascii="Palatino Linotype" w:hAnsi="Palatino Linotype"/>
          <w:szCs w:val="24"/>
        </w:rPr>
        <w:t xml:space="preserve"> Communications Brokers &amp; Consultants (U-5456-C)</w:t>
      </w:r>
      <w:bookmarkEnd w:id="0"/>
      <w:bookmarkEnd w:id="1"/>
      <w:bookmarkEnd w:id="2"/>
      <w:bookmarkEnd w:id="3"/>
    </w:p>
    <w:p w14:paraId="3D321277" w14:textId="77777777" w:rsidR="00B221EE" w:rsidRPr="00E055CA" w:rsidRDefault="00B221EE">
      <w:pPr>
        <w:ind w:left="720" w:right="720"/>
        <w:rPr>
          <w:rFonts w:ascii="Palatino Linotype" w:hAnsi="Palatino Linotype"/>
          <w:szCs w:val="24"/>
        </w:rPr>
      </w:pPr>
      <w:r w:rsidRPr="00E055CA">
        <w:rPr>
          <w:rFonts w:ascii="Palatino Linotype" w:hAnsi="Palatino Linotype"/>
          <w:szCs w:val="24"/>
        </w:rPr>
        <w:t>_________________________________________________________________</w:t>
      </w:r>
    </w:p>
    <w:p w14:paraId="44FB3D0A" w14:textId="77777777" w:rsidR="00B221EE" w:rsidRPr="00E055CA" w:rsidRDefault="00B221EE">
      <w:pPr>
        <w:rPr>
          <w:rFonts w:ascii="Palatino Linotype" w:hAnsi="Palatino Linotype"/>
          <w:szCs w:val="24"/>
        </w:rPr>
      </w:pPr>
    </w:p>
    <w:p w14:paraId="7561925B" w14:textId="77777777" w:rsidR="00B221EE" w:rsidRPr="00E055CA" w:rsidRDefault="00B221EE">
      <w:pPr>
        <w:pStyle w:val="Heading1"/>
        <w:numPr>
          <w:ilvl w:val="0"/>
          <w:numId w:val="0"/>
        </w:numPr>
        <w:spacing w:before="0" w:after="0"/>
        <w:rPr>
          <w:rFonts w:ascii="Palatino Linotype" w:hAnsi="Palatino Linotype"/>
          <w:szCs w:val="24"/>
          <w:u w:val="single"/>
        </w:rPr>
      </w:pPr>
      <w:r w:rsidRPr="00E055CA">
        <w:rPr>
          <w:rFonts w:ascii="Palatino Linotype" w:hAnsi="Palatino Linotype"/>
          <w:szCs w:val="24"/>
          <w:u w:val="single"/>
        </w:rPr>
        <w:t>SUMMARY</w:t>
      </w:r>
    </w:p>
    <w:p w14:paraId="27E2C501" w14:textId="3432E008" w:rsidR="005948B3" w:rsidRDefault="005948B3" w:rsidP="00F64A86">
      <w:pPr>
        <w:rPr>
          <w:rFonts w:ascii="Palatino Linotype" w:hAnsi="Palatino Linotype"/>
          <w:szCs w:val="24"/>
        </w:rPr>
      </w:pPr>
    </w:p>
    <w:p w14:paraId="36033817" w14:textId="2F6D81EF" w:rsidR="00F379D9" w:rsidRDefault="005948B3" w:rsidP="005948B3">
      <w:pPr>
        <w:rPr>
          <w:rFonts w:ascii="Palatino Linotype" w:hAnsi="Palatino Linotype"/>
          <w:szCs w:val="24"/>
        </w:rPr>
      </w:pPr>
      <w:r w:rsidRPr="00E055CA">
        <w:rPr>
          <w:rFonts w:ascii="Palatino Linotype" w:hAnsi="Palatino Linotype"/>
          <w:szCs w:val="24"/>
        </w:rPr>
        <w:t xml:space="preserve">This Resolution </w:t>
      </w:r>
      <w:r>
        <w:rPr>
          <w:rFonts w:ascii="Palatino Linotype" w:hAnsi="Palatino Linotype"/>
          <w:szCs w:val="24"/>
        </w:rPr>
        <w:t>reinstates the Certificate</w:t>
      </w:r>
      <w:r w:rsidR="00F379D9">
        <w:rPr>
          <w:rFonts w:ascii="Palatino Linotype" w:hAnsi="Palatino Linotype"/>
          <w:szCs w:val="24"/>
        </w:rPr>
        <w:t>s</w:t>
      </w:r>
      <w:r>
        <w:rPr>
          <w:rFonts w:ascii="Palatino Linotype" w:hAnsi="Palatino Linotype"/>
          <w:szCs w:val="24"/>
        </w:rPr>
        <w:t xml:space="preserve"> of Public Convenience Necessity (CPCN)</w:t>
      </w:r>
      <w:r w:rsidRPr="005948B3">
        <w:rPr>
          <w:rFonts w:ascii="Palatino Linotype" w:hAnsi="Palatino Linotype"/>
          <w:szCs w:val="24"/>
        </w:rPr>
        <w:t xml:space="preserve"> </w:t>
      </w:r>
      <w:r>
        <w:rPr>
          <w:rFonts w:ascii="Palatino Linotype" w:hAnsi="Palatino Linotype"/>
          <w:szCs w:val="24"/>
        </w:rPr>
        <w:t>and/or registration license</w:t>
      </w:r>
      <w:r w:rsidR="00F379D9">
        <w:rPr>
          <w:rFonts w:ascii="Palatino Linotype" w:hAnsi="Palatino Linotype"/>
          <w:szCs w:val="24"/>
        </w:rPr>
        <w:t>s</w:t>
      </w:r>
      <w:r>
        <w:rPr>
          <w:rFonts w:ascii="Palatino Linotype" w:hAnsi="Palatino Linotype"/>
          <w:szCs w:val="24"/>
        </w:rPr>
        <w:t xml:space="preserve"> held by</w:t>
      </w:r>
      <w:r w:rsidRPr="00E055CA">
        <w:rPr>
          <w:rFonts w:ascii="Palatino Linotype" w:hAnsi="Palatino Linotype"/>
          <w:szCs w:val="24"/>
        </w:rPr>
        <w:t xml:space="preserve"> </w:t>
      </w:r>
      <w:r w:rsidR="00A12C3A">
        <w:rPr>
          <w:rFonts w:ascii="Palatino Linotype" w:hAnsi="Palatino Linotype"/>
          <w:szCs w:val="24"/>
        </w:rPr>
        <w:t>three (</w:t>
      </w:r>
      <w:r w:rsidR="00934D96">
        <w:rPr>
          <w:rFonts w:ascii="Palatino Linotype" w:hAnsi="Palatino Linotype"/>
          <w:szCs w:val="24"/>
        </w:rPr>
        <w:t>3</w:t>
      </w:r>
      <w:r w:rsidR="00A12C3A">
        <w:rPr>
          <w:rFonts w:ascii="Palatino Linotype" w:hAnsi="Palatino Linotype"/>
          <w:szCs w:val="24"/>
        </w:rPr>
        <w:t>)</w:t>
      </w:r>
      <w:r w:rsidRPr="00E055CA">
        <w:rPr>
          <w:rFonts w:ascii="Palatino Linotype" w:hAnsi="Palatino Linotype"/>
          <w:szCs w:val="24"/>
        </w:rPr>
        <w:t xml:space="preserve"> </w:t>
      </w:r>
      <w:proofErr w:type="spellStart"/>
      <w:r w:rsidRPr="00E055CA">
        <w:rPr>
          <w:rFonts w:ascii="Palatino Linotype" w:hAnsi="Palatino Linotype"/>
          <w:szCs w:val="24"/>
        </w:rPr>
        <w:t>wireline</w:t>
      </w:r>
      <w:proofErr w:type="spellEnd"/>
      <w:r w:rsidRPr="00E055CA">
        <w:rPr>
          <w:rFonts w:ascii="Palatino Linotype" w:hAnsi="Palatino Linotype"/>
          <w:szCs w:val="24"/>
        </w:rPr>
        <w:t xml:space="preserve"> telephone corporations</w:t>
      </w:r>
      <w:r w:rsidR="00C37E60">
        <w:rPr>
          <w:rFonts w:ascii="Palatino Linotype" w:hAnsi="Palatino Linotype"/>
          <w:szCs w:val="24"/>
        </w:rPr>
        <w:t xml:space="preserve">, </w:t>
      </w:r>
      <w:proofErr w:type="spellStart"/>
      <w:r w:rsidR="00934D96">
        <w:rPr>
          <w:rFonts w:ascii="Palatino Linotype" w:hAnsi="Palatino Linotype"/>
          <w:szCs w:val="24"/>
        </w:rPr>
        <w:t>Entelegent</w:t>
      </w:r>
      <w:proofErr w:type="spellEnd"/>
      <w:r w:rsidR="00934D96">
        <w:rPr>
          <w:rFonts w:ascii="Palatino Linotype" w:hAnsi="Palatino Linotype"/>
          <w:szCs w:val="24"/>
        </w:rPr>
        <w:t xml:space="preserve"> Solutions, Inc. (U-7151-C), </w:t>
      </w:r>
      <w:proofErr w:type="spellStart"/>
      <w:r w:rsidR="00934D96">
        <w:rPr>
          <w:rFonts w:ascii="Palatino Linotype" w:hAnsi="Palatino Linotype"/>
          <w:szCs w:val="24"/>
        </w:rPr>
        <w:t>Comtech</w:t>
      </w:r>
      <w:proofErr w:type="spellEnd"/>
      <w:r w:rsidR="00934D96">
        <w:rPr>
          <w:rFonts w:ascii="Palatino Linotype" w:hAnsi="Palatino Linotype"/>
          <w:szCs w:val="24"/>
        </w:rPr>
        <w:t xml:space="preserve"> 21, LLC (U-6469-C), and Communications Brokers &amp; Consultants (U-5456-C)</w:t>
      </w:r>
      <w:r w:rsidR="00E546BE">
        <w:rPr>
          <w:rFonts w:ascii="Palatino Linotype" w:hAnsi="Palatino Linotype"/>
          <w:szCs w:val="24"/>
        </w:rPr>
        <w:t>,</w:t>
      </w:r>
      <w:r w:rsidRPr="00E055CA">
        <w:rPr>
          <w:rFonts w:ascii="Palatino Linotype" w:hAnsi="Palatino Linotype"/>
          <w:szCs w:val="24"/>
        </w:rPr>
        <w:t xml:space="preserve"> </w:t>
      </w:r>
      <w:r>
        <w:rPr>
          <w:rFonts w:ascii="Palatino Linotype" w:hAnsi="Palatino Linotype"/>
          <w:szCs w:val="24"/>
        </w:rPr>
        <w:t xml:space="preserve">which </w:t>
      </w:r>
      <w:proofErr w:type="gramStart"/>
      <w:r>
        <w:rPr>
          <w:rFonts w:ascii="Palatino Linotype" w:hAnsi="Palatino Linotype"/>
          <w:szCs w:val="24"/>
        </w:rPr>
        <w:t>were revoked</w:t>
      </w:r>
      <w:proofErr w:type="gramEnd"/>
      <w:r>
        <w:rPr>
          <w:rFonts w:ascii="Palatino Linotype" w:hAnsi="Palatino Linotype"/>
          <w:szCs w:val="24"/>
        </w:rPr>
        <w:t xml:space="preserve"> pursuant to the provisions of Resolution T-17597.</w:t>
      </w:r>
      <w:r w:rsidR="00C37E60">
        <w:rPr>
          <w:rFonts w:ascii="Palatino Linotype" w:hAnsi="Palatino Linotype"/>
          <w:szCs w:val="24"/>
        </w:rPr>
        <w:t xml:space="preserve">  </w:t>
      </w:r>
    </w:p>
    <w:p w14:paraId="0FB95E34" w14:textId="77777777" w:rsidR="005948B3" w:rsidRPr="00E055CA" w:rsidRDefault="005948B3" w:rsidP="00F64A86">
      <w:pPr>
        <w:rPr>
          <w:rFonts w:ascii="Palatino Linotype" w:hAnsi="Palatino Linotype"/>
          <w:szCs w:val="24"/>
        </w:rPr>
      </w:pPr>
    </w:p>
    <w:p w14:paraId="6DCDB07D" w14:textId="76A72367" w:rsidR="00070EDA" w:rsidRPr="00E055CA" w:rsidRDefault="00B221EE" w:rsidP="009246D7">
      <w:pPr>
        <w:pStyle w:val="Heading1"/>
        <w:numPr>
          <w:ilvl w:val="0"/>
          <w:numId w:val="0"/>
        </w:numPr>
        <w:spacing w:before="0" w:after="0"/>
        <w:rPr>
          <w:rFonts w:ascii="Palatino Linotype" w:hAnsi="Palatino Linotype"/>
          <w:szCs w:val="24"/>
        </w:rPr>
      </w:pPr>
      <w:r w:rsidRPr="00E055CA">
        <w:rPr>
          <w:rFonts w:ascii="Palatino Linotype" w:hAnsi="Palatino Linotype"/>
          <w:szCs w:val="24"/>
          <w:u w:val="single"/>
        </w:rPr>
        <w:t>BACKGROUND</w:t>
      </w:r>
    </w:p>
    <w:p w14:paraId="06F8A399" w14:textId="77777777" w:rsidR="00070EDA" w:rsidRPr="00E055CA" w:rsidRDefault="00070EDA" w:rsidP="00403B96">
      <w:pPr>
        <w:pStyle w:val="Default"/>
        <w:rPr>
          <w:rFonts w:ascii="Palatino Linotype" w:hAnsi="Palatino Linotype"/>
        </w:rPr>
      </w:pPr>
    </w:p>
    <w:p w14:paraId="1EC95D3D" w14:textId="2F9F1391" w:rsidR="00880BAA" w:rsidRDefault="00880BAA" w:rsidP="00880BAA">
      <w:pPr>
        <w:rPr>
          <w:rFonts w:ascii="Palatino Linotype" w:hAnsi="Palatino Linotype"/>
          <w:szCs w:val="24"/>
        </w:rPr>
      </w:pPr>
      <w:proofErr w:type="gramStart"/>
      <w:r>
        <w:rPr>
          <w:rFonts w:ascii="Palatino Linotype" w:hAnsi="Palatino Linotype"/>
          <w:szCs w:val="24"/>
        </w:rPr>
        <w:t xml:space="preserve">On March 22, 2018, the Commission adopted Resolution T-17597 which imposed fines on </w:t>
      </w:r>
      <w:proofErr w:type="spellStart"/>
      <w:r>
        <w:rPr>
          <w:rFonts w:ascii="Palatino Linotype" w:hAnsi="Palatino Linotype"/>
          <w:szCs w:val="24"/>
        </w:rPr>
        <w:t>wireline</w:t>
      </w:r>
      <w:proofErr w:type="spellEnd"/>
      <w:r>
        <w:rPr>
          <w:rFonts w:ascii="Palatino Linotype" w:hAnsi="Palatino Linotype"/>
          <w:szCs w:val="24"/>
        </w:rPr>
        <w:t xml:space="preserve"> telephone corporations in the amount of $1,000 per violation for failing to comply with one or more of the following </w:t>
      </w:r>
      <w:r w:rsidRPr="00E055CA">
        <w:rPr>
          <w:rFonts w:ascii="Palatino Linotype" w:hAnsi="Palatino Linotype"/>
          <w:szCs w:val="24"/>
        </w:rPr>
        <w:t xml:space="preserve">California Public Utilities Commission </w:t>
      </w:r>
      <w:r w:rsidR="00180B91">
        <w:rPr>
          <w:rFonts w:ascii="Palatino Linotype" w:hAnsi="Palatino Linotype"/>
          <w:szCs w:val="24"/>
        </w:rPr>
        <w:t xml:space="preserve">(Commission) </w:t>
      </w:r>
      <w:r w:rsidRPr="00E055CA">
        <w:rPr>
          <w:rFonts w:ascii="Palatino Linotype" w:hAnsi="Palatino Linotype"/>
          <w:szCs w:val="24"/>
        </w:rPr>
        <w:t>requirements: a) reporting and remittance of California Public Utilities Reimbursement Account Fee in accordance with Public Utilities Code §</w:t>
      </w:r>
      <w:r w:rsidR="00EF169B" w:rsidRPr="00E055CA">
        <w:rPr>
          <w:rFonts w:ascii="Palatino Linotype" w:hAnsi="Palatino Linotype"/>
          <w:szCs w:val="24"/>
        </w:rPr>
        <w:t>§</w:t>
      </w:r>
      <w:r w:rsidRPr="00E055CA">
        <w:rPr>
          <w:rFonts w:ascii="Palatino Linotype" w:hAnsi="Palatino Linotype"/>
          <w:szCs w:val="24"/>
        </w:rPr>
        <w:t xml:space="preserve"> 401 through 405; b) reporting and remittance of public purpose programs surcharges in compliance with Public Utilities Codes </w:t>
      </w:r>
      <w:r w:rsidR="00C52B85" w:rsidRPr="00E055CA">
        <w:rPr>
          <w:rFonts w:ascii="Palatino Linotype" w:hAnsi="Palatino Linotype"/>
          <w:szCs w:val="24"/>
        </w:rPr>
        <w:t>§</w:t>
      </w:r>
      <w:r w:rsidRPr="00E055CA">
        <w:rPr>
          <w:rFonts w:ascii="Palatino Linotype" w:hAnsi="Palatino Linotype"/>
          <w:szCs w:val="24"/>
        </w:rPr>
        <w:t>§</w:t>
      </w:r>
      <w:r>
        <w:rPr>
          <w:rFonts w:ascii="Palatino Linotype" w:hAnsi="Palatino Linotype"/>
          <w:szCs w:val="24"/>
        </w:rPr>
        <w:t xml:space="preserve"> </w:t>
      </w:r>
      <w:r w:rsidRPr="00E055CA">
        <w:rPr>
          <w:rFonts w:ascii="Palatino Linotype" w:hAnsi="Palatino Linotype"/>
          <w:szCs w:val="24"/>
        </w:rPr>
        <w:t>275 through 278 and General Order 153 paragraph 11; and c) submission of a performance bond as ordered under Decision 10-09-017.</w:t>
      </w:r>
      <w:proofErr w:type="gramEnd"/>
      <w:r w:rsidRPr="00E055CA">
        <w:rPr>
          <w:rFonts w:ascii="Palatino Linotype" w:hAnsi="Palatino Linotype"/>
          <w:szCs w:val="24"/>
        </w:rPr>
        <w:t xml:space="preserve"> </w:t>
      </w:r>
      <w:r>
        <w:rPr>
          <w:rFonts w:ascii="Palatino Linotype" w:hAnsi="Palatino Linotype"/>
          <w:szCs w:val="24"/>
        </w:rPr>
        <w:t>The Resolution subsequently revoke</w:t>
      </w:r>
      <w:r w:rsidR="00C37E60">
        <w:rPr>
          <w:rFonts w:ascii="Palatino Linotype" w:hAnsi="Palatino Linotype"/>
          <w:szCs w:val="24"/>
        </w:rPr>
        <w:t>d</w:t>
      </w:r>
      <w:r>
        <w:rPr>
          <w:rFonts w:ascii="Palatino Linotype" w:hAnsi="Palatino Linotype"/>
          <w:szCs w:val="24"/>
        </w:rPr>
        <w:t xml:space="preserve"> the </w:t>
      </w:r>
      <w:r w:rsidR="00941195">
        <w:rPr>
          <w:rFonts w:ascii="Palatino Linotype" w:hAnsi="Palatino Linotype"/>
          <w:szCs w:val="24"/>
        </w:rPr>
        <w:t>Certificate</w:t>
      </w:r>
      <w:r w:rsidR="00C37E60">
        <w:rPr>
          <w:rFonts w:ascii="Palatino Linotype" w:hAnsi="Palatino Linotype"/>
          <w:szCs w:val="24"/>
        </w:rPr>
        <w:t>s</w:t>
      </w:r>
      <w:r w:rsidR="00941195">
        <w:rPr>
          <w:rFonts w:ascii="Palatino Linotype" w:hAnsi="Palatino Linotype"/>
          <w:szCs w:val="24"/>
        </w:rPr>
        <w:t xml:space="preserve"> of Public Convenience Necessity (CPCN</w:t>
      </w:r>
      <w:r w:rsidR="00E546BE">
        <w:rPr>
          <w:rFonts w:ascii="Palatino Linotype" w:hAnsi="Palatino Linotype"/>
          <w:szCs w:val="24"/>
        </w:rPr>
        <w:t>s</w:t>
      </w:r>
      <w:r w:rsidR="00941195">
        <w:rPr>
          <w:rFonts w:ascii="Palatino Linotype" w:hAnsi="Palatino Linotype"/>
          <w:szCs w:val="24"/>
        </w:rPr>
        <w:t>)</w:t>
      </w:r>
      <w:r w:rsidR="00941195" w:rsidRPr="005948B3">
        <w:rPr>
          <w:rFonts w:ascii="Palatino Linotype" w:hAnsi="Palatino Linotype"/>
          <w:szCs w:val="24"/>
        </w:rPr>
        <w:t xml:space="preserve"> </w:t>
      </w:r>
      <w:r w:rsidR="00941195">
        <w:rPr>
          <w:rFonts w:ascii="Palatino Linotype" w:hAnsi="Palatino Linotype"/>
          <w:szCs w:val="24"/>
        </w:rPr>
        <w:t>and/or registration license</w:t>
      </w:r>
      <w:r w:rsidR="00C37E60">
        <w:rPr>
          <w:rFonts w:ascii="Palatino Linotype" w:hAnsi="Palatino Linotype"/>
          <w:szCs w:val="24"/>
        </w:rPr>
        <w:t>s</w:t>
      </w:r>
      <w:r w:rsidR="00941195">
        <w:rPr>
          <w:rFonts w:ascii="Palatino Linotype" w:hAnsi="Palatino Linotype"/>
          <w:szCs w:val="24"/>
        </w:rPr>
        <w:t xml:space="preserve"> </w:t>
      </w:r>
      <w:r w:rsidR="00395D62">
        <w:rPr>
          <w:rFonts w:ascii="Palatino Linotype" w:hAnsi="Palatino Linotype"/>
          <w:szCs w:val="24"/>
        </w:rPr>
        <w:t>of carriers who</w:t>
      </w:r>
      <w:r>
        <w:rPr>
          <w:rFonts w:ascii="Palatino Linotype" w:hAnsi="Palatino Linotype"/>
          <w:szCs w:val="24"/>
        </w:rPr>
        <w:t xml:space="preserve"> </w:t>
      </w:r>
      <w:r w:rsidR="00EF169B">
        <w:rPr>
          <w:rFonts w:ascii="Palatino Linotype" w:hAnsi="Palatino Linotype"/>
          <w:szCs w:val="24"/>
        </w:rPr>
        <w:t xml:space="preserve">had </w:t>
      </w:r>
      <w:r>
        <w:rPr>
          <w:rFonts w:ascii="Palatino Linotype" w:hAnsi="Palatino Linotype"/>
          <w:szCs w:val="24"/>
        </w:rPr>
        <w:t>failed to comply with the requirements and</w:t>
      </w:r>
      <w:r w:rsidR="00EF169B">
        <w:rPr>
          <w:rFonts w:ascii="Palatino Linotype" w:hAnsi="Palatino Linotype"/>
          <w:szCs w:val="24"/>
        </w:rPr>
        <w:t>/or</w:t>
      </w:r>
      <w:r>
        <w:rPr>
          <w:rFonts w:ascii="Palatino Linotype" w:hAnsi="Palatino Linotype"/>
          <w:szCs w:val="24"/>
        </w:rPr>
        <w:t xml:space="preserve"> pay the fine within 30 days. </w:t>
      </w:r>
    </w:p>
    <w:p w14:paraId="507B1392" w14:textId="1CAAA81A" w:rsidR="00880BAA" w:rsidRDefault="00880BAA" w:rsidP="00880BAA">
      <w:pPr>
        <w:rPr>
          <w:rFonts w:ascii="Palatino Linotype" w:hAnsi="Palatino Linotype"/>
          <w:szCs w:val="24"/>
        </w:rPr>
      </w:pPr>
    </w:p>
    <w:p w14:paraId="59FF9BAD" w14:textId="01D593F8" w:rsidR="00880BAA" w:rsidRPr="00663F29" w:rsidRDefault="00F748AC" w:rsidP="00F748AC">
      <w:pPr>
        <w:rPr>
          <w:rFonts w:ascii="Palatino Linotype" w:hAnsi="Palatino Linotype"/>
          <w:szCs w:val="24"/>
        </w:rPr>
      </w:pPr>
      <w:r>
        <w:rPr>
          <w:rFonts w:ascii="Palatino Linotype" w:hAnsi="Palatino Linotype"/>
          <w:szCs w:val="24"/>
        </w:rPr>
        <w:t>On February 20, 2018, the Commission e-mailed t</w:t>
      </w:r>
      <w:r w:rsidR="00880BAA">
        <w:rPr>
          <w:rFonts w:ascii="Palatino Linotype" w:hAnsi="Palatino Linotype"/>
          <w:szCs w:val="24"/>
        </w:rPr>
        <w:t>he Notice of Availability to all</w:t>
      </w:r>
      <w:r w:rsidR="00830D59">
        <w:rPr>
          <w:rFonts w:ascii="Palatino Linotype" w:hAnsi="Palatino Linotype"/>
          <w:szCs w:val="24"/>
        </w:rPr>
        <w:t xml:space="preserve"> telecommunications carriers</w:t>
      </w:r>
      <w:r>
        <w:rPr>
          <w:rFonts w:ascii="Palatino Linotype" w:hAnsi="Palatino Linotype"/>
          <w:szCs w:val="24"/>
        </w:rPr>
        <w:t xml:space="preserve"> informing these parties that the draft of Resolution T-17597 was available for public comments. Notice of the carrier names listed on this Resolution also appeared on the </w:t>
      </w:r>
      <w:r w:rsidR="00C52B85">
        <w:rPr>
          <w:rFonts w:ascii="Palatino Linotype" w:hAnsi="Palatino Linotype"/>
          <w:szCs w:val="24"/>
        </w:rPr>
        <w:t>Commission’s</w:t>
      </w:r>
      <w:r>
        <w:rPr>
          <w:rFonts w:ascii="Palatino Linotype" w:hAnsi="Palatino Linotype"/>
          <w:szCs w:val="24"/>
        </w:rPr>
        <w:t xml:space="preserve"> Daily Calendar for 30 days. </w:t>
      </w:r>
      <w:r w:rsidR="00395D62">
        <w:rPr>
          <w:rFonts w:ascii="Palatino Linotype" w:hAnsi="Palatino Linotype"/>
          <w:szCs w:val="24"/>
        </w:rPr>
        <w:t>Staff</w:t>
      </w:r>
      <w:r>
        <w:rPr>
          <w:rFonts w:ascii="Palatino Linotype" w:hAnsi="Palatino Linotype"/>
          <w:szCs w:val="24"/>
        </w:rPr>
        <w:t xml:space="preserve"> invited the</w:t>
      </w:r>
      <w:r w:rsidR="00395D62">
        <w:rPr>
          <w:rFonts w:ascii="Palatino Linotype" w:hAnsi="Palatino Linotype"/>
          <w:szCs w:val="24"/>
        </w:rPr>
        <w:t xml:space="preserve"> interested parties to contact S</w:t>
      </w:r>
      <w:r>
        <w:rPr>
          <w:rFonts w:ascii="Palatino Linotype" w:hAnsi="Palatino Linotype"/>
          <w:szCs w:val="24"/>
        </w:rPr>
        <w:t>taff with questions</w:t>
      </w:r>
      <w:r w:rsidR="00395D62">
        <w:rPr>
          <w:rFonts w:ascii="Palatino Linotype" w:hAnsi="Palatino Linotype"/>
          <w:szCs w:val="24"/>
        </w:rPr>
        <w:t xml:space="preserve"> or written comments on the draft</w:t>
      </w:r>
      <w:r>
        <w:rPr>
          <w:rFonts w:ascii="Palatino Linotype" w:hAnsi="Palatino Linotype"/>
          <w:szCs w:val="24"/>
        </w:rPr>
        <w:t xml:space="preserve"> Resolution. Subsequently, after the Draft Resolution T-</w:t>
      </w:r>
      <w:r w:rsidR="00197CDB">
        <w:rPr>
          <w:rFonts w:ascii="Palatino Linotype" w:hAnsi="Palatino Linotype"/>
          <w:szCs w:val="24"/>
        </w:rPr>
        <w:t xml:space="preserve">17597 </w:t>
      </w:r>
      <w:proofErr w:type="gramStart"/>
      <w:r>
        <w:rPr>
          <w:rFonts w:ascii="Palatino Linotype" w:hAnsi="Palatino Linotype"/>
          <w:szCs w:val="24"/>
        </w:rPr>
        <w:t>was published</w:t>
      </w:r>
      <w:proofErr w:type="gramEnd"/>
      <w:r>
        <w:rPr>
          <w:rFonts w:ascii="Palatino Linotype" w:hAnsi="Palatino Linotype"/>
          <w:szCs w:val="24"/>
        </w:rPr>
        <w:t xml:space="preserve">, </w:t>
      </w:r>
      <w:r w:rsidR="007E69BF">
        <w:rPr>
          <w:rFonts w:ascii="Palatino Linotype" w:hAnsi="Palatino Linotype"/>
          <w:szCs w:val="24"/>
        </w:rPr>
        <w:t xml:space="preserve">some </w:t>
      </w:r>
      <w:r w:rsidR="007E69BF">
        <w:rPr>
          <w:rFonts w:ascii="Palatino Linotype" w:hAnsi="Palatino Linotype"/>
          <w:szCs w:val="24"/>
        </w:rPr>
        <w:lastRenderedPageBreak/>
        <w:t xml:space="preserve">carriers resolved their </w:t>
      </w:r>
      <w:r w:rsidR="00F227CC">
        <w:rPr>
          <w:rFonts w:ascii="Palatino Linotype" w:hAnsi="Palatino Linotype"/>
          <w:szCs w:val="24"/>
        </w:rPr>
        <w:t xml:space="preserve">non-compliance issue by reporting and remitting user fees, reporting and remitting surcharges, </w:t>
      </w:r>
      <w:r w:rsidR="001A28A4">
        <w:rPr>
          <w:rFonts w:ascii="Palatino Linotype" w:hAnsi="Palatino Linotype"/>
          <w:szCs w:val="24"/>
        </w:rPr>
        <w:t>and/</w:t>
      </w:r>
      <w:r w:rsidR="00F227CC">
        <w:rPr>
          <w:rFonts w:ascii="Palatino Linotype" w:hAnsi="Palatino Linotype"/>
          <w:szCs w:val="24"/>
        </w:rPr>
        <w:t xml:space="preserve">or submitting </w:t>
      </w:r>
      <w:r w:rsidR="007E69BF">
        <w:rPr>
          <w:rFonts w:ascii="Palatino Linotype" w:hAnsi="Palatino Linotype"/>
          <w:szCs w:val="24"/>
        </w:rPr>
        <w:t>a</w:t>
      </w:r>
      <w:r w:rsidR="00F227CC">
        <w:rPr>
          <w:rFonts w:ascii="Palatino Linotype" w:hAnsi="Palatino Linotype"/>
          <w:szCs w:val="24"/>
        </w:rPr>
        <w:t xml:space="preserve"> performance bond.  However, these companies failed to pay the $1,000 fine</w:t>
      </w:r>
      <w:r w:rsidR="001A28A4">
        <w:rPr>
          <w:rFonts w:ascii="Palatino Linotype" w:hAnsi="Palatino Linotype"/>
          <w:szCs w:val="24"/>
        </w:rPr>
        <w:t xml:space="preserve"> per violation</w:t>
      </w:r>
      <w:r w:rsidR="00F227CC">
        <w:rPr>
          <w:rFonts w:ascii="Palatino Linotype" w:hAnsi="Palatino Linotype"/>
          <w:szCs w:val="24"/>
        </w:rPr>
        <w:t xml:space="preserve"> with</w:t>
      </w:r>
      <w:r w:rsidR="00395D62">
        <w:rPr>
          <w:rFonts w:ascii="Palatino Linotype" w:hAnsi="Palatino Linotype"/>
          <w:szCs w:val="24"/>
        </w:rPr>
        <w:t>in 30 days after the effective date</w:t>
      </w:r>
      <w:r w:rsidR="00F227CC">
        <w:rPr>
          <w:rFonts w:ascii="Palatino Linotype" w:hAnsi="Palatino Linotype"/>
          <w:szCs w:val="24"/>
        </w:rPr>
        <w:t xml:space="preserve"> of Resolution T-17</w:t>
      </w:r>
      <w:r w:rsidR="00197CDB">
        <w:rPr>
          <w:rFonts w:ascii="Palatino Linotype" w:hAnsi="Palatino Linotype"/>
          <w:szCs w:val="24"/>
        </w:rPr>
        <w:t>597</w:t>
      </w:r>
      <w:r w:rsidR="00EF169B">
        <w:rPr>
          <w:rFonts w:ascii="Palatino Linotype" w:hAnsi="Palatino Linotype"/>
          <w:szCs w:val="24"/>
        </w:rPr>
        <w:t xml:space="preserve"> (April 26, 2018)</w:t>
      </w:r>
      <w:r w:rsidR="00395D62">
        <w:rPr>
          <w:rFonts w:ascii="Palatino Linotype" w:hAnsi="Palatino Linotype"/>
          <w:szCs w:val="24"/>
        </w:rPr>
        <w:t xml:space="preserve">. </w:t>
      </w:r>
      <w:r w:rsidR="00F227CC">
        <w:rPr>
          <w:rFonts w:ascii="Palatino Linotype" w:hAnsi="Palatino Linotype"/>
          <w:szCs w:val="24"/>
        </w:rPr>
        <w:t xml:space="preserve">Thus, </w:t>
      </w:r>
      <w:r w:rsidR="00EF169B" w:rsidRPr="00663F29">
        <w:rPr>
          <w:rFonts w:ascii="Palatino Linotype" w:hAnsi="Palatino Linotype"/>
          <w:szCs w:val="24"/>
        </w:rPr>
        <w:t xml:space="preserve">on May 1, 2018, </w:t>
      </w:r>
      <w:r w:rsidR="00EF169B">
        <w:rPr>
          <w:rFonts w:ascii="Palatino Linotype" w:hAnsi="Palatino Linotype"/>
          <w:szCs w:val="24"/>
        </w:rPr>
        <w:t>more than</w:t>
      </w:r>
      <w:r w:rsidR="00EF169B" w:rsidRPr="00663F29">
        <w:rPr>
          <w:rFonts w:ascii="Palatino Linotype" w:hAnsi="Palatino Linotype"/>
          <w:szCs w:val="24"/>
        </w:rPr>
        <w:t xml:space="preserve"> 30 days after t</w:t>
      </w:r>
      <w:r w:rsidR="00EF169B">
        <w:rPr>
          <w:rFonts w:ascii="Palatino Linotype" w:hAnsi="Palatino Linotype"/>
          <w:szCs w:val="24"/>
        </w:rPr>
        <w:t>he effective date of the</w:t>
      </w:r>
      <w:r w:rsidR="00EF169B" w:rsidRPr="00663F29">
        <w:rPr>
          <w:rFonts w:ascii="Palatino Linotype" w:hAnsi="Palatino Linotype"/>
          <w:szCs w:val="24"/>
        </w:rPr>
        <w:t xml:space="preserve"> Resolution</w:t>
      </w:r>
      <w:r w:rsidR="00EF169B">
        <w:rPr>
          <w:rFonts w:ascii="Palatino Linotype" w:hAnsi="Palatino Linotype"/>
          <w:szCs w:val="24"/>
        </w:rPr>
        <w:t xml:space="preserve">, Staff sent notices, via email or certified mail to </w:t>
      </w:r>
      <w:r w:rsidR="00AC7D60">
        <w:rPr>
          <w:rFonts w:ascii="Palatino Linotype" w:hAnsi="Palatino Linotype"/>
          <w:szCs w:val="24"/>
        </w:rPr>
        <w:t xml:space="preserve">the thirty-six (36) </w:t>
      </w:r>
      <w:proofErr w:type="spellStart"/>
      <w:r w:rsidR="00830D59">
        <w:rPr>
          <w:rFonts w:ascii="Palatino Linotype" w:hAnsi="Palatino Linotype"/>
          <w:szCs w:val="24"/>
        </w:rPr>
        <w:t>wireline</w:t>
      </w:r>
      <w:proofErr w:type="spellEnd"/>
      <w:r w:rsidR="00830D59">
        <w:rPr>
          <w:rFonts w:ascii="Palatino Linotype" w:hAnsi="Palatino Linotype"/>
          <w:szCs w:val="24"/>
        </w:rPr>
        <w:t xml:space="preserve"> </w:t>
      </w:r>
      <w:r w:rsidR="00AC7D60">
        <w:rPr>
          <w:rFonts w:ascii="Palatino Linotype" w:hAnsi="Palatino Linotype"/>
          <w:szCs w:val="24"/>
        </w:rPr>
        <w:t xml:space="preserve">carriers, </w:t>
      </w:r>
      <w:r w:rsidR="00EF169B">
        <w:rPr>
          <w:rFonts w:ascii="Palatino Linotype" w:hAnsi="Palatino Linotype"/>
          <w:szCs w:val="24"/>
        </w:rPr>
        <w:t xml:space="preserve">informing them that their operating authority </w:t>
      </w:r>
      <w:proofErr w:type="gramStart"/>
      <w:r w:rsidR="00EF169B">
        <w:rPr>
          <w:rFonts w:ascii="Palatino Linotype" w:hAnsi="Palatino Linotype"/>
          <w:szCs w:val="24"/>
        </w:rPr>
        <w:t>had been revoked</w:t>
      </w:r>
      <w:proofErr w:type="gramEnd"/>
      <w:r w:rsidR="00EF169B">
        <w:rPr>
          <w:rFonts w:ascii="Palatino Linotype" w:hAnsi="Palatino Linotype"/>
          <w:szCs w:val="24"/>
        </w:rPr>
        <w:t xml:space="preserve">. These carriers receiving the notice </w:t>
      </w:r>
      <w:r w:rsidR="00AC7D60" w:rsidRPr="00663F29">
        <w:rPr>
          <w:rFonts w:ascii="Palatino Linotype" w:hAnsi="Palatino Linotype"/>
          <w:szCs w:val="24"/>
        </w:rPr>
        <w:t>includ</w:t>
      </w:r>
      <w:r w:rsidR="00EF169B">
        <w:rPr>
          <w:rFonts w:ascii="Palatino Linotype" w:hAnsi="Palatino Linotype"/>
          <w:szCs w:val="24"/>
        </w:rPr>
        <w:t>ed</w:t>
      </w:r>
      <w:r w:rsidR="00AC7D60" w:rsidRPr="00663F29">
        <w:rPr>
          <w:rFonts w:ascii="Palatino Linotype" w:hAnsi="Palatino Linotype"/>
          <w:szCs w:val="24"/>
        </w:rPr>
        <w:t xml:space="preserve"> </w:t>
      </w:r>
      <w:r w:rsidR="00F227CC">
        <w:rPr>
          <w:rFonts w:ascii="Palatino Linotype" w:hAnsi="Palatino Linotype"/>
          <w:szCs w:val="24"/>
        </w:rPr>
        <w:t>the</w:t>
      </w:r>
      <w:r w:rsidR="00AC7D60" w:rsidRPr="00663F29">
        <w:rPr>
          <w:rFonts w:ascii="Palatino Linotype" w:hAnsi="Palatino Linotype"/>
          <w:szCs w:val="24"/>
        </w:rPr>
        <w:t xml:space="preserve"> </w:t>
      </w:r>
      <w:r w:rsidR="00F227CC">
        <w:rPr>
          <w:rFonts w:ascii="Palatino Linotype" w:hAnsi="Palatino Linotype"/>
          <w:szCs w:val="24"/>
        </w:rPr>
        <w:t xml:space="preserve">companies </w:t>
      </w:r>
      <w:r w:rsidR="00AC7D60" w:rsidRPr="00663F29">
        <w:rPr>
          <w:rFonts w:ascii="Palatino Linotype" w:hAnsi="Palatino Linotype"/>
          <w:szCs w:val="24"/>
        </w:rPr>
        <w:t xml:space="preserve">who </w:t>
      </w:r>
      <w:r w:rsidR="00EF169B">
        <w:rPr>
          <w:rFonts w:ascii="Palatino Linotype" w:hAnsi="Palatino Linotype"/>
          <w:szCs w:val="24"/>
        </w:rPr>
        <w:t xml:space="preserve">had </w:t>
      </w:r>
      <w:r w:rsidR="00AC7D60" w:rsidRPr="00663F29">
        <w:rPr>
          <w:rFonts w:ascii="Palatino Linotype" w:hAnsi="Palatino Linotype"/>
          <w:szCs w:val="24"/>
        </w:rPr>
        <w:t>bec</w:t>
      </w:r>
      <w:r w:rsidR="00EF169B">
        <w:rPr>
          <w:rFonts w:ascii="Palatino Linotype" w:hAnsi="Palatino Linotype"/>
          <w:szCs w:val="24"/>
        </w:rPr>
        <w:t>o</w:t>
      </w:r>
      <w:r w:rsidR="00AC7D60" w:rsidRPr="00663F29">
        <w:rPr>
          <w:rFonts w:ascii="Palatino Linotype" w:hAnsi="Palatino Linotype"/>
          <w:szCs w:val="24"/>
        </w:rPr>
        <w:t xml:space="preserve">me </w:t>
      </w:r>
      <w:r w:rsidR="00941195" w:rsidRPr="00663F29">
        <w:rPr>
          <w:rFonts w:ascii="Palatino Linotype" w:hAnsi="Palatino Linotype"/>
          <w:szCs w:val="24"/>
        </w:rPr>
        <w:t>complia</w:t>
      </w:r>
      <w:r w:rsidR="00AC7D60" w:rsidRPr="00663F29">
        <w:rPr>
          <w:rFonts w:ascii="Palatino Linotype" w:hAnsi="Palatino Linotype"/>
          <w:szCs w:val="24"/>
        </w:rPr>
        <w:t>nt with the regulatory requirements but failed to pay the fine</w:t>
      </w:r>
      <w:r w:rsidR="00EF169B">
        <w:rPr>
          <w:rFonts w:ascii="Palatino Linotype" w:hAnsi="Palatino Linotype"/>
          <w:szCs w:val="24"/>
        </w:rPr>
        <w:t>.</w:t>
      </w:r>
      <w:r w:rsidR="006978CA">
        <w:rPr>
          <w:rFonts w:ascii="Palatino Linotype" w:hAnsi="Palatino Linotype"/>
          <w:szCs w:val="24"/>
        </w:rPr>
        <w:t xml:space="preserve">  </w:t>
      </w:r>
      <w:r w:rsidR="00EF169B">
        <w:rPr>
          <w:rFonts w:ascii="Palatino Linotype" w:hAnsi="Palatino Linotype"/>
          <w:szCs w:val="24"/>
        </w:rPr>
        <w:t>Staff also sent n</w:t>
      </w:r>
      <w:r w:rsidR="005E5E79">
        <w:rPr>
          <w:rFonts w:ascii="Palatino Linotype" w:hAnsi="Palatino Linotype"/>
          <w:szCs w:val="24"/>
        </w:rPr>
        <w:t xml:space="preserve">otices to all telecommunications carriers informing them that the operating authorities of </w:t>
      </w:r>
      <w:r w:rsidR="00EF169B">
        <w:rPr>
          <w:rFonts w:ascii="Palatino Linotype" w:hAnsi="Palatino Linotype"/>
          <w:szCs w:val="24"/>
        </w:rPr>
        <w:t xml:space="preserve">the </w:t>
      </w:r>
      <w:r w:rsidR="005E5E79">
        <w:rPr>
          <w:rFonts w:ascii="Palatino Linotype" w:hAnsi="Palatino Linotype"/>
          <w:szCs w:val="24"/>
        </w:rPr>
        <w:t xml:space="preserve">36 carriers </w:t>
      </w:r>
      <w:proofErr w:type="gramStart"/>
      <w:r w:rsidR="00EF169B">
        <w:rPr>
          <w:rFonts w:ascii="Palatino Linotype" w:hAnsi="Palatino Linotype"/>
          <w:szCs w:val="24"/>
        </w:rPr>
        <w:t xml:space="preserve">had been </w:t>
      </w:r>
      <w:r w:rsidR="005E5E79">
        <w:rPr>
          <w:rFonts w:ascii="Palatino Linotype" w:hAnsi="Palatino Linotype"/>
          <w:szCs w:val="24"/>
        </w:rPr>
        <w:t>revoked</w:t>
      </w:r>
      <w:proofErr w:type="gramEnd"/>
      <w:r w:rsidR="005E5E79">
        <w:rPr>
          <w:rFonts w:ascii="Palatino Linotype" w:hAnsi="Palatino Linotype"/>
          <w:szCs w:val="24"/>
        </w:rPr>
        <w:t xml:space="preserve"> for failure to comply with Ordering Paragraphs </w:t>
      </w:r>
      <w:r w:rsidR="00A62B3B">
        <w:rPr>
          <w:rFonts w:ascii="Palatino Linotype" w:hAnsi="Palatino Linotype"/>
          <w:szCs w:val="24"/>
        </w:rPr>
        <w:t xml:space="preserve">1, </w:t>
      </w:r>
      <w:r w:rsidR="005E5E79">
        <w:rPr>
          <w:rFonts w:ascii="Palatino Linotype" w:hAnsi="Palatino Linotype"/>
          <w:szCs w:val="24"/>
        </w:rPr>
        <w:t>2 and 3 of Resolu</w:t>
      </w:r>
      <w:r w:rsidR="00A62B3B">
        <w:rPr>
          <w:rFonts w:ascii="Palatino Linotype" w:hAnsi="Palatino Linotype"/>
          <w:szCs w:val="24"/>
        </w:rPr>
        <w:t>tion T-17597</w:t>
      </w:r>
      <w:r w:rsidR="005E5E79">
        <w:rPr>
          <w:rFonts w:ascii="Palatino Linotype" w:hAnsi="Palatino Linotype"/>
          <w:szCs w:val="24"/>
        </w:rPr>
        <w:t xml:space="preserve"> and </w:t>
      </w:r>
      <w:r w:rsidR="00395D62">
        <w:rPr>
          <w:rFonts w:ascii="Palatino Linotype" w:hAnsi="Palatino Linotype"/>
          <w:szCs w:val="24"/>
        </w:rPr>
        <w:t xml:space="preserve">ordering </w:t>
      </w:r>
      <w:r w:rsidR="00EF169B">
        <w:rPr>
          <w:rFonts w:ascii="Palatino Linotype" w:hAnsi="Palatino Linotype"/>
          <w:szCs w:val="24"/>
        </w:rPr>
        <w:t xml:space="preserve">all </w:t>
      </w:r>
      <w:r w:rsidR="00395D62">
        <w:rPr>
          <w:rFonts w:ascii="Palatino Linotype" w:hAnsi="Palatino Linotype"/>
          <w:szCs w:val="24"/>
        </w:rPr>
        <w:t xml:space="preserve">carriers to </w:t>
      </w:r>
      <w:r w:rsidR="005E5E79">
        <w:rPr>
          <w:rFonts w:ascii="Palatino Linotype" w:hAnsi="Palatino Linotype"/>
          <w:szCs w:val="24"/>
        </w:rPr>
        <w:t>discontinue conducting business with these revoked carriers.</w:t>
      </w:r>
    </w:p>
    <w:p w14:paraId="0A5CB4C4" w14:textId="5DABFCB2" w:rsidR="00AC7D60" w:rsidRPr="00663F29" w:rsidRDefault="00AC7D60" w:rsidP="00F748AC">
      <w:pPr>
        <w:rPr>
          <w:rFonts w:ascii="Palatino Linotype" w:hAnsi="Palatino Linotype"/>
          <w:szCs w:val="24"/>
        </w:rPr>
      </w:pPr>
    </w:p>
    <w:p w14:paraId="5F5DB191" w14:textId="77777777" w:rsidR="00AC7D60" w:rsidRPr="00663F29" w:rsidRDefault="00AC7D60" w:rsidP="00AC7D60">
      <w:pPr>
        <w:rPr>
          <w:rFonts w:ascii="Palatino Linotype" w:hAnsi="Palatino Linotype"/>
          <w:b/>
          <w:szCs w:val="24"/>
          <w:u w:val="single"/>
        </w:rPr>
      </w:pPr>
      <w:r w:rsidRPr="00663F29">
        <w:rPr>
          <w:rFonts w:ascii="Palatino Linotype" w:hAnsi="Palatino Linotype"/>
          <w:b/>
          <w:szCs w:val="24"/>
          <w:u w:val="single"/>
        </w:rPr>
        <w:t>DISCUSSION</w:t>
      </w:r>
    </w:p>
    <w:p w14:paraId="18DF9657" w14:textId="3FC1BB2E" w:rsidR="00AC7D60" w:rsidRPr="00663F29" w:rsidRDefault="00AC7D60" w:rsidP="00F748AC">
      <w:pPr>
        <w:rPr>
          <w:rFonts w:ascii="Palatino Linotype" w:hAnsi="Palatino Linotype"/>
          <w:szCs w:val="24"/>
        </w:rPr>
      </w:pPr>
    </w:p>
    <w:p w14:paraId="1723ECE5" w14:textId="5DE0236F" w:rsidR="00325570" w:rsidRDefault="00663F29" w:rsidP="00325570">
      <w:r w:rsidRPr="00663F29">
        <w:rPr>
          <w:rFonts w:ascii="Palatino Linotype" w:hAnsi="Palatino Linotype"/>
          <w:szCs w:val="24"/>
        </w:rPr>
        <w:t>S</w:t>
      </w:r>
      <w:r w:rsidR="007E69BF">
        <w:rPr>
          <w:rFonts w:ascii="Palatino Linotype" w:hAnsi="Palatino Linotype"/>
          <w:szCs w:val="24"/>
        </w:rPr>
        <w:t>ome</w:t>
      </w:r>
      <w:r w:rsidR="00880BAA" w:rsidRPr="00663F29">
        <w:rPr>
          <w:rFonts w:ascii="Palatino Linotype" w:hAnsi="Palatino Linotype"/>
          <w:szCs w:val="24"/>
        </w:rPr>
        <w:t xml:space="preserve"> </w:t>
      </w:r>
      <w:proofErr w:type="spellStart"/>
      <w:r w:rsidR="00880BAA" w:rsidRPr="00663F29">
        <w:rPr>
          <w:rFonts w:ascii="Palatino Linotype" w:hAnsi="Palatino Linotype"/>
          <w:szCs w:val="24"/>
        </w:rPr>
        <w:t>wireline</w:t>
      </w:r>
      <w:proofErr w:type="spellEnd"/>
      <w:r w:rsidR="00880BAA" w:rsidRPr="00663F29">
        <w:rPr>
          <w:rFonts w:ascii="Palatino Linotype" w:hAnsi="Palatino Linotype"/>
          <w:szCs w:val="24"/>
        </w:rPr>
        <w:t xml:space="preserve"> carriers ha</w:t>
      </w:r>
      <w:r w:rsidR="000E66A6">
        <w:rPr>
          <w:rFonts w:ascii="Palatino Linotype" w:hAnsi="Palatino Linotype"/>
          <w:szCs w:val="24"/>
        </w:rPr>
        <w:t>d</w:t>
      </w:r>
      <w:r w:rsidR="00880BAA" w:rsidRPr="00663F29">
        <w:rPr>
          <w:rFonts w:ascii="Palatino Linotype" w:hAnsi="Palatino Linotype"/>
          <w:szCs w:val="24"/>
        </w:rPr>
        <w:t xml:space="preserve"> fulfilled the Commission regulatory requirements within the period given by Resolution T-17597 but failed to pay the fine in a timely manner. </w:t>
      </w:r>
      <w:r w:rsidR="00EF169B">
        <w:rPr>
          <w:rFonts w:ascii="Palatino Linotype" w:hAnsi="Palatino Linotype"/>
          <w:szCs w:val="24"/>
        </w:rPr>
        <w:t>O</w:t>
      </w:r>
      <w:r w:rsidR="00EF169B" w:rsidRPr="00663F29">
        <w:rPr>
          <w:rFonts w:ascii="Palatino Linotype" w:hAnsi="Palatino Linotype"/>
          <w:szCs w:val="24"/>
        </w:rPr>
        <w:t xml:space="preserve">n May </w:t>
      </w:r>
      <w:r w:rsidR="00EF169B">
        <w:rPr>
          <w:rFonts w:ascii="Palatino Linotype" w:hAnsi="Palatino Linotype"/>
          <w:szCs w:val="24"/>
        </w:rPr>
        <w:t>2</w:t>
      </w:r>
      <w:r w:rsidR="00EF169B" w:rsidRPr="00663F29">
        <w:rPr>
          <w:rFonts w:ascii="Palatino Linotype" w:hAnsi="Palatino Linotype"/>
          <w:szCs w:val="24"/>
        </w:rPr>
        <w:t xml:space="preserve">, 2018, </w:t>
      </w:r>
      <w:proofErr w:type="spellStart"/>
      <w:r w:rsidR="00F65244">
        <w:rPr>
          <w:rFonts w:ascii="Palatino Linotype" w:hAnsi="Palatino Linotype"/>
          <w:szCs w:val="24"/>
        </w:rPr>
        <w:t>Entelegent</w:t>
      </w:r>
      <w:proofErr w:type="spellEnd"/>
      <w:r w:rsidR="00F65244">
        <w:rPr>
          <w:rFonts w:ascii="Palatino Linotype" w:hAnsi="Palatino Linotype"/>
          <w:szCs w:val="24"/>
        </w:rPr>
        <w:t xml:space="preserve"> Solutions, Inc. (U-7151-C)</w:t>
      </w:r>
      <w:r w:rsidR="00573082">
        <w:rPr>
          <w:rFonts w:ascii="Palatino Linotype" w:hAnsi="Palatino Linotype"/>
          <w:szCs w:val="24"/>
        </w:rPr>
        <w:t xml:space="preserve"> and </w:t>
      </w:r>
      <w:proofErr w:type="spellStart"/>
      <w:r w:rsidR="00573082">
        <w:rPr>
          <w:rFonts w:ascii="Palatino Linotype" w:hAnsi="Palatino Linotype"/>
          <w:szCs w:val="24"/>
        </w:rPr>
        <w:t>Comtech</w:t>
      </w:r>
      <w:proofErr w:type="spellEnd"/>
      <w:r w:rsidR="00573082">
        <w:rPr>
          <w:rFonts w:ascii="Palatino Linotype" w:hAnsi="Palatino Linotype"/>
          <w:szCs w:val="24"/>
        </w:rPr>
        <w:t xml:space="preserve"> 21, LLC (U-6469-C)</w:t>
      </w:r>
      <w:r w:rsidR="00F65244">
        <w:rPr>
          <w:rFonts w:ascii="Palatino Linotype" w:hAnsi="Palatino Linotype"/>
          <w:szCs w:val="24"/>
        </w:rPr>
        <w:t xml:space="preserve"> </w:t>
      </w:r>
      <w:r w:rsidR="00395D62">
        <w:rPr>
          <w:rFonts w:ascii="Palatino Linotype" w:hAnsi="Palatino Linotype"/>
          <w:szCs w:val="24"/>
        </w:rPr>
        <w:t>contacted Staff</w:t>
      </w:r>
      <w:r w:rsidR="00830D59" w:rsidRPr="00663F29">
        <w:rPr>
          <w:rFonts w:ascii="Palatino Linotype" w:hAnsi="Palatino Linotype"/>
          <w:szCs w:val="24"/>
        </w:rPr>
        <w:t xml:space="preserve"> </w:t>
      </w:r>
      <w:r w:rsidR="00BE518A">
        <w:rPr>
          <w:rFonts w:ascii="Palatino Linotype" w:hAnsi="Palatino Linotype"/>
          <w:szCs w:val="24"/>
        </w:rPr>
        <w:t xml:space="preserve">requesting </w:t>
      </w:r>
      <w:r w:rsidR="00325570">
        <w:rPr>
          <w:rFonts w:ascii="Palatino Linotype" w:hAnsi="Palatino Linotype"/>
          <w:szCs w:val="24"/>
        </w:rPr>
        <w:t>reconsid</w:t>
      </w:r>
      <w:r w:rsidR="000E66A6">
        <w:rPr>
          <w:rFonts w:ascii="Palatino Linotype" w:hAnsi="Palatino Linotype"/>
          <w:szCs w:val="24"/>
        </w:rPr>
        <w:t xml:space="preserve">eration of the revocation and committing to </w:t>
      </w:r>
      <w:r w:rsidR="00395D62">
        <w:rPr>
          <w:rFonts w:ascii="Palatino Linotype" w:hAnsi="Palatino Linotype"/>
          <w:szCs w:val="24"/>
        </w:rPr>
        <w:t>pay</w:t>
      </w:r>
      <w:r w:rsidR="00325570">
        <w:rPr>
          <w:rFonts w:ascii="Palatino Linotype" w:hAnsi="Palatino Linotype"/>
          <w:szCs w:val="24"/>
        </w:rPr>
        <w:t xml:space="preserve"> the fine.</w:t>
      </w:r>
      <w:r w:rsidR="0074027C" w:rsidRPr="0074027C">
        <w:rPr>
          <w:rFonts w:ascii="Palatino Linotype" w:hAnsi="Palatino Linotype"/>
          <w:szCs w:val="24"/>
        </w:rPr>
        <w:t xml:space="preserve"> </w:t>
      </w:r>
      <w:r w:rsidR="0074027C">
        <w:rPr>
          <w:rFonts w:ascii="Palatino Linotype" w:hAnsi="Palatino Linotype"/>
          <w:szCs w:val="24"/>
        </w:rPr>
        <w:t>On May 9, 2018, Communications Brokers &amp; Consultants (U-5456-C) contacted Staff to submit the payment of their fine and to have their operating authority reinstated.</w:t>
      </w:r>
    </w:p>
    <w:p w14:paraId="57F5269A" w14:textId="77777777" w:rsidR="00325570" w:rsidRDefault="00325570" w:rsidP="00880BAA">
      <w:pPr>
        <w:rPr>
          <w:rFonts w:ascii="Palatino Linotype" w:hAnsi="Palatino Linotype"/>
          <w:szCs w:val="24"/>
        </w:rPr>
      </w:pPr>
    </w:p>
    <w:p w14:paraId="08912FE0" w14:textId="33AC2A1E" w:rsidR="00834509" w:rsidRDefault="00755019" w:rsidP="00880BAA">
      <w:pPr>
        <w:rPr>
          <w:rFonts w:ascii="Palatino Linotype" w:hAnsi="Palatino Linotype"/>
          <w:szCs w:val="24"/>
        </w:rPr>
      </w:pPr>
      <w:r>
        <w:rPr>
          <w:rFonts w:ascii="Palatino Linotype" w:hAnsi="Palatino Linotype"/>
          <w:szCs w:val="24"/>
        </w:rPr>
        <w:t xml:space="preserve">Resolution T-17597 required the </w:t>
      </w:r>
      <w:r w:rsidR="000E66A6">
        <w:rPr>
          <w:rFonts w:ascii="Palatino Linotype" w:hAnsi="Palatino Linotype"/>
          <w:szCs w:val="24"/>
        </w:rPr>
        <w:t xml:space="preserve">listed </w:t>
      </w:r>
      <w:r>
        <w:rPr>
          <w:rFonts w:ascii="Palatino Linotype" w:hAnsi="Palatino Linotype"/>
          <w:szCs w:val="24"/>
        </w:rPr>
        <w:t xml:space="preserve">carriers </w:t>
      </w:r>
      <w:r w:rsidR="00EF169B">
        <w:rPr>
          <w:rFonts w:ascii="Palatino Linotype" w:hAnsi="Palatino Linotype"/>
          <w:szCs w:val="24"/>
        </w:rPr>
        <w:t xml:space="preserve">to </w:t>
      </w:r>
      <w:r>
        <w:rPr>
          <w:rFonts w:ascii="Palatino Linotype" w:hAnsi="Palatino Linotype"/>
          <w:szCs w:val="24"/>
        </w:rPr>
        <w:t xml:space="preserve">satisfy both </w:t>
      </w:r>
      <w:r w:rsidR="00155697">
        <w:rPr>
          <w:rFonts w:ascii="Palatino Linotype" w:hAnsi="Palatino Linotype"/>
          <w:szCs w:val="24"/>
        </w:rPr>
        <w:t>their</w:t>
      </w:r>
      <w:r>
        <w:rPr>
          <w:rFonts w:ascii="Palatino Linotype" w:hAnsi="Palatino Linotype"/>
          <w:szCs w:val="24"/>
        </w:rPr>
        <w:t xml:space="preserve"> non-compliance issue</w:t>
      </w:r>
      <w:r w:rsidR="00EF169B">
        <w:rPr>
          <w:rFonts w:ascii="Palatino Linotype" w:hAnsi="Palatino Linotype"/>
          <w:szCs w:val="24"/>
        </w:rPr>
        <w:t>s</w:t>
      </w:r>
      <w:r>
        <w:rPr>
          <w:rFonts w:ascii="Palatino Linotype" w:hAnsi="Palatino Linotype"/>
          <w:szCs w:val="24"/>
        </w:rPr>
        <w:t xml:space="preserve"> and payment of the fine with</w:t>
      </w:r>
      <w:r w:rsidR="00395D62">
        <w:rPr>
          <w:rFonts w:ascii="Palatino Linotype" w:hAnsi="Palatino Linotype"/>
          <w:szCs w:val="24"/>
        </w:rPr>
        <w:t>in 30 days after the effective date</w:t>
      </w:r>
      <w:r>
        <w:rPr>
          <w:rFonts w:ascii="Palatino Linotype" w:hAnsi="Palatino Linotype"/>
          <w:szCs w:val="24"/>
        </w:rPr>
        <w:t xml:space="preserve"> of the Resolution</w:t>
      </w:r>
      <w:r w:rsidR="00EF169B">
        <w:rPr>
          <w:rFonts w:ascii="Palatino Linotype" w:hAnsi="Palatino Linotype"/>
          <w:szCs w:val="24"/>
        </w:rPr>
        <w:t>.</w:t>
      </w:r>
      <w:r>
        <w:rPr>
          <w:rFonts w:ascii="Palatino Linotype" w:hAnsi="Palatino Linotype"/>
          <w:szCs w:val="24"/>
        </w:rPr>
        <w:t xml:space="preserve"> </w:t>
      </w:r>
      <w:r w:rsidR="00EF169B">
        <w:rPr>
          <w:rFonts w:ascii="Palatino Linotype" w:hAnsi="Palatino Linotype"/>
          <w:szCs w:val="24"/>
        </w:rPr>
        <w:t xml:space="preserve">However, </w:t>
      </w:r>
      <w:r w:rsidR="00395D62">
        <w:rPr>
          <w:rFonts w:ascii="Palatino Linotype" w:hAnsi="Palatino Linotype"/>
          <w:szCs w:val="24"/>
        </w:rPr>
        <w:t>Staff</w:t>
      </w:r>
      <w:r w:rsidR="00325570">
        <w:rPr>
          <w:rFonts w:ascii="Palatino Linotype" w:hAnsi="Palatino Linotype"/>
          <w:szCs w:val="24"/>
        </w:rPr>
        <w:t xml:space="preserve"> </w:t>
      </w:r>
      <w:r w:rsidR="00EF169B">
        <w:rPr>
          <w:rFonts w:ascii="Palatino Linotype" w:hAnsi="Palatino Linotype"/>
          <w:szCs w:val="24"/>
        </w:rPr>
        <w:t>determined that the revocation would be reconsidered if</w:t>
      </w:r>
      <w:r w:rsidR="00834509">
        <w:rPr>
          <w:rFonts w:ascii="Palatino Linotype" w:hAnsi="Palatino Linotype"/>
          <w:szCs w:val="24"/>
        </w:rPr>
        <w:t xml:space="preserve"> the $1,000 </w:t>
      </w:r>
      <w:proofErr w:type="gramStart"/>
      <w:r w:rsidR="00834509">
        <w:rPr>
          <w:rFonts w:ascii="Palatino Linotype" w:hAnsi="Palatino Linotype"/>
          <w:szCs w:val="24"/>
        </w:rPr>
        <w:t xml:space="preserve">fine  </w:t>
      </w:r>
      <w:r w:rsidR="00EF169B">
        <w:rPr>
          <w:rFonts w:ascii="Palatino Linotype" w:hAnsi="Palatino Linotype"/>
          <w:szCs w:val="24"/>
        </w:rPr>
        <w:t>were</w:t>
      </w:r>
      <w:proofErr w:type="gramEnd"/>
      <w:r w:rsidR="00EF169B">
        <w:rPr>
          <w:rFonts w:ascii="Palatino Linotype" w:hAnsi="Palatino Linotype"/>
          <w:szCs w:val="24"/>
        </w:rPr>
        <w:t xml:space="preserve"> paid by </w:t>
      </w:r>
      <w:r w:rsidR="00834509">
        <w:rPr>
          <w:rFonts w:ascii="Palatino Linotype" w:hAnsi="Palatino Linotype"/>
          <w:szCs w:val="24"/>
        </w:rPr>
        <w:t>May 1</w:t>
      </w:r>
      <w:r w:rsidR="00155697">
        <w:rPr>
          <w:rFonts w:ascii="Palatino Linotype" w:hAnsi="Palatino Linotype"/>
          <w:szCs w:val="24"/>
        </w:rPr>
        <w:t>1</w:t>
      </w:r>
      <w:r w:rsidR="00395D62">
        <w:rPr>
          <w:rFonts w:ascii="Palatino Linotype" w:hAnsi="Palatino Linotype"/>
          <w:szCs w:val="24"/>
        </w:rPr>
        <w:t>, 2018</w:t>
      </w:r>
      <w:r w:rsidR="00E546BE">
        <w:rPr>
          <w:rFonts w:ascii="Palatino Linotype" w:hAnsi="Palatino Linotype"/>
          <w:szCs w:val="24"/>
        </w:rPr>
        <w:t>.</w:t>
      </w:r>
      <w:r w:rsidR="00AD486F">
        <w:rPr>
          <w:rFonts w:ascii="Palatino Linotype" w:hAnsi="Palatino Linotype"/>
          <w:szCs w:val="24"/>
        </w:rPr>
        <w:t xml:space="preserve"> </w:t>
      </w:r>
    </w:p>
    <w:p w14:paraId="2615F7FC" w14:textId="77777777" w:rsidR="00830D59" w:rsidRDefault="00830D59" w:rsidP="00880BAA">
      <w:pPr>
        <w:rPr>
          <w:rFonts w:ascii="Palatino Linotype" w:hAnsi="Palatino Linotype"/>
          <w:szCs w:val="24"/>
        </w:rPr>
      </w:pPr>
    </w:p>
    <w:p w14:paraId="6F2F642F" w14:textId="5CB46AC0" w:rsidR="00880BAA" w:rsidRDefault="00CB4C7F" w:rsidP="00880BAA">
      <w:pPr>
        <w:rPr>
          <w:rFonts w:ascii="Palatino Linotype" w:hAnsi="Palatino Linotype"/>
          <w:szCs w:val="24"/>
        </w:rPr>
      </w:pPr>
      <w:r>
        <w:rPr>
          <w:rFonts w:ascii="Palatino Linotype" w:hAnsi="Palatino Linotype"/>
          <w:szCs w:val="24"/>
        </w:rPr>
        <w:t>A</w:t>
      </w:r>
      <w:r w:rsidR="00880BAA">
        <w:rPr>
          <w:rFonts w:ascii="Palatino Linotype" w:hAnsi="Palatino Linotype"/>
          <w:szCs w:val="24"/>
        </w:rPr>
        <w:t xml:space="preserve">s of </w:t>
      </w:r>
      <w:r w:rsidR="00C52644">
        <w:rPr>
          <w:rFonts w:ascii="Palatino Linotype" w:hAnsi="Palatino Linotype"/>
          <w:szCs w:val="24"/>
        </w:rPr>
        <w:t>May 11, 2018</w:t>
      </w:r>
      <w:r w:rsidR="00880BAA">
        <w:rPr>
          <w:rFonts w:ascii="Palatino Linotype" w:hAnsi="Palatino Linotype"/>
          <w:szCs w:val="24"/>
        </w:rPr>
        <w:t xml:space="preserve">, the </w:t>
      </w:r>
      <w:r w:rsidR="0074027C">
        <w:rPr>
          <w:rFonts w:ascii="Palatino Linotype" w:hAnsi="Palatino Linotype"/>
          <w:szCs w:val="24"/>
        </w:rPr>
        <w:t>three</w:t>
      </w:r>
      <w:r w:rsidR="00880BAA">
        <w:rPr>
          <w:rFonts w:ascii="Palatino Linotype" w:hAnsi="Palatino Linotype"/>
          <w:szCs w:val="24"/>
        </w:rPr>
        <w:t xml:space="preserve"> </w:t>
      </w:r>
      <w:proofErr w:type="spellStart"/>
      <w:r w:rsidR="00941195">
        <w:rPr>
          <w:rFonts w:ascii="Palatino Linotype" w:hAnsi="Palatino Linotype"/>
          <w:szCs w:val="24"/>
        </w:rPr>
        <w:t>wireline</w:t>
      </w:r>
      <w:proofErr w:type="spellEnd"/>
      <w:r w:rsidR="00941195">
        <w:rPr>
          <w:rFonts w:ascii="Palatino Linotype" w:hAnsi="Palatino Linotype"/>
          <w:szCs w:val="24"/>
        </w:rPr>
        <w:t xml:space="preserve"> telephone corporations listed below</w:t>
      </w:r>
      <w:r w:rsidR="0074027C">
        <w:rPr>
          <w:rFonts w:ascii="Palatino Linotype" w:hAnsi="Palatino Linotype"/>
          <w:szCs w:val="24"/>
        </w:rPr>
        <w:t xml:space="preserve"> paid the fines and</w:t>
      </w:r>
      <w:r w:rsidR="00941195">
        <w:rPr>
          <w:rFonts w:ascii="Palatino Linotype" w:hAnsi="Palatino Linotype"/>
          <w:szCs w:val="24"/>
        </w:rPr>
        <w:t xml:space="preserve"> </w:t>
      </w:r>
      <w:r w:rsidR="00880BAA">
        <w:rPr>
          <w:rFonts w:ascii="Palatino Linotype" w:hAnsi="Palatino Linotype"/>
          <w:szCs w:val="24"/>
        </w:rPr>
        <w:t xml:space="preserve">are </w:t>
      </w:r>
      <w:r w:rsidR="0074027C">
        <w:rPr>
          <w:rFonts w:ascii="Palatino Linotype" w:hAnsi="Palatino Linotype"/>
          <w:szCs w:val="24"/>
        </w:rPr>
        <w:t xml:space="preserve">now </w:t>
      </w:r>
      <w:r w:rsidR="00880BAA">
        <w:rPr>
          <w:rFonts w:ascii="Palatino Linotype" w:hAnsi="Palatino Linotype"/>
          <w:szCs w:val="24"/>
        </w:rPr>
        <w:t>in full compliance</w:t>
      </w:r>
      <w:r w:rsidR="00830D59">
        <w:rPr>
          <w:rFonts w:ascii="Palatino Linotype" w:hAnsi="Palatino Linotype"/>
          <w:szCs w:val="24"/>
        </w:rPr>
        <w:t xml:space="preserve"> with the provisions of Resolution T-17597</w:t>
      </w:r>
      <w:r w:rsidR="00395D62">
        <w:rPr>
          <w:rFonts w:ascii="Palatino Linotype" w:hAnsi="Palatino Linotype"/>
          <w:szCs w:val="24"/>
        </w:rPr>
        <w:t>. Accordingly, Staff recommends that these carriers</w:t>
      </w:r>
      <w:r>
        <w:rPr>
          <w:rFonts w:ascii="Palatino Linotype" w:hAnsi="Palatino Linotype"/>
          <w:szCs w:val="24"/>
        </w:rPr>
        <w:t xml:space="preserve"> </w:t>
      </w:r>
      <w:r w:rsidR="001A66F9">
        <w:rPr>
          <w:rFonts w:ascii="Palatino Linotype" w:hAnsi="Palatino Linotype"/>
          <w:szCs w:val="24"/>
        </w:rPr>
        <w:t>should have their operating authority reinstated.</w:t>
      </w:r>
    </w:p>
    <w:p w14:paraId="1F55ED75" w14:textId="3E8353C8" w:rsidR="00941195" w:rsidRDefault="00941195" w:rsidP="00880BAA">
      <w:pPr>
        <w:rPr>
          <w:rFonts w:ascii="Palatino Linotype" w:hAnsi="Palatino Linotype"/>
          <w:szCs w:val="24"/>
        </w:rPr>
      </w:pPr>
    </w:p>
    <w:p w14:paraId="4F31F4ED" w14:textId="77777777" w:rsidR="00941195" w:rsidRDefault="00941195" w:rsidP="00880BAA">
      <w:pPr>
        <w:rPr>
          <w:rFonts w:ascii="Palatino Linotype" w:hAnsi="Palatino Linotype"/>
          <w:szCs w:val="24"/>
        </w:rPr>
      </w:pPr>
    </w:p>
    <w:p w14:paraId="2D29CCD9" w14:textId="5AA7544A" w:rsidR="00727EEC" w:rsidRPr="00727EEC" w:rsidRDefault="00BE47DD" w:rsidP="00CB4C7F">
      <w:pPr>
        <w:overflowPunct/>
        <w:jc w:val="center"/>
        <w:textAlignment w:val="auto"/>
        <w:rPr>
          <w:rFonts w:ascii="Palatino Linotype" w:hAnsi="Palatino Linotype" w:cs="Palatino Linotype"/>
          <w:color w:val="000000"/>
          <w:szCs w:val="24"/>
        </w:rPr>
      </w:pPr>
      <w:r w:rsidRPr="00BE47DD">
        <w:rPr>
          <w:noProof/>
          <w:lang w:eastAsia="zh-TW"/>
        </w:rPr>
        <w:drawing>
          <wp:inline distT="0" distB="0" distL="0" distR="0" wp14:anchorId="21CEDC3C" wp14:editId="606C20E4">
            <wp:extent cx="5019675" cy="809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9675" cy="809625"/>
                    </a:xfrm>
                    <a:prstGeom prst="rect">
                      <a:avLst/>
                    </a:prstGeom>
                    <a:noFill/>
                    <a:ln>
                      <a:noFill/>
                    </a:ln>
                  </pic:spPr>
                </pic:pic>
              </a:graphicData>
            </a:graphic>
          </wp:inline>
        </w:drawing>
      </w:r>
    </w:p>
    <w:p w14:paraId="546A9336" w14:textId="77777777" w:rsidR="00A12C3A" w:rsidRDefault="00A12C3A" w:rsidP="00727EEC">
      <w:pPr>
        <w:rPr>
          <w:rFonts w:ascii="Palatino Linotype" w:hAnsi="Palatino Linotype"/>
          <w:b/>
          <w:bCs/>
          <w:szCs w:val="24"/>
          <w:u w:val="single"/>
        </w:rPr>
      </w:pPr>
    </w:p>
    <w:p w14:paraId="7F95F6DF" w14:textId="77777777" w:rsidR="00E546BE" w:rsidRDefault="00E546BE" w:rsidP="00727EEC">
      <w:pPr>
        <w:rPr>
          <w:rFonts w:ascii="Palatino Linotype" w:hAnsi="Palatino Linotype"/>
          <w:b/>
          <w:bCs/>
          <w:szCs w:val="24"/>
          <w:u w:val="single"/>
        </w:rPr>
      </w:pPr>
    </w:p>
    <w:p w14:paraId="1DF58656" w14:textId="37A47CC5" w:rsidR="00880BAA" w:rsidRPr="00DD5AAF" w:rsidRDefault="00727EEC" w:rsidP="00727EEC">
      <w:pPr>
        <w:rPr>
          <w:rFonts w:ascii="Palatino Linotype" w:hAnsi="Palatino Linotype"/>
          <w:b/>
          <w:bCs/>
          <w:szCs w:val="24"/>
          <w:u w:val="single"/>
        </w:rPr>
      </w:pPr>
      <w:bookmarkStart w:id="4" w:name="_GoBack"/>
      <w:bookmarkEnd w:id="4"/>
      <w:r w:rsidRPr="00DD5AAF">
        <w:rPr>
          <w:rFonts w:ascii="Palatino Linotype" w:hAnsi="Palatino Linotype"/>
          <w:b/>
          <w:bCs/>
          <w:szCs w:val="24"/>
          <w:u w:val="single"/>
        </w:rPr>
        <w:lastRenderedPageBreak/>
        <w:t>SAFETY IMPACT</w:t>
      </w:r>
    </w:p>
    <w:p w14:paraId="045A39F5" w14:textId="77777777" w:rsidR="00155697" w:rsidRPr="00DD5AAF" w:rsidRDefault="00155697" w:rsidP="00727EEC">
      <w:pPr>
        <w:rPr>
          <w:rFonts w:ascii="Palatino Linotype" w:hAnsi="Palatino Linotype"/>
          <w:b/>
          <w:bCs/>
          <w:szCs w:val="24"/>
          <w:u w:val="single"/>
        </w:rPr>
      </w:pPr>
    </w:p>
    <w:p w14:paraId="146E0F73" w14:textId="44A94322" w:rsidR="00155697" w:rsidRPr="00DD5AAF" w:rsidRDefault="00395D62" w:rsidP="00727EEC">
      <w:pPr>
        <w:rPr>
          <w:rFonts w:ascii="Palatino Linotype" w:hAnsi="Palatino Linotype"/>
          <w:bCs/>
          <w:szCs w:val="24"/>
        </w:rPr>
      </w:pPr>
      <w:r>
        <w:rPr>
          <w:rFonts w:ascii="Palatino Linotype" w:hAnsi="Palatino Linotype"/>
          <w:bCs/>
          <w:szCs w:val="24"/>
        </w:rPr>
        <w:t>T</w:t>
      </w:r>
      <w:r w:rsidR="00A92557" w:rsidRPr="00DD5AAF">
        <w:rPr>
          <w:rFonts w:ascii="Palatino Linotype" w:hAnsi="Palatino Linotype"/>
          <w:bCs/>
          <w:szCs w:val="24"/>
        </w:rPr>
        <w:t xml:space="preserve">elecommunications carriers </w:t>
      </w:r>
      <w:r>
        <w:rPr>
          <w:rFonts w:ascii="Palatino Linotype" w:hAnsi="Palatino Linotype"/>
          <w:bCs/>
          <w:szCs w:val="24"/>
        </w:rPr>
        <w:t xml:space="preserve">are required to </w:t>
      </w:r>
      <w:r w:rsidR="00A92557" w:rsidRPr="00DD5AAF">
        <w:rPr>
          <w:rFonts w:ascii="Palatino Linotype" w:hAnsi="Palatino Linotype"/>
          <w:bCs/>
          <w:szCs w:val="24"/>
        </w:rPr>
        <w:t xml:space="preserve">comply with all applicable Commission Resolutions and Public Utilities Code sections </w:t>
      </w:r>
      <w:r>
        <w:rPr>
          <w:rFonts w:ascii="Palatino Linotype" w:hAnsi="Palatino Linotype"/>
          <w:bCs/>
          <w:szCs w:val="24"/>
        </w:rPr>
        <w:t>concerning safety</w:t>
      </w:r>
      <w:r w:rsidR="00531461">
        <w:rPr>
          <w:rFonts w:ascii="Palatino Linotype" w:hAnsi="Palatino Linotype"/>
          <w:bCs/>
          <w:szCs w:val="24"/>
        </w:rPr>
        <w:t>, including providing customers with access to e-911 services,</w:t>
      </w:r>
      <w:r>
        <w:rPr>
          <w:rFonts w:ascii="Palatino Linotype" w:hAnsi="Palatino Linotype"/>
          <w:bCs/>
          <w:szCs w:val="24"/>
        </w:rPr>
        <w:t xml:space="preserve"> </w:t>
      </w:r>
      <w:r w:rsidR="00A92557" w:rsidRPr="00DD5AAF">
        <w:rPr>
          <w:rFonts w:ascii="Palatino Linotype" w:hAnsi="Palatino Linotype"/>
          <w:bCs/>
          <w:szCs w:val="24"/>
        </w:rPr>
        <w:t xml:space="preserve">thereby </w:t>
      </w:r>
      <w:r w:rsidR="00531461">
        <w:rPr>
          <w:rFonts w:ascii="Palatino Linotype" w:hAnsi="Palatino Linotype"/>
          <w:bCs/>
          <w:szCs w:val="24"/>
        </w:rPr>
        <w:t>ensuring the</w:t>
      </w:r>
      <w:r w:rsidR="00A92557" w:rsidRPr="00DD5AAF">
        <w:rPr>
          <w:rFonts w:ascii="Palatino Linotype" w:hAnsi="Palatino Linotype"/>
          <w:bCs/>
          <w:szCs w:val="24"/>
        </w:rPr>
        <w:t xml:space="preserve"> safety</w:t>
      </w:r>
      <w:r w:rsidR="00531461">
        <w:rPr>
          <w:rFonts w:ascii="Palatino Linotype" w:hAnsi="Palatino Linotype"/>
          <w:bCs/>
          <w:szCs w:val="24"/>
        </w:rPr>
        <w:t xml:space="preserve"> of their employees, customers, and the public</w:t>
      </w:r>
      <w:r w:rsidR="00A92557" w:rsidRPr="00DD5AAF">
        <w:rPr>
          <w:rFonts w:ascii="Palatino Linotype" w:hAnsi="Palatino Linotype"/>
          <w:bCs/>
          <w:szCs w:val="24"/>
        </w:rPr>
        <w:t>.</w:t>
      </w:r>
    </w:p>
    <w:p w14:paraId="3C536689" w14:textId="77777777" w:rsidR="00727EEC" w:rsidRDefault="00727EEC" w:rsidP="00727EEC">
      <w:pPr>
        <w:rPr>
          <w:rFonts w:ascii="Palatino Linotype" w:hAnsi="Palatino Linotype"/>
          <w:szCs w:val="24"/>
        </w:rPr>
      </w:pPr>
    </w:p>
    <w:p w14:paraId="24D33FEB" w14:textId="41EBB797" w:rsidR="008042C4" w:rsidRDefault="008042C4" w:rsidP="008042C4">
      <w:pPr>
        <w:overflowPunct/>
        <w:textAlignment w:val="auto"/>
        <w:rPr>
          <w:rFonts w:ascii="Palatino Linotype" w:hAnsi="Palatino Linotype" w:cs="Palatino Linotype"/>
          <w:b/>
          <w:color w:val="000000"/>
          <w:szCs w:val="24"/>
          <w:u w:val="single"/>
        </w:rPr>
      </w:pPr>
      <w:r w:rsidRPr="00C23F15">
        <w:rPr>
          <w:rFonts w:ascii="Palatino Linotype" w:hAnsi="Palatino Linotype" w:cs="Palatino Linotype"/>
          <w:b/>
          <w:color w:val="000000"/>
          <w:szCs w:val="24"/>
          <w:u w:val="single"/>
        </w:rPr>
        <w:t>CONCLUSION</w:t>
      </w:r>
    </w:p>
    <w:p w14:paraId="61B3138D" w14:textId="77777777" w:rsidR="00572C1C" w:rsidRDefault="00572C1C" w:rsidP="008042C4">
      <w:pPr>
        <w:overflowPunct/>
        <w:textAlignment w:val="auto"/>
        <w:rPr>
          <w:rFonts w:ascii="Palatino Linotype" w:hAnsi="Palatino Linotype" w:cs="Palatino Linotype"/>
          <w:b/>
          <w:color w:val="000000"/>
          <w:szCs w:val="24"/>
          <w:u w:val="single"/>
        </w:rPr>
      </w:pPr>
    </w:p>
    <w:p w14:paraId="2E01E4FC" w14:textId="5AD0232C" w:rsidR="00572C1C" w:rsidRPr="00572C1C" w:rsidRDefault="00180B91" w:rsidP="008042C4">
      <w:pPr>
        <w:overflowPunct/>
        <w:textAlignment w:val="auto"/>
        <w:rPr>
          <w:rFonts w:ascii="Palatino Linotype" w:hAnsi="Palatino Linotype" w:cs="Palatino Linotype"/>
          <w:color w:val="000000"/>
          <w:szCs w:val="24"/>
        </w:rPr>
      </w:pPr>
      <w:r>
        <w:rPr>
          <w:rFonts w:ascii="Palatino Linotype" w:hAnsi="Palatino Linotype" w:cs="Palatino Linotype"/>
          <w:color w:val="000000"/>
          <w:szCs w:val="24"/>
        </w:rPr>
        <w:t xml:space="preserve">The Commission </w:t>
      </w:r>
      <w:r w:rsidR="00572C1C" w:rsidRPr="00572C1C">
        <w:rPr>
          <w:rFonts w:ascii="Palatino Linotype" w:hAnsi="Palatino Linotype" w:cs="Palatino Linotype"/>
          <w:color w:val="000000"/>
          <w:szCs w:val="24"/>
        </w:rPr>
        <w:t>finds the request to reinstate the operating authorities</w:t>
      </w:r>
      <w:r w:rsidR="00572C1C">
        <w:rPr>
          <w:rFonts w:ascii="Palatino Linotype" w:hAnsi="Palatino Linotype" w:cs="Palatino Linotype"/>
          <w:color w:val="000000"/>
          <w:szCs w:val="24"/>
        </w:rPr>
        <w:t xml:space="preserve"> </w:t>
      </w:r>
      <w:r w:rsidR="00572C1C" w:rsidRPr="00572C1C">
        <w:rPr>
          <w:rFonts w:ascii="Palatino Linotype" w:hAnsi="Palatino Linotype" w:cs="Palatino Linotype"/>
          <w:color w:val="000000"/>
          <w:szCs w:val="24"/>
        </w:rPr>
        <w:t xml:space="preserve">of </w:t>
      </w:r>
      <w:proofErr w:type="spellStart"/>
      <w:r w:rsidR="00572C1C" w:rsidRPr="00572C1C">
        <w:rPr>
          <w:rFonts w:ascii="Palatino Linotype" w:hAnsi="Palatino Linotype" w:cs="Palatino Linotype"/>
          <w:color w:val="000000"/>
          <w:szCs w:val="24"/>
        </w:rPr>
        <w:t>Entelegent</w:t>
      </w:r>
      <w:proofErr w:type="spellEnd"/>
      <w:r w:rsidR="00572C1C" w:rsidRPr="00572C1C">
        <w:rPr>
          <w:rFonts w:ascii="Palatino Linotype" w:hAnsi="Palatino Linotype" w:cs="Palatino Linotype"/>
          <w:color w:val="000000"/>
          <w:szCs w:val="24"/>
        </w:rPr>
        <w:t xml:space="preserve"> Solutions, Inc.</w:t>
      </w:r>
      <w:r w:rsidR="003C64AF">
        <w:rPr>
          <w:rFonts w:ascii="Palatino Linotype" w:hAnsi="Palatino Linotype" w:cs="Palatino Linotype"/>
          <w:color w:val="000000"/>
          <w:szCs w:val="24"/>
        </w:rPr>
        <w:t>,</w:t>
      </w:r>
      <w:r w:rsidR="00572C1C" w:rsidRPr="00572C1C">
        <w:rPr>
          <w:rFonts w:ascii="Palatino Linotype" w:hAnsi="Palatino Linotype" w:cs="Palatino Linotype"/>
          <w:color w:val="000000"/>
          <w:szCs w:val="24"/>
        </w:rPr>
        <w:t xml:space="preserve"> </w:t>
      </w:r>
      <w:proofErr w:type="spellStart"/>
      <w:r w:rsidR="00572C1C" w:rsidRPr="00572C1C">
        <w:rPr>
          <w:rFonts w:ascii="Palatino Linotype" w:hAnsi="Palatino Linotype" w:cs="Palatino Linotype"/>
          <w:color w:val="000000"/>
          <w:szCs w:val="24"/>
        </w:rPr>
        <w:t>Comtech</w:t>
      </w:r>
      <w:proofErr w:type="spellEnd"/>
      <w:r w:rsidR="00572C1C" w:rsidRPr="00572C1C">
        <w:rPr>
          <w:rFonts w:ascii="Palatino Linotype" w:hAnsi="Palatino Linotype" w:cs="Palatino Linotype"/>
          <w:color w:val="000000"/>
          <w:szCs w:val="24"/>
        </w:rPr>
        <w:t xml:space="preserve"> 21, LLC</w:t>
      </w:r>
      <w:r w:rsidR="00A12C3A">
        <w:rPr>
          <w:rFonts w:ascii="Palatino Linotype" w:hAnsi="Palatino Linotype" w:cs="Palatino Linotype"/>
          <w:color w:val="000000"/>
          <w:szCs w:val="24"/>
        </w:rPr>
        <w:t>,</w:t>
      </w:r>
      <w:r w:rsidR="003C64AF">
        <w:rPr>
          <w:rFonts w:ascii="Palatino Linotype" w:hAnsi="Palatino Linotype" w:cs="Palatino Linotype"/>
          <w:color w:val="000000"/>
          <w:szCs w:val="24"/>
        </w:rPr>
        <w:t xml:space="preserve"> and </w:t>
      </w:r>
      <w:r w:rsidR="003C64AF">
        <w:rPr>
          <w:rFonts w:ascii="Palatino Linotype" w:hAnsi="Palatino Linotype"/>
          <w:szCs w:val="24"/>
        </w:rPr>
        <w:t>Communications Brokers &amp; Consultants</w:t>
      </w:r>
      <w:r w:rsidR="003C64AF" w:rsidRPr="00572C1C">
        <w:rPr>
          <w:rFonts w:ascii="Palatino Linotype" w:hAnsi="Palatino Linotype" w:cs="Palatino Linotype"/>
          <w:color w:val="000000"/>
          <w:szCs w:val="24"/>
        </w:rPr>
        <w:t xml:space="preserve"> </w:t>
      </w:r>
      <w:r w:rsidR="00572C1C" w:rsidRPr="00572C1C">
        <w:rPr>
          <w:rFonts w:ascii="Palatino Linotype" w:hAnsi="Palatino Linotype" w:cs="Palatino Linotype"/>
          <w:color w:val="000000"/>
          <w:szCs w:val="24"/>
        </w:rPr>
        <w:t xml:space="preserve">reasonable. The named carriers </w:t>
      </w:r>
      <w:r w:rsidR="00A12C3A">
        <w:rPr>
          <w:rFonts w:ascii="Palatino Linotype" w:hAnsi="Palatino Linotype" w:cs="Palatino Linotype"/>
          <w:color w:val="000000"/>
          <w:szCs w:val="24"/>
        </w:rPr>
        <w:t>complied</w:t>
      </w:r>
      <w:r w:rsidR="00572C1C" w:rsidRPr="00572C1C">
        <w:rPr>
          <w:rFonts w:ascii="Palatino Linotype" w:hAnsi="Palatino Linotype" w:cs="Palatino Linotype"/>
          <w:color w:val="000000"/>
          <w:szCs w:val="24"/>
        </w:rPr>
        <w:t xml:space="preserve"> with the Commission</w:t>
      </w:r>
      <w:r w:rsidR="00395D62">
        <w:rPr>
          <w:rFonts w:ascii="Palatino Linotype" w:hAnsi="Palatino Linotype" w:cs="Palatino Linotype"/>
          <w:color w:val="000000"/>
          <w:szCs w:val="24"/>
        </w:rPr>
        <w:t>’s</w:t>
      </w:r>
      <w:r w:rsidR="00572C1C" w:rsidRPr="00572C1C">
        <w:rPr>
          <w:rFonts w:ascii="Palatino Linotype" w:hAnsi="Palatino Linotype" w:cs="Palatino Linotype"/>
          <w:color w:val="000000"/>
          <w:szCs w:val="24"/>
        </w:rPr>
        <w:t xml:space="preserve"> regulatory requirements within the period given by Resolution T-17597 and paid the fines imposed shortly after the due date. </w:t>
      </w:r>
      <w:r w:rsidR="00A12C3A">
        <w:rPr>
          <w:rFonts w:ascii="Palatino Linotype" w:hAnsi="Palatino Linotype" w:cs="Palatino Linotype"/>
          <w:color w:val="000000"/>
          <w:szCs w:val="24"/>
        </w:rPr>
        <w:t xml:space="preserve">  To date</w:t>
      </w:r>
      <w:r w:rsidR="00572C1C" w:rsidRPr="00572C1C">
        <w:rPr>
          <w:rFonts w:ascii="Palatino Linotype" w:hAnsi="Palatino Linotype" w:cs="Palatino Linotype"/>
          <w:color w:val="000000"/>
          <w:szCs w:val="24"/>
        </w:rPr>
        <w:t xml:space="preserve">, </w:t>
      </w:r>
      <w:proofErr w:type="spellStart"/>
      <w:r w:rsidR="00572C1C" w:rsidRPr="00572C1C">
        <w:rPr>
          <w:rFonts w:ascii="Palatino Linotype" w:hAnsi="Palatino Linotype" w:cs="Palatino Linotype"/>
          <w:color w:val="000000"/>
          <w:szCs w:val="24"/>
        </w:rPr>
        <w:t>Entelegent</w:t>
      </w:r>
      <w:proofErr w:type="spellEnd"/>
      <w:r w:rsidR="00572C1C" w:rsidRPr="00572C1C">
        <w:rPr>
          <w:rFonts w:ascii="Palatino Linotype" w:hAnsi="Palatino Linotype" w:cs="Palatino Linotype"/>
          <w:color w:val="000000"/>
          <w:szCs w:val="24"/>
        </w:rPr>
        <w:t xml:space="preserve"> Solut</w:t>
      </w:r>
      <w:r w:rsidR="00572C1C">
        <w:rPr>
          <w:rFonts w:ascii="Palatino Linotype" w:hAnsi="Palatino Linotype" w:cs="Palatino Linotype"/>
          <w:color w:val="000000"/>
          <w:szCs w:val="24"/>
        </w:rPr>
        <w:t>ions, Inc.</w:t>
      </w:r>
      <w:r w:rsidR="003C64AF">
        <w:rPr>
          <w:rFonts w:ascii="Palatino Linotype" w:hAnsi="Palatino Linotype" w:cs="Palatino Linotype"/>
          <w:color w:val="000000"/>
          <w:szCs w:val="24"/>
        </w:rPr>
        <w:t xml:space="preserve">, </w:t>
      </w:r>
      <w:proofErr w:type="spellStart"/>
      <w:r w:rsidR="00572C1C">
        <w:rPr>
          <w:rFonts w:ascii="Palatino Linotype" w:hAnsi="Palatino Linotype" w:cs="Palatino Linotype"/>
          <w:color w:val="000000"/>
          <w:szCs w:val="24"/>
        </w:rPr>
        <w:t>Comtech</w:t>
      </w:r>
      <w:proofErr w:type="spellEnd"/>
      <w:r w:rsidR="00572C1C">
        <w:rPr>
          <w:rFonts w:ascii="Palatino Linotype" w:hAnsi="Palatino Linotype" w:cs="Palatino Linotype"/>
          <w:color w:val="000000"/>
          <w:szCs w:val="24"/>
        </w:rPr>
        <w:t xml:space="preserve"> 21, LLC</w:t>
      </w:r>
      <w:r w:rsidR="00A12C3A">
        <w:rPr>
          <w:rFonts w:ascii="Palatino Linotype" w:hAnsi="Palatino Linotype" w:cs="Palatino Linotype"/>
          <w:color w:val="000000"/>
          <w:szCs w:val="24"/>
        </w:rPr>
        <w:t xml:space="preserve">, </w:t>
      </w:r>
      <w:r w:rsidR="003C64AF">
        <w:rPr>
          <w:rFonts w:ascii="Palatino Linotype" w:hAnsi="Palatino Linotype" w:cs="Palatino Linotype"/>
          <w:color w:val="000000"/>
          <w:szCs w:val="24"/>
        </w:rPr>
        <w:t xml:space="preserve">and </w:t>
      </w:r>
      <w:r w:rsidR="003C64AF">
        <w:rPr>
          <w:rFonts w:ascii="Palatino Linotype" w:hAnsi="Palatino Linotype"/>
          <w:szCs w:val="24"/>
        </w:rPr>
        <w:t>Communications Brokers &amp; Consultants</w:t>
      </w:r>
      <w:r w:rsidR="00572C1C">
        <w:rPr>
          <w:rFonts w:ascii="Palatino Linotype" w:hAnsi="Palatino Linotype" w:cs="Palatino Linotype"/>
          <w:color w:val="000000"/>
          <w:szCs w:val="24"/>
        </w:rPr>
        <w:t xml:space="preserve"> </w:t>
      </w:r>
      <w:r w:rsidR="00572C1C" w:rsidRPr="00572C1C">
        <w:rPr>
          <w:rFonts w:ascii="Palatino Linotype" w:hAnsi="Palatino Linotype" w:cs="Palatino Linotype"/>
          <w:color w:val="000000"/>
          <w:szCs w:val="24"/>
        </w:rPr>
        <w:t xml:space="preserve">are in full compliance with Resolution-T17597 provisions. </w:t>
      </w:r>
      <w:r w:rsidR="00572C1C">
        <w:rPr>
          <w:rFonts w:ascii="Palatino Linotype" w:hAnsi="Palatino Linotype" w:cs="Palatino Linotype"/>
          <w:color w:val="000000"/>
          <w:szCs w:val="24"/>
        </w:rPr>
        <w:t xml:space="preserve">Their operating authorities and </w:t>
      </w:r>
      <w:r w:rsidR="001063AF">
        <w:rPr>
          <w:rFonts w:ascii="Palatino Linotype" w:hAnsi="Palatino Linotype" w:cs="Palatino Linotype"/>
          <w:color w:val="000000"/>
          <w:szCs w:val="24"/>
        </w:rPr>
        <w:t>utility identification</w:t>
      </w:r>
      <w:r w:rsidR="00CD068E">
        <w:rPr>
          <w:rFonts w:ascii="Palatino Linotype" w:hAnsi="Palatino Linotype" w:cs="Palatino Linotype"/>
          <w:color w:val="000000"/>
          <w:szCs w:val="24"/>
        </w:rPr>
        <w:t xml:space="preserve"> numbers </w:t>
      </w:r>
      <w:proofErr w:type="gramStart"/>
      <w:r w:rsidR="00CD068E">
        <w:rPr>
          <w:rFonts w:ascii="Palatino Linotype" w:hAnsi="Palatino Linotype" w:cs="Palatino Linotype"/>
          <w:color w:val="000000"/>
          <w:szCs w:val="24"/>
        </w:rPr>
        <w:t>should be reinstated</w:t>
      </w:r>
      <w:proofErr w:type="gramEnd"/>
      <w:r w:rsidR="00CD068E">
        <w:rPr>
          <w:rFonts w:ascii="Palatino Linotype" w:hAnsi="Palatino Linotype" w:cs="Palatino Linotype"/>
          <w:color w:val="000000"/>
          <w:szCs w:val="24"/>
        </w:rPr>
        <w:t>.</w:t>
      </w:r>
    </w:p>
    <w:p w14:paraId="032BC9DC" w14:textId="77777777" w:rsidR="008042C4" w:rsidRPr="008042C4" w:rsidRDefault="008042C4" w:rsidP="008042C4">
      <w:pPr>
        <w:overflowPunct/>
        <w:textAlignment w:val="auto"/>
        <w:rPr>
          <w:rFonts w:ascii="Palatino Linotype" w:hAnsi="Palatino Linotype" w:cs="Palatino Linotype"/>
          <w:color w:val="000000"/>
          <w:szCs w:val="24"/>
        </w:rPr>
      </w:pPr>
    </w:p>
    <w:p w14:paraId="5747E0BA" w14:textId="77777777" w:rsidR="008042C4" w:rsidRPr="00DD5AAF" w:rsidRDefault="008042C4" w:rsidP="008042C4">
      <w:pPr>
        <w:overflowPunct/>
        <w:textAlignment w:val="auto"/>
        <w:rPr>
          <w:rFonts w:ascii="Palatino Linotype" w:hAnsi="Palatino Linotype"/>
          <w:b/>
          <w:bCs/>
          <w:szCs w:val="24"/>
          <w:u w:val="single"/>
        </w:rPr>
      </w:pPr>
      <w:r w:rsidRPr="00DD5AAF">
        <w:rPr>
          <w:rFonts w:ascii="Palatino Linotype" w:hAnsi="Palatino Linotype"/>
          <w:b/>
          <w:bCs/>
          <w:szCs w:val="24"/>
          <w:u w:val="single"/>
        </w:rPr>
        <w:t xml:space="preserve">COMMENTS ON THE DRAFT RESOLUTION </w:t>
      </w:r>
    </w:p>
    <w:p w14:paraId="1759D3E7" w14:textId="77777777" w:rsidR="007F0B43" w:rsidRDefault="007F0B43" w:rsidP="008042C4">
      <w:pPr>
        <w:overflowPunct/>
        <w:textAlignment w:val="auto"/>
        <w:rPr>
          <w:rFonts w:ascii="Palatino Linotype" w:hAnsi="Palatino Linotype"/>
          <w:b/>
          <w:bCs/>
          <w:sz w:val="23"/>
          <w:szCs w:val="23"/>
          <w:u w:val="single"/>
        </w:rPr>
      </w:pPr>
    </w:p>
    <w:p w14:paraId="73F61AA0" w14:textId="768CC386" w:rsidR="00CA337D" w:rsidRDefault="00CA337D" w:rsidP="00CA337D">
      <w:r w:rsidRPr="00964B20">
        <w:t xml:space="preserve">In compliance with Public Utilities Code § 311 (g), the Commission on </w:t>
      </w:r>
      <w:r>
        <w:t xml:space="preserve">May 22, 2018 </w:t>
      </w:r>
      <w:r w:rsidRPr="00964B20">
        <w:t>provided notice to all telephone carriers that this draft Resolution is available at the Commission’s website</w:t>
      </w:r>
      <w:r w:rsidR="0093486C">
        <w:t xml:space="preserve"> </w:t>
      </w:r>
      <w:hyperlink r:id="rId10" w:history="1">
        <w:r w:rsidR="0093486C" w:rsidRPr="000B0665">
          <w:rPr>
            <w:rStyle w:val="Hyperlink"/>
          </w:rPr>
          <w:t>http://www.cpu.ca.gov/</w:t>
        </w:r>
      </w:hyperlink>
      <w:r w:rsidRPr="00964B20">
        <w:t xml:space="preserve"> and is available for public comment. Additionally, C</w:t>
      </w:r>
      <w:r>
        <w:t xml:space="preserve">ommunications Division </w:t>
      </w:r>
      <w:r w:rsidRPr="00964B20">
        <w:t>informed these parties of the availability of the conformed resolution at the same website.</w:t>
      </w:r>
    </w:p>
    <w:p w14:paraId="43685D57" w14:textId="77777777" w:rsidR="00CA337D" w:rsidRDefault="00CA337D" w:rsidP="00CA337D"/>
    <w:p w14:paraId="15D1BE21" w14:textId="6C8FE9A7" w:rsidR="00CA337D" w:rsidRDefault="00CA337D" w:rsidP="00CA337D">
      <w:pPr>
        <w:tabs>
          <w:tab w:val="left" w:pos="-1440"/>
          <w:tab w:val="left" w:pos="-720"/>
        </w:tabs>
        <w:suppressAutoHyphens/>
      </w:pPr>
      <w:r w:rsidRPr="00964B20">
        <w:t>Notice of Draft Resoluti</w:t>
      </w:r>
      <w:r w:rsidRPr="00633050">
        <w:t>on T-</w:t>
      </w:r>
      <w:r w:rsidR="00331672">
        <w:t xml:space="preserve"> 17620 </w:t>
      </w:r>
      <w:proofErr w:type="gramStart"/>
      <w:r w:rsidRPr="00633050">
        <w:t>was published</w:t>
      </w:r>
      <w:proofErr w:type="gramEnd"/>
      <w:r w:rsidRPr="00633050">
        <w:t xml:space="preserve"> in the Commission Daily Calendar on</w:t>
      </w:r>
      <w:r>
        <w:t xml:space="preserve"> </w:t>
      </w:r>
      <w:r w:rsidR="00EC66BD">
        <w:t>May</w:t>
      </w:r>
      <w:r w:rsidR="00C52B85">
        <w:t xml:space="preserve"> 22</w:t>
      </w:r>
      <w:r>
        <w:t>, 2018</w:t>
      </w:r>
      <w:r w:rsidRPr="00633050">
        <w:t>.</w:t>
      </w:r>
    </w:p>
    <w:p w14:paraId="39EEF89F" w14:textId="77777777" w:rsidR="00CA337D" w:rsidRDefault="00CA337D" w:rsidP="008042C4">
      <w:pPr>
        <w:overflowPunct/>
        <w:textAlignment w:val="auto"/>
        <w:rPr>
          <w:rFonts w:ascii="Palatino Linotype" w:hAnsi="Palatino Linotype"/>
          <w:b/>
          <w:bCs/>
          <w:sz w:val="23"/>
          <w:szCs w:val="23"/>
          <w:u w:val="single"/>
        </w:rPr>
      </w:pPr>
    </w:p>
    <w:p w14:paraId="2B8B2588" w14:textId="7BF720D8" w:rsidR="00830D59" w:rsidRDefault="00830D59" w:rsidP="00830D59">
      <w:pPr>
        <w:rPr>
          <w:rFonts w:ascii="Palatino Linotype" w:hAnsi="Palatino Linotype"/>
          <w:b/>
          <w:szCs w:val="24"/>
          <w:u w:val="single"/>
        </w:rPr>
      </w:pPr>
      <w:r w:rsidRPr="00E055CA">
        <w:rPr>
          <w:rFonts w:ascii="Palatino Linotype" w:hAnsi="Palatino Linotype"/>
          <w:b/>
          <w:szCs w:val="24"/>
          <w:u w:val="single"/>
        </w:rPr>
        <w:t>FINDINGS AND CONCLUSIONS</w:t>
      </w:r>
    </w:p>
    <w:p w14:paraId="52B40B42" w14:textId="6020C881" w:rsidR="00830D59" w:rsidRDefault="00830D59" w:rsidP="00830D59">
      <w:pPr>
        <w:rPr>
          <w:rFonts w:ascii="Palatino Linotype" w:hAnsi="Palatino Linotype"/>
          <w:b/>
          <w:szCs w:val="24"/>
          <w:u w:val="single"/>
        </w:rPr>
      </w:pPr>
    </w:p>
    <w:p w14:paraId="64B8DB6C" w14:textId="51C8B5FC" w:rsidR="00830D59" w:rsidRPr="006B38F3" w:rsidRDefault="00830D59" w:rsidP="0093486C">
      <w:pPr>
        <w:pStyle w:val="ListParagraph"/>
        <w:numPr>
          <w:ilvl w:val="0"/>
          <w:numId w:val="15"/>
        </w:numPr>
        <w:spacing w:after="0" w:line="240" w:lineRule="auto"/>
        <w:rPr>
          <w:rFonts w:ascii="Palatino Linotype" w:hAnsi="Palatino Linotype"/>
          <w:sz w:val="24"/>
          <w:szCs w:val="24"/>
        </w:rPr>
      </w:pPr>
      <w:r w:rsidRPr="006B38F3">
        <w:rPr>
          <w:rFonts w:ascii="Palatino Linotype" w:hAnsi="Palatino Linotype"/>
          <w:sz w:val="24"/>
          <w:szCs w:val="24"/>
        </w:rPr>
        <w:t>Resolution T-17597 imposed fines on</w:t>
      </w:r>
      <w:r w:rsidR="006B38F3" w:rsidRPr="006B38F3">
        <w:rPr>
          <w:rFonts w:ascii="Palatino Linotype" w:hAnsi="Palatino Linotype"/>
          <w:sz w:val="24"/>
          <w:szCs w:val="24"/>
        </w:rPr>
        <w:t xml:space="preserve"> forty-two (42)</w:t>
      </w:r>
      <w:r w:rsidRPr="006B38F3">
        <w:rPr>
          <w:rFonts w:ascii="Palatino Linotype" w:hAnsi="Palatino Linotype"/>
          <w:sz w:val="24"/>
          <w:szCs w:val="24"/>
        </w:rPr>
        <w:t xml:space="preserve"> </w:t>
      </w:r>
      <w:proofErr w:type="spellStart"/>
      <w:r w:rsidRPr="006B38F3">
        <w:rPr>
          <w:rFonts w:ascii="Palatino Linotype" w:hAnsi="Palatino Linotype"/>
          <w:sz w:val="24"/>
          <w:szCs w:val="24"/>
        </w:rPr>
        <w:t>wireline</w:t>
      </w:r>
      <w:proofErr w:type="spellEnd"/>
      <w:r w:rsidRPr="006B38F3">
        <w:rPr>
          <w:rFonts w:ascii="Palatino Linotype" w:hAnsi="Palatino Linotype"/>
          <w:sz w:val="24"/>
          <w:szCs w:val="24"/>
        </w:rPr>
        <w:t xml:space="preserve"> telephone corporations </w:t>
      </w:r>
      <w:r w:rsidR="006B38F3" w:rsidRPr="006B38F3">
        <w:rPr>
          <w:rFonts w:ascii="Palatino Linotype" w:hAnsi="Palatino Linotype"/>
          <w:sz w:val="24"/>
          <w:szCs w:val="24"/>
        </w:rPr>
        <w:t>who were non-compliant with the user fee, surcharge</w:t>
      </w:r>
      <w:r w:rsidR="00BF16BC">
        <w:rPr>
          <w:rFonts w:ascii="Palatino Linotype" w:hAnsi="Palatino Linotype"/>
          <w:sz w:val="24"/>
          <w:szCs w:val="24"/>
        </w:rPr>
        <w:t>,</w:t>
      </w:r>
      <w:r w:rsidR="006B38F3" w:rsidRPr="006B38F3">
        <w:rPr>
          <w:rFonts w:ascii="Palatino Linotype" w:hAnsi="Palatino Linotype"/>
          <w:sz w:val="24"/>
          <w:szCs w:val="24"/>
        </w:rPr>
        <w:t xml:space="preserve"> and performance bond requirements </w:t>
      </w:r>
      <w:r w:rsidR="006B38F3" w:rsidRPr="00BF16BC">
        <w:rPr>
          <w:rFonts w:ascii="Palatino Linotype" w:hAnsi="Palatino Linotype"/>
          <w:sz w:val="24"/>
          <w:szCs w:val="24"/>
        </w:rPr>
        <w:t xml:space="preserve">and revoked the </w:t>
      </w:r>
      <w:r w:rsidR="00941195" w:rsidRPr="00BF16BC">
        <w:rPr>
          <w:rFonts w:ascii="Palatino Linotype" w:hAnsi="Palatino Linotype"/>
          <w:sz w:val="24"/>
          <w:szCs w:val="24"/>
        </w:rPr>
        <w:t>Certificate of Public Convenience Necessity (CPCN) and/or registration license (</w:t>
      </w:r>
      <w:r w:rsidR="006B38F3" w:rsidRPr="00BF16BC">
        <w:rPr>
          <w:rFonts w:ascii="Palatino Linotype" w:hAnsi="Palatino Linotype"/>
          <w:sz w:val="24"/>
          <w:szCs w:val="24"/>
        </w:rPr>
        <w:t>o</w:t>
      </w:r>
      <w:r w:rsidR="00941195" w:rsidRPr="00BF16BC">
        <w:rPr>
          <w:rFonts w:ascii="Palatino Linotype" w:hAnsi="Palatino Linotype"/>
          <w:sz w:val="24"/>
          <w:szCs w:val="24"/>
        </w:rPr>
        <w:t>perating authority</w:t>
      </w:r>
      <w:r w:rsidR="00941195">
        <w:rPr>
          <w:rFonts w:ascii="Palatino Linotype" w:hAnsi="Palatino Linotype"/>
          <w:sz w:val="24"/>
          <w:szCs w:val="24"/>
        </w:rPr>
        <w:t>)</w:t>
      </w:r>
      <w:r w:rsidR="006B38F3" w:rsidRPr="006B38F3">
        <w:rPr>
          <w:rFonts w:ascii="Palatino Linotype" w:hAnsi="Palatino Linotype"/>
          <w:sz w:val="24"/>
          <w:szCs w:val="24"/>
        </w:rPr>
        <w:t xml:space="preserve"> </w:t>
      </w:r>
      <w:r w:rsidR="008207B6">
        <w:rPr>
          <w:rFonts w:ascii="Palatino Linotype" w:hAnsi="Palatino Linotype"/>
          <w:sz w:val="24"/>
          <w:szCs w:val="24"/>
        </w:rPr>
        <w:t xml:space="preserve">of </w:t>
      </w:r>
      <w:proofErr w:type="spellStart"/>
      <w:r w:rsidR="006B38F3" w:rsidRPr="006B38F3">
        <w:rPr>
          <w:rFonts w:ascii="Palatino Linotype" w:hAnsi="Palatino Linotype"/>
          <w:sz w:val="24"/>
          <w:szCs w:val="24"/>
        </w:rPr>
        <w:t>wireline</w:t>
      </w:r>
      <w:proofErr w:type="spellEnd"/>
      <w:r w:rsidR="006B38F3" w:rsidRPr="006B38F3">
        <w:rPr>
          <w:rFonts w:ascii="Palatino Linotype" w:hAnsi="Palatino Linotype"/>
          <w:sz w:val="24"/>
          <w:szCs w:val="24"/>
        </w:rPr>
        <w:t xml:space="preserve"> carriers who failed to complete all requirements and pay the fine within 30 days</w:t>
      </w:r>
      <w:r w:rsidR="008207B6">
        <w:rPr>
          <w:rFonts w:ascii="Palatino Linotype" w:hAnsi="Palatino Linotype"/>
          <w:sz w:val="24"/>
          <w:szCs w:val="24"/>
        </w:rPr>
        <w:t xml:space="preserve"> from the effective date of the Resolution</w:t>
      </w:r>
      <w:r w:rsidR="006B38F3" w:rsidRPr="006B38F3">
        <w:rPr>
          <w:rFonts w:ascii="Palatino Linotype" w:hAnsi="Palatino Linotype"/>
          <w:sz w:val="24"/>
          <w:szCs w:val="24"/>
        </w:rPr>
        <w:t>.</w:t>
      </w:r>
    </w:p>
    <w:p w14:paraId="26137C0D" w14:textId="77777777" w:rsidR="006B38F3" w:rsidRPr="006B38F3" w:rsidRDefault="006B38F3" w:rsidP="006B38F3">
      <w:pPr>
        <w:pStyle w:val="ListParagraph"/>
        <w:rPr>
          <w:rFonts w:ascii="Palatino Linotype" w:hAnsi="Palatino Linotype"/>
          <w:sz w:val="24"/>
          <w:szCs w:val="24"/>
        </w:rPr>
      </w:pPr>
    </w:p>
    <w:p w14:paraId="3E13718E" w14:textId="12A690DA" w:rsidR="006B38F3" w:rsidRPr="006B38F3" w:rsidRDefault="008207B6" w:rsidP="0093486C">
      <w:pPr>
        <w:pStyle w:val="ListParagraph"/>
        <w:numPr>
          <w:ilvl w:val="0"/>
          <w:numId w:val="15"/>
        </w:numPr>
        <w:spacing w:after="0" w:line="240" w:lineRule="auto"/>
        <w:rPr>
          <w:rFonts w:ascii="Palatino Linotype" w:hAnsi="Palatino Linotype"/>
          <w:sz w:val="24"/>
          <w:szCs w:val="24"/>
        </w:rPr>
      </w:pPr>
      <w:r>
        <w:rPr>
          <w:rFonts w:ascii="Palatino Linotype" w:hAnsi="Palatino Linotype"/>
          <w:sz w:val="24"/>
          <w:szCs w:val="24"/>
        </w:rPr>
        <w:lastRenderedPageBreak/>
        <w:t xml:space="preserve"> </w:t>
      </w:r>
      <w:r w:rsidR="00455ED6">
        <w:rPr>
          <w:rFonts w:ascii="Palatino Linotype" w:hAnsi="Palatino Linotype"/>
          <w:sz w:val="24"/>
          <w:szCs w:val="24"/>
        </w:rPr>
        <w:t>Some</w:t>
      </w:r>
      <w:r w:rsidR="006B38F3" w:rsidRPr="006B38F3">
        <w:rPr>
          <w:rFonts w:ascii="Palatino Linotype" w:hAnsi="Palatino Linotype"/>
          <w:sz w:val="24"/>
          <w:szCs w:val="24"/>
        </w:rPr>
        <w:t xml:space="preserve"> </w:t>
      </w:r>
      <w:proofErr w:type="spellStart"/>
      <w:r w:rsidR="00455ED6">
        <w:rPr>
          <w:rFonts w:ascii="Palatino Linotype" w:hAnsi="Palatino Linotype"/>
          <w:sz w:val="24"/>
          <w:szCs w:val="24"/>
        </w:rPr>
        <w:t>w</w:t>
      </w:r>
      <w:r w:rsidR="00455ED6" w:rsidRPr="006B38F3">
        <w:rPr>
          <w:rFonts w:ascii="Palatino Linotype" w:hAnsi="Palatino Linotype"/>
          <w:sz w:val="24"/>
          <w:szCs w:val="24"/>
        </w:rPr>
        <w:t>ireline</w:t>
      </w:r>
      <w:proofErr w:type="spellEnd"/>
      <w:r w:rsidR="00455ED6" w:rsidRPr="006B38F3">
        <w:rPr>
          <w:rFonts w:ascii="Palatino Linotype" w:hAnsi="Palatino Linotype"/>
          <w:sz w:val="24"/>
          <w:szCs w:val="24"/>
        </w:rPr>
        <w:t xml:space="preserve"> </w:t>
      </w:r>
      <w:r w:rsidR="006B38F3" w:rsidRPr="006B38F3">
        <w:rPr>
          <w:rFonts w:ascii="Palatino Linotype" w:hAnsi="Palatino Linotype"/>
          <w:sz w:val="24"/>
          <w:szCs w:val="24"/>
        </w:rPr>
        <w:t>carriers listed in Resolution T-17597</w:t>
      </w:r>
      <w:r w:rsidR="00CB4C7F">
        <w:rPr>
          <w:rFonts w:ascii="Palatino Linotype" w:hAnsi="Palatino Linotype"/>
          <w:sz w:val="24"/>
          <w:szCs w:val="24"/>
        </w:rPr>
        <w:t xml:space="preserve"> had</w:t>
      </w:r>
      <w:r w:rsidR="006B38F3" w:rsidRPr="006B38F3">
        <w:rPr>
          <w:rFonts w:ascii="Palatino Linotype" w:hAnsi="Palatino Linotype"/>
          <w:sz w:val="24"/>
          <w:szCs w:val="24"/>
        </w:rPr>
        <w:t xml:space="preserve"> completed the regulatory requirements but failed to pay the fine before the 30th day of the effective date of the Resolution</w:t>
      </w:r>
      <w:r w:rsidR="0074027C">
        <w:rPr>
          <w:rFonts w:ascii="Palatino Linotype" w:hAnsi="Palatino Linotype"/>
          <w:sz w:val="24"/>
          <w:szCs w:val="24"/>
        </w:rPr>
        <w:t xml:space="preserve"> (April 26, 2018)</w:t>
      </w:r>
      <w:r w:rsidR="006B38F3" w:rsidRPr="006B38F3">
        <w:rPr>
          <w:rFonts w:ascii="Palatino Linotype" w:hAnsi="Palatino Linotype"/>
          <w:sz w:val="24"/>
          <w:szCs w:val="24"/>
        </w:rPr>
        <w:t>.</w:t>
      </w:r>
      <w:r w:rsidR="001A66F9">
        <w:rPr>
          <w:rFonts w:ascii="Palatino Linotype" w:hAnsi="Palatino Linotype"/>
          <w:sz w:val="24"/>
          <w:szCs w:val="24"/>
        </w:rPr>
        <w:t xml:space="preserve"> </w:t>
      </w:r>
    </w:p>
    <w:p w14:paraId="23538278" w14:textId="77777777" w:rsidR="006B38F3" w:rsidRPr="006B38F3" w:rsidRDefault="006B38F3" w:rsidP="006B38F3">
      <w:pPr>
        <w:pStyle w:val="ListParagraph"/>
        <w:rPr>
          <w:rFonts w:ascii="Palatino Linotype" w:hAnsi="Palatino Linotype"/>
          <w:sz w:val="24"/>
          <w:szCs w:val="24"/>
        </w:rPr>
      </w:pPr>
    </w:p>
    <w:p w14:paraId="3BD63246" w14:textId="1B0FBEC9" w:rsidR="006B38F3" w:rsidRPr="003C64AF" w:rsidRDefault="0093486C" w:rsidP="0093486C">
      <w:pPr>
        <w:pStyle w:val="ListParagraph"/>
        <w:numPr>
          <w:ilvl w:val="0"/>
          <w:numId w:val="15"/>
        </w:numPr>
        <w:spacing w:after="0" w:line="240" w:lineRule="auto"/>
        <w:rPr>
          <w:rFonts w:ascii="Palatino Linotype" w:hAnsi="Palatino Linotype"/>
          <w:sz w:val="24"/>
          <w:szCs w:val="24"/>
        </w:rPr>
      </w:pPr>
      <w:proofErr w:type="spellStart"/>
      <w:r w:rsidRPr="00A12C3A">
        <w:rPr>
          <w:rFonts w:ascii="Palatino Linotype" w:hAnsi="Palatino Linotype" w:cs="Palatino Linotype"/>
          <w:color w:val="000000"/>
          <w:sz w:val="24"/>
          <w:szCs w:val="24"/>
        </w:rPr>
        <w:t>Entelegent</w:t>
      </w:r>
      <w:proofErr w:type="spellEnd"/>
      <w:r w:rsidRPr="00A12C3A">
        <w:rPr>
          <w:rFonts w:ascii="Palatino Linotype" w:hAnsi="Palatino Linotype" w:cs="Palatino Linotype"/>
          <w:color w:val="000000"/>
          <w:sz w:val="24"/>
          <w:szCs w:val="24"/>
        </w:rPr>
        <w:t xml:space="preserve"> Solutions, Inc.</w:t>
      </w:r>
      <w:r w:rsidR="003C64AF" w:rsidRPr="00A12C3A">
        <w:rPr>
          <w:rFonts w:ascii="Palatino Linotype" w:hAnsi="Palatino Linotype" w:cs="Palatino Linotype"/>
          <w:color w:val="000000"/>
          <w:sz w:val="24"/>
          <w:szCs w:val="24"/>
        </w:rPr>
        <w:t>,</w:t>
      </w:r>
      <w:r w:rsidRPr="00A12C3A">
        <w:rPr>
          <w:rFonts w:ascii="Palatino Linotype" w:hAnsi="Palatino Linotype" w:cs="Palatino Linotype"/>
          <w:color w:val="000000"/>
          <w:sz w:val="24"/>
          <w:szCs w:val="24"/>
        </w:rPr>
        <w:t xml:space="preserve"> </w:t>
      </w:r>
      <w:proofErr w:type="spellStart"/>
      <w:r w:rsidRPr="00A12C3A">
        <w:rPr>
          <w:rFonts w:ascii="Palatino Linotype" w:hAnsi="Palatino Linotype" w:cs="Palatino Linotype"/>
          <w:color w:val="000000"/>
          <w:sz w:val="24"/>
          <w:szCs w:val="24"/>
        </w:rPr>
        <w:t>Comtech</w:t>
      </w:r>
      <w:proofErr w:type="spellEnd"/>
      <w:r w:rsidRPr="00A12C3A">
        <w:rPr>
          <w:rFonts w:ascii="Palatino Linotype" w:hAnsi="Palatino Linotype" w:cs="Palatino Linotype"/>
          <w:color w:val="000000"/>
          <w:sz w:val="24"/>
          <w:szCs w:val="24"/>
        </w:rPr>
        <w:t xml:space="preserve"> 21, LLC</w:t>
      </w:r>
      <w:r w:rsidR="00A12C3A">
        <w:rPr>
          <w:rFonts w:ascii="Palatino Linotype" w:hAnsi="Palatino Linotype" w:cs="Palatino Linotype"/>
          <w:color w:val="000000"/>
          <w:sz w:val="24"/>
          <w:szCs w:val="24"/>
        </w:rPr>
        <w:t>,</w:t>
      </w:r>
      <w:r w:rsidR="003C64AF" w:rsidRPr="00A12C3A">
        <w:rPr>
          <w:rFonts w:ascii="Palatino Linotype" w:hAnsi="Palatino Linotype" w:cs="Palatino Linotype"/>
          <w:color w:val="000000"/>
          <w:sz w:val="24"/>
          <w:szCs w:val="24"/>
        </w:rPr>
        <w:t xml:space="preserve"> and </w:t>
      </w:r>
      <w:r w:rsidR="003C64AF" w:rsidRPr="00A12C3A">
        <w:rPr>
          <w:rFonts w:ascii="Palatino Linotype" w:hAnsi="Palatino Linotype"/>
          <w:sz w:val="24"/>
          <w:szCs w:val="24"/>
        </w:rPr>
        <w:t>Communications Brokers &amp; Consultants</w:t>
      </w:r>
      <w:r w:rsidRPr="00A12C3A">
        <w:rPr>
          <w:rFonts w:ascii="Palatino Linotype" w:hAnsi="Palatino Linotype" w:cs="Palatino Linotype"/>
          <w:color w:val="000000"/>
          <w:sz w:val="24"/>
          <w:szCs w:val="24"/>
        </w:rPr>
        <w:t xml:space="preserve"> </w:t>
      </w:r>
      <w:r w:rsidR="006B38F3" w:rsidRPr="003C64AF">
        <w:rPr>
          <w:rFonts w:ascii="Palatino Linotype" w:hAnsi="Palatino Linotype"/>
          <w:sz w:val="24"/>
          <w:szCs w:val="24"/>
        </w:rPr>
        <w:t>pa</w:t>
      </w:r>
      <w:r w:rsidR="00B4053B" w:rsidRPr="003C64AF">
        <w:rPr>
          <w:rFonts w:ascii="Palatino Linotype" w:hAnsi="Palatino Linotype"/>
          <w:sz w:val="24"/>
          <w:szCs w:val="24"/>
        </w:rPr>
        <w:t>id</w:t>
      </w:r>
      <w:r w:rsidR="006B38F3" w:rsidRPr="003C64AF">
        <w:rPr>
          <w:rFonts w:ascii="Palatino Linotype" w:hAnsi="Palatino Linotype"/>
          <w:sz w:val="24"/>
          <w:szCs w:val="24"/>
        </w:rPr>
        <w:t xml:space="preserve"> the fine</w:t>
      </w:r>
      <w:r w:rsidR="00CB4C7F">
        <w:rPr>
          <w:rFonts w:ascii="Palatino Linotype" w:hAnsi="Palatino Linotype"/>
          <w:sz w:val="24"/>
          <w:szCs w:val="24"/>
        </w:rPr>
        <w:t xml:space="preserve"> imposed by R</w:t>
      </w:r>
      <w:r w:rsidR="0074027C">
        <w:rPr>
          <w:rFonts w:ascii="Palatino Linotype" w:hAnsi="Palatino Linotype"/>
          <w:sz w:val="24"/>
          <w:szCs w:val="24"/>
        </w:rPr>
        <w:t>e</w:t>
      </w:r>
      <w:r w:rsidR="00CB4C7F">
        <w:rPr>
          <w:rFonts w:ascii="Palatino Linotype" w:hAnsi="Palatino Linotype"/>
          <w:sz w:val="24"/>
          <w:szCs w:val="24"/>
        </w:rPr>
        <w:t>solution T-17597</w:t>
      </w:r>
      <w:r w:rsidR="00B4053B" w:rsidRPr="003C64AF">
        <w:rPr>
          <w:rFonts w:ascii="Palatino Linotype" w:hAnsi="Palatino Linotype"/>
          <w:sz w:val="24"/>
          <w:szCs w:val="24"/>
        </w:rPr>
        <w:t xml:space="preserve">, and therefore, </w:t>
      </w:r>
      <w:r w:rsidR="006B38F3" w:rsidRPr="003C64AF">
        <w:rPr>
          <w:rFonts w:ascii="Palatino Linotype" w:hAnsi="Palatino Linotype"/>
          <w:sz w:val="24"/>
          <w:szCs w:val="24"/>
        </w:rPr>
        <w:t xml:space="preserve">became in full compliance </w:t>
      </w:r>
      <w:r w:rsidR="00CB4C7F">
        <w:rPr>
          <w:rFonts w:ascii="Palatino Linotype" w:hAnsi="Palatino Linotype"/>
          <w:sz w:val="24"/>
          <w:szCs w:val="24"/>
        </w:rPr>
        <w:t>by May 11</w:t>
      </w:r>
      <w:r w:rsidR="00B4053B" w:rsidRPr="003C64AF">
        <w:rPr>
          <w:rFonts w:ascii="Palatino Linotype" w:hAnsi="Palatino Linotype"/>
          <w:sz w:val="24"/>
          <w:szCs w:val="24"/>
        </w:rPr>
        <w:t>, 2018.</w:t>
      </w:r>
    </w:p>
    <w:p w14:paraId="2B10A72C" w14:textId="77777777" w:rsidR="006B38F3" w:rsidRPr="003C64AF" w:rsidRDefault="006B38F3" w:rsidP="00A12C3A">
      <w:pPr>
        <w:pStyle w:val="ListParagraph"/>
        <w:spacing w:after="0" w:line="240" w:lineRule="auto"/>
        <w:rPr>
          <w:rFonts w:ascii="Palatino Linotype" w:hAnsi="Palatino Linotype"/>
          <w:sz w:val="24"/>
          <w:szCs w:val="24"/>
        </w:rPr>
      </w:pPr>
    </w:p>
    <w:p w14:paraId="62106C1E" w14:textId="1F0C4084" w:rsidR="006B38F3" w:rsidRPr="003C64AF" w:rsidRDefault="00941195" w:rsidP="00A12C3A">
      <w:pPr>
        <w:pStyle w:val="ListParagraph"/>
        <w:numPr>
          <w:ilvl w:val="0"/>
          <w:numId w:val="15"/>
        </w:numPr>
        <w:spacing w:after="0" w:line="240" w:lineRule="auto"/>
        <w:rPr>
          <w:rFonts w:ascii="Palatino Linotype" w:hAnsi="Palatino Linotype"/>
          <w:sz w:val="24"/>
          <w:szCs w:val="24"/>
        </w:rPr>
      </w:pPr>
      <w:r w:rsidRPr="003C64AF">
        <w:rPr>
          <w:rFonts w:ascii="Palatino Linotype" w:hAnsi="Palatino Linotype"/>
          <w:sz w:val="24"/>
          <w:szCs w:val="24"/>
        </w:rPr>
        <w:t>The operating authorit</w:t>
      </w:r>
      <w:r w:rsidR="0093486C" w:rsidRPr="003C64AF">
        <w:rPr>
          <w:rFonts w:ascii="Palatino Linotype" w:hAnsi="Palatino Linotype"/>
          <w:sz w:val="24"/>
          <w:szCs w:val="24"/>
        </w:rPr>
        <w:t>ies</w:t>
      </w:r>
      <w:r w:rsidR="006B38F3" w:rsidRPr="003C64AF">
        <w:rPr>
          <w:rFonts w:ascii="Palatino Linotype" w:hAnsi="Palatino Linotype"/>
          <w:sz w:val="24"/>
          <w:szCs w:val="24"/>
        </w:rPr>
        <w:t xml:space="preserve"> of </w:t>
      </w:r>
      <w:proofErr w:type="spellStart"/>
      <w:r w:rsidR="0093486C" w:rsidRPr="00A12C3A">
        <w:rPr>
          <w:rFonts w:ascii="Palatino Linotype" w:hAnsi="Palatino Linotype" w:cs="Palatino Linotype"/>
          <w:color w:val="000000"/>
          <w:sz w:val="24"/>
          <w:szCs w:val="24"/>
        </w:rPr>
        <w:t>Entelegent</w:t>
      </w:r>
      <w:proofErr w:type="spellEnd"/>
      <w:r w:rsidR="0093486C" w:rsidRPr="00A12C3A">
        <w:rPr>
          <w:rFonts w:ascii="Palatino Linotype" w:hAnsi="Palatino Linotype" w:cs="Palatino Linotype"/>
          <w:color w:val="000000"/>
          <w:sz w:val="24"/>
          <w:szCs w:val="24"/>
        </w:rPr>
        <w:t xml:space="preserve"> Solutions, Inc.</w:t>
      </w:r>
      <w:r w:rsidR="003C64AF" w:rsidRPr="00A12C3A">
        <w:rPr>
          <w:rFonts w:ascii="Palatino Linotype" w:hAnsi="Palatino Linotype" w:cs="Palatino Linotype"/>
          <w:color w:val="000000"/>
          <w:sz w:val="24"/>
          <w:szCs w:val="24"/>
        </w:rPr>
        <w:t>,</w:t>
      </w:r>
      <w:r w:rsidR="0093486C" w:rsidRPr="00A12C3A">
        <w:rPr>
          <w:rFonts w:ascii="Palatino Linotype" w:hAnsi="Palatino Linotype" w:cs="Palatino Linotype"/>
          <w:color w:val="000000"/>
          <w:sz w:val="24"/>
          <w:szCs w:val="24"/>
        </w:rPr>
        <w:t xml:space="preserve"> </w:t>
      </w:r>
      <w:proofErr w:type="spellStart"/>
      <w:r w:rsidR="0093486C" w:rsidRPr="00A12C3A">
        <w:rPr>
          <w:rFonts w:ascii="Palatino Linotype" w:hAnsi="Palatino Linotype" w:cs="Palatino Linotype"/>
          <w:color w:val="000000"/>
          <w:sz w:val="24"/>
          <w:szCs w:val="24"/>
        </w:rPr>
        <w:t>Comtech</w:t>
      </w:r>
      <w:proofErr w:type="spellEnd"/>
      <w:r w:rsidR="0093486C" w:rsidRPr="00A12C3A">
        <w:rPr>
          <w:rFonts w:ascii="Palatino Linotype" w:hAnsi="Palatino Linotype" w:cs="Palatino Linotype"/>
          <w:color w:val="000000"/>
          <w:sz w:val="24"/>
          <w:szCs w:val="24"/>
        </w:rPr>
        <w:t xml:space="preserve"> 21, LLC</w:t>
      </w:r>
      <w:r w:rsidR="00C80771">
        <w:rPr>
          <w:rFonts w:ascii="Palatino Linotype" w:hAnsi="Palatino Linotype" w:cs="Palatino Linotype"/>
          <w:color w:val="000000"/>
          <w:sz w:val="24"/>
          <w:szCs w:val="24"/>
        </w:rPr>
        <w:t>,</w:t>
      </w:r>
      <w:r w:rsidR="0093486C" w:rsidRPr="003C64AF" w:rsidDel="0093486C">
        <w:rPr>
          <w:rFonts w:ascii="Palatino Linotype" w:hAnsi="Palatino Linotype"/>
          <w:sz w:val="24"/>
          <w:szCs w:val="24"/>
        </w:rPr>
        <w:t xml:space="preserve"> </w:t>
      </w:r>
      <w:r w:rsidR="003C64AF" w:rsidRPr="003C64AF">
        <w:rPr>
          <w:rFonts w:ascii="Palatino Linotype" w:hAnsi="Palatino Linotype"/>
          <w:sz w:val="24"/>
          <w:szCs w:val="24"/>
        </w:rPr>
        <w:t xml:space="preserve">and </w:t>
      </w:r>
      <w:r w:rsidR="003C64AF" w:rsidRPr="00A12C3A">
        <w:rPr>
          <w:rFonts w:ascii="Palatino Linotype" w:hAnsi="Palatino Linotype"/>
          <w:sz w:val="24"/>
          <w:szCs w:val="24"/>
        </w:rPr>
        <w:t>Communications Brokers &amp; Consultants</w:t>
      </w:r>
      <w:r w:rsidR="003C64AF" w:rsidRPr="003C64AF" w:rsidDel="0093486C">
        <w:rPr>
          <w:rFonts w:ascii="Palatino Linotype" w:hAnsi="Palatino Linotype"/>
          <w:sz w:val="24"/>
          <w:szCs w:val="24"/>
        </w:rPr>
        <w:t xml:space="preserve"> </w:t>
      </w:r>
      <w:proofErr w:type="gramStart"/>
      <w:r w:rsidRPr="003C64AF">
        <w:rPr>
          <w:rFonts w:ascii="Palatino Linotype" w:hAnsi="Palatino Linotype"/>
          <w:sz w:val="24"/>
          <w:szCs w:val="24"/>
        </w:rPr>
        <w:t>should be reinstated</w:t>
      </w:r>
      <w:proofErr w:type="gramEnd"/>
      <w:r w:rsidRPr="003C64AF">
        <w:rPr>
          <w:rFonts w:ascii="Palatino Linotype" w:hAnsi="Palatino Linotype"/>
          <w:sz w:val="24"/>
          <w:szCs w:val="24"/>
        </w:rPr>
        <w:t>.</w:t>
      </w:r>
    </w:p>
    <w:p w14:paraId="484D08C0" w14:textId="4E558A49" w:rsidR="00830D59" w:rsidRDefault="00830D59" w:rsidP="00830D59">
      <w:pPr>
        <w:rPr>
          <w:rFonts w:ascii="Palatino Linotype" w:hAnsi="Palatino Linotype"/>
          <w:b/>
          <w:szCs w:val="24"/>
          <w:u w:val="single"/>
        </w:rPr>
      </w:pPr>
    </w:p>
    <w:p w14:paraId="1AA66180" w14:textId="77777777" w:rsidR="00830D59" w:rsidRPr="00E055CA" w:rsidRDefault="00830D59" w:rsidP="00830D59">
      <w:pPr>
        <w:pStyle w:val="HTMLPreformatted"/>
        <w:rPr>
          <w:rFonts w:ascii="Palatino Linotype" w:hAnsi="Palatino Linotype"/>
          <w:sz w:val="24"/>
          <w:szCs w:val="24"/>
        </w:rPr>
      </w:pPr>
      <w:r w:rsidRPr="00E055CA">
        <w:rPr>
          <w:rFonts w:ascii="Palatino Linotype" w:hAnsi="Palatino Linotype"/>
          <w:b/>
          <w:sz w:val="24"/>
          <w:szCs w:val="24"/>
        </w:rPr>
        <w:t xml:space="preserve">THEREFORE, IT </w:t>
      </w:r>
      <w:proofErr w:type="gramStart"/>
      <w:r w:rsidRPr="00E055CA">
        <w:rPr>
          <w:rFonts w:ascii="Palatino Linotype" w:hAnsi="Palatino Linotype"/>
          <w:b/>
          <w:sz w:val="24"/>
          <w:szCs w:val="24"/>
        </w:rPr>
        <w:t>IS ORDERED</w:t>
      </w:r>
      <w:proofErr w:type="gramEnd"/>
      <w:r w:rsidRPr="00E055CA">
        <w:rPr>
          <w:rFonts w:ascii="Palatino Linotype" w:hAnsi="Palatino Linotype"/>
          <w:sz w:val="24"/>
          <w:szCs w:val="24"/>
        </w:rPr>
        <w:t xml:space="preserve"> that:</w:t>
      </w:r>
    </w:p>
    <w:p w14:paraId="42A6F8DF" w14:textId="0549AE94" w:rsidR="00830D59" w:rsidRPr="00C80771" w:rsidRDefault="00830D59" w:rsidP="00830D59">
      <w:pPr>
        <w:rPr>
          <w:rFonts w:ascii="Palatino Linotype" w:hAnsi="Palatino Linotype"/>
          <w:szCs w:val="24"/>
        </w:rPr>
      </w:pPr>
    </w:p>
    <w:p w14:paraId="3525CE5F" w14:textId="3ACAD840" w:rsidR="00941195" w:rsidRPr="00C80771" w:rsidRDefault="00941195" w:rsidP="00A12C3A">
      <w:pPr>
        <w:pStyle w:val="ListParagraph"/>
        <w:numPr>
          <w:ilvl w:val="0"/>
          <w:numId w:val="16"/>
        </w:numPr>
        <w:spacing w:after="0" w:line="240" w:lineRule="auto"/>
        <w:rPr>
          <w:rFonts w:ascii="Palatino Linotype" w:hAnsi="Palatino Linotype"/>
          <w:sz w:val="24"/>
          <w:szCs w:val="24"/>
        </w:rPr>
      </w:pPr>
      <w:r w:rsidRPr="00C80771">
        <w:rPr>
          <w:rFonts w:ascii="Palatino Linotype" w:hAnsi="Palatino Linotype"/>
          <w:sz w:val="24"/>
          <w:szCs w:val="24"/>
        </w:rPr>
        <w:t>The Certificate of Public Convenience Necessity (CPCN) and/or registration</w:t>
      </w:r>
      <w:r w:rsidRPr="00941195">
        <w:rPr>
          <w:rFonts w:ascii="Palatino Linotype" w:hAnsi="Palatino Linotype"/>
          <w:sz w:val="24"/>
          <w:szCs w:val="24"/>
        </w:rPr>
        <w:t xml:space="preserve"> license of </w:t>
      </w:r>
      <w:proofErr w:type="spellStart"/>
      <w:r w:rsidR="0074027C">
        <w:rPr>
          <w:rFonts w:ascii="Palatino Linotype" w:hAnsi="Palatino Linotype"/>
          <w:sz w:val="24"/>
          <w:szCs w:val="24"/>
        </w:rPr>
        <w:t>Entelegent</w:t>
      </w:r>
      <w:proofErr w:type="spellEnd"/>
      <w:r w:rsidR="0074027C">
        <w:rPr>
          <w:rFonts w:ascii="Palatino Linotype" w:hAnsi="Palatino Linotype"/>
          <w:sz w:val="24"/>
          <w:szCs w:val="24"/>
        </w:rPr>
        <w:t xml:space="preserve"> Solutions, Inc., </w:t>
      </w:r>
      <w:proofErr w:type="spellStart"/>
      <w:r w:rsidR="0074027C">
        <w:rPr>
          <w:rFonts w:ascii="Palatino Linotype" w:hAnsi="Palatino Linotype"/>
          <w:sz w:val="24"/>
          <w:szCs w:val="24"/>
        </w:rPr>
        <w:t>Comtech</w:t>
      </w:r>
      <w:proofErr w:type="spellEnd"/>
      <w:r w:rsidR="0074027C">
        <w:rPr>
          <w:rFonts w:ascii="Palatino Linotype" w:hAnsi="Palatino Linotype"/>
          <w:sz w:val="24"/>
          <w:szCs w:val="24"/>
        </w:rPr>
        <w:t xml:space="preserve"> 21, LLC, and Communications Brokers &amp; Consultants </w:t>
      </w:r>
      <w:proofErr w:type="gramStart"/>
      <w:r w:rsidRPr="00941195">
        <w:rPr>
          <w:rFonts w:ascii="Palatino Linotype" w:hAnsi="Palatino Linotype"/>
          <w:sz w:val="24"/>
          <w:szCs w:val="24"/>
        </w:rPr>
        <w:t>are reinstated</w:t>
      </w:r>
      <w:proofErr w:type="gramEnd"/>
      <w:r w:rsidRPr="00941195">
        <w:rPr>
          <w:rFonts w:ascii="Palatino Linotype" w:hAnsi="Palatino Linotype"/>
          <w:sz w:val="24"/>
          <w:szCs w:val="24"/>
        </w:rPr>
        <w:t xml:space="preserve"> and the Utility Identification Numbers are reissued to </w:t>
      </w:r>
      <w:r w:rsidRPr="00C80771">
        <w:rPr>
          <w:rFonts w:ascii="Palatino Linotype" w:hAnsi="Palatino Linotype"/>
          <w:sz w:val="24"/>
          <w:szCs w:val="24"/>
        </w:rPr>
        <w:t>their respective companies.</w:t>
      </w:r>
    </w:p>
    <w:p w14:paraId="66A2459F" w14:textId="77777777" w:rsidR="00C80771" w:rsidRPr="00E055CA" w:rsidRDefault="00C80771" w:rsidP="00CB4C7F">
      <w:pPr>
        <w:pStyle w:val="HTMLPreformatted"/>
        <w:rPr>
          <w:rFonts w:ascii="Palatino Linotype" w:hAnsi="Palatino Linotype"/>
          <w:sz w:val="24"/>
          <w:szCs w:val="24"/>
          <w:highlight w:val="lightGray"/>
        </w:rPr>
      </w:pPr>
    </w:p>
    <w:p w14:paraId="313229CC" w14:textId="77777777" w:rsidR="00B221EE" w:rsidRPr="00E055CA" w:rsidRDefault="00B221EE" w:rsidP="00972BD7">
      <w:pPr>
        <w:overflowPunct/>
        <w:autoSpaceDE/>
        <w:autoSpaceDN/>
        <w:adjustRightInd/>
        <w:textAlignment w:val="auto"/>
        <w:rPr>
          <w:rFonts w:ascii="Palatino Linotype" w:hAnsi="Palatino Linotype" w:cs="Courier New"/>
          <w:szCs w:val="24"/>
        </w:rPr>
      </w:pPr>
      <w:r w:rsidRPr="00E055CA">
        <w:rPr>
          <w:rFonts w:ascii="Palatino Linotype" w:hAnsi="Palatino Linotype"/>
          <w:szCs w:val="24"/>
        </w:rPr>
        <w:t>This Resolution is effective today.</w:t>
      </w:r>
    </w:p>
    <w:p w14:paraId="6C7A3E37" w14:textId="77777777" w:rsidR="00B221EE" w:rsidRPr="00E055CA" w:rsidRDefault="00B221EE">
      <w:pPr>
        <w:pStyle w:val="HTMLPreformatted"/>
        <w:rPr>
          <w:rFonts w:ascii="Palatino Linotype" w:hAnsi="Palatino Linotype"/>
          <w:sz w:val="24"/>
          <w:szCs w:val="24"/>
        </w:rPr>
      </w:pPr>
    </w:p>
    <w:tbl>
      <w:tblPr>
        <w:tblpPr w:leftFromText="180" w:rightFromText="180" w:vertAnchor="text" w:horzAnchor="page" w:tblpX="5833" w:tblpY="859"/>
        <w:tblW w:w="4383" w:type="dxa"/>
        <w:tblLayout w:type="fixed"/>
        <w:tblLook w:val="0000" w:firstRow="0" w:lastRow="0" w:firstColumn="0" w:lastColumn="0" w:noHBand="0" w:noVBand="0"/>
      </w:tblPr>
      <w:tblGrid>
        <w:gridCol w:w="4383"/>
      </w:tblGrid>
      <w:tr w:rsidR="00EA2CA8" w:rsidRPr="00E055CA" w14:paraId="034A01E4" w14:textId="77777777" w:rsidTr="00EA2CA8">
        <w:trPr>
          <w:trHeight w:val="172"/>
        </w:trPr>
        <w:tc>
          <w:tcPr>
            <w:tcW w:w="4383" w:type="dxa"/>
            <w:tcBorders>
              <w:top w:val="nil"/>
              <w:left w:val="nil"/>
              <w:bottom w:val="single" w:sz="6" w:space="0" w:color="auto"/>
              <w:right w:val="nil"/>
            </w:tcBorders>
          </w:tcPr>
          <w:p w14:paraId="383F7153" w14:textId="77777777" w:rsidR="00EA2CA8" w:rsidRPr="00E055CA" w:rsidRDefault="00EA2CA8" w:rsidP="00EA2CA8">
            <w:pPr>
              <w:pStyle w:val="HTMLPreformatted"/>
              <w:rPr>
                <w:rFonts w:ascii="Palatino Linotype" w:hAnsi="Palatino Linotype"/>
                <w:sz w:val="24"/>
                <w:szCs w:val="24"/>
              </w:rPr>
            </w:pPr>
          </w:p>
          <w:p w14:paraId="74EB55DD" w14:textId="77777777" w:rsidR="00EA2CA8" w:rsidRPr="00E055CA" w:rsidRDefault="00EA2CA8" w:rsidP="00EA2CA8">
            <w:pPr>
              <w:pStyle w:val="HTMLPreformatted"/>
              <w:rPr>
                <w:rFonts w:ascii="Palatino Linotype" w:hAnsi="Palatino Linotype"/>
                <w:b/>
                <w:sz w:val="24"/>
                <w:szCs w:val="24"/>
              </w:rPr>
            </w:pPr>
            <w:r w:rsidRPr="00E055CA">
              <w:rPr>
                <w:rFonts w:ascii="Palatino Linotype" w:hAnsi="Palatino Linotype"/>
                <w:sz w:val="24"/>
                <w:szCs w:val="24"/>
              </w:rPr>
              <w:t xml:space="preserve">               </w:t>
            </w:r>
          </w:p>
        </w:tc>
      </w:tr>
      <w:tr w:rsidR="00EA2CA8" w:rsidRPr="00E055CA" w14:paraId="5682E30E" w14:textId="77777777" w:rsidTr="00EA2CA8">
        <w:trPr>
          <w:trHeight w:val="718"/>
        </w:trPr>
        <w:tc>
          <w:tcPr>
            <w:tcW w:w="4383" w:type="dxa"/>
            <w:tcBorders>
              <w:top w:val="nil"/>
              <w:left w:val="nil"/>
              <w:bottom w:val="nil"/>
              <w:right w:val="nil"/>
            </w:tcBorders>
          </w:tcPr>
          <w:p w14:paraId="49372C05" w14:textId="77777777" w:rsidR="00EA2CA8" w:rsidRPr="00E055CA" w:rsidRDefault="00EA2CA8" w:rsidP="00EA2CA8">
            <w:pPr>
              <w:pStyle w:val="HTMLPreformatted"/>
              <w:jc w:val="center"/>
              <w:rPr>
                <w:rFonts w:ascii="Palatino Linotype" w:hAnsi="Palatino Linotype"/>
                <w:sz w:val="24"/>
                <w:szCs w:val="24"/>
              </w:rPr>
            </w:pPr>
            <w:r>
              <w:rPr>
                <w:rFonts w:ascii="Palatino Linotype" w:hAnsi="Palatino Linotype"/>
                <w:sz w:val="24"/>
                <w:szCs w:val="24"/>
              </w:rPr>
              <w:t>ALICE STEBBINS</w:t>
            </w:r>
          </w:p>
          <w:p w14:paraId="64A08B64" w14:textId="77777777" w:rsidR="00EA2CA8" w:rsidRPr="00E055CA" w:rsidRDefault="00EA2CA8" w:rsidP="00EA2CA8">
            <w:pPr>
              <w:pStyle w:val="HTMLPreformatted"/>
              <w:jc w:val="center"/>
              <w:rPr>
                <w:rFonts w:ascii="Palatino Linotype" w:hAnsi="Palatino Linotype"/>
                <w:sz w:val="24"/>
                <w:szCs w:val="24"/>
              </w:rPr>
            </w:pPr>
            <w:r w:rsidRPr="00E055CA">
              <w:rPr>
                <w:rFonts w:ascii="Palatino Linotype" w:hAnsi="Palatino Linotype"/>
                <w:sz w:val="24"/>
                <w:szCs w:val="24"/>
              </w:rPr>
              <w:t>Executive Director</w:t>
            </w:r>
          </w:p>
          <w:p w14:paraId="7E10686C" w14:textId="77777777" w:rsidR="00EA2CA8" w:rsidRPr="00E055CA" w:rsidRDefault="00EA2CA8" w:rsidP="00EA2CA8">
            <w:pPr>
              <w:pStyle w:val="HTMLPreformatted"/>
              <w:jc w:val="center"/>
              <w:rPr>
                <w:rFonts w:ascii="Palatino Linotype" w:hAnsi="Palatino Linotype"/>
                <w:sz w:val="24"/>
                <w:szCs w:val="24"/>
              </w:rPr>
            </w:pPr>
          </w:p>
        </w:tc>
      </w:tr>
    </w:tbl>
    <w:p w14:paraId="28B1AC48" w14:textId="6362E54E" w:rsidR="00B221EE" w:rsidRPr="00E055CA" w:rsidRDefault="00B221EE">
      <w:pPr>
        <w:pStyle w:val="HTMLPreformatted"/>
        <w:rPr>
          <w:rFonts w:ascii="Palatino Linotype" w:hAnsi="Palatino Linotype"/>
          <w:sz w:val="24"/>
          <w:szCs w:val="24"/>
        </w:rPr>
      </w:pPr>
      <w:r w:rsidRPr="00E055CA">
        <w:rPr>
          <w:rFonts w:ascii="Palatino Linotype" w:hAnsi="Palatino Linotype"/>
          <w:sz w:val="24"/>
          <w:szCs w:val="24"/>
        </w:rPr>
        <w:t xml:space="preserve">I hereby certify that </w:t>
      </w:r>
      <w:proofErr w:type="gramStart"/>
      <w:r w:rsidRPr="00E055CA">
        <w:rPr>
          <w:rFonts w:ascii="Palatino Linotype" w:hAnsi="Palatino Linotype"/>
          <w:sz w:val="24"/>
          <w:szCs w:val="24"/>
        </w:rPr>
        <w:t>this Resolution was adopted by the</w:t>
      </w:r>
      <w:r w:rsidR="00D6306E" w:rsidRPr="00E055CA">
        <w:rPr>
          <w:rFonts w:ascii="Palatino Linotype" w:hAnsi="Palatino Linotype"/>
          <w:sz w:val="24"/>
          <w:szCs w:val="24"/>
        </w:rPr>
        <w:t xml:space="preserve"> California</w:t>
      </w:r>
      <w:r w:rsidRPr="00E055CA">
        <w:rPr>
          <w:rFonts w:ascii="Palatino Linotype" w:hAnsi="Palatino Linotype"/>
          <w:sz w:val="24"/>
          <w:szCs w:val="24"/>
        </w:rPr>
        <w:t xml:space="preserve"> Public Utilities Commi</w:t>
      </w:r>
      <w:r w:rsidR="00453B48" w:rsidRPr="00E055CA">
        <w:rPr>
          <w:rFonts w:ascii="Palatino Linotype" w:hAnsi="Palatino Linotype"/>
          <w:sz w:val="24"/>
          <w:szCs w:val="24"/>
        </w:rPr>
        <w:t xml:space="preserve">ssion at its regular meeting on </w:t>
      </w:r>
      <w:r w:rsidR="00A944CD">
        <w:rPr>
          <w:rFonts w:ascii="Palatino Linotype" w:hAnsi="Palatino Linotype"/>
          <w:sz w:val="24"/>
          <w:szCs w:val="24"/>
        </w:rPr>
        <w:t>June 21, 2018</w:t>
      </w:r>
      <w:proofErr w:type="gramEnd"/>
      <w:r w:rsidRPr="00E055CA">
        <w:rPr>
          <w:rFonts w:ascii="Palatino Linotype" w:hAnsi="Palatino Linotype"/>
          <w:sz w:val="24"/>
          <w:szCs w:val="24"/>
        </w:rPr>
        <w:t>.  The following Commissioners approved it:</w:t>
      </w:r>
    </w:p>
    <w:p w14:paraId="432B1A00" w14:textId="77777777" w:rsidR="00CD6CC5" w:rsidRPr="00E055CA" w:rsidRDefault="00CD6CC5" w:rsidP="00160AC7">
      <w:pPr>
        <w:pStyle w:val="HTMLPreformatted"/>
        <w:rPr>
          <w:rFonts w:ascii="Palatino Linotype" w:hAnsi="Palatino Linotype"/>
          <w:sz w:val="24"/>
          <w:szCs w:val="24"/>
        </w:rPr>
      </w:pPr>
    </w:p>
    <w:p w14:paraId="679155A7" w14:textId="77777777" w:rsidR="00D16909" w:rsidRPr="00E055CA" w:rsidRDefault="00D16909" w:rsidP="00160AC7">
      <w:pPr>
        <w:pStyle w:val="HTMLPreformatted"/>
        <w:rPr>
          <w:rFonts w:ascii="Palatino Linotype" w:hAnsi="Palatino Linotype"/>
          <w:sz w:val="24"/>
          <w:szCs w:val="24"/>
        </w:rPr>
      </w:pPr>
    </w:p>
    <w:p w14:paraId="6140CC9D" w14:textId="19D8D5CC" w:rsidR="00383D42" w:rsidRPr="00E055CA" w:rsidRDefault="00383D42" w:rsidP="00821139">
      <w:pPr>
        <w:overflowPunct/>
        <w:autoSpaceDE/>
        <w:autoSpaceDN/>
        <w:adjustRightInd/>
        <w:jc w:val="right"/>
        <w:textAlignment w:val="auto"/>
        <w:rPr>
          <w:rFonts w:ascii="Palatino Linotype" w:eastAsia="Calibri" w:hAnsi="Palatino Linotype" w:cs="Calibri"/>
          <w:szCs w:val="24"/>
        </w:rPr>
      </w:pPr>
    </w:p>
    <w:sectPr w:rsidR="00383D42" w:rsidRPr="00E055CA" w:rsidSect="001A66F9">
      <w:headerReference w:type="default" r:id="rId11"/>
      <w:footerReference w:type="default" r:id="rId12"/>
      <w:headerReference w:type="first" r:id="rId13"/>
      <w:footerReference w:type="first" r:id="rId14"/>
      <w:pgSz w:w="12240" w:h="15840" w:code="1"/>
      <w:pgMar w:top="1558" w:right="1440" w:bottom="994" w:left="1440" w:header="634" w:footer="75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A68352" w14:textId="77777777" w:rsidR="00FD2184" w:rsidRDefault="00FD2184">
      <w:r>
        <w:separator/>
      </w:r>
    </w:p>
  </w:endnote>
  <w:endnote w:type="continuationSeparator" w:id="0">
    <w:p w14:paraId="637E6F86" w14:textId="77777777" w:rsidR="00FD2184" w:rsidRDefault="00FD2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altName w:val="Book Antiqua"/>
    <w:panose1 w:val="020205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Palatino Linotype">
    <w:altName w:val="Palatino"/>
    <w:panose1 w:val="02040502050505030304"/>
    <w:charset w:val="00"/>
    <w:family w:val="roman"/>
    <w:pitch w:val="variable"/>
    <w:sig w:usb0="E0000287" w:usb1="4000001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0394633"/>
      <w:docPartObj>
        <w:docPartGallery w:val="Page Numbers (Bottom of Page)"/>
        <w:docPartUnique/>
      </w:docPartObj>
    </w:sdtPr>
    <w:sdtEndPr>
      <w:rPr>
        <w:noProof/>
      </w:rPr>
    </w:sdtEndPr>
    <w:sdtContent>
      <w:p w14:paraId="6D4F7E3E" w14:textId="637A8E6B" w:rsidR="00663F29" w:rsidRDefault="00663F29">
        <w:pPr>
          <w:pStyle w:val="Footer"/>
          <w:jc w:val="center"/>
        </w:pPr>
        <w:r>
          <w:fldChar w:fldCharType="begin"/>
        </w:r>
        <w:r>
          <w:instrText xml:space="preserve"> PAGE   \* MERGEFORMAT </w:instrText>
        </w:r>
        <w:r>
          <w:fldChar w:fldCharType="separate"/>
        </w:r>
        <w:r w:rsidR="00604285">
          <w:rPr>
            <w:noProof/>
          </w:rPr>
          <w:t>3</w:t>
        </w:r>
        <w:r>
          <w:rPr>
            <w:noProof/>
          </w:rPr>
          <w:fldChar w:fldCharType="end"/>
        </w:r>
      </w:p>
    </w:sdtContent>
  </w:sdt>
  <w:p w14:paraId="192FEFF7" w14:textId="77777777" w:rsidR="00663F29" w:rsidRDefault="00663F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EAF0E" w14:textId="005B8946" w:rsidR="00FB4D4D" w:rsidRPr="00F37CDA" w:rsidRDefault="00F37CDA">
    <w:pPr>
      <w:pStyle w:val="Footer"/>
      <w:rPr>
        <w:sz w:val="20"/>
      </w:rPr>
    </w:pPr>
    <w:r w:rsidRPr="00F37CDA">
      <w:rPr>
        <w:rFonts w:ascii="Tahoma" w:hAnsi="Tahoma" w:cs="Tahoma"/>
        <w:sz w:val="20"/>
      </w:rPr>
      <w:t>214799540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6B374F" w14:textId="77777777" w:rsidR="00FD2184" w:rsidRDefault="00FD2184">
      <w:r>
        <w:separator/>
      </w:r>
    </w:p>
  </w:footnote>
  <w:footnote w:type="continuationSeparator" w:id="0">
    <w:p w14:paraId="5E8F2172" w14:textId="77777777" w:rsidR="00FD2184" w:rsidRDefault="00FD2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E43F28" w14:textId="61579642" w:rsidR="00945E84" w:rsidRDefault="00945E84">
    <w:pPr>
      <w:pStyle w:val="Header"/>
    </w:pPr>
    <w:r>
      <w:t>Resolution T-</w:t>
    </w:r>
    <w:r w:rsidR="007E69BF">
      <w:t>17620</w:t>
    </w:r>
  </w:p>
  <w:p w14:paraId="165D5038" w14:textId="63278A2B" w:rsidR="00945E84" w:rsidRDefault="00945E84" w:rsidP="00821139">
    <w:pPr>
      <w:pStyle w:val="Header"/>
      <w:tabs>
        <w:tab w:val="clear" w:pos="4320"/>
        <w:tab w:val="clear" w:pos="8640"/>
        <w:tab w:val="center" w:pos="4680"/>
        <w:tab w:val="right" w:pos="9360"/>
      </w:tabs>
    </w:pPr>
    <w:r>
      <w:t>CD/NNE</w:t>
    </w:r>
    <w:r w:rsidR="00821139">
      <w:tab/>
      <w:t>DRAFT</w:t>
    </w:r>
    <w:r w:rsidR="00821139">
      <w:tab/>
      <w:t>June 21,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15125" w14:textId="01F50349" w:rsidR="00821139" w:rsidRDefault="00821139" w:rsidP="00821139">
    <w:pPr>
      <w:pStyle w:val="Header"/>
      <w:tabs>
        <w:tab w:val="right" w:pos="9360"/>
      </w:tabs>
    </w:pPr>
    <w:r>
      <w:t>Resolution T-</w:t>
    </w:r>
    <w:r w:rsidR="007E69BF">
      <w:t>17620</w:t>
    </w:r>
    <w:r w:rsidR="00EA2CA8">
      <w:tab/>
    </w:r>
    <w:r w:rsidR="00EA2CA8">
      <w:tab/>
    </w:r>
    <w:r w:rsidR="00604285">
      <w:t xml:space="preserve">   </w:t>
    </w:r>
    <w:r w:rsidR="00EA2CA8">
      <w:t>Agenda ID #</w:t>
    </w:r>
    <w:r w:rsidR="004F081A">
      <w:t xml:space="preserve"> 16545</w:t>
    </w:r>
  </w:p>
  <w:p w14:paraId="5FEB4719" w14:textId="761AE28D" w:rsidR="00821139" w:rsidRDefault="00821139">
    <w:pPr>
      <w:pStyle w:val="Header"/>
    </w:pPr>
    <w:r>
      <w:t>CD/NNE</w:t>
    </w:r>
    <w:r w:rsidR="00EA2CA8">
      <w:t xml:space="preserve">                                                     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A4AA6"/>
    <w:multiLevelType w:val="hybridMultilevel"/>
    <w:tmpl w:val="31722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DA3B89"/>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
    <w:nsid w:val="310A05B1"/>
    <w:multiLevelType w:val="hybridMultilevel"/>
    <w:tmpl w:val="579C93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A0F1285"/>
    <w:multiLevelType w:val="hybridMultilevel"/>
    <w:tmpl w:val="EBF6C6E6"/>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4">
    <w:nsid w:val="3D9F4386"/>
    <w:multiLevelType w:val="hybridMultilevel"/>
    <w:tmpl w:val="57E0A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A15621"/>
    <w:multiLevelType w:val="hybridMultilevel"/>
    <w:tmpl w:val="E98C2D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EC2547"/>
    <w:multiLevelType w:val="hybridMultilevel"/>
    <w:tmpl w:val="36F60AA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A875F6"/>
    <w:multiLevelType w:val="hybridMultilevel"/>
    <w:tmpl w:val="27648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A4617E"/>
    <w:multiLevelType w:val="hybridMultilevel"/>
    <w:tmpl w:val="2B2CA4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EE4B26"/>
    <w:multiLevelType w:val="hybridMultilevel"/>
    <w:tmpl w:val="94E462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685B0E"/>
    <w:multiLevelType w:val="hybridMultilevel"/>
    <w:tmpl w:val="13AC125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CA480B"/>
    <w:multiLevelType w:val="hybridMultilevel"/>
    <w:tmpl w:val="4126CD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781B0F"/>
    <w:multiLevelType w:val="hybridMultilevel"/>
    <w:tmpl w:val="9AD69C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6F8F1456"/>
    <w:multiLevelType w:val="hybridMultilevel"/>
    <w:tmpl w:val="8D06B6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72A678E"/>
    <w:multiLevelType w:val="hybridMultilevel"/>
    <w:tmpl w:val="0EB0E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1620C0"/>
    <w:multiLevelType w:val="hybridMultilevel"/>
    <w:tmpl w:val="2988942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8"/>
  </w:num>
  <w:num w:numId="5">
    <w:abstractNumId w:val="4"/>
  </w:num>
  <w:num w:numId="6">
    <w:abstractNumId w:val="6"/>
  </w:num>
  <w:num w:numId="7">
    <w:abstractNumId w:val="9"/>
  </w:num>
  <w:num w:numId="8">
    <w:abstractNumId w:val="14"/>
  </w:num>
  <w:num w:numId="9">
    <w:abstractNumId w:val="11"/>
  </w:num>
  <w:num w:numId="10">
    <w:abstractNumId w:val="5"/>
  </w:num>
  <w:num w:numId="11">
    <w:abstractNumId w:val="10"/>
  </w:num>
  <w:num w:numId="12">
    <w:abstractNumId w:val="12"/>
  </w:num>
  <w:num w:numId="13">
    <w:abstractNumId w:val="13"/>
  </w:num>
  <w:num w:numId="14">
    <w:abstractNumId w:val="15"/>
  </w:num>
  <w:num w:numId="15">
    <w:abstractNumId w:val="7"/>
  </w:num>
  <w:num w:numId="16">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displayBackgroundShape/>
  <w:activeWritingStyle w:appName="MSWord" w:lang="fr-FR"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4D4"/>
    <w:rsid w:val="0000085E"/>
    <w:rsid w:val="00001799"/>
    <w:rsid w:val="00001B4B"/>
    <w:rsid w:val="0000435C"/>
    <w:rsid w:val="00010EA8"/>
    <w:rsid w:val="00012761"/>
    <w:rsid w:val="000129A4"/>
    <w:rsid w:val="00015137"/>
    <w:rsid w:val="000154B8"/>
    <w:rsid w:val="000157B8"/>
    <w:rsid w:val="00020FD9"/>
    <w:rsid w:val="00021D4F"/>
    <w:rsid w:val="00021E89"/>
    <w:rsid w:val="00022DC2"/>
    <w:rsid w:val="0002414D"/>
    <w:rsid w:val="000245BF"/>
    <w:rsid w:val="00025403"/>
    <w:rsid w:val="00032FC3"/>
    <w:rsid w:val="00033E03"/>
    <w:rsid w:val="00034F1C"/>
    <w:rsid w:val="0003553A"/>
    <w:rsid w:val="00035994"/>
    <w:rsid w:val="000408BE"/>
    <w:rsid w:val="00041F28"/>
    <w:rsid w:val="0004215A"/>
    <w:rsid w:val="00042BE3"/>
    <w:rsid w:val="00043C4C"/>
    <w:rsid w:val="00045E55"/>
    <w:rsid w:val="00050B4A"/>
    <w:rsid w:val="00055280"/>
    <w:rsid w:val="00062095"/>
    <w:rsid w:val="00070EDA"/>
    <w:rsid w:val="00072119"/>
    <w:rsid w:val="00072276"/>
    <w:rsid w:val="000778EF"/>
    <w:rsid w:val="00082386"/>
    <w:rsid w:val="00086444"/>
    <w:rsid w:val="0009246C"/>
    <w:rsid w:val="00092862"/>
    <w:rsid w:val="000938A6"/>
    <w:rsid w:val="000958BB"/>
    <w:rsid w:val="0009739D"/>
    <w:rsid w:val="000A15E9"/>
    <w:rsid w:val="000A1D5E"/>
    <w:rsid w:val="000A3861"/>
    <w:rsid w:val="000A39A5"/>
    <w:rsid w:val="000A5C9A"/>
    <w:rsid w:val="000A73C7"/>
    <w:rsid w:val="000A7498"/>
    <w:rsid w:val="000A764E"/>
    <w:rsid w:val="000B2868"/>
    <w:rsid w:val="000B50DD"/>
    <w:rsid w:val="000C3CDB"/>
    <w:rsid w:val="000C481A"/>
    <w:rsid w:val="000C5DA5"/>
    <w:rsid w:val="000C6B61"/>
    <w:rsid w:val="000D0093"/>
    <w:rsid w:val="000D14E6"/>
    <w:rsid w:val="000D2177"/>
    <w:rsid w:val="000D2884"/>
    <w:rsid w:val="000D308B"/>
    <w:rsid w:val="000D4FAA"/>
    <w:rsid w:val="000D5E4E"/>
    <w:rsid w:val="000D617D"/>
    <w:rsid w:val="000D67E8"/>
    <w:rsid w:val="000D7C19"/>
    <w:rsid w:val="000D7EC1"/>
    <w:rsid w:val="000E245B"/>
    <w:rsid w:val="000E2562"/>
    <w:rsid w:val="000E33E9"/>
    <w:rsid w:val="000E3CB8"/>
    <w:rsid w:val="000E66A6"/>
    <w:rsid w:val="000F0206"/>
    <w:rsid w:val="000F12F0"/>
    <w:rsid w:val="000F4570"/>
    <w:rsid w:val="000F4C3D"/>
    <w:rsid w:val="000F56A5"/>
    <w:rsid w:val="00101ADA"/>
    <w:rsid w:val="0010531B"/>
    <w:rsid w:val="00105A8F"/>
    <w:rsid w:val="001063AF"/>
    <w:rsid w:val="0011009F"/>
    <w:rsid w:val="001101FE"/>
    <w:rsid w:val="001111E4"/>
    <w:rsid w:val="00111F36"/>
    <w:rsid w:val="0011772B"/>
    <w:rsid w:val="00117FAD"/>
    <w:rsid w:val="0012084F"/>
    <w:rsid w:val="00120E0B"/>
    <w:rsid w:val="001221F4"/>
    <w:rsid w:val="0012515E"/>
    <w:rsid w:val="00126097"/>
    <w:rsid w:val="00127FA7"/>
    <w:rsid w:val="001300AF"/>
    <w:rsid w:val="001303DC"/>
    <w:rsid w:val="00131CB4"/>
    <w:rsid w:val="0013342A"/>
    <w:rsid w:val="00135D13"/>
    <w:rsid w:val="0013636B"/>
    <w:rsid w:val="00137387"/>
    <w:rsid w:val="00137BAD"/>
    <w:rsid w:val="00142E1D"/>
    <w:rsid w:val="001450C8"/>
    <w:rsid w:val="0014557F"/>
    <w:rsid w:val="0014645B"/>
    <w:rsid w:val="0015225B"/>
    <w:rsid w:val="00152C84"/>
    <w:rsid w:val="00155697"/>
    <w:rsid w:val="00160AC7"/>
    <w:rsid w:val="00160BB8"/>
    <w:rsid w:val="00160D79"/>
    <w:rsid w:val="001616D9"/>
    <w:rsid w:val="0016307E"/>
    <w:rsid w:val="00163ED1"/>
    <w:rsid w:val="00165430"/>
    <w:rsid w:val="00166CCD"/>
    <w:rsid w:val="001757CF"/>
    <w:rsid w:val="001804C8"/>
    <w:rsid w:val="00180B91"/>
    <w:rsid w:val="0018671C"/>
    <w:rsid w:val="00187129"/>
    <w:rsid w:val="00191BA4"/>
    <w:rsid w:val="001940C9"/>
    <w:rsid w:val="001962F6"/>
    <w:rsid w:val="001978E9"/>
    <w:rsid w:val="00197CDB"/>
    <w:rsid w:val="001A0483"/>
    <w:rsid w:val="001A04A2"/>
    <w:rsid w:val="001A277C"/>
    <w:rsid w:val="001A28A4"/>
    <w:rsid w:val="001A4534"/>
    <w:rsid w:val="001A66F9"/>
    <w:rsid w:val="001B0EDD"/>
    <w:rsid w:val="001B1381"/>
    <w:rsid w:val="001B39E3"/>
    <w:rsid w:val="001B691C"/>
    <w:rsid w:val="001B7027"/>
    <w:rsid w:val="001B7F8C"/>
    <w:rsid w:val="001C03D4"/>
    <w:rsid w:val="001C0EE5"/>
    <w:rsid w:val="001C1E07"/>
    <w:rsid w:val="001C2EA2"/>
    <w:rsid w:val="001C338E"/>
    <w:rsid w:val="001C3EA7"/>
    <w:rsid w:val="001C51F2"/>
    <w:rsid w:val="001D0D27"/>
    <w:rsid w:val="001D2042"/>
    <w:rsid w:val="001D2A33"/>
    <w:rsid w:val="001D2E62"/>
    <w:rsid w:val="001D41DF"/>
    <w:rsid w:val="001D4594"/>
    <w:rsid w:val="001D77A1"/>
    <w:rsid w:val="001E48AB"/>
    <w:rsid w:val="001E6525"/>
    <w:rsid w:val="001F1FEB"/>
    <w:rsid w:val="001F3B18"/>
    <w:rsid w:val="001F54DA"/>
    <w:rsid w:val="001F5B5A"/>
    <w:rsid w:val="001F6B20"/>
    <w:rsid w:val="001F7D5B"/>
    <w:rsid w:val="00201CE8"/>
    <w:rsid w:val="00201DE0"/>
    <w:rsid w:val="002058BC"/>
    <w:rsid w:val="00205C85"/>
    <w:rsid w:val="0020647A"/>
    <w:rsid w:val="002068F3"/>
    <w:rsid w:val="00206D7E"/>
    <w:rsid w:val="00211473"/>
    <w:rsid w:val="002143A4"/>
    <w:rsid w:val="002146EA"/>
    <w:rsid w:val="002168FB"/>
    <w:rsid w:val="00217D93"/>
    <w:rsid w:val="00217ECE"/>
    <w:rsid w:val="00217F25"/>
    <w:rsid w:val="00220227"/>
    <w:rsid w:val="00224126"/>
    <w:rsid w:val="00226A20"/>
    <w:rsid w:val="00232A2D"/>
    <w:rsid w:val="00235374"/>
    <w:rsid w:val="0023561C"/>
    <w:rsid w:val="00240103"/>
    <w:rsid w:val="00240B7B"/>
    <w:rsid w:val="00241E02"/>
    <w:rsid w:val="00242B40"/>
    <w:rsid w:val="00243579"/>
    <w:rsid w:val="00246C51"/>
    <w:rsid w:val="002524CD"/>
    <w:rsid w:val="00256A57"/>
    <w:rsid w:val="00261060"/>
    <w:rsid w:val="00262FDD"/>
    <w:rsid w:val="00263ED8"/>
    <w:rsid w:val="002674F7"/>
    <w:rsid w:val="00271815"/>
    <w:rsid w:val="00271D61"/>
    <w:rsid w:val="00272239"/>
    <w:rsid w:val="00272D6A"/>
    <w:rsid w:val="0027320E"/>
    <w:rsid w:val="00276D35"/>
    <w:rsid w:val="002834CC"/>
    <w:rsid w:val="0028729F"/>
    <w:rsid w:val="00291585"/>
    <w:rsid w:val="002916B9"/>
    <w:rsid w:val="00293405"/>
    <w:rsid w:val="00295F0C"/>
    <w:rsid w:val="00296486"/>
    <w:rsid w:val="002A1B9F"/>
    <w:rsid w:val="002A1CA7"/>
    <w:rsid w:val="002A42BC"/>
    <w:rsid w:val="002A6541"/>
    <w:rsid w:val="002A7551"/>
    <w:rsid w:val="002A780F"/>
    <w:rsid w:val="002B1129"/>
    <w:rsid w:val="002B1DE2"/>
    <w:rsid w:val="002B2C7F"/>
    <w:rsid w:val="002B39DF"/>
    <w:rsid w:val="002B3DB2"/>
    <w:rsid w:val="002B40BF"/>
    <w:rsid w:val="002B5C8B"/>
    <w:rsid w:val="002C0383"/>
    <w:rsid w:val="002C0B64"/>
    <w:rsid w:val="002C2528"/>
    <w:rsid w:val="002C2D33"/>
    <w:rsid w:val="002C3426"/>
    <w:rsid w:val="002C4E2F"/>
    <w:rsid w:val="002D1CE3"/>
    <w:rsid w:val="002D2D7A"/>
    <w:rsid w:val="002D36D9"/>
    <w:rsid w:val="002D6B0C"/>
    <w:rsid w:val="002E0040"/>
    <w:rsid w:val="002E03A3"/>
    <w:rsid w:val="002E1235"/>
    <w:rsid w:val="002E3FE7"/>
    <w:rsid w:val="002E4439"/>
    <w:rsid w:val="002E5063"/>
    <w:rsid w:val="002F2F4E"/>
    <w:rsid w:val="002F3392"/>
    <w:rsid w:val="003068EE"/>
    <w:rsid w:val="00307374"/>
    <w:rsid w:val="003078F2"/>
    <w:rsid w:val="00313E71"/>
    <w:rsid w:val="00314AF3"/>
    <w:rsid w:val="00317793"/>
    <w:rsid w:val="0032033D"/>
    <w:rsid w:val="003210DA"/>
    <w:rsid w:val="00321BD5"/>
    <w:rsid w:val="00323F7D"/>
    <w:rsid w:val="00324B61"/>
    <w:rsid w:val="00325570"/>
    <w:rsid w:val="0032703F"/>
    <w:rsid w:val="00327DB7"/>
    <w:rsid w:val="00331589"/>
    <w:rsid w:val="00331672"/>
    <w:rsid w:val="00333A8A"/>
    <w:rsid w:val="00336ABE"/>
    <w:rsid w:val="00336C5E"/>
    <w:rsid w:val="003449C4"/>
    <w:rsid w:val="003504D4"/>
    <w:rsid w:val="00352F79"/>
    <w:rsid w:val="00353C62"/>
    <w:rsid w:val="00355C0A"/>
    <w:rsid w:val="00357BF6"/>
    <w:rsid w:val="00360AFB"/>
    <w:rsid w:val="00361EF5"/>
    <w:rsid w:val="003627D8"/>
    <w:rsid w:val="00364AA9"/>
    <w:rsid w:val="0036642E"/>
    <w:rsid w:val="003714B3"/>
    <w:rsid w:val="0037215B"/>
    <w:rsid w:val="00374453"/>
    <w:rsid w:val="00375EC9"/>
    <w:rsid w:val="00375F9B"/>
    <w:rsid w:val="003763DA"/>
    <w:rsid w:val="003827E4"/>
    <w:rsid w:val="00383D42"/>
    <w:rsid w:val="00385130"/>
    <w:rsid w:val="00387631"/>
    <w:rsid w:val="00391F5F"/>
    <w:rsid w:val="00392323"/>
    <w:rsid w:val="003939FB"/>
    <w:rsid w:val="00395D62"/>
    <w:rsid w:val="00395E1E"/>
    <w:rsid w:val="003979D8"/>
    <w:rsid w:val="00397D26"/>
    <w:rsid w:val="003A243A"/>
    <w:rsid w:val="003A635F"/>
    <w:rsid w:val="003A73C0"/>
    <w:rsid w:val="003B04A0"/>
    <w:rsid w:val="003B08BC"/>
    <w:rsid w:val="003B2F1A"/>
    <w:rsid w:val="003B5C9C"/>
    <w:rsid w:val="003B6282"/>
    <w:rsid w:val="003B62BA"/>
    <w:rsid w:val="003C0813"/>
    <w:rsid w:val="003C455A"/>
    <w:rsid w:val="003C628E"/>
    <w:rsid w:val="003C629D"/>
    <w:rsid w:val="003C64AF"/>
    <w:rsid w:val="003D0067"/>
    <w:rsid w:val="003D01A1"/>
    <w:rsid w:val="003D0D86"/>
    <w:rsid w:val="003D1727"/>
    <w:rsid w:val="003D199A"/>
    <w:rsid w:val="003D2289"/>
    <w:rsid w:val="003D3619"/>
    <w:rsid w:val="003D480B"/>
    <w:rsid w:val="003D4B2B"/>
    <w:rsid w:val="003D725B"/>
    <w:rsid w:val="003D7FE7"/>
    <w:rsid w:val="003E4809"/>
    <w:rsid w:val="003E7131"/>
    <w:rsid w:val="003F46E1"/>
    <w:rsid w:val="003F6968"/>
    <w:rsid w:val="003F69DE"/>
    <w:rsid w:val="004007B8"/>
    <w:rsid w:val="00402104"/>
    <w:rsid w:val="00403B51"/>
    <w:rsid w:val="00403B96"/>
    <w:rsid w:val="00403CC6"/>
    <w:rsid w:val="00404F12"/>
    <w:rsid w:val="004063E7"/>
    <w:rsid w:val="0040799E"/>
    <w:rsid w:val="00412C65"/>
    <w:rsid w:val="004141DA"/>
    <w:rsid w:val="00416116"/>
    <w:rsid w:val="00417439"/>
    <w:rsid w:val="00420FF3"/>
    <w:rsid w:val="00433612"/>
    <w:rsid w:val="004350D2"/>
    <w:rsid w:val="004353C6"/>
    <w:rsid w:val="00441CBB"/>
    <w:rsid w:val="0044344D"/>
    <w:rsid w:val="00444E72"/>
    <w:rsid w:val="004459F0"/>
    <w:rsid w:val="00445BBF"/>
    <w:rsid w:val="00446838"/>
    <w:rsid w:val="004476E9"/>
    <w:rsid w:val="00447E5A"/>
    <w:rsid w:val="00447F3D"/>
    <w:rsid w:val="0045259D"/>
    <w:rsid w:val="00453B48"/>
    <w:rsid w:val="00455ED6"/>
    <w:rsid w:val="00457EEC"/>
    <w:rsid w:val="004607BA"/>
    <w:rsid w:val="004612A6"/>
    <w:rsid w:val="00462456"/>
    <w:rsid w:val="00463140"/>
    <w:rsid w:val="00466147"/>
    <w:rsid w:val="004672E1"/>
    <w:rsid w:val="004677A4"/>
    <w:rsid w:val="00467804"/>
    <w:rsid w:val="00470625"/>
    <w:rsid w:val="004720C7"/>
    <w:rsid w:val="00472304"/>
    <w:rsid w:val="00475357"/>
    <w:rsid w:val="00476883"/>
    <w:rsid w:val="00476943"/>
    <w:rsid w:val="00477340"/>
    <w:rsid w:val="004809CE"/>
    <w:rsid w:val="0048303C"/>
    <w:rsid w:val="0048384E"/>
    <w:rsid w:val="00483BEF"/>
    <w:rsid w:val="00484474"/>
    <w:rsid w:val="004857D4"/>
    <w:rsid w:val="00485C90"/>
    <w:rsid w:val="00485D18"/>
    <w:rsid w:val="00491276"/>
    <w:rsid w:val="00491F02"/>
    <w:rsid w:val="004922D2"/>
    <w:rsid w:val="0049420E"/>
    <w:rsid w:val="004951BE"/>
    <w:rsid w:val="00497217"/>
    <w:rsid w:val="004A36DD"/>
    <w:rsid w:val="004A3BDB"/>
    <w:rsid w:val="004B010E"/>
    <w:rsid w:val="004B2DA6"/>
    <w:rsid w:val="004B3FCC"/>
    <w:rsid w:val="004B488D"/>
    <w:rsid w:val="004B5219"/>
    <w:rsid w:val="004B643B"/>
    <w:rsid w:val="004C1890"/>
    <w:rsid w:val="004C3CA1"/>
    <w:rsid w:val="004C402A"/>
    <w:rsid w:val="004C4111"/>
    <w:rsid w:val="004C5182"/>
    <w:rsid w:val="004C7650"/>
    <w:rsid w:val="004D5232"/>
    <w:rsid w:val="004D56B9"/>
    <w:rsid w:val="004D669D"/>
    <w:rsid w:val="004D6EB5"/>
    <w:rsid w:val="004E11E3"/>
    <w:rsid w:val="004E243A"/>
    <w:rsid w:val="004E28D0"/>
    <w:rsid w:val="004E2D2E"/>
    <w:rsid w:val="004E5223"/>
    <w:rsid w:val="004E5392"/>
    <w:rsid w:val="004E720E"/>
    <w:rsid w:val="004F0724"/>
    <w:rsid w:val="004F081A"/>
    <w:rsid w:val="004F0B7C"/>
    <w:rsid w:val="004F0CAD"/>
    <w:rsid w:val="004F1958"/>
    <w:rsid w:val="004F3495"/>
    <w:rsid w:val="004F5F27"/>
    <w:rsid w:val="004F7BC1"/>
    <w:rsid w:val="00502207"/>
    <w:rsid w:val="005037FB"/>
    <w:rsid w:val="0050382A"/>
    <w:rsid w:val="00505502"/>
    <w:rsid w:val="0050747A"/>
    <w:rsid w:val="005142AA"/>
    <w:rsid w:val="00516DEB"/>
    <w:rsid w:val="005178CB"/>
    <w:rsid w:val="00520943"/>
    <w:rsid w:val="00522921"/>
    <w:rsid w:val="005276E3"/>
    <w:rsid w:val="00531461"/>
    <w:rsid w:val="0053349F"/>
    <w:rsid w:val="00533865"/>
    <w:rsid w:val="00534F26"/>
    <w:rsid w:val="00537DC7"/>
    <w:rsid w:val="00540164"/>
    <w:rsid w:val="0054055F"/>
    <w:rsid w:val="00542F00"/>
    <w:rsid w:val="0054709F"/>
    <w:rsid w:val="00552BF7"/>
    <w:rsid w:val="00552F4B"/>
    <w:rsid w:val="00553E3F"/>
    <w:rsid w:val="005556C1"/>
    <w:rsid w:val="0055673F"/>
    <w:rsid w:val="00556775"/>
    <w:rsid w:val="0055704C"/>
    <w:rsid w:val="00557ED3"/>
    <w:rsid w:val="005612E3"/>
    <w:rsid w:val="0056297F"/>
    <w:rsid w:val="00565835"/>
    <w:rsid w:val="005659E5"/>
    <w:rsid w:val="00566C86"/>
    <w:rsid w:val="00572C1C"/>
    <w:rsid w:val="00573082"/>
    <w:rsid w:val="005742DC"/>
    <w:rsid w:val="005747DA"/>
    <w:rsid w:val="0057614B"/>
    <w:rsid w:val="00582201"/>
    <w:rsid w:val="00585A3B"/>
    <w:rsid w:val="005917E1"/>
    <w:rsid w:val="005948B3"/>
    <w:rsid w:val="00594D05"/>
    <w:rsid w:val="0059578C"/>
    <w:rsid w:val="0059662F"/>
    <w:rsid w:val="00597471"/>
    <w:rsid w:val="00597515"/>
    <w:rsid w:val="005A0A0E"/>
    <w:rsid w:val="005A0E65"/>
    <w:rsid w:val="005A14E8"/>
    <w:rsid w:val="005A5452"/>
    <w:rsid w:val="005B0C03"/>
    <w:rsid w:val="005B1EC0"/>
    <w:rsid w:val="005B319A"/>
    <w:rsid w:val="005B3C50"/>
    <w:rsid w:val="005B59F8"/>
    <w:rsid w:val="005C4E96"/>
    <w:rsid w:val="005C6007"/>
    <w:rsid w:val="005C62C2"/>
    <w:rsid w:val="005C6468"/>
    <w:rsid w:val="005C67DC"/>
    <w:rsid w:val="005C7A46"/>
    <w:rsid w:val="005C7CD8"/>
    <w:rsid w:val="005D0A82"/>
    <w:rsid w:val="005D2995"/>
    <w:rsid w:val="005D58D2"/>
    <w:rsid w:val="005D60BA"/>
    <w:rsid w:val="005E1356"/>
    <w:rsid w:val="005E2EA5"/>
    <w:rsid w:val="005E46F4"/>
    <w:rsid w:val="005E5100"/>
    <w:rsid w:val="005E561D"/>
    <w:rsid w:val="005E5E79"/>
    <w:rsid w:val="005F2151"/>
    <w:rsid w:val="005F3661"/>
    <w:rsid w:val="005F610A"/>
    <w:rsid w:val="005F676B"/>
    <w:rsid w:val="005F6786"/>
    <w:rsid w:val="0060244E"/>
    <w:rsid w:val="00602898"/>
    <w:rsid w:val="00602946"/>
    <w:rsid w:val="00604285"/>
    <w:rsid w:val="006043E7"/>
    <w:rsid w:val="00605035"/>
    <w:rsid w:val="00605484"/>
    <w:rsid w:val="00607937"/>
    <w:rsid w:val="00610AE8"/>
    <w:rsid w:val="00611137"/>
    <w:rsid w:val="0061199A"/>
    <w:rsid w:val="00612AB0"/>
    <w:rsid w:val="00613C0E"/>
    <w:rsid w:val="0061405B"/>
    <w:rsid w:val="0061533C"/>
    <w:rsid w:val="0061533D"/>
    <w:rsid w:val="00615F59"/>
    <w:rsid w:val="00616938"/>
    <w:rsid w:val="0062525D"/>
    <w:rsid w:val="00631150"/>
    <w:rsid w:val="00632AA2"/>
    <w:rsid w:val="006355CF"/>
    <w:rsid w:val="0064044B"/>
    <w:rsid w:val="0064245B"/>
    <w:rsid w:val="0064278D"/>
    <w:rsid w:val="006436AE"/>
    <w:rsid w:val="006445F6"/>
    <w:rsid w:val="006447DD"/>
    <w:rsid w:val="006452E8"/>
    <w:rsid w:val="00647C38"/>
    <w:rsid w:val="00650ECA"/>
    <w:rsid w:val="00653C5C"/>
    <w:rsid w:val="00655598"/>
    <w:rsid w:val="00656ED5"/>
    <w:rsid w:val="00656FBB"/>
    <w:rsid w:val="006609ED"/>
    <w:rsid w:val="00663F29"/>
    <w:rsid w:val="0066408B"/>
    <w:rsid w:val="0066473C"/>
    <w:rsid w:val="00666B8A"/>
    <w:rsid w:val="00667A2C"/>
    <w:rsid w:val="00667E92"/>
    <w:rsid w:val="0067146B"/>
    <w:rsid w:val="00672707"/>
    <w:rsid w:val="00673634"/>
    <w:rsid w:val="006751E4"/>
    <w:rsid w:val="00677319"/>
    <w:rsid w:val="00680FD3"/>
    <w:rsid w:val="00682AB7"/>
    <w:rsid w:val="00685FE5"/>
    <w:rsid w:val="00693224"/>
    <w:rsid w:val="0069365E"/>
    <w:rsid w:val="006937EA"/>
    <w:rsid w:val="00693A7C"/>
    <w:rsid w:val="00696F70"/>
    <w:rsid w:val="006978CA"/>
    <w:rsid w:val="006979EF"/>
    <w:rsid w:val="006A0B8D"/>
    <w:rsid w:val="006A309F"/>
    <w:rsid w:val="006A6146"/>
    <w:rsid w:val="006A690B"/>
    <w:rsid w:val="006A71D6"/>
    <w:rsid w:val="006A7902"/>
    <w:rsid w:val="006B0671"/>
    <w:rsid w:val="006B3611"/>
    <w:rsid w:val="006B38F3"/>
    <w:rsid w:val="006B4D93"/>
    <w:rsid w:val="006B6394"/>
    <w:rsid w:val="006B7299"/>
    <w:rsid w:val="006C08F0"/>
    <w:rsid w:val="006C2675"/>
    <w:rsid w:val="006C2690"/>
    <w:rsid w:val="006C3864"/>
    <w:rsid w:val="006C595E"/>
    <w:rsid w:val="006C7A9C"/>
    <w:rsid w:val="006D0122"/>
    <w:rsid w:val="006D1AA7"/>
    <w:rsid w:val="006D4A03"/>
    <w:rsid w:val="006D5FDA"/>
    <w:rsid w:val="006D683B"/>
    <w:rsid w:val="006E54BC"/>
    <w:rsid w:val="006E5CBA"/>
    <w:rsid w:val="006E6FD3"/>
    <w:rsid w:val="006E7D31"/>
    <w:rsid w:val="006F1FC8"/>
    <w:rsid w:val="006F27D6"/>
    <w:rsid w:val="006F29BF"/>
    <w:rsid w:val="006F4124"/>
    <w:rsid w:val="006F5692"/>
    <w:rsid w:val="006F69BA"/>
    <w:rsid w:val="007055BB"/>
    <w:rsid w:val="00706AE2"/>
    <w:rsid w:val="0070722D"/>
    <w:rsid w:val="00707AB4"/>
    <w:rsid w:val="00711C7F"/>
    <w:rsid w:val="00720BE0"/>
    <w:rsid w:val="00721994"/>
    <w:rsid w:val="0072354E"/>
    <w:rsid w:val="00727EEC"/>
    <w:rsid w:val="0073138C"/>
    <w:rsid w:val="0073245D"/>
    <w:rsid w:val="0074027C"/>
    <w:rsid w:val="00740CD4"/>
    <w:rsid w:val="0074181B"/>
    <w:rsid w:val="00741DAA"/>
    <w:rsid w:val="00741E01"/>
    <w:rsid w:val="00744CA1"/>
    <w:rsid w:val="007452CE"/>
    <w:rsid w:val="007453E9"/>
    <w:rsid w:val="007466D3"/>
    <w:rsid w:val="007506EB"/>
    <w:rsid w:val="00752D06"/>
    <w:rsid w:val="00753962"/>
    <w:rsid w:val="00755019"/>
    <w:rsid w:val="00755111"/>
    <w:rsid w:val="0075577A"/>
    <w:rsid w:val="0075639F"/>
    <w:rsid w:val="00757C13"/>
    <w:rsid w:val="007618C1"/>
    <w:rsid w:val="00762654"/>
    <w:rsid w:val="00763341"/>
    <w:rsid w:val="00764408"/>
    <w:rsid w:val="00767046"/>
    <w:rsid w:val="007675B2"/>
    <w:rsid w:val="007700DA"/>
    <w:rsid w:val="00770443"/>
    <w:rsid w:val="007708B5"/>
    <w:rsid w:val="007713CF"/>
    <w:rsid w:val="00771617"/>
    <w:rsid w:val="00771C8E"/>
    <w:rsid w:val="00771D2E"/>
    <w:rsid w:val="0077490A"/>
    <w:rsid w:val="00781875"/>
    <w:rsid w:val="00783456"/>
    <w:rsid w:val="0078493C"/>
    <w:rsid w:val="00784FDE"/>
    <w:rsid w:val="007870B1"/>
    <w:rsid w:val="00787604"/>
    <w:rsid w:val="00791DCD"/>
    <w:rsid w:val="00794538"/>
    <w:rsid w:val="007958C6"/>
    <w:rsid w:val="007A24FD"/>
    <w:rsid w:val="007A3274"/>
    <w:rsid w:val="007A4136"/>
    <w:rsid w:val="007A41FC"/>
    <w:rsid w:val="007A441E"/>
    <w:rsid w:val="007B04BB"/>
    <w:rsid w:val="007B182E"/>
    <w:rsid w:val="007B1FA8"/>
    <w:rsid w:val="007B62D1"/>
    <w:rsid w:val="007B7D2E"/>
    <w:rsid w:val="007C0DFD"/>
    <w:rsid w:val="007C1B11"/>
    <w:rsid w:val="007C1E06"/>
    <w:rsid w:val="007D22E9"/>
    <w:rsid w:val="007D418E"/>
    <w:rsid w:val="007D41D9"/>
    <w:rsid w:val="007D6F36"/>
    <w:rsid w:val="007D76E1"/>
    <w:rsid w:val="007E1155"/>
    <w:rsid w:val="007E2ADE"/>
    <w:rsid w:val="007E2E0B"/>
    <w:rsid w:val="007E33A4"/>
    <w:rsid w:val="007E3F25"/>
    <w:rsid w:val="007E504F"/>
    <w:rsid w:val="007E5571"/>
    <w:rsid w:val="007E69BF"/>
    <w:rsid w:val="007E7BC7"/>
    <w:rsid w:val="007F0B1B"/>
    <w:rsid w:val="007F0B43"/>
    <w:rsid w:val="007F1C00"/>
    <w:rsid w:val="007F3677"/>
    <w:rsid w:val="007F3ED1"/>
    <w:rsid w:val="007F4015"/>
    <w:rsid w:val="007F487B"/>
    <w:rsid w:val="007F7533"/>
    <w:rsid w:val="008019CE"/>
    <w:rsid w:val="0080220E"/>
    <w:rsid w:val="00803AB5"/>
    <w:rsid w:val="008042C4"/>
    <w:rsid w:val="008047BB"/>
    <w:rsid w:val="00805DAA"/>
    <w:rsid w:val="00810620"/>
    <w:rsid w:val="0081148E"/>
    <w:rsid w:val="00812F1B"/>
    <w:rsid w:val="0081746E"/>
    <w:rsid w:val="0082037E"/>
    <w:rsid w:val="008207B6"/>
    <w:rsid w:val="00820999"/>
    <w:rsid w:val="00820A33"/>
    <w:rsid w:val="00821139"/>
    <w:rsid w:val="00822EE0"/>
    <w:rsid w:val="00823CE8"/>
    <w:rsid w:val="0082513C"/>
    <w:rsid w:val="00826272"/>
    <w:rsid w:val="00827B23"/>
    <w:rsid w:val="00830D59"/>
    <w:rsid w:val="00831A21"/>
    <w:rsid w:val="008323D3"/>
    <w:rsid w:val="00832F25"/>
    <w:rsid w:val="00833118"/>
    <w:rsid w:val="00834509"/>
    <w:rsid w:val="00834E89"/>
    <w:rsid w:val="0083582A"/>
    <w:rsid w:val="008369A0"/>
    <w:rsid w:val="0083768A"/>
    <w:rsid w:val="00842355"/>
    <w:rsid w:val="0084235A"/>
    <w:rsid w:val="008428ED"/>
    <w:rsid w:val="00844D72"/>
    <w:rsid w:val="00850B1C"/>
    <w:rsid w:val="00852158"/>
    <w:rsid w:val="008527AD"/>
    <w:rsid w:val="00857313"/>
    <w:rsid w:val="0086013C"/>
    <w:rsid w:val="00865455"/>
    <w:rsid w:val="008662B6"/>
    <w:rsid w:val="00867A93"/>
    <w:rsid w:val="00870580"/>
    <w:rsid w:val="008709BE"/>
    <w:rsid w:val="008710B4"/>
    <w:rsid w:val="00880BAA"/>
    <w:rsid w:val="00881044"/>
    <w:rsid w:val="008813CB"/>
    <w:rsid w:val="00881580"/>
    <w:rsid w:val="00881F4A"/>
    <w:rsid w:val="00884D3D"/>
    <w:rsid w:val="00885D81"/>
    <w:rsid w:val="008865F7"/>
    <w:rsid w:val="00886668"/>
    <w:rsid w:val="00893398"/>
    <w:rsid w:val="0089371B"/>
    <w:rsid w:val="008A0267"/>
    <w:rsid w:val="008A0EFD"/>
    <w:rsid w:val="008A4E13"/>
    <w:rsid w:val="008A5151"/>
    <w:rsid w:val="008A5EAE"/>
    <w:rsid w:val="008B1636"/>
    <w:rsid w:val="008B1D37"/>
    <w:rsid w:val="008B21BE"/>
    <w:rsid w:val="008B4226"/>
    <w:rsid w:val="008B5C91"/>
    <w:rsid w:val="008B6B62"/>
    <w:rsid w:val="008B6BC7"/>
    <w:rsid w:val="008B788B"/>
    <w:rsid w:val="008B7EF8"/>
    <w:rsid w:val="008C11EF"/>
    <w:rsid w:val="008C2117"/>
    <w:rsid w:val="008C5011"/>
    <w:rsid w:val="008C6CD7"/>
    <w:rsid w:val="008C71C3"/>
    <w:rsid w:val="008C76EB"/>
    <w:rsid w:val="008C7D90"/>
    <w:rsid w:val="008D03FD"/>
    <w:rsid w:val="008D1DC4"/>
    <w:rsid w:val="008D27B1"/>
    <w:rsid w:val="008D2FED"/>
    <w:rsid w:val="008D53BE"/>
    <w:rsid w:val="008D5F50"/>
    <w:rsid w:val="008E0E70"/>
    <w:rsid w:val="008E0ECF"/>
    <w:rsid w:val="008E64BF"/>
    <w:rsid w:val="008E6511"/>
    <w:rsid w:val="008F0577"/>
    <w:rsid w:val="008F1431"/>
    <w:rsid w:val="008F2278"/>
    <w:rsid w:val="008F23CA"/>
    <w:rsid w:val="008F437D"/>
    <w:rsid w:val="008F51C4"/>
    <w:rsid w:val="008F6D8A"/>
    <w:rsid w:val="008F76F5"/>
    <w:rsid w:val="00901189"/>
    <w:rsid w:val="00906B79"/>
    <w:rsid w:val="00913682"/>
    <w:rsid w:val="00914020"/>
    <w:rsid w:val="0091539F"/>
    <w:rsid w:val="00915E5E"/>
    <w:rsid w:val="00917A27"/>
    <w:rsid w:val="009213C0"/>
    <w:rsid w:val="0092409A"/>
    <w:rsid w:val="009246D7"/>
    <w:rsid w:val="009249F5"/>
    <w:rsid w:val="009257B3"/>
    <w:rsid w:val="00927374"/>
    <w:rsid w:val="00930F90"/>
    <w:rsid w:val="00932C96"/>
    <w:rsid w:val="0093486C"/>
    <w:rsid w:val="00934D96"/>
    <w:rsid w:val="009367C0"/>
    <w:rsid w:val="00941195"/>
    <w:rsid w:val="0094141B"/>
    <w:rsid w:val="009429D7"/>
    <w:rsid w:val="009443FA"/>
    <w:rsid w:val="009452A3"/>
    <w:rsid w:val="00945E84"/>
    <w:rsid w:val="00952D8D"/>
    <w:rsid w:val="009544EF"/>
    <w:rsid w:val="0095498E"/>
    <w:rsid w:val="00957ABA"/>
    <w:rsid w:val="00961534"/>
    <w:rsid w:val="00961FE2"/>
    <w:rsid w:val="009629CB"/>
    <w:rsid w:val="00962A8E"/>
    <w:rsid w:val="00965237"/>
    <w:rsid w:val="00965D96"/>
    <w:rsid w:val="009670E5"/>
    <w:rsid w:val="009671F3"/>
    <w:rsid w:val="009678E2"/>
    <w:rsid w:val="00967E4F"/>
    <w:rsid w:val="00970177"/>
    <w:rsid w:val="00971352"/>
    <w:rsid w:val="009729B9"/>
    <w:rsid w:val="00972BD7"/>
    <w:rsid w:val="00973192"/>
    <w:rsid w:val="009778AC"/>
    <w:rsid w:val="00977AFF"/>
    <w:rsid w:val="00977FCF"/>
    <w:rsid w:val="00981E9C"/>
    <w:rsid w:val="00982A8E"/>
    <w:rsid w:val="00983CDF"/>
    <w:rsid w:val="009907D5"/>
    <w:rsid w:val="00990DA5"/>
    <w:rsid w:val="00991388"/>
    <w:rsid w:val="00991A27"/>
    <w:rsid w:val="00993633"/>
    <w:rsid w:val="00995336"/>
    <w:rsid w:val="00997DCB"/>
    <w:rsid w:val="009A0EDB"/>
    <w:rsid w:val="009A339F"/>
    <w:rsid w:val="009A3D9C"/>
    <w:rsid w:val="009A4889"/>
    <w:rsid w:val="009A4F9B"/>
    <w:rsid w:val="009A5F0C"/>
    <w:rsid w:val="009B36F5"/>
    <w:rsid w:val="009B421F"/>
    <w:rsid w:val="009B5F28"/>
    <w:rsid w:val="009B6D57"/>
    <w:rsid w:val="009C4A26"/>
    <w:rsid w:val="009C678D"/>
    <w:rsid w:val="009C6E50"/>
    <w:rsid w:val="009D2AA1"/>
    <w:rsid w:val="009E0985"/>
    <w:rsid w:val="009E4E11"/>
    <w:rsid w:val="009E52AD"/>
    <w:rsid w:val="009F0EA5"/>
    <w:rsid w:val="009F0F43"/>
    <w:rsid w:val="009F22C3"/>
    <w:rsid w:val="009F25A9"/>
    <w:rsid w:val="009F4539"/>
    <w:rsid w:val="009F72C0"/>
    <w:rsid w:val="00A00222"/>
    <w:rsid w:val="00A01197"/>
    <w:rsid w:val="00A0190E"/>
    <w:rsid w:val="00A0340E"/>
    <w:rsid w:val="00A047EC"/>
    <w:rsid w:val="00A04F44"/>
    <w:rsid w:val="00A062CD"/>
    <w:rsid w:val="00A0709B"/>
    <w:rsid w:val="00A07FC8"/>
    <w:rsid w:val="00A12C3A"/>
    <w:rsid w:val="00A1535D"/>
    <w:rsid w:val="00A21A90"/>
    <w:rsid w:val="00A2302C"/>
    <w:rsid w:val="00A24C31"/>
    <w:rsid w:val="00A278D1"/>
    <w:rsid w:val="00A35AD4"/>
    <w:rsid w:val="00A37B68"/>
    <w:rsid w:val="00A406C4"/>
    <w:rsid w:val="00A412FC"/>
    <w:rsid w:val="00A43E45"/>
    <w:rsid w:val="00A450A9"/>
    <w:rsid w:val="00A460DC"/>
    <w:rsid w:val="00A51184"/>
    <w:rsid w:val="00A51B41"/>
    <w:rsid w:val="00A51EF6"/>
    <w:rsid w:val="00A550DA"/>
    <w:rsid w:val="00A55713"/>
    <w:rsid w:val="00A56412"/>
    <w:rsid w:val="00A56801"/>
    <w:rsid w:val="00A624FA"/>
    <w:rsid w:val="00A6291C"/>
    <w:rsid w:val="00A62B3B"/>
    <w:rsid w:val="00A63603"/>
    <w:rsid w:val="00A66F01"/>
    <w:rsid w:val="00A6785F"/>
    <w:rsid w:val="00A67929"/>
    <w:rsid w:val="00A7358E"/>
    <w:rsid w:val="00A738EC"/>
    <w:rsid w:val="00A74434"/>
    <w:rsid w:val="00A77279"/>
    <w:rsid w:val="00A824AD"/>
    <w:rsid w:val="00A84A50"/>
    <w:rsid w:val="00A8539D"/>
    <w:rsid w:val="00A858A5"/>
    <w:rsid w:val="00A861A9"/>
    <w:rsid w:val="00A864AD"/>
    <w:rsid w:val="00A87E36"/>
    <w:rsid w:val="00A9045B"/>
    <w:rsid w:val="00A909E4"/>
    <w:rsid w:val="00A91DED"/>
    <w:rsid w:val="00A92557"/>
    <w:rsid w:val="00A92BF1"/>
    <w:rsid w:val="00A93EB4"/>
    <w:rsid w:val="00A944CD"/>
    <w:rsid w:val="00A94ECC"/>
    <w:rsid w:val="00A950DE"/>
    <w:rsid w:val="00A95A16"/>
    <w:rsid w:val="00A96713"/>
    <w:rsid w:val="00A976A0"/>
    <w:rsid w:val="00AA689D"/>
    <w:rsid w:val="00AB07F1"/>
    <w:rsid w:val="00AB2357"/>
    <w:rsid w:val="00AB3A0D"/>
    <w:rsid w:val="00AB642E"/>
    <w:rsid w:val="00AB71AF"/>
    <w:rsid w:val="00AB7638"/>
    <w:rsid w:val="00AC0B9C"/>
    <w:rsid w:val="00AC172B"/>
    <w:rsid w:val="00AC3770"/>
    <w:rsid w:val="00AC7D60"/>
    <w:rsid w:val="00AD3CA5"/>
    <w:rsid w:val="00AD3F4B"/>
    <w:rsid w:val="00AD486F"/>
    <w:rsid w:val="00AD488B"/>
    <w:rsid w:val="00AD6687"/>
    <w:rsid w:val="00AE003E"/>
    <w:rsid w:val="00AE146B"/>
    <w:rsid w:val="00AE16F1"/>
    <w:rsid w:val="00AE186F"/>
    <w:rsid w:val="00AE35B2"/>
    <w:rsid w:val="00AE3A1D"/>
    <w:rsid w:val="00AE434B"/>
    <w:rsid w:val="00AE625E"/>
    <w:rsid w:val="00AE73F5"/>
    <w:rsid w:val="00AF2FDF"/>
    <w:rsid w:val="00AF40E4"/>
    <w:rsid w:val="00AF4964"/>
    <w:rsid w:val="00AF6F51"/>
    <w:rsid w:val="00B02147"/>
    <w:rsid w:val="00B03442"/>
    <w:rsid w:val="00B03652"/>
    <w:rsid w:val="00B06278"/>
    <w:rsid w:val="00B064F1"/>
    <w:rsid w:val="00B07471"/>
    <w:rsid w:val="00B13BEC"/>
    <w:rsid w:val="00B153B4"/>
    <w:rsid w:val="00B1675C"/>
    <w:rsid w:val="00B173EC"/>
    <w:rsid w:val="00B2039F"/>
    <w:rsid w:val="00B21FEA"/>
    <w:rsid w:val="00B221EE"/>
    <w:rsid w:val="00B221FF"/>
    <w:rsid w:val="00B22C4B"/>
    <w:rsid w:val="00B23276"/>
    <w:rsid w:val="00B25F0C"/>
    <w:rsid w:val="00B27661"/>
    <w:rsid w:val="00B3089E"/>
    <w:rsid w:val="00B322D8"/>
    <w:rsid w:val="00B33CD2"/>
    <w:rsid w:val="00B361C8"/>
    <w:rsid w:val="00B362FD"/>
    <w:rsid w:val="00B37AF9"/>
    <w:rsid w:val="00B4053B"/>
    <w:rsid w:val="00B40A1D"/>
    <w:rsid w:val="00B41B84"/>
    <w:rsid w:val="00B41D3F"/>
    <w:rsid w:val="00B4230F"/>
    <w:rsid w:val="00B43BCC"/>
    <w:rsid w:val="00B442DF"/>
    <w:rsid w:val="00B4520C"/>
    <w:rsid w:val="00B45599"/>
    <w:rsid w:val="00B47FF2"/>
    <w:rsid w:val="00B52E89"/>
    <w:rsid w:val="00B54080"/>
    <w:rsid w:val="00B547F3"/>
    <w:rsid w:val="00B54F1C"/>
    <w:rsid w:val="00B55E61"/>
    <w:rsid w:val="00B57033"/>
    <w:rsid w:val="00B61B7F"/>
    <w:rsid w:val="00B6326E"/>
    <w:rsid w:val="00B65750"/>
    <w:rsid w:val="00B66C75"/>
    <w:rsid w:val="00B66E4B"/>
    <w:rsid w:val="00B6710A"/>
    <w:rsid w:val="00B71BB3"/>
    <w:rsid w:val="00B73D75"/>
    <w:rsid w:val="00B74B77"/>
    <w:rsid w:val="00B80BB7"/>
    <w:rsid w:val="00B811C6"/>
    <w:rsid w:val="00B81A84"/>
    <w:rsid w:val="00B82325"/>
    <w:rsid w:val="00B855BE"/>
    <w:rsid w:val="00B87171"/>
    <w:rsid w:val="00B90329"/>
    <w:rsid w:val="00B91C51"/>
    <w:rsid w:val="00B91D47"/>
    <w:rsid w:val="00B95022"/>
    <w:rsid w:val="00B950F5"/>
    <w:rsid w:val="00B9531A"/>
    <w:rsid w:val="00BA14C9"/>
    <w:rsid w:val="00BA19DD"/>
    <w:rsid w:val="00BA2FA8"/>
    <w:rsid w:val="00BA37C1"/>
    <w:rsid w:val="00BA5012"/>
    <w:rsid w:val="00BA58EA"/>
    <w:rsid w:val="00BA721D"/>
    <w:rsid w:val="00BB186F"/>
    <w:rsid w:val="00BB2F97"/>
    <w:rsid w:val="00BB4F91"/>
    <w:rsid w:val="00BC0551"/>
    <w:rsid w:val="00BC3334"/>
    <w:rsid w:val="00BC4490"/>
    <w:rsid w:val="00BC4799"/>
    <w:rsid w:val="00BC4879"/>
    <w:rsid w:val="00BC633C"/>
    <w:rsid w:val="00BD0F4D"/>
    <w:rsid w:val="00BD1809"/>
    <w:rsid w:val="00BD2246"/>
    <w:rsid w:val="00BD4C85"/>
    <w:rsid w:val="00BD4D14"/>
    <w:rsid w:val="00BD5951"/>
    <w:rsid w:val="00BD5F9C"/>
    <w:rsid w:val="00BE0F64"/>
    <w:rsid w:val="00BE47DD"/>
    <w:rsid w:val="00BE518A"/>
    <w:rsid w:val="00BE56E4"/>
    <w:rsid w:val="00BF0FDA"/>
    <w:rsid w:val="00BF16BC"/>
    <w:rsid w:val="00BF2382"/>
    <w:rsid w:val="00BF53E8"/>
    <w:rsid w:val="00BF5DA4"/>
    <w:rsid w:val="00C004DD"/>
    <w:rsid w:val="00C10A11"/>
    <w:rsid w:val="00C10DF0"/>
    <w:rsid w:val="00C1155E"/>
    <w:rsid w:val="00C1585F"/>
    <w:rsid w:val="00C15B62"/>
    <w:rsid w:val="00C16579"/>
    <w:rsid w:val="00C175B5"/>
    <w:rsid w:val="00C20FAC"/>
    <w:rsid w:val="00C2227B"/>
    <w:rsid w:val="00C22C54"/>
    <w:rsid w:val="00C23F15"/>
    <w:rsid w:val="00C24370"/>
    <w:rsid w:val="00C26C86"/>
    <w:rsid w:val="00C273E6"/>
    <w:rsid w:val="00C27433"/>
    <w:rsid w:val="00C32893"/>
    <w:rsid w:val="00C3334C"/>
    <w:rsid w:val="00C33492"/>
    <w:rsid w:val="00C37AE7"/>
    <w:rsid w:val="00C37E60"/>
    <w:rsid w:val="00C40BBB"/>
    <w:rsid w:val="00C42163"/>
    <w:rsid w:val="00C4220B"/>
    <w:rsid w:val="00C436B7"/>
    <w:rsid w:val="00C43788"/>
    <w:rsid w:val="00C4422A"/>
    <w:rsid w:val="00C45C12"/>
    <w:rsid w:val="00C51487"/>
    <w:rsid w:val="00C52644"/>
    <w:rsid w:val="00C52B85"/>
    <w:rsid w:val="00C531A6"/>
    <w:rsid w:val="00C53EFD"/>
    <w:rsid w:val="00C546D3"/>
    <w:rsid w:val="00C5608C"/>
    <w:rsid w:val="00C63186"/>
    <w:rsid w:val="00C639FC"/>
    <w:rsid w:val="00C654E0"/>
    <w:rsid w:val="00C6600D"/>
    <w:rsid w:val="00C709D0"/>
    <w:rsid w:val="00C70F01"/>
    <w:rsid w:val="00C7114B"/>
    <w:rsid w:val="00C76EED"/>
    <w:rsid w:val="00C80542"/>
    <w:rsid w:val="00C80771"/>
    <w:rsid w:val="00C82552"/>
    <w:rsid w:val="00C84630"/>
    <w:rsid w:val="00C8705C"/>
    <w:rsid w:val="00C92A6D"/>
    <w:rsid w:val="00C93576"/>
    <w:rsid w:val="00C97E75"/>
    <w:rsid w:val="00CA17CC"/>
    <w:rsid w:val="00CA337D"/>
    <w:rsid w:val="00CA3D2A"/>
    <w:rsid w:val="00CA44FC"/>
    <w:rsid w:val="00CB0477"/>
    <w:rsid w:val="00CB07C3"/>
    <w:rsid w:val="00CB49FB"/>
    <w:rsid w:val="00CB4C7F"/>
    <w:rsid w:val="00CC0EAF"/>
    <w:rsid w:val="00CC5CC0"/>
    <w:rsid w:val="00CC71CA"/>
    <w:rsid w:val="00CD068E"/>
    <w:rsid w:val="00CD207D"/>
    <w:rsid w:val="00CD2B84"/>
    <w:rsid w:val="00CD4B8E"/>
    <w:rsid w:val="00CD6CC5"/>
    <w:rsid w:val="00CD7FBB"/>
    <w:rsid w:val="00CE57D4"/>
    <w:rsid w:val="00CF1714"/>
    <w:rsid w:val="00CF1F37"/>
    <w:rsid w:val="00CF6A64"/>
    <w:rsid w:val="00CF6A9D"/>
    <w:rsid w:val="00D00F06"/>
    <w:rsid w:val="00D04034"/>
    <w:rsid w:val="00D04B2E"/>
    <w:rsid w:val="00D06151"/>
    <w:rsid w:val="00D06B3D"/>
    <w:rsid w:val="00D06C63"/>
    <w:rsid w:val="00D10077"/>
    <w:rsid w:val="00D13B5C"/>
    <w:rsid w:val="00D14F1D"/>
    <w:rsid w:val="00D16909"/>
    <w:rsid w:val="00D23E2A"/>
    <w:rsid w:val="00D3127A"/>
    <w:rsid w:val="00D34A48"/>
    <w:rsid w:val="00D35AC1"/>
    <w:rsid w:val="00D36900"/>
    <w:rsid w:val="00D374C6"/>
    <w:rsid w:val="00D406F7"/>
    <w:rsid w:val="00D4656B"/>
    <w:rsid w:val="00D4691A"/>
    <w:rsid w:val="00D47FDF"/>
    <w:rsid w:val="00D5145D"/>
    <w:rsid w:val="00D51AC7"/>
    <w:rsid w:val="00D52054"/>
    <w:rsid w:val="00D52DB5"/>
    <w:rsid w:val="00D56809"/>
    <w:rsid w:val="00D617DD"/>
    <w:rsid w:val="00D6306E"/>
    <w:rsid w:val="00D673DB"/>
    <w:rsid w:val="00D70837"/>
    <w:rsid w:val="00D74D4E"/>
    <w:rsid w:val="00D817B1"/>
    <w:rsid w:val="00D9087B"/>
    <w:rsid w:val="00D9116C"/>
    <w:rsid w:val="00D91909"/>
    <w:rsid w:val="00D957F3"/>
    <w:rsid w:val="00DA19EF"/>
    <w:rsid w:val="00DA3DED"/>
    <w:rsid w:val="00DA462D"/>
    <w:rsid w:val="00DA51C1"/>
    <w:rsid w:val="00DA53E4"/>
    <w:rsid w:val="00DA58E6"/>
    <w:rsid w:val="00DA64B7"/>
    <w:rsid w:val="00DA77F2"/>
    <w:rsid w:val="00DB0FE9"/>
    <w:rsid w:val="00DB33A8"/>
    <w:rsid w:val="00DB43CC"/>
    <w:rsid w:val="00DB4839"/>
    <w:rsid w:val="00DB53A6"/>
    <w:rsid w:val="00DB5507"/>
    <w:rsid w:val="00DB7355"/>
    <w:rsid w:val="00DB7CAA"/>
    <w:rsid w:val="00DC2A97"/>
    <w:rsid w:val="00DC3363"/>
    <w:rsid w:val="00DC3A23"/>
    <w:rsid w:val="00DC3C26"/>
    <w:rsid w:val="00DC4B5A"/>
    <w:rsid w:val="00DC4E7B"/>
    <w:rsid w:val="00DC75CE"/>
    <w:rsid w:val="00DD1454"/>
    <w:rsid w:val="00DD1464"/>
    <w:rsid w:val="00DD4EBC"/>
    <w:rsid w:val="00DD5304"/>
    <w:rsid w:val="00DD5AAF"/>
    <w:rsid w:val="00DD7620"/>
    <w:rsid w:val="00DE0DE5"/>
    <w:rsid w:val="00DE22F2"/>
    <w:rsid w:val="00DE30E3"/>
    <w:rsid w:val="00DF43CB"/>
    <w:rsid w:val="00DF77BF"/>
    <w:rsid w:val="00E000A1"/>
    <w:rsid w:val="00E003FC"/>
    <w:rsid w:val="00E00C42"/>
    <w:rsid w:val="00E055CA"/>
    <w:rsid w:val="00E064AD"/>
    <w:rsid w:val="00E10D9B"/>
    <w:rsid w:val="00E234B7"/>
    <w:rsid w:val="00E23517"/>
    <w:rsid w:val="00E2398A"/>
    <w:rsid w:val="00E2426D"/>
    <w:rsid w:val="00E24744"/>
    <w:rsid w:val="00E24D2E"/>
    <w:rsid w:val="00E25410"/>
    <w:rsid w:val="00E3012F"/>
    <w:rsid w:val="00E329A6"/>
    <w:rsid w:val="00E33142"/>
    <w:rsid w:val="00E34514"/>
    <w:rsid w:val="00E3467C"/>
    <w:rsid w:val="00E352EC"/>
    <w:rsid w:val="00E36E99"/>
    <w:rsid w:val="00E3799C"/>
    <w:rsid w:val="00E41754"/>
    <w:rsid w:val="00E433D5"/>
    <w:rsid w:val="00E4345B"/>
    <w:rsid w:val="00E446FB"/>
    <w:rsid w:val="00E45376"/>
    <w:rsid w:val="00E46F97"/>
    <w:rsid w:val="00E47A87"/>
    <w:rsid w:val="00E50B28"/>
    <w:rsid w:val="00E523DB"/>
    <w:rsid w:val="00E52EC0"/>
    <w:rsid w:val="00E54323"/>
    <w:rsid w:val="00E54348"/>
    <w:rsid w:val="00E546BE"/>
    <w:rsid w:val="00E60543"/>
    <w:rsid w:val="00E647B0"/>
    <w:rsid w:val="00E65DB1"/>
    <w:rsid w:val="00E724D8"/>
    <w:rsid w:val="00E72DA4"/>
    <w:rsid w:val="00E746EC"/>
    <w:rsid w:val="00E77956"/>
    <w:rsid w:val="00E80254"/>
    <w:rsid w:val="00E81592"/>
    <w:rsid w:val="00E86E64"/>
    <w:rsid w:val="00E87A0D"/>
    <w:rsid w:val="00E922B1"/>
    <w:rsid w:val="00E9279E"/>
    <w:rsid w:val="00E94BEA"/>
    <w:rsid w:val="00EA0799"/>
    <w:rsid w:val="00EA0C01"/>
    <w:rsid w:val="00EA2AF2"/>
    <w:rsid w:val="00EA2CA8"/>
    <w:rsid w:val="00EA3A92"/>
    <w:rsid w:val="00EA481B"/>
    <w:rsid w:val="00EA55EE"/>
    <w:rsid w:val="00EA5ED2"/>
    <w:rsid w:val="00EA7F10"/>
    <w:rsid w:val="00EB1DAE"/>
    <w:rsid w:val="00EB1EE7"/>
    <w:rsid w:val="00EB28B6"/>
    <w:rsid w:val="00EB3ED5"/>
    <w:rsid w:val="00EB546A"/>
    <w:rsid w:val="00EB55E4"/>
    <w:rsid w:val="00EB68B4"/>
    <w:rsid w:val="00EB794E"/>
    <w:rsid w:val="00EC3850"/>
    <w:rsid w:val="00EC3CBB"/>
    <w:rsid w:val="00EC66BD"/>
    <w:rsid w:val="00EC7291"/>
    <w:rsid w:val="00ED0829"/>
    <w:rsid w:val="00ED235C"/>
    <w:rsid w:val="00ED2A46"/>
    <w:rsid w:val="00ED35D4"/>
    <w:rsid w:val="00ED4FC8"/>
    <w:rsid w:val="00ED5932"/>
    <w:rsid w:val="00ED5B0D"/>
    <w:rsid w:val="00ED6422"/>
    <w:rsid w:val="00ED72A7"/>
    <w:rsid w:val="00ED7B17"/>
    <w:rsid w:val="00EE033E"/>
    <w:rsid w:val="00EE081C"/>
    <w:rsid w:val="00EE1BB2"/>
    <w:rsid w:val="00EE3B0C"/>
    <w:rsid w:val="00EE4A93"/>
    <w:rsid w:val="00EE790F"/>
    <w:rsid w:val="00EF0E0F"/>
    <w:rsid w:val="00EF169B"/>
    <w:rsid w:val="00EF17D3"/>
    <w:rsid w:val="00EF258D"/>
    <w:rsid w:val="00EF26E1"/>
    <w:rsid w:val="00EF54F5"/>
    <w:rsid w:val="00EF74DA"/>
    <w:rsid w:val="00F01C2F"/>
    <w:rsid w:val="00F023C3"/>
    <w:rsid w:val="00F02ECA"/>
    <w:rsid w:val="00F05149"/>
    <w:rsid w:val="00F0792A"/>
    <w:rsid w:val="00F100E6"/>
    <w:rsid w:val="00F10A10"/>
    <w:rsid w:val="00F140CD"/>
    <w:rsid w:val="00F1522C"/>
    <w:rsid w:val="00F21252"/>
    <w:rsid w:val="00F227CC"/>
    <w:rsid w:val="00F23002"/>
    <w:rsid w:val="00F249C7"/>
    <w:rsid w:val="00F25173"/>
    <w:rsid w:val="00F25258"/>
    <w:rsid w:val="00F2633E"/>
    <w:rsid w:val="00F31915"/>
    <w:rsid w:val="00F32D6B"/>
    <w:rsid w:val="00F33BFC"/>
    <w:rsid w:val="00F34A2C"/>
    <w:rsid w:val="00F35E4C"/>
    <w:rsid w:val="00F35FCC"/>
    <w:rsid w:val="00F379D9"/>
    <w:rsid w:val="00F37CDA"/>
    <w:rsid w:val="00F41E8D"/>
    <w:rsid w:val="00F43534"/>
    <w:rsid w:val="00F44C90"/>
    <w:rsid w:val="00F4516D"/>
    <w:rsid w:val="00F4559A"/>
    <w:rsid w:val="00F45F5F"/>
    <w:rsid w:val="00F47BCD"/>
    <w:rsid w:val="00F53845"/>
    <w:rsid w:val="00F54133"/>
    <w:rsid w:val="00F55361"/>
    <w:rsid w:val="00F6100C"/>
    <w:rsid w:val="00F61DAD"/>
    <w:rsid w:val="00F6290A"/>
    <w:rsid w:val="00F63BCE"/>
    <w:rsid w:val="00F64A86"/>
    <w:rsid w:val="00F64B45"/>
    <w:rsid w:val="00F65244"/>
    <w:rsid w:val="00F67BB8"/>
    <w:rsid w:val="00F67F5E"/>
    <w:rsid w:val="00F719A0"/>
    <w:rsid w:val="00F71BC9"/>
    <w:rsid w:val="00F73D7B"/>
    <w:rsid w:val="00F748AC"/>
    <w:rsid w:val="00F74D92"/>
    <w:rsid w:val="00F755EA"/>
    <w:rsid w:val="00F77824"/>
    <w:rsid w:val="00F77AB8"/>
    <w:rsid w:val="00F82852"/>
    <w:rsid w:val="00F841E1"/>
    <w:rsid w:val="00F84475"/>
    <w:rsid w:val="00F85084"/>
    <w:rsid w:val="00F86660"/>
    <w:rsid w:val="00F86673"/>
    <w:rsid w:val="00F96686"/>
    <w:rsid w:val="00F96723"/>
    <w:rsid w:val="00F969E6"/>
    <w:rsid w:val="00FA078A"/>
    <w:rsid w:val="00FA14DC"/>
    <w:rsid w:val="00FA32E2"/>
    <w:rsid w:val="00FA3A38"/>
    <w:rsid w:val="00FA5728"/>
    <w:rsid w:val="00FA734D"/>
    <w:rsid w:val="00FA78A8"/>
    <w:rsid w:val="00FB0551"/>
    <w:rsid w:val="00FB24DB"/>
    <w:rsid w:val="00FB4D4D"/>
    <w:rsid w:val="00FB763D"/>
    <w:rsid w:val="00FB77E6"/>
    <w:rsid w:val="00FC003F"/>
    <w:rsid w:val="00FC2821"/>
    <w:rsid w:val="00FC2C6C"/>
    <w:rsid w:val="00FC41A0"/>
    <w:rsid w:val="00FC5190"/>
    <w:rsid w:val="00FC56F7"/>
    <w:rsid w:val="00FC57BB"/>
    <w:rsid w:val="00FC6EDB"/>
    <w:rsid w:val="00FC7677"/>
    <w:rsid w:val="00FD087B"/>
    <w:rsid w:val="00FD2184"/>
    <w:rsid w:val="00FD37E5"/>
    <w:rsid w:val="00FD3DDB"/>
    <w:rsid w:val="00FD64CC"/>
    <w:rsid w:val="00FD79A9"/>
    <w:rsid w:val="00FE1904"/>
    <w:rsid w:val="00FE205F"/>
    <w:rsid w:val="00FE2927"/>
    <w:rsid w:val="00FE52E8"/>
    <w:rsid w:val="00FE5C95"/>
    <w:rsid w:val="00FE5CC3"/>
    <w:rsid w:val="00FE6BE7"/>
    <w:rsid w:val="00FE72FF"/>
    <w:rsid w:val="00FE7A2C"/>
    <w:rsid w:val="00FE7F13"/>
    <w:rsid w:val="00FF26A7"/>
    <w:rsid w:val="00FF3393"/>
    <w:rsid w:val="00FF3530"/>
    <w:rsid w:val="00FF3FF0"/>
    <w:rsid w:val="00FF41F4"/>
    <w:rsid w:val="00FF57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086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Palatino" w:hAnsi="Palatino"/>
      <w:sz w:val="24"/>
    </w:rPr>
  </w:style>
  <w:style w:type="paragraph" w:styleId="Heading1">
    <w:name w:val="heading 1"/>
    <w:basedOn w:val="Normal"/>
    <w:next w:val="Normal"/>
    <w:qFormat/>
    <w:pPr>
      <w:keepNext/>
      <w:numPr>
        <w:numId w:val="1"/>
      </w:numPr>
      <w:spacing w:before="120" w:after="120"/>
      <w:outlineLvl w:val="0"/>
    </w:pPr>
    <w:rPr>
      <w:rFonts w:ascii="Helvetica" w:hAnsi="Helvetica"/>
      <w:b/>
      <w:kern w:val="28"/>
    </w:rPr>
  </w:style>
  <w:style w:type="paragraph" w:styleId="Heading2">
    <w:name w:val="heading 2"/>
    <w:basedOn w:val="Normal"/>
    <w:next w:val="Normal"/>
    <w:qFormat/>
    <w:pPr>
      <w:keepNext/>
      <w:numPr>
        <w:ilvl w:val="1"/>
        <w:numId w:val="1"/>
      </w:numPr>
      <w:spacing w:before="120" w:after="120"/>
      <w:outlineLvl w:val="1"/>
    </w:pPr>
    <w:rPr>
      <w:rFonts w:ascii="Helvetica" w:hAnsi="Helvetica"/>
      <w:b/>
      <w:i/>
    </w:rPr>
  </w:style>
  <w:style w:type="paragraph" w:styleId="Heading3">
    <w:name w:val="heading 3"/>
    <w:basedOn w:val="Normal"/>
    <w:next w:val="Normal"/>
    <w:qFormat/>
    <w:pPr>
      <w:keepNext/>
      <w:numPr>
        <w:ilvl w:val="2"/>
        <w:numId w:val="1"/>
      </w:numPr>
      <w:spacing w:before="120" w:after="120"/>
      <w:outlineLvl w:val="2"/>
    </w:pPr>
    <w:rPr>
      <w:rFonts w:ascii="Helvetica" w:hAnsi="Helvetica"/>
      <w:b/>
    </w:rPr>
  </w:style>
  <w:style w:type="paragraph" w:styleId="Heading4">
    <w:name w:val="heading 4"/>
    <w:basedOn w:val="Normal"/>
    <w:next w:val="Normal"/>
    <w:qFormat/>
    <w:pPr>
      <w:keepNext/>
      <w:numPr>
        <w:ilvl w:val="3"/>
        <w:numId w:val="1"/>
      </w:numPr>
      <w:spacing w:before="120" w:after="120"/>
      <w:outlineLvl w:val="3"/>
    </w:pPr>
    <w:rPr>
      <w:rFonts w:ascii="Helvetica" w:hAnsi="Helvetica"/>
      <w:b/>
      <w:i/>
    </w:rPr>
  </w:style>
  <w:style w:type="paragraph" w:styleId="Heading5">
    <w:name w:val="heading 5"/>
    <w:basedOn w:val="Normal"/>
    <w:next w:val="Normal"/>
    <w:qFormat/>
    <w:pPr>
      <w:numPr>
        <w:ilvl w:val="4"/>
        <w:numId w:val="1"/>
      </w:numPr>
      <w:spacing w:before="120" w:after="120"/>
      <w:outlineLvl w:val="4"/>
    </w:pPr>
    <w:rPr>
      <w:rFonts w:ascii="Helvetica" w:hAnsi="Helvetica"/>
      <w:b/>
    </w:rPr>
  </w:style>
  <w:style w:type="paragraph" w:styleId="Heading6">
    <w:name w:val="heading 6"/>
    <w:basedOn w:val="Normal"/>
    <w:next w:val="Normal"/>
    <w:qFormat/>
    <w:pPr>
      <w:numPr>
        <w:ilvl w:val="5"/>
        <w:numId w:val="1"/>
      </w:numPr>
      <w:spacing w:before="240" w:after="60"/>
      <w:outlineLvl w:val="5"/>
    </w:pPr>
    <w:rPr>
      <w:rFonts w:ascii="Times New Roman" w:hAnsi="Times New Roman"/>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widowControl w:val="0"/>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rPr>
      <w:rFonts w:cs="Times New Roman"/>
    </w:rPr>
  </w:style>
  <w:style w:type="paragraph" w:styleId="BodyText">
    <w:name w:val="Body Text"/>
    <w:basedOn w:val="Normal"/>
    <w:link w:val="BodyTextChar"/>
    <w:pPr>
      <w:spacing w:before="40" w:after="40"/>
      <w:jc w:val="both"/>
    </w:pPr>
  </w:style>
  <w:style w:type="paragraph" w:styleId="Title">
    <w:name w:val="Title"/>
    <w:basedOn w:val="Normal"/>
    <w:qFormat/>
    <w:pPr>
      <w:jc w:val="center"/>
    </w:pPr>
    <w:rPr>
      <w:b/>
    </w:rPr>
  </w:style>
  <w:style w:type="paragraph" w:styleId="FootnoteText">
    <w:name w:val="footnote text"/>
    <w:aliases w:val="Footnote Text Char,Footnote Text Char2 Char,Footnote Text Char Char Char,Footnote Text Char2 Char Char Char,Footnote Text Char Char Char Char Char,Footnote Text Char2 Char Char Char Char1 Char,Footnote Text Char2,Footnote Text Char Char,fn"/>
    <w:basedOn w:val="Normal"/>
    <w:link w:val="FootnoteTextChar1"/>
    <w:semiHidden/>
    <w:rPr>
      <w:sz w:val="22"/>
    </w:rPr>
  </w:style>
  <w:style w:type="character" w:styleId="FootnoteReference">
    <w:name w:val="footnote reference"/>
    <w:aliases w:val="o,fr,Style 3,o1,o2,o3,o4,o5,o6,o11,o21,o7"/>
    <w:semiHidden/>
    <w:rPr>
      <w:rFonts w:ascii="Palatino" w:hAnsi="Palatino" w:cs="Times New Roman"/>
      <w:sz w:val="22"/>
      <w:vertAlign w:val="superscript"/>
    </w:rPr>
  </w:style>
  <w:style w:type="paragraph" w:customStyle="1" w:styleId="standard">
    <w:name w:val="standard"/>
    <w:basedOn w:val="Normal"/>
    <w:link w:val="standardChar"/>
    <w:pPr>
      <w:spacing w:line="360" w:lineRule="auto"/>
      <w:ind w:firstLine="720"/>
    </w:pPr>
  </w:style>
  <w:style w:type="paragraph" w:customStyle="1" w:styleId="substandard">
    <w:name w:val="substandard"/>
    <w:basedOn w:val="standard"/>
    <w:pPr>
      <w:ind w:firstLine="1440"/>
    </w:pPr>
  </w:style>
  <w:style w:type="paragraph" w:customStyle="1" w:styleId="subsubstandard">
    <w:name w:val="subsubstandard"/>
    <w:basedOn w:val="Normal"/>
    <w:pPr>
      <w:spacing w:line="360" w:lineRule="auto"/>
      <w:ind w:firstLine="2160"/>
    </w:pPr>
  </w:style>
  <w:style w:type="paragraph" w:customStyle="1" w:styleId="subsubsubstandard">
    <w:name w:val="subsubsubstandard"/>
    <w:basedOn w:val="subsubstandard"/>
    <w:pPr>
      <w:ind w:firstLine="2880"/>
    </w:pPr>
  </w:style>
  <w:style w:type="paragraph" w:styleId="TOC4">
    <w:name w:val="toc 4"/>
    <w:basedOn w:val="Normal"/>
    <w:next w:val="Normal"/>
    <w:semiHidden/>
    <w:pPr>
      <w:tabs>
        <w:tab w:val="right" w:leader="dot" w:pos="9360"/>
      </w:tabs>
      <w:ind w:left="720"/>
    </w:pPr>
  </w:style>
  <w:style w:type="paragraph" w:customStyle="1" w:styleId="main">
    <w:name w:val="main"/>
    <w:basedOn w:val="Normal"/>
    <w:pPr>
      <w:jc w:val="center"/>
    </w:pPr>
    <w:rPr>
      <w:rFonts w:ascii="Helvetica" w:hAnsi="Helvetica"/>
      <w:b/>
    </w:rPr>
  </w:style>
  <w:style w:type="paragraph" w:customStyle="1" w:styleId="mainex">
    <w:name w:val="mainex"/>
    <w:basedOn w:val="main"/>
    <w:rPr>
      <w:spacing w:val="120"/>
    </w:rPr>
  </w:style>
  <w:style w:type="paragraph" w:customStyle="1" w:styleId="num1">
    <w:name w:val="num1"/>
    <w:basedOn w:val="Normal"/>
    <w:link w:val="num1Char"/>
    <w:pPr>
      <w:tabs>
        <w:tab w:val="left" w:pos="-720"/>
      </w:tabs>
      <w:suppressAutoHyphens/>
      <w:spacing w:line="360" w:lineRule="auto"/>
      <w:ind w:firstLine="360"/>
    </w:pPr>
  </w:style>
  <w:style w:type="paragraph" w:customStyle="1" w:styleId="num2">
    <w:name w:val="num2"/>
    <w:basedOn w:val="num1"/>
    <w:pPr>
      <w:ind w:firstLine="270"/>
    </w:pPr>
  </w:style>
  <w:style w:type="paragraph" w:customStyle="1" w:styleId="heading">
    <w:name w:val="heading"/>
    <w:basedOn w:val="Normal"/>
    <w:pPr>
      <w:keepNext/>
      <w:suppressAutoHyphens/>
      <w:spacing w:line="360" w:lineRule="auto"/>
    </w:pPr>
    <w:rPr>
      <w:rFonts w:ascii="Helvetica" w:hAnsi="Helvetica"/>
      <w:b/>
    </w:rPr>
  </w:style>
  <w:style w:type="paragraph" w:customStyle="1" w:styleId="titlebar">
    <w:name w:val="title bar"/>
    <w:basedOn w:val="main"/>
    <w:pPr>
      <w:keepNext/>
      <w:suppressAutoHyphens/>
    </w:pPr>
  </w:style>
  <w:style w:type="paragraph" w:customStyle="1" w:styleId="subsubsubsubstandard">
    <w:name w:val="subsubsubsubstandard"/>
    <w:basedOn w:val="subsubsubstandard"/>
    <w:pPr>
      <w:ind w:firstLine="3600"/>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tabs>
        <w:tab w:val="left" w:pos="8280"/>
      </w:tabs>
      <w:ind w:left="1080" w:right="1260"/>
    </w:pPr>
    <w:rPr>
      <w:b/>
      <w:bCs/>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styleId="Strong">
    <w:name w:val="Strong"/>
    <w:qFormat/>
    <w:rPr>
      <w:rFonts w:cs="Times New Roman"/>
      <w:b/>
      <w:bC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link w:val="BodyText"/>
    <w:locked/>
    <w:rPr>
      <w:rFonts w:ascii="Palatino" w:hAnsi="Palatino" w:cs="Times New Roman"/>
      <w:sz w:val="24"/>
      <w:lang w:val="en-US" w:eastAsia="en-US" w:bidi="ar-SA"/>
    </w:rPr>
  </w:style>
  <w:style w:type="character" w:customStyle="1" w:styleId="HTMLPreformattedChar">
    <w:name w:val="HTML Preformatted Char"/>
    <w:link w:val="HTMLPreformatted"/>
    <w:locked/>
    <w:rPr>
      <w:rFonts w:ascii="Courier New" w:hAnsi="Courier New" w:cs="Courier New"/>
      <w:lang w:val="en-US" w:eastAsia="en-US" w:bidi="ar-SA"/>
    </w:rPr>
  </w:style>
  <w:style w:type="character" w:customStyle="1" w:styleId="standardChar">
    <w:name w:val="standard Char"/>
    <w:link w:val="standard"/>
    <w:locked/>
    <w:rPr>
      <w:rFonts w:ascii="Palatino" w:hAnsi="Palatino" w:cs="Times New Roman"/>
      <w:sz w:val="24"/>
      <w:lang w:val="en-US" w:eastAsia="en-US" w:bidi="ar-SA"/>
    </w:rPr>
  </w:style>
  <w:style w:type="character" w:styleId="CommentReference">
    <w:name w:val="annotation reference"/>
    <w:semiHidden/>
    <w:rPr>
      <w:rFonts w:cs="Times New Roman"/>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customStyle="1" w:styleId="CharChar">
    <w:name w:val="Char Char"/>
    <w:rPr>
      <w:rFonts w:ascii="Courier New" w:hAnsi="Courier New" w:cs="Courier New"/>
      <w:lang w:val="en-US" w:eastAsia="en-US" w:bidi="ar-SA"/>
    </w:rPr>
  </w:style>
  <w:style w:type="character" w:styleId="FollowedHyperlink">
    <w:name w:val="FollowedHyperlink"/>
    <w:rPr>
      <w:color w:val="800080"/>
      <w:u w:val="single"/>
    </w:rPr>
  </w:style>
  <w:style w:type="character" w:customStyle="1" w:styleId="FootnoteTextChar1">
    <w:name w:val="Footnote Text Char1"/>
    <w:aliases w:val="Footnote Text Char Char1,Footnote Text Char2 Char Char,Footnote Text Char Char Char Char,Footnote Text Char2 Char Char Char Char,Footnote Text Char Char Char Char Char Char,Footnote Text Char2 Char Char Char Char1 Char Char,fn Char"/>
    <w:link w:val="FootnoteText"/>
    <w:rPr>
      <w:rFonts w:ascii="Palatino" w:hAnsi="Palatino"/>
      <w:sz w:val="22"/>
      <w:lang w:val="en-US" w:eastAsia="en-US" w:bidi="ar-SA"/>
    </w:rPr>
  </w:style>
  <w:style w:type="paragraph" w:styleId="NormalWeb">
    <w:name w:val="Normal (Web)"/>
    <w:basedOn w:val="Normal"/>
    <w:uiPriority w:val="99"/>
    <w:pPr>
      <w:overflowPunct/>
      <w:autoSpaceDE/>
      <w:autoSpaceDN/>
      <w:adjustRightInd/>
      <w:spacing w:before="168" w:after="216"/>
      <w:textAlignment w:val="auto"/>
    </w:pPr>
    <w:rPr>
      <w:rFonts w:ascii="Times New Roman" w:hAnsi="Times New Roman"/>
      <w:szCs w:val="24"/>
    </w:rPr>
  </w:style>
  <w:style w:type="character" w:customStyle="1" w:styleId="num1Char">
    <w:name w:val="num1 Char"/>
    <w:link w:val="num1"/>
    <w:locked/>
    <w:rsid w:val="004A3BDB"/>
    <w:rPr>
      <w:rFonts w:ascii="Palatino" w:hAnsi="Palatino"/>
      <w:sz w:val="24"/>
    </w:rPr>
  </w:style>
  <w:style w:type="paragraph" w:styleId="ListParagraph">
    <w:name w:val="List Paragraph"/>
    <w:basedOn w:val="Normal"/>
    <w:uiPriority w:val="34"/>
    <w:qFormat/>
    <w:rsid w:val="00BD2246"/>
    <w:pPr>
      <w:overflowPunct/>
      <w:autoSpaceDE/>
      <w:autoSpaceDN/>
      <w:adjustRightInd/>
      <w:spacing w:after="200" w:line="276" w:lineRule="auto"/>
      <w:ind w:left="720"/>
      <w:contextualSpacing/>
      <w:textAlignment w:val="auto"/>
    </w:pPr>
    <w:rPr>
      <w:rFonts w:ascii="Calibri" w:eastAsia="Calibri" w:hAnsi="Calibri"/>
      <w:sz w:val="22"/>
      <w:szCs w:val="22"/>
    </w:rPr>
  </w:style>
  <w:style w:type="character" w:customStyle="1" w:styleId="FooterChar">
    <w:name w:val="Footer Char"/>
    <w:link w:val="Footer"/>
    <w:uiPriority w:val="99"/>
    <w:rsid w:val="0004215A"/>
    <w:rPr>
      <w:rFonts w:ascii="Palatino" w:hAnsi="Palatino"/>
      <w:sz w:val="24"/>
    </w:rPr>
  </w:style>
  <w:style w:type="paragraph" w:styleId="Revision">
    <w:name w:val="Revision"/>
    <w:hidden/>
    <w:uiPriority w:val="99"/>
    <w:semiHidden/>
    <w:rsid w:val="00E9279E"/>
    <w:rPr>
      <w:rFonts w:ascii="Palatino" w:hAnsi="Palatino"/>
      <w:sz w:val="24"/>
    </w:rPr>
  </w:style>
  <w:style w:type="paragraph" w:customStyle="1" w:styleId="Default">
    <w:name w:val="Default"/>
    <w:rsid w:val="00FD37E5"/>
    <w:pPr>
      <w:autoSpaceDE w:val="0"/>
      <w:autoSpaceDN w:val="0"/>
      <w:adjustRightInd w:val="0"/>
    </w:pPr>
    <w:rPr>
      <w:rFonts w:ascii="Book Antiqua" w:hAnsi="Book Antiqua" w:cs="Book Antiqua"/>
      <w:color w:val="000000"/>
      <w:sz w:val="24"/>
      <w:szCs w:val="24"/>
    </w:rPr>
  </w:style>
  <w:style w:type="character" w:styleId="Hyperlink">
    <w:name w:val="Hyperlink"/>
    <w:basedOn w:val="DefaultParagraphFont"/>
    <w:uiPriority w:val="99"/>
    <w:unhideWhenUsed/>
    <w:rsid w:val="00A35AD4"/>
    <w:rPr>
      <w:strike w:val="0"/>
      <w:dstrike w:val="0"/>
      <w:color w:val="3366CC"/>
      <w:u w:val="none"/>
      <w:effect w:val="none"/>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Palatino" w:hAnsi="Palatino"/>
      <w:sz w:val="24"/>
    </w:rPr>
  </w:style>
  <w:style w:type="paragraph" w:styleId="Heading1">
    <w:name w:val="heading 1"/>
    <w:basedOn w:val="Normal"/>
    <w:next w:val="Normal"/>
    <w:qFormat/>
    <w:pPr>
      <w:keepNext/>
      <w:numPr>
        <w:numId w:val="1"/>
      </w:numPr>
      <w:spacing w:before="120" w:after="120"/>
      <w:outlineLvl w:val="0"/>
    </w:pPr>
    <w:rPr>
      <w:rFonts w:ascii="Helvetica" w:hAnsi="Helvetica"/>
      <w:b/>
      <w:kern w:val="28"/>
    </w:rPr>
  </w:style>
  <w:style w:type="paragraph" w:styleId="Heading2">
    <w:name w:val="heading 2"/>
    <w:basedOn w:val="Normal"/>
    <w:next w:val="Normal"/>
    <w:qFormat/>
    <w:pPr>
      <w:keepNext/>
      <w:numPr>
        <w:ilvl w:val="1"/>
        <w:numId w:val="1"/>
      </w:numPr>
      <w:spacing w:before="120" w:after="120"/>
      <w:outlineLvl w:val="1"/>
    </w:pPr>
    <w:rPr>
      <w:rFonts w:ascii="Helvetica" w:hAnsi="Helvetica"/>
      <w:b/>
      <w:i/>
    </w:rPr>
  </w:style>
  <w:style w:type="paragraph" w:styleId="Heading3">
    <w:name w:val="heading 3"/>
    <w:basedOn w:val="Normal"/>
    <w:next w:val="Normal"/>
    <w:qFormat/>
    <w:pPr>
      <w:keepNext/>
      <w:numPr>
        <w:ilvl w:val="2"/>
        <w:numId w:val="1"/>
      </w:numPr>
      <w:spacing w:before="120" w:after="120"/>
      <w:outlineLvl w:val="2"/>
    </w:pPr>
    <w:rPr>
      <w:rFonts w:ascii="Helvetica" w:hAnsi="Helvetica"/>
      <w:b/>
    </w:rPr>
  </w:style>
  <w:style w:type="paragraph" w:styleId="Heading4">
    <w:name w:val="heading 4"/>
    <w:basedOn w:val="Normal"/>
    <w:next w:val="Normal"/>
    <w:qFormat/>
    <w:pPr>
      <w:keepNext/>
      <w:numPr>
        <w:ilvl w:val="3"/>
        <w:numId w:val="1"/>
      </w:numPr>
      <w:spacing w:before="120" w:after="120"/>
      <w:outlineLvl w:val="3"/>
    </w:pPr>
    <w:rPr>
      <w:rFonts w:ascii="Helvetica" w:hAnsi="Helvetica"/>
      <w:b/>
      <w:i/>
    </w:rPr>
  </w:style>
  <w:style w:type="paragraph" w:styleId="Heading5">
    <w:name w:val="heading 5"/>
    <w:basedOn w:val="Normal"/>
    <w:next w:val="Normal"/>
    <w:qFormat/>
    <w:pPr>
      <w:numPr>
        <w:ilvl w:val="4"/>
        <w:numId w:val="1"/>
      </w:numPr>
      <w:spacing w:before="120" w:after="120"/>
      <w:outlineLvl w:val="4"/>
    </w:pPr>
    <w:rPr>
      <w:rFonts w:ascii="Helvetica" w:hAnsi="Helvetica"/>
      <w:b/>
    </w:rPr>
  </w:style>
  <w:style w:type="paragraph" w:styleId="Heading6">
    <w:name w:val="heading 6"/>
    <w:basedOn w:val="Normal"/>
    <w:next w:val="Normal"/>
    <w:qFormat/>
    <w:pPr>
      <w:numPr>
        <w:ilvl w:val="5"/>
        <w:numId w:val="1"/>
      </w:numPr>
      <w:spacing w:before="240" w:after="60"/>
      <w:outlineLvl w:val="5"/>
    </w:pPr>
    <w:rPr>
      <w:rFonts w:ascii="Times New Roman" w:hAnsi="Times New Roman"/>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widowControl w:val="0"/>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rPr>
      <w:rFonts w:cs="Times New Roman"/>
    </w:rPr>
  </w:style>
  <w:style w:type="paragraph" w:styleId="BodyText">
    <w:name w:val="Body Text"/>
    <w:basedOn w:val="Normal"/>
    <w:link w:val="BodyTextChar"/>
    <w:pPr>
      <w:spacing w:before="40" w:after="40"/>
      <w:jc w:val="both"/>
    </w:pPr>
  </w:style>
  <w:style w:type="paragraph" w:styleId="Title">
    <w:name w:val="Title"/>
    <w:basedOn w:val="Normal"/>
    <w:qFormat/>
    <w:pPr>
      <w:jc w:val="center"/>
    </w:pPr>
    <w:rPr>
      <w:b/>
    </w:rPr>
  </w:style>
  <w:style w:type="paragraph" w:styleId="FootnoteText">
    <w:name w:val="footnote text"/>
    <w:aliases w:val="Footnote Text Char,Footnote Text Char2 Char,Footnote Text Char Char Char,Footnote Text Char2 Char Char Char,Footnote Text Char Char Char Char Char,Footnote Text Char2 Char Char Char Char1 Char,Footnote Text Char2,Footnote Text Char Char,fn"/>
    <w:basedOn w:val="Normal"/>
    <w:link w:val="FootnoteTextChar1"/>
    <w:semiHidden/>
    <w:rPr>
      <w:sz w:val="22"/>
    </w:rPr>
  </w:style>
  <w:style w:type="character" w:styleId="FootnoteReference">
    <w:name w:val="footnote reference"/>
    <w:aliases w:val="o,fr,Style 3,o1,o2,o3,o4,o5,o6,o11,o21,o7"/>
    <w:semiHidden/>
    <w:rPr>
      <w:rFonts w:ascii="Palatino" w:hAnsi="Palatino" w:cs="Times New Roman"/>
      <w:sz w:val="22"/>
      <w:vertAlign w:val="superscript"/>
    </w:rPr>
  </w:style>
  <w:style w:type="paragraph" w:customStyle="1" w:styleId="standard">
    <w:name w:val="standard"/>
    <w:basedOn w:val="Normal"/>
    <w:link w:val="standardChar"/>
    <w:pPr>
      <w:spacing w:line="360" w:lineRule="auto"/>
      <w:ind w:firstLine="720"/>
    </w:pPr>
  </w:style>
  <w:style w:type="paragraph" w:customStyle="1" w:styleId="substandard">
    <w:name w:val="substandard"/>
    <w:basedOn w:val="standard"/>
    <w:pPr>
      <w:ind w:firstLine="1440"/>
    </w:pPr>
  </w:style>
  <w:style w:type="paragraph" w:customStyle="1" w:styleId="subsubstandard">
    <w:name w:val="subsubstandard"/>
    <w:basedOn w:val="Normal"/>
    <w:pPr>
      <w:spacing w:line="360" w:lineRule="auto"/>
      <w:ind w:firstLine="2160"/>
    </w:pPr>
  </w:style>
  <w:style w:type="paragraph" w:customStyle="1" w:styleId="subsubsubstandard">
    <w:name w:val="subsubsubstandard"/>
    <w:basedOn w:val="subsubstandard"/>
    <w:pPr>
      <w:ind w:firstLine="2880"/>
    </w:pPr>
  </w:style>
  <w:style w:type="paragraph" w:styleId="TOC4">
    <w:name w:val="toc 4"/>
    <w:basedOn w:val="Normal"/>
    <w:next w:val="Normal"/>
    <w:semiHidden/>
    <w:pPr>
      <w:tabs>
        <w:tab w:val="right" w:leader="dot" w:pos="9360"/>
      </w:tabs>
      <w:ind w:left="720"/>
    </w:pPr>
  </w:style>
  <w:style w:type="paragraph" w:customStyle="1" w:styleId="main">
    <w:name w:val="main"/>
    <w:basedOn w:val="Normal"/>
    <w:pPr>
      <w:jc w:val="center"/>
    </w:pPr>
    <w:rPr>
      <w:rFonts w:ascii="Helvetica" w:hAnsi="Helvetica"/>
      <w:b/>
    </w:rPr>
  </w:style>
  <w:style w:type="paragraph" w:customStyle="1" w:styleId="mainex">
    <w:name w:val="mainex"/>
    <w:basedOn w:val="main"/>
    <w:rPr>
      <w:spacing w:val="120"/>
    </w:rPr>
  </w:style>
  <w:style w:type="paragraph" w:customStyle="1" w:styleId="num1">
    <w:name w:val="num1"/>
    <w:basedOn w:val="Normal"/>
    <w:link w:val="num1Char"/>
    <w:pPr>
      <w:tabs>
        <w:tab w:val="left" w:pos="-720"/>
      </w:tabs>
      <w:suppressAutoHyphens/>
      <w:spacing w:line="360" w:lineRule="auto"/>
      <w:ind w:firstLine="360"/>
    </w:pPr>
  </w:style>
  <w:style w:type="paragraph" w:customStyle="1" w:styleId="num2">
    <w:name w:val="num2"/>
    <w:basedOn w:val="num1"/>
    <w:pPr>
      <w:ind w:firstLine="270"/>
    </w:pPr>
  </w:style>
  <w:style w:type="paragraph" w:customStyle="1" w:styleId="heading">
    <w:name w:val="heading"/>
    <w:basedOn w:val="Normal"/>
    <w:pPr>
      <w:keepNext/>
      <w:suppressAutoHyphens/>
      <w:spacing w:line="360" w:lineRule="auto"/>
    </w:pPr>
    <w:rPr>
      <w:rFonts w:ascii="Helvetica" w:hAnsi="Helvetica"/>
      <w:b/>
    </w:rPr>
  </w:style>
  <w:style w:type="paragraph" w:customStyle="1" w:styleId="titlebar">
    <w:name w:val="title bar"/>
    <w:basedOn w:val="main"/>
    <w:pPr>
      <w:keepNext/>
      <w:suppressAutoHyphens/>
    </w:pPr>
  </w:style>
  <w:style w:type="paragraph" w:customStyle="1" w:styleId="subsubsubsubstandard">
    <w:name w:val="subsubsubsubstandard"/>
    <w:basedOn w:val="subsubsubstandard"/>
    <w:pPr>
      <w:ind w:firstLine="3600"/>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tabs>
        <w:tab w:val="left" w:pos="8280"/>
      </w:tabs>
      <w:ind w:left="1080" w:right="1260"/>
    </w:pPr>
    <w:rPr>
      <w:b/>
      <w:bCs/>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styleId="Strong">
    <w:name w:val="Strong"/>
    <w:qFormat/>
    <w:rPr>
      <w:rFonts w:cs="Times New Roman"/>
      <w:b/>
      <w:bC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link w:val="BodyText"/>
    <w:locked/>
    <w:rPr>
      <w:rFonts w:ascii="Palatino" w:hAnsi="Palatino" w:cs="Times New Roman"/>
      <w:sz w:val="24"/>
      <w:lang w:val="en-US" w:eastAsia="en-US" w:bidi="ar-SA"/>
    </w:rPr>
  </w:style>
  <w:style w:type="character" w:customStyle="1" w:styleId="HTMLPreformattedChar">
    <w:name w:val="HTML Preformatted Char"/>
    <w:link w:val="HTMLPreformatted"/>
    <w:locked/>
    <w:rPr>
      <w:rFonts w:ascii="Courier New" w:hAnsi="Courier New" w:cs="Courier New"/>
      <w:lang w:val="en-US" w:eastAsia="en-US" w:bidi="ar-SA"/>
    </w:rPr>
  </w:style>
  <w:style w:type="character" w:customStyle="1" w:styleId="standardChar">
    <w:name w:val="standard Char"/>
    <w:link w:val="standard"/>
    <w:locked/>
    <w:rPr>
      <w:rFonts w:ascii="Palatino" w:hAnsi="Palatino" w:cs="Times New Roman"/>
      <w:sz w:val="24"/>
      <w:lang w:val="en-US" w:eastAsia="en-US" w:bidi="ar-SA"/>
    </w:rPr>
  </w:style>
  <w:style w:type="character" w:styleId="CommentReference">
    <w:name w:val="annotation reference"/>
    <w:semiHidden/>
    <w:rPr>
      <w:rFonts w:cs="Times New Roman"/>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customStyle="1" w:styleId="CharChar">
    <w:name w:val="Char Char"/>
    <w:rPr>
      <w:rFonts w:ascii="Courier New" w:hAnsi="Courier New" w:cs="Courier New"/>
      <w:lang w:val="en-US" w:eastAsia="en-US" w:bidi="ar-SA"/>
    </w:rPr>
  </w:style>
  <w:style w:type="character" w:styleId="FollowedHyperlink">
    <w:name w:val="FollowedHyperlink"/>
    <w:rPr>
      <w:color w:val="800080"/>
      <w:u w:val="single"/>
    </w:rPr>
  </w:style>
  <w:style w:type="character" w:customStyle="1" w:styleId="FootnoteTextChar1">
    <w:name w:val="Footnote Text Char1"/>
    <w:aliases w:val="Footnote Text Char Char1,Footnote Text Char2 Char Char,Footnote Text Char Char Char Char,Footnote Text Char2 Char Char Char Char,Footnote Text Char Char Char Char Char Char,Footnote Text Char2 Char Char Char Char1 Char Char,fn Char"/>
    <w:link w:val="FootnoteText"/>
    <w:rPr>
      <w:rFonts w:ascii="Palatino" w:hAnsi="Palatino"/>
      <w:sz w:val="22"/>
      <w:lang w:val="en-US" w:eastAsia="en-US" w:bidi="ar-SA"/>
    </w:rPr>
  </w:style>
  <w:style w:type="paragraph" w:styleId="NormalWeb">
    <w:name w:val="Normal (Web)"/>
    <w:basedOn w:val="Normal"/>
    <w:uiPriority w:val="99"/>
    <w:pPr>
      <w:overflowPunct/>
      <w:autoSpaceDE/>
      <w:autoSpaceDN/>
      <w:adjustRightInd/>
      <w:spacing w:before="168" w:after="216"/>
      <w:textAlignment w:val="auto"/>
    </w:pPr>
    <w:rPr>
      <w:rFonts w:ascii="Times New Roman" w:hAnsi="Times New Roman"/>
      <w:szCs w:val="24"/>
    </w:rPr>
  </w:style>
  <w:style w:type="character" w:customStyle="1" w:styleId="num1Char">
    <w:name w:val="num1 Char"/>
    <w:link w:val="num1"/>
    <w:locked/>
    <w:rsid w:val="004A3BDB"/>
    <w:rPr>
      <w:rFonts w:ascii="Palatino" w:hAnsi="Palatino"/>
      <w:sz w:val="24"/>
    </w:rPr>
  </w:style>
  <w:style w:type="paragraph" w:styleId="ListParagraph">
    <w:name w:val="List Paragraph"/>
    <w:basedOn w:val="Normal"/>
    <w:uiPriority w:val="34"/>
    <w:qFormat/>
    <w:rsid w:val="00BD2246"/>
    <w:pPr>
      <w:overflowPunct/>
      <w:autoSpaceDE/>
      <w:autoSpaceDN/>
      <w:adjustRightInd/>
      <w:spacing w:after="200" w:line="276" w:lineRule="auto"/>
      <w:ind w:left="720"/>
      <w:contextualSpacing/>
      <w:textAlignment w:val="auto"/>
    </w:pPr>
    <w:rPr>
      <w:rFonts w:ascii="Calibri" w:eastAsia="Calibri" w:hAnsi="Calibri"/>
      <w:sz w:val="22"/>
      <w:szCs w:val="22"/>
    </w:rPr>
  </w:style>
  <w:style w:type="character" w:customStyle="1" w:styleId="FooterChar">
    <w:name w:val="Footer Char"/>
    <w:link w:val="Footer"/>
    <w:uiPriority w:val="99"/>
    <w:rsid w:val="0004215A"/>
    <w:rPr>
      <w:rFonts w:ascii="Palatino" w:hAnsi="Palatino"/>
      <w:sz w:val="24"/>
    </w:rPr>
  </w:style>
  <w:style w:type="paragraph" w:styleId="Revision">
    <w:name w:val="Revision"/>
    <w:hidden/>
    <w:uiPriority w:val="99"/>
    <w:semiHidden/>
    <w:rsid w:val="00E9279E"/>
    <w:rPr>
      <w:rFonts w:ascii="Palatino" w:hAnsi="Palatino"/>
      <w:sz w:val="24"/>
    </w:rPr>
  </w:style>
  <w:style w:type="paragraph" w:customStyle="1" w:styleId="Default">
    <w:name w:val="Default"/>
    <w:rsid w:val="00FD37E5"/>
    <w:pPr>
      <w:autoSpaceDE w:val="0"/>
      <w:autoSpaceDN w:val="0"/>
      <w:adjustRightInd w:val="0"/>
    </w:pPr>
    <w:rPr>
      <w:rFonts w:ascii="Book Antiqua" w:hAnsi="Book Antiqua" w:cs="Book Antiqua"/>
      <w:color w:val="000000"/>
      <w:sz w:val="24"/>
      <w:szCs w:val="24"/>
    </w:rPr>
  </w:style>
  <w:style w:type="character" w:styleId="Hyperlink">
    <w:name w:val="Hyperlink"/>
    <w:basedOn w:val="DefaultParagraphFont"/>
    <w:uiPriority w:val="99"/>
    <w:unhideWhenUsed/>
    <w:rsid w:val="00A35AD4"/>
    <w:rPr>
      <w:strike w:val="0"/>
      <w:dstrike w:val="0"/>
      <w:color w:val="3366CC"/>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15692909">
      <w:bodyDiv w:val="1"/>
      <w:marLeft w:val="0"/>
      <w:marRight w:val="0"/>
      <w:marTop w:val="0"/>
      <w:marBottom w:val="0"/>
      <w:divBdr>
        <w:top w:val="none" w:sz="0" w:space="0" w:color="auto"/>
        <w:left w:val="none" w:sz="0" w:space="0" w:color="auto"/>
        <w:bottom w:val="none" w:sz="0" w:space="0" w:color="auto"/>
        <w:right w:val="none" w:sz="0" w:space="0" w:color="auto"/>
      </w:divBdr>
    </w:div>
    <w:div w:id="22249365">
      <w:bodyDiv w:val="1"/>
      <w:marLeft w:val="0"/>
      <w:marRight w:val="0"/>
      <w:marTop w:val="0"/>
      <w:marBottom w:val="0"/>
      <w:divBdr>
        <w:top w:val="none" w:sz="0" w:space="0" w:color="auto"/>
        <w:left w:val="none" w:sz="0" w:space="0" w:color="auto"/>
        <w:bottom w:val="none" w:sz="0" w:space="0" w:color="auto"/>
        <w:right w:val="none" w:sz="0" w:space="0" w:color="auto"/>
      </w:divBdr>
    </w:div>
    <w:div w:id="32077522">
      <w:bodyDiv w:val="1"/>
      <w:marLeft w:val="0"/>
      <w:marRight w:val="0"/>
      <w:marTop w:val="0"/>
      <w:marBottom w:val="0"/>
      <w:divBdr>
        <w:top w:val="none" w:sz="0" w:space="0" w:color="auto"/>
        <w:left w:val="none" w:sz="0" w:space="0" w:color="auto"/>
        <w:bottom w:val="none" w:sz="0" w:space="0" w:color="auto"/>
        <w:right w:val="none" w:sz="0" w:space="0" w:color="auto"/>
      </w:divBdr>
    </w:div>
    <w:div w:id="87779187">
      <w:bodyDiv w:val="1"/>
      <w:marLeft w:val="0"/>
      <w:marRight w:val="0"/>
      <w:marTop w:val="0"/>
      <w:marBottom w:val="0"/>
      <w:divBdr>
        <w:top w:val="none" w:sz="0" w:space="0" w:color="auto"/>
        <w:left w:val="none" w:sz="0" w:space="0" w:color="auto"/>
        <w:bottom w:val="none" w:sz="0" w:space="0" w:color="auto"/>
        <w:right w:val="none" w:sz="0" w:space="0" w:color="auto"/>
      </w:divBdr>
    </w:div>
    <w:div w:id="235091762">
      <w:bodyDiv w:val="1"/>
      <w:marLeft w:val="0"/>
      <w:marRight w:val="0"/>
      <w:marTop w:val="0"/>
      <w:marBottom w:val="0"/>
      <w:divBdr>
        <w:top w:val="none" w:sz="0" w:space="0" w:color="auto"/>
        <w:left w:val="none" w:sz="0" w:space="0" w:color="auto"/>
        <w:bottom w:val="none" w:sz="0" w:space="0" w:color="auto"/>
        <w:right w:val="none" w:sz="0" w:space="0" w:color="auto"/>
      </w:divBdr>
    </w:div>
    <w:div w:id="323238976">
      <w:bodyDiv w:val="1"/>
      <w:marLeft w:val="0"/>
      <w:marRight w:val="0"/>
      <w:marTop w:val="0"/>
      <w:marBottom w:val="0"/>
      <w:divBdr>
        <w:top w:val="none" w:sz="0" w:space="0" w:color="auto"/>
        <w:left w:val="none" w:sz="0" w:space="0" w:color="auto"/>
        <w:bottom w:val="none" w:sz="0" w:space="0" w:color="auto"/>
        <w:right w:val="none" w:sz="0" w:space="0" w:color="auto"/>
      </w:divBdr>
    </w:div>
    <w:div w:id="414782666">
      <w:bodyDiv w:val="1"/>
      <w:marLeft w:val="0"/>
      <w:marRight w:val="0"/>
      <w:marTop w:val="0"/>
      <w:marBottom w:val="0"/>
      <w:divBdr>
        <w:top w:val="none" w:sz="0" w:space="0" w:color="auto"/>
        <w:left w:val="none" w:sz="0" w:space="0" w:color="auto"/>
        <w:bottom w:val="none" w:sz="0" w:space="0" w:color="auto"/>
        <w:right w:val="none" w:sz="0" w:space="0" w:color="auto"/>
      </w:divBdr>
    </w:div>
    <w:div w:id="432164716">
      <w:bodyDiv w:val="1"/>
      <w:marLeft w:val="0"/>
      <w:marRight w:val="0"/>
      <w:marTop w:val="0"/>
      <w:marBottom w:val="0"/>
      <w:divBdr>
        <w:top w:val="none" w:sz="0" w:space="0" w:color="auto"/>
        <w:left w:val="none" w:sz="0" w:space="0" w:color="auto"/>
        <w:bottom w:val="none" w:sz="0" w:space="0" w:color="auto"/>
        <w:right w:val="none" w:sz="0" w:space="0" w:color="auto"/>
      </w:divBdr>
    </w:div>
    <w:div w:id="522590572">
      <w:bodyDiv w:val="1"/>
      <w:marLeft w:val="0"/>
      <w:marRight w:val="0"/>
      <w:marTop w:val="0"/>
      <w:marBottom w:val="0"/>
      <w:divBdr>
        <w:top w:val="none" w:sz="0" w:space="0" w:color="auto"/>
        <w:left w:val="none" w:sz="0" w:space="0" w:color="auto"/>
        <w:bottom w:val="none" w:sz="0" w:space="0" w:color="auto"/>
        <w:right w:val="none" w:sz="0" w:space="0" w:color="auto"/>
      </w:divBdr>
    </w:div>
    <w:div w:id="540752199">
      <w:bodyDiv w:val="1"/>
      <w:marLeft w:val="0"/>
      <w:marRight w:val="0"/>
      <w:marTop w:val="0"/>
      <w:marBottom w:val="0"/>
      <w:divBdr>
        <w:top w:val="none" w:sz="0" w:space="0" w:color="auto"/>
        <w:left w:val="none" w:sz="0" w:space="0" w:color="auto"/>
        <w:bottom w:val="none" w:sz="0" w:space="0" w:color="auto"/>
        <w:right w:val="none" w:sz="0" w:space="0" w:color="auto"/>
      </w:divBdr>
    </w:div>
    <w:div w:id="628752677">
      <w:bodyDiv w:val="1"/>
      <w:marLeft w:val="0"/>
      <w:marRight w:val="0"/>
      <w:marTop w:val="0"/>
      <w:marBottom w:val="0"/>
      <w:divBdr>
        <w:top w:val="none" w:sz="0" w:space="0" w:color="auto"/>
        <w:left w:val="none" w:sz="0" w:space="0" w:color="auto"/>
        <w:bottom w:val="none" w:sz="0" w:space="0" w:color="auto"/>
        <w:right w:val="none" w:sz="0" w:space="0" w:color="auto"/>
      </w:divBdr>
    </w:div>
    <w:div w:id="645866231">
      <w:bodyDiv w:val="1"/>
      <w:marLeft w:val="0"/>
      <w:marRight w:val="0"/>
      <w:marTop w:val="0"/>
      <w:marBottom w:val="0"/>
      <w:divBdr>
        <w:top w:val="none" w:sz="0" w:space="0" w:color="auto"/>
        <w:left w:val="none" w:sz="0" w:space="0" w:color="auto"/>
        <w:bottom w:val="none" w:sz="0" w:space="0" w:color="auto"/>
        <w:right w:val="none" w:sz="0" w:space="0" w:color="auto"/>
      </w:divBdr>
    </w:div>
    <w:div w:id="674648043">
      <w:bodyDiv w:val="1"/>
      <w:marLeft w:val="0"/>
      <w:marRight w:val="0"/>
      <w:marTop w:val="0"/>
      <w:marBottom w:val="0"/>
      <w:divBdr>
        <w:top w:val="none" w:sz="0" w:space="0" w:color="auto"/>
        <w:left w:val="none" w:sz="0" w:space="0" w:color="auto"/>
        <w:bottom w:val="none" w:sz="0" w:space="0" w:color="auto"/>
        <w:right w:val="none" w:sz="0" w:space="0" w:color="auto"/>
      </w:divBdr>
    </w:div>
    <w:div w:id="710304293">
      <w:bodyDiv w:val="1"/>
      <w:marLeft w:val="0"/>
      <w:marRight w:val="0"/>
      <w:marTop w:val="0"/>
      <w:marBottom w:val="0"/>
      <w:divBdr>
        <w:top w:val="none" w:sz="0" w:space="0" w:color="auto"/>
        <w:left w:val="none" w:sz="0" w:space="0" w:color="auto"/>
        <w:bottom w:val="none" w:sz="0" w:space="0" w:color="auto"/>
        <w:right w:val="none" w:sz="0" w:space="0" w:color="auto"/>
      </w:divBdr>
    </w:div>
    <w:div w:id="736633941">
      <w:bodyDiv w:val="1"/>
      <w:marLeft w:val="0"/>
      <w:marRight w:val="0"/>
      <w:marTop w:val="0"/>
      <w:marBottom w:val="0"/>
      <w:divBdr>
        <w:top w:val="none" w:sz="0" w:space="0" w:color="auto"/>
        <w:left w:val="none" w:sz="0" w:space="0" w:color="auto"/>
        <w:bottom w:val="none" w:sz="0" w:space="0" w:color="auto"/>
        <w:right w:val="none" w:sz="0" w:space="0" w:color="auto"/>
      </w:divBdr>
    </w:div>
    <w:div w:id="761560667">
      <w:bodyDiv w:val="1"/>
      <w:marLeft w:val="0"/>
      <w:marRight w:val="0"/>
      <w:marTop w:val="0"/>
      <w:marBottom w:val="0"/>
      <w:divBdr>
        <w:top w:val="none" w:sz="0" w:space="0" w:color="auto"/>
        <w:left w:val="none" w:sz="0" w:space="0" w:color="auto"/>
        <w:bottom w:val="none" w:sz="0" w:space="0" w:color="auto"/>
        <w:right w:val="none" w:sz="0" w:space="0" w:color="auto"/>
      </w:divBdr>
      <w:divsChild>
        <w:div w:id="402684731">
          <w:marLeft w:val="2985"/>
          <w:marRight w:val="0"/>
          <w:marTop w:val="0"/>
          <w:marBottom w:val="0"/>
          <w:divBdr>
            <w:top w:val="none" w:sz="0" w:space="0" w:color="auto"/>
            <w:left w:val="none" w:sz="0" w:space="0" w:color="auto"/>
            <w:bottom w:val="none" w:sz="0" w:space="0" w:color="auto"/>
            <w:right w:val="none" w:sz="0" w:space="0" w:color="auto"/>
          </w:divBdr>
          <w:divsChild>
            <w:div w:id="1777285295">
              <w:marLeft w:val="0"/>
              <w:marRight w:val="0"/>
              <w:marTop w:val="0"/>
              <w:marBottom w:val="0"/>
              <w:divBdr>
                <w:top w:val="none" w:sz="0" w:space="0" w:color="auto"/>
                <w:left w:val="none" w:sz="0" w:space="0" w:color="auto"/>
                <w:bottom w:val="none" w:sz="0" w:space="0" w:color="auto"/>
                <w:right w:val="none" w:sz="0" w:space="0" w:color="auto"/>
              </w:divBdr>
              <w:divsChild>
                <w:div w:id="142102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142027">
      <w:bodyDiv w:val="1"/>
      <w:marLeft w:val="0"/>
      <w:marRight w:val="0"/>
      <w:marTop w:val="0"/>
      <w:marBottom w:val="0"/>
      <w:divBdr>
        <w:top w:val="none" w:sz="0" w:space="0" w:color="auto"/>
        <w:left w:val="none" w:sz="0" w:space="0" w:color="auto"/>
        <w:bottom w:val="none" w:sz="0" w:space="0" w:color="auto"/>
        <w:right w:val="none" w:sz="0" w:space="0" w:color="auto"/>
      </w:divBdr>
      <w:divsChild>
        <w:div w:id="1117142505">
          <w:marLeft w:val="2985"/>
          <w:marRight w:val="0"/>
          <w:marTop w:val="0"/>
          <w:marBottom w:val="0"/>
          <w:divBdr>
            <w:top w:val="none" w:sz="0" w:space="0" w:color="auto"/>
            <w:left w:val="none" w:sz="0" w:space="0" w:color="auto"/>
            <w:bottom w:val="none" w:sz="0" w:space="0" w:color="auto"/>
            <w:right w:val="none" w:sz="0" w:space="0" w:color="auto"/>
          </w:divBdr>
          <w:divsChild>
            <w:div w:id="1926498690">
              <w:marLeft w:val="0"/>
              <w:marRight w:val="0"/>
              <w:marTop w:val="0"/>
              <w:marBottom w:val="0"/>
              <w:divBdr>
                <w:top w:val="none" w:sz="0" w:space="0" w:color="auto"/>
                <w:left w:val="none" w:sz="0" w:space="0" w:color="auto"/>
                <w:bottom w:val="none" w:sz="0" w:space="0" w:color="auto"/>
                <w:right w:val="none" w:sz="0" w:space="0" w:color="auto"/>
              </w:divBdr>
              <w:divsChild>
                <w:div w:id="205534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018679">
      <w:bodyDiv w:val="1"/>
      <w:marLeft w:val="0"/>
      <w:marRight w:val="0"/>
      <w:marTop w:val="0"/>
      <w:marBottom w:val="0"/>
      <w:divBdr>
        <w:top w:val="none" w:sz="0" w:space="0" w:color="auto"/>
        <w:left w:val="none" w:sz="0" w:space="0" w:color="auto"/>
        <w:bottom w:val="none" w:sz="0" w:space="0" w:color="auto"/>
        <w:right w:val="none" w:sz="0" w:space="0" w:color="auto"/>
      </w:divBdr>
    </w:div>
    <w:div w:id="934872599">
      <w:bodyDiv w:val="1"/>
      <w:marLeft w:val="0"/>
      <w:marRight w:val="0"/>
      <w:marTop w:val="0"/>
      <w:marBottom w:val="0"/>
      <w:divBdr>
        <w:top w:val="none" w:sz="0" w:space="0" w:color="auto"/>
        <w:left w:val="none" w:sz="0" w:space="0" w:color="auto"/>
        <w:bottom w:val="none" w:sz="0" w:space="0" w:color="auto"/>
        <w:right w:val="none" w:sz="0" w:space="0" w:color="auto"/>
      </w:divBdr>
    </w:div>
    <w:div w:id="1000497936">
      <w:bodyDiv w:val="1"/>
      <w:marLeft w:val="0"/>
      <w:marRight w:val="0"/>
      <w:marTop w:val="0"/>
      <w:marBottom w:val="0"/>
      <w:divBdr>
        <w:top w:val="none" w:sz="0" w:space="0" w:color="auto"/>
        <w:left w:val="none" w:sz="0" w:space="0" w:color="auto"/>
        <w:bottom w:val="none" w:sz="0" w:space="0" w:color="auto"/>
        <w:right w:val="none" w:sz="0" w:space="0" w:color="auto"/>
      </w:divBdr>
    </w:div>
    <w:div w:id="1044871051">
      <w:bodyDiv w:val="1"/>
      <w:marLeft w:val="0"/>
      <w:marRight w:val="0"/>
      <w:marTop w:val="0"/>
      <w:marBottom w:val="0"/>
      <w:divBdr>
        <w:top w:val="none" w:sz="0" w:space="0" w:color="auto"/>
        <w:left w:val="none" w:sz="0" w:space="0" w:color="auto"/>
        <w:bottom w:val="none" w:sz="0" w:space="0" w:color="auto"/>
        <w:right w:val="none" w:sz="0" w:space="0" w:color="auto"/>
      </w:divBdr>
    </w:div>
    <w:div w:id="1058626462">
      <w:bodyDiv w:val="1"/>
      <w:marLeft w:val="0"/>
      <w:marRight w:val="0"/>
      <w:marTop w:val="0"/>
      <w:marBottom w:val="0"/>
      <w:divBdr>
        <w:top w:val="none" w:sz="0" w:space="0" w:color="auto"/>
        <w:left w:val="none" w:sz="0" w:space="0" w:color="auto"/>
        <w:bottom w:val="none" w:sz="0" w:space="0" w:color="auto"/>
        <w:right w:val="none" w:sz="0" w:space="0" w:color="auto"/>
      </w:divBdr>
    </w:div>
    <w:div w:id="1153258968">
      <w:bodyDiv w:val="1"/>
      <w:marLeft w:val="0"/>
      <w:marRight w:val="0"/>
      <w:marTop w:val="0"/>
      <w:marBottom w:val="0"/>
      <w:divBdr>
        <w:top w:val="none" w:sz="0" w:space="0" w:color="auto"/>
        <w:left w:val="none" w:sz="0" w:space="0" w:color="auto"/>
        <w:bottom w:val="none" w:sz="0" w:space="0" w:color="auto"/>
        <w:right w:val="none" w:sz="0" w:space="0" w:color="auto"/>
      </w:divBdr>
    </w:div>
    <w:div w:id="1155412462">
      <w:bodyDiv w:val="1"/>
      <w:marLeft w:val="0"/>
      <w:marRight w:val="0"/>
      <w:marTop w:val="0"/>
      <w:marBottom w:val="0"/>
      <w:divBdr>
        <w:top w:val="none" w:sz="0" w:space="0" w:color="auto"/>
        <w:left w:val="none" w:sz="0" w:space="0" w:color="auto"/>
        <w:bottom w:val="none" w:sz="0" w:space="0" w:color="auto"/>
        <w:right w:val="none" w:sz="0" w:space="0" w:color="auto"/>
      </w:divBdr>
    </w:div>
    <w:div w:id="1200557899">
      <w:bodyDiv w:val="1"/>
      <w:marLeft w:val="0"/>
      <w:marRight w:val="0"/>
      <w:marTop w:val="0"/>
      <w:marBottom w:val="0"/>
      <w:divBdr>
        <w:top w:val="none" w:sz="0" w:space="0" w:color="auto"/>
        <w:left w:val="none" w:sz="0" w:space="0" w:color="auto"/>
        <w:bottom w:val="none" w:sz="0" w:space="0" w:color="auto"/>
        <w:right w:val="none" w:sz="0" w:space="0" w:color="auto"/>
      </w:divBdr>
    </w:div>
    <w:div w:id="1265532562">
      <w:bodyDiv w:val="1"/>
      <w:marLeft w:val="0"/>
      <w:marRight w:val="0"/>
      <w:marTop w:val="0"/>
      <w:marBottom w:val="0"/>
      <w:divBdr>
        <w:top w:val="none" w:sz="0" w:space="0" w:color="auto"/>
        <w:left w:val="none" w:sz="0" w:space="0" w:color="auto"/>
        <w:bottom w:val="none" w:sz="0" w:space="0" w:color="auto"/>
        <w:right w:val="none" w:sz="0" w:space="0" w:color="auto"/>
      </w:divBdr>
    </w:div>
    <w:div w:id="1347559736">
      <w:bodyDiv w:val="1"/>
      <w:marLeft w:val="0"/>
      <w:marRight w:val="0"/>
      <w:marTop w:val="0"/>
      <w:marBottom w:val="0"/>
      <w:divBdr>
        <w:top w:val="none" w:sz="0" w:space="0" w:color="auto"/>
        <w:left w:val="none" w:sz="0" w:space="0" w:color="auto"/>
        <w:bottom w:val="none" w:sz="0" w:space="0" w:color="auto"/>
        <w:right w:val="none" w:sz="0" w:space="0" w:color="auto"/>
      </w:divBdr>
    </w:div>
    <w:div w:id="1388066285">
      <w:bodyDiv w:val="1"/>
      <w:marLeft w:val="0"/>
      <w:marRight w:val="0"/>
      <w:marTop w:val="0"/>
      <w:marBottom w:val="0"/>
      <w:divBdr>
        <w:top w:val="none" w:sz="0" w:space="0" w:color="auto"/>
        <w:left w:val="none" w:sz="0" w:space="0" w:color="auto"/>
        <w:bottom w:val="none" w:sz="0" w:space="0" w:color="auto"/>
        <w:right w:val="none" w:sz="0" w:space="0" w:color="auto"/>
      </w:divBdr>
    </w:div>
    <w:div w:id="1398741967">
      <w:bodyDiv w:val="1"/>
      <w:marLeft w:val="0"/>
      <w:marRight w:val="0"/>
      <w:marTop w:val="0"/>
      <w:marBottom w:val="0"/>
      <w:divBdr>
        <w:top w:val="none" w:sz="0" w:space="0" w:color="auto"/>
        <w:left w:val="none" w:sz="0" w:space="0" w:color="auto"/>
        <w:bottom w:val="none" w:sz="0" w:space="0" w:color="auto"/>
        <w:right w:val="none" w:sz="0" w:space="0" w:color="auto"/>
      </w:divBdr>
    </w:div>
    <w:div w:id="1406301026">
      <w:bodyDiv w:val="1"/>
      <w:marLeft w:val="0"/>
      <w:marRight w:val="0"/>
      <w:marTop w:val="0"/>
      <w:marBottom w:val="0"/>
      <w:divBdr>
        <w:top w:val="none" w:sz="0" w:space="0" w:color="auto"/>
        <w:left w:val="none" w:sz="0" w:space="0" w:color="auto"/>
        <w:bottom w:val="none" w:sz="0" w:space="0" w:color="auto"/>
        <w:right w:val="none" w:sz="0" w:space="0" w:color="auto"/>
      </w:divBdr>
    </w:div>
    <w:div w:id="1494222973">
      <w:bodyDiv w:val="1"/>
      <w:marLeft w:val="0"/>
      <w:marRight w:val="0"/>
      <w:marTop w:val="0"/>
      <w:marBottom w:val="0"/>
      <w:divBdr>
        <w:top w:val="none" w:sz="0" w:space="0" w:color="auto"/>
        <w:left w:val="none" w:sz="0" w:space="0" w:color="auto"/>
        <w:bottom w:val="none" w:sz="0" w:space="0" w:color="auto"/>
        <w:right w:val="none" w:sz="0" w:space="0" w:color="auto"/>
      </w:divBdr>
    </w:div>
    <w:div w:id="1643267751">
      <w:bodyDiv w:val="1"/>
      <w:marLeft w:val="0"/>
      <w:marRight w:val="0"/>
      <w:marTop w:val="0"/>
      <w:marBottom w:val="0"/>
      <w:divBdr>
        <w:top w:val="none" w:sz="0" w:space="0" w:color="auto"/>
        <w:left w:val="none" w:sz="0" w:space="0" w:color="auto"/>
        <w:bottom w:val="none" w:sz="0" w:space="0" w:color="auto"/>
        <w:right w:val="none" w:sz="0" w:space="0" w:color="auto"/>
      </w:divBdr>
    </w:div>
    <w:div w:id="1658341657">
      <w:bodyDiv w:val="1"/>
      <w:marLeft w:val="0"/>
      <w:marRight w:val="0"/>
      <w:marTop w:val="0"/>
      <w:marBottom w:val="0"/>
      <w:divBdr>
        <w:top w:val="none" w:sz="0" w:space="0" w:color="auto"/>
        <w:left w:val="none" w:sz="0" w:space="0" w:color="auto"/>
        <w:bottom w:val="none" w:sz="0" w:space="0" w:color="auto"/>
        <w:right w:val="none" w:sz="0" w:space="0" w:color="auto"/>
      </w:divBdr>
    </w:div>
    <w:div w:id="1920865313">
      <w:bodyDiv w:val="1"/>
      <w:marLeft w:val="0"/>
      <w:marRight w:val="0"/>
      <w:marTop w:val="0"/>
      <w:marBottom w:val="0"/>
      <w:divBdr>
        <w:top w:val="none" w:sz="0" w:space="0" w:color="auto"/>
        <w:left w:val="none" w:sz="0" w:space="0" w:color="auto"/>
        <w:bottom w:val="none" w:sz="0" w:space="0" w:color="auto"/>
        <w:right w:val="none" w:sz="0" w:space="0" w:color="auto"/>
      </w:divBdr>
    </w:div>
    <w:div w:id="2121487387">
      <w:bodyDiv w:val="1"/>
      <w:marLeft w:val="0"/>
      <w:marRight w:val="0"/>
      <w:marTop w:val="0"/>
      <w:marBottom w:val="0"/>
      <w:divBdr>
        <w:top w:val="none" w:sz="0" w:space="0" w:color="auto"/>
        <w:left w:val="none" w:sz="0" w:space="0" w:color="auto"/>
        <w:bottom w:val="none" w:sz="0" w:space="0" w:color="auto"/>
        <w:right w:val="none" w:sz="0" w:space="0" w:color="auto"/>
      </w:divBdr>
    </w:div>
    <w:div w:id="214080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pu.ca.gov/"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1D975-FED0-48A0-AD3F-67ECACFCC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1096</Words>
  <Characters>6250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7332</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2012-04-20T17:54:00Z</cp:lastPrinted>
  <dcterms:created xsi:type="dcterms:W3CDTF">2018-05-22T17:11:00Z</dcterms:created>
  <dcterms:modified xsi:type="dcterms:W3CDTF">2018-05-22T18:43:00Z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0FAAcuWl1SbNzhE8Siru455Aakw1RSTF0iMo9a2XrETeKEyVNAelhD2ugwr3M8OM+3gKvVQ1aziT3w2T
vTvzK4kUlb/Z/SLWFoEcXSjInQ05rLLScmWxmf9AlB36XYsOVamHwx95LU3wLpiTvTvzK4kUlb/Z
/SLWFoEcXSjInQ05rLLScmWxmf9AlE595vXiBcZxPhL7Yzpvsh8SBMV6B5BcILfoArQzCLnQdBqC
PmxMqYiV2yQIS+NTt</vt:lpwstr>
  </property>
  <property fmtid="{D5CDD505-2E9C-101B-9397-08002B2CF9AE}" pid="3" name="MAIL_MSG_ID2">
    <vt:lpwstr>fQvkJEo9LjnUCTKzrLZqEgNRsG4Xgi2BgUwBWaH1NcGjd+494yjgZfHaubZ
nVmwIigS9nsubCtJz7stXVVCe1KJsJqY6MOOrjyKKOVk4jYVP3Pft5FsoJk=</vt:lpwstr>
  </property>
  <property fmtid="{D5CDD505-2E9C-101B-9397-08002B2CF9AE}" pid="4" name="RESPONSE_SENDER_NAME">
    <vt:lpwstr>4AAAMz5NUQ6P8J+om5SuaUmtoHPmGzFU/R6/DEF+MGMTBkgDF2Cb0NO2sw==</vt:lpwstr>
  </property>
  <property fmtid="{D5CDD505-2E9C-101B-9397-08002B2CF9AE}" pid="5" name="EMAIL_OWNER_ADDRESS">
    <vt:lpwstr>4AAAv2pPQheLA5Xvg5lWlXESk+KXDVUyhTOhi36q1rtmSarWqOSnSqp0JQ==</vt:lpwstr>
  </property>
</Properties>
</file>