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2C" w:rsidRDefault="00B85D2C" w:rsidP="00304BF0">
      <w:pPr>
        <w:pStyle w:val="titlebar"/>
        <w:rPr>
          <w:sz w:val="24"/>
        </w:rPr>
      </w:pPr>
      <w:r>
        <w:rPr>
          <w:sz w:val="24"/>
        </w:rPr>
        <w:t>PUBLIC UTILITIES COMMISSION OF THE STATE OF CALIFORNIA</w:t>
      </w:r>
    </w:p>
    <w:p w:rsidR="009F2626" w:rsidRDefault="009F2626" w:rsidP="00304BF0">
      <w:pPr>
        <w:pStyle w:val="titlebar"/>
        <w:rPr>
          <w:sz w:val="24"/>
        </w:rPr>
      </w:pPr>
      <w:r>
        <w:rPr>
          <w:sz w:val="24"/>
        </w:rPr>
        <w:tab/>
      </w:r>
      <w:r>
        <w:rPr>
          <w:sz w:val="24"/>
        </w:rPr>
        <w:tab/>
      </w:r>
      <w:r>
        <w:rPr>
          <w:sz w:val="24"/>
        </w:rPr>
        <w:tab/>
      </w:r>
    </w:p>
    <w:p w:rsidR="00B85D2C" w:rsidRPr="009F2626" w:rsidRDefault="009F2626" w:rsidP="00304BF0">
      <w:pPr>
        <w:suppressAutoHyphens/>
        <w:rPr>
          <w:b/>
        </w:rPr>
      </w:pPr>
      <w:r>
        <w:tab/>
      </w:r>
      <w:r>
        <w:tab/>
      </w:r>
      <w:r>
        <w:tab/>
      </w:r>
      <w:r>
        <w:tab/>
      </w:r>
      <w:r>
        <w:tab/>
      </w:r>
      <w:r>
        <w:tab/>
      </w:r>
      <w:r>
        <w:tab/>
      </w:r>
      <w:r>
        <w:tab/>
      </w:r>
      <w:r w:rsidRPr="009F2626">
        <w:rPr>
          <w:b/>
        </w:rPr>
        <w:t xml:space="preserve">AGENDA ID #: </w:t>
      </w:r>
    </w:p>
    <w:p w:rsidR="00B85D2C" w:rsidRPr="009F2626" w:rsidRDefault="00B85D2C" w:rsidP="00304BF0">
      <w:pPr>
        <w:rPr>
          <w:b/>
        </w:rPr>
      </w:pPr>
      <w:r w:rsidRPr="009F2626">
        <w:rPr>
          <w:b/>
        </w:rPr>
        <w:t>ENERGY DIVISION</w:t>
      </w:r>
      <w:r w:rsidRPr="009F2626">
        <w:rPr>
          <w:b/>
        </w:rPr>
        <w:tab/>
      </w:r>
      <w:r w:rsidRPr="009F2626">
        <w:rPr>
          <w:b/>
        </w:rPr>
        <w:tab/>
      </w:r>
      <w:r w:rsidRPr="009F2626">
        <w:rPr>
          <w:b/>
        </w:rPr>
        <w:tab/>
      </w:r>
      <w:r w:rsidRPr="009F2626">
        <w:rPr>
          <w:b/>
        </w:rPr>
        <w:tab/>
      </w:r>
      <w:r w:rsidRPr="009F2626">
        <w:rPr>
          <w:b/>
        </w:rPr>
        <w:tab/>
        <w:t>RESOLUTION E-</w:t>
      </w:r>
      <w:r w:rsidR="004A775E" w:rsidRPr="009F2626">
        <w:rPr>
          <w:b/>
        </w:rPr>
        <w:t>4942</w:t>
      </w:r>
    </w:p>
    <w:p w:rsidR="00B85D2C" w:rsidRPr="009F2626" w:rsidRDefault="009F2626" w:rsidP="008835A3">
      <w:pPr>
        <w:tabs>
          <w:tab w:val="right" w:pos="8280"/>
        </w:tabs>
        <w:ind w:left="1440" w:firstLine="720"/>
        <w:jc w:val="center"/>
        <w:rPr>
          <w:b/>
        </w:rPr>
      </w:pPr>
      <w:r w:rsidRPr="009F2626">
        <w:rPr>
          <w:b/>
        </w:rPr>
        <w:t xml:space="preserve">                                  </w:t>
      </w:r>
      <w:r w:rsidR="008835A3" w:rsidRPr="009F2626">
        <w:rPr>
          <w:b/>
        </w:rPr>
        <w:t xml:space="preserve">July 12, 2018 </w:t>
      </w:r>
    </w:p>
    <w:p w:rsidR="00B85D2C" w:rsidRDefault="00B85D2C" w:rsidP="00304BF0">
      <w:pPr>
        <w:tabs>
          <w:tab w:val="right" w:pos="8910"/>
        </w:tabs>
        <w:ind w:left="1440" w:firstLine="720"/>
        <w:rPr>
          <w:b/>
        </w:rPr>
      </w:pPr>
    </w:p>
    <w:p w:rsidR="00B85D2C" w:rsidRDefault="00B85D2C" w:rsidP="00304BF0">
      <w:pPr>
        <w:pStyle w:val="mainex"/>
        <w:rPr>
          <w:u w:val="single"/>
        </w:rPr>
      </w:pPr>
      <w:bookmarkStart w:id="0" w:name="_Ref404993683"/>
      <w:r>
        <w:rPr>
          <w:u w:val="single"/>
        </w:rPr>
        <w:t>RESOLUTION</w:t>
      </w:r>
    </w:p>
    <w:p w:rsidR="00B85D2C" w:rsidRDefault="00B85D2C" w:rsidP="00304BF0"/>
    <w:p w:rsidR="008F7CC7" w:rsidRPr="00A9474E" w:rsidRDefault="00B85D2C" w:rsidP="00304BF0">
      <w:pPr>
        <w:pStyle w:val="Res-Caption"/>
        <w:rPr>
          <w:sz w:val="24"/>
          <w:szCs w:val="24"/>
        </w:rPr>
      </w:pPr>
      <w:r w:rsidRPr="00A9474E">
        <w:rPr>
          <w:sz w:val="24"/>
          <w:szCs w:val="24"/>
        </w:rPr>
        <w:t>Resolution E-</w:t>
      </w:r>
      <w:r w:rsidR="004A775E" w:rsidRPr="00A9474E">
        <w:rPr>
          <w:sz w:val="24"/>
          <w:szCs w:val="24"/>
        </w:rPr>
        <w:t>4942</w:t>
      </w:r>
      <w:r w:rsidRPr="00A9474E">
        <w:rPr>
          <w:sz w:val="24"/>
          <w:szCs w:val="24"/>
        </w:rPr>
        <w:t xml:space="preserve">.  </w:t>
      </w:r>
      <w:r w:rsidR="008F7CC7" w:rsidRPr="00A9474E">
        <w:rPr>
          <w:sz w:val="24"/>
          <w:szCs w:val="24"/>
        </w:rPr>
        <w:t xml:space="preserve">Adopts updates to </w:t>
      </w:r>
      <w:r w:rsidR="000507C8" w:rsidRPr="00A9474E">
        <w:rPr>
          <w:sz w:val="24"/>
          <w:szCs w:val="24"/>
        </w:rPr>
        <w:t>t</w:t>
      </w:r>
      <w:r w:rsidR="008F7CC7" w:rsidRPr="00A9474E">
        <w:rPr>
          <w:sz w:val="24"/>
          <w:szCs w:val="24"/>
        </w:rPr>
        <w:t xml:space="preserve">he Avoided </w:t>
      </w:r>
      <w:proofErr w:type="gramStart"/>
      <w:r w:rsidR="008F7CC7" w:rsidRPr="00A9474E">
        <w:rPr>
          <w:sz w:val="24"/>
          <w:szCs w:val="24"/>
        </w:rPr>
        <w:t xml:space="preserve">Cost </w:t>
      </w:r>
      <w:r w:rsidR="008835A3" w:rsidRPr="00A9474E">
        <w:rPr>
          <w:sz w:val="24"/>
          <w:szCs w:val="24"/>
        </w:rPr>
        <w:t xml:space="preserve"> </w:t>
      </w:r>
      <w:r w:rsidR="008F7CC7" w:rsidRPr="00A9474E">
        <w:rPr>
          <w:sz w:val="24"/>
          <w:szCs w:val="24"/>
        </w:rPr>
        <w:t>Calculator</w:t>
      </w:r>
      <w:proofErr w:type="gramEnd"/>
      <w:r w:rsidR="008F7CC7" w:rsidRPr="00A9474E">
        <w:rPr>
          <w:sz w:val="24"/>
          <w:szCs w:val="24"/>
        </w:rPr>
        <w:t xml:space="preserve"> for use in demand-side</w:t>
      </w:r>
      <w:r w:rsidR="000507C8" w:rsidRPr="00A9474E">
        <w:rPr>
          <w:sz w:val="24"/>
          <w:szCs w:val="24"/>
        </w:rPr>
        <w:t xml:space="preserve"> </w:t>
      </w:r>
      <w:r w:rsidR="008F7CC7" w:rsidRPr="00A9474E">
        <w:rPr>
          <w:sz w:val="24"/>
          <w:szCs w:val="24"/>
        </w:rPr>
        <w:t>distributed energy resources cost-effectiveness analyses.</w:t>
      </w:r>
    </w:p>
    <w:p w:rsidR="008F7CC7" w:rsidRPr="00A9474E" w:rsidRDefault="008F7CC7" w:rsidP="00304BF0">
      <w:pPr>
        <w:pStyle w:val="Res-Caption"/>
        <w:rPr>
          <w:sz w:val="24"/>
          <w:szCs w:val="24"/>
        </w:rPr>
      </w:pPr>
    </w:p>
    <w:p w:rsidR="008F7CC7" w:rsidRPr="00A9474E" w:rsidRDefault="008F7CC7" w:rsidP="00304BF0">
      <w:pPr>
        <w:pStyle w:val="Res-Caption"/>
        <w:rPr>
          <w:sz w:val="24"/>
          <w:szCs w:val="24"/>
        </w:rPr>
      </w:pPr>
      <w:r w:rsidRPr="00A9474E">
        <w:rPr>
          <w:sz w:val="24"/>
          <w:szCs w:val="24"/>
        </w:rPr>
        <w:t>PROPOSED OUTCOME:</w:t>
      </w:r>
    </w:p>
    <w:p w:rsidR="008F7CC7" w:rsidRPr="00A9474E" w:rsidRDefault="008F7CC7" w:rsidP="00304BF0">
      <w:pPr>
        <w:pStyle w:val="Res-Caption"/>
        <w:numPr>
          <w:ilvl w:val="0"/>
          <w:numId w:val="5"/>
        </w:numPr>
        <w:rPr>
          <w:sz w:val="24"/>
          <w:szCs w:val="24"/>
        </w:rPr>
      </w:pPr>
      <w:r w:rsidRPr="00A9474E">
        <w:rPr>
          <w:sz w:val="24"/>
          <w:szCs w:val="24"/>
        </w:rPr>
        <w:t>Adopts certain data input updates</w:t>
      </w:r>
      <w:r w:rsidR="000507C8" w:rsidRPr="00A9474E">
        <w:rPr>
          <w:sz w:val="24"/>
          <w:szCs w:val="24"/>
        </w:rPr>
        <w:t xml:space="preserve"> and</w:t>
      </w:r>
      <w:r w:rsidRPr="00A9474E">
        <w:rPr>
          <w:sz w:val="24"/>
          <w:szCs w:val="24"/>
        </w:rPr>
        <w:t xml:space="preserve"> minor modeling adjustments for the Avoided Cost Calculator for use in distributed energy resource cost-effectiveness analyses.</w:t>
      </w:r>
    </w:p>
    <w:p w:rsidR="008F7CC7" w:rsidRPr="00A9474E" w:rsidRDefault="008F7CC7" w:rsidP="00304BF0">
      <w:pPr>
        <w:pStyle w:val="Res-Caption"/>
        <w:rPr>
          <w:sz w:val="24"/>
          <w:szCs w:val="24"/>
        </w:rPr>
      </w:pPr>
    </w:p>
    <w:p w:rsidR="008F7CC7" w:rsidRPr="00A9474E" w:rsidRDefault="008F7CC7" w:rsidP="00304BF0">
      <w:pPr>
        <w:pStyle w:val="Res-Caption"/>
        <w:rPr>
          <w:sz w:val="24"/>
          <w:szCs w:val="24"/>
        </w:rPr>
      </w:pPr>
      <w:r w:rsidRPr="00A9474E">
        <w:rPr>
          <w:sz w:val="24"/>
          <w:szCs w:val="24"/>
        </w:rPr>
        <w:t>SAFETY CONSIDERATIONS:</w:t>
      </w:r>
    </w:p>
    <w:p w:rsidR="00B85D2C" w:rsidRPr="00A9474E" w:rsidRDefault="008F7CC7" w:rsidP="00304BF0">
      <w:pPr>
        <w:pStyle w:val="Res-Caption"/>
        <w:numPr>
          <w:ilvl w:val="0"/>
          <w:numId w:val="5"/>
        </w:numPr>
        <w:rPr>
          <w:sz w:val="24"/>
          <w:szCs w:val="24"/>
        </w:rPr>
      </w:pPr>
      <w:r w:rsidRPr="00A9474E">
        <w:rPr>
          <w:sz w:val="24"/>
          <w:szCs w:val="24"/>
        </w:rPr>
        <w:t>Based on the information before us the Resolution does not appear to result in any adverse safety impacts.</w:t>
      </w:r>
    </w:p>
    <w:p w:rsidR="00B85D2C" w:rsidRPr="00A9474E" w:rsidRDefault="00B85D2C" w:rsidP="00304BF0">
      <w:pPr>
        <w:pStyle w:val="Res-Caption"/>
        <w:rPr>
          <w:sz w:val="24"/>
          <w:szCs w:val="24"/>
        </w:rPr>
      </w:pPr>
    </w:p>
    <w:p w:rsidR="00B85D2C" w:rsidRPr="00A9474E" w:rsidRDefault="00B85D2C" w:rsidP="00304BF0">
      <w:pPr>
        <w:pStyle w:val="Res-Caption"/>
        <w:rPr>
          <w:sz w:val="24"/>
          <w:szCs w:val="24"/>
        </w:rPr>
      </w:pPr>
      <w:r w:rsidRPr="00A9474E">
        <w:rPr>
          <w:sz w:val="24"/>
          <w:szCs w:val="24"/>
        </w:rPr>
        <w:t xml:space="preserve">ESTIMATED COST:  </w:t>
      </w:r>
    </w:p>
    <w:p w:rsidR="00B85D2C" w:rsidRPr="00A9474E" w:rsidRDefault="008F7CC7" w:rsidP="00304BF0">
      <w:pPr>
        <w:pStyle w:val="Res-Caption"/>
        <w:numPr>
          <w:ilvl w:val="0"/>
          <w:numId w:val="5"/>
        </w:numPr>
        <w:rPr>
          <w:sz w:val="24"/>
          <w:szCs w:val="24"/>
        </w:rPr>
      </w:pPr>
      <w:r w:rsidRPr="00A9474E">
        <w:rPr>
          <w:sz w:val="24"/>
          <w:szCs w:val="24"/>
        </w:rPr>
        <w:t>No incremental cost. Funds necessary for updates to the Avoided Cost Calculator were authorized in Decision (D.)16-06-007.</w:t>
      </w:r>
    </w:p>
    <w:p w:rsidR="008F7CC7" w:rsidRPr="00A9474E" w:rsidRDefault="008F7CC7" w:rsidP="00304BF0">
      <w:pPr>
        <w:pStyle w:val="Res-Caption"/>
        <w:ind w:left="1440"/>
        <w:rPr>
          <w:sz w:val="24"/>
          <w:szCs w:val="24"/>
        </w:rPr>
      </w:pPr>
    </w:p>
    <w:p w:rsidR="008F7CC7" w:rsidRPr="00A9474E" w:rsidRDefault="008F7CC7" w:rsidP="00A9474E">
      <w:pPr>
        <w:ind w:firstLine="720"/>
        <w:rPr>
          <w:rFonts w:ascii="Palatino" w:hAnsi="Palatino"/>
        </w:rPr>
      </w:pPr>
      <w:r w:rsidRPr="00A9474E">
        <w:rPr>
          <w:rFonts w:ascii="Palatino" w:hAnsi="Palatino"/>
        </w:rPr>
        <w:t>Authorized by D. 16-06-007, issued on June 15, 2016.</w:t>
      </w:r>
    </w:p>
    <w:p w:rsidR="008F7CC7" w:rsidRPr="00A9474E" w:rsidRDefault="008F7CC7" w:rsidP="00304BF0">
      <w:pPr>
        <w:jc w:val="center"/>
        <w:rPr>
          <w:rFonts w:ascii="Palatino" w:hAnsi="Palatino"/>
        </w:rPr>
      </w:pPr>
    </w:p>
    <w:p w:rsidR="00B85D2C" w:rsidRPr="00A9474E" w:rsidRDefault="00B85D2C" w:rsidP="00304BF0">
      <w:pPr>
        <w:rPr>
          <w:rFonts w:ascii="Palatino" w:hAnsi="Palatino"/>
        </w:rPr>
      </w:pPr>
      <w:r w:rsidRPr="00A9474E">
        <w:rPr>
          <w:rFonts w:ascii="Palatino" w:hAnsi="Palatino"/>
        </w:rPr>
        <w:t>__________________________________________________________</w:t>
      </w:r>
    </w:p>
    <w:p w:rsidR="001C1EA6" w:rsidRPr="00A9474E" w:rsidRDefault="001C1EA6" w:rsidP="00304BF0">
      <w:pPr>
        <w:rPr>
          <w:rFonts w:ascii="Palatino" w:hAnsi="Palatino"/>
          <w:b/>
        </w:rPr>
      </w:pPr>
    </w:p>
    <w:p w:rsidR="004A775E" w:rsidRPr="00A9474E" w:rsidRDefault="004A775E" w:rsidP="00304BF0">
      <w:pPr>
        <w:rPr>
          <w:rFonts w:ascii="Palatino" w:hAnsi="Palatino"/>
          <w:b/>
        </w:rPr>
      </w:pPr>
    </w:p>
    <w:bookmarkEnd w:id="0"/>
    <w:p w:rsidR="00B85D2C" w:rsidRPr="009F2626" w:rsidRDefault="009F2626" w:rsidP="00304BF0">
      <w:pPr>
        <w:pStyle w:val="Heading1"/>
        <w:rPr>
          <w:rFonts w:ascii="Palatino" w:hAnsi="Palatino" w:cs="Times New Roman"/>
          <w:b/>
          <w:color w:val="auto"/>
          <w:sz w:val="24"/>
          <w:szCs w:val="24"/>
          <w:u w:val="single"/>
        </w:rPr>
      </w:pPr>
      <w:r w:rsidRPr="009F2626">
        <w:rPr>
          <w:rFonts w:ascii="Palatino" w:hAnsi="Palatino" w:cs="Times New Roman"/>
          <w:b/>
          <w:color w:val="auto"/>
          <w:sz w:val="24"/>
          <w:szCs w:val="24"/>
          <w:u w:val="single"/>
        </w:rPr>
        <w:t>SUMMARY</w:t>
      </w:r>
    </w:p>
    <w:p w:rsidR="00B85D2C" w:rsidRPr="00A9474E" w:rsidRDefault="008F4942" w:rsidP="00304BF0">
      <w:pPr>
        <w:rPr>
          <w:rFonts w:ascii="Palatino" w:hAnsi="Palatino"/>
        </w:rPr>
      </w:pPr>
      <w:r w:rsidRPr="00A9474E">
        <w:rPr>
          <w:rFonts w:ascii="Palatino" w:hAnsi="Palatino"/>
        </w:rPr>
        <w:t xml:space="preserve">In accordance with D.16-06-007 Ordering Paragraph (OP) 2, this Staff Proposed Resolution adopts the annual update of the Avoided Cost Calculator (ACC) for use in demand-side cost-effectiveness analysis of distributed energy resources (DERs).  This annual update, as per D.16-06-007, is scheduled for May 1 of each </w:t>
      </w:r>
      <w:proofErr w:type="gramStart"/>
      <w:r w:rsidRPr="00A9474E">
        <w:rPr>
          <w:rFonts w:ascii="Palatino" w:hAnsi="Palatino"/>
        </w:rPr>
        <w:t>year,  However</w:t>
      </w:r>
      <w:proofErr w:type="gramEnd"/>
      <w:r w:rsidRPr="00A9474E">
        <w:rPr>
          <w:rFonts w:ascii="Palatino" w:hAnsi="Palatino"/>
        </w:rPr>
        <w:t>, with permission of the Executive Director</w:t>
      </w:r>
      <w:r w:rsidRPr="00A9474E">
        <w:rPr>
          <w:rStyle w:val="FootnoteReference"/>
          <w:rFonts w:ascii="Palatino" w:hAnsi="Palatino"/>
        </w:rPr>
        <w:footnoteReference w:id="1"/>
      </w:r>
      <w:r w:rsidRPr="00A9474E">
        <w:rPr>
          <w:rFonts w:ascii="Palatino" w:hAnsi="Palatino"/>
        </w:rPr>
        <w:t xml:space="preserve">,  this Resolution is submitted on May </w:t>
      </w:r>
      <w:r w:rsidR="006C5D96">
        <w:rPr>
          <w:rFonts w:ascii="Palatino" w:hAnsi="Palatino"/>
        </w:rPr>
        <w:t>2</w:t>
      </w:r>
      <w:r w:rsidR="005C7CCE">
        <w:rPr>
          <w:rFonts w:ascii="Palatino" w:hAnsi="Palatino"/>
        </w:rPr>
        <w:t>4</w:t>
      </w:r>
      <w:r w:rsidRPr="00A9474E">
        <w:rPr>
          <w:rFonts w:ascii="Palatino" w:hAnsi="Palatino"/>
        </w:rPr>
        <w:t>, 2018.</w:t>
      </w:r>
    </w:p>
    <w:p w:rsidR="001C1EA6" w:rsidRPr="00A9474E" w:rsidRDefault="001C1EA6" w:rsidP="00304BF0">
      <w:pPr>
        <w:rPr>
          <w:rFonts w:ascii="Palatino" w:hAnsi="Palatino"/>
        </w:rPr>
      </w:pPr>
    </w:p>
    <w:p w:rsidR="00B85D2C" w:rsidRPr="009F2626" w:rsidRDefault="009F2626" w:rsidP="00304BF0">
      <w:pPr>
        <w:pStyle w:val="Heading1"/>
        <w:rPr>
          <w:rFonts w:ascii="Palatino" w:hAnsi="Palatino" w:cs="Times New Roman"/>
          <w:b/>
          <w:color w:val="auto"/>
          <w:sz w:val="24"/>
          <w:szCs w:val="24"/>
          <w:u w:val="single"/>
        </w:rPr>
      </w:pPr>
      <w:r w:rsidRPr="009F2626">
        <w:rPr>
          <w:rFonts w:ascii="Palatino" w:hAnsi="Palatino" w:cs="Times New Roman"/>
          <w:b/>
          <w:color w:val="auto"/>
          <w:sz w:val="24"/>
          <w:szCs w:val="24"/>
          <w:u w:val="single"/>
        </w:rPr>
        <w:lastRenderedPageBreak/>
        <w:t>BACKGROUND</w:t>
      </w:r>
    </w:p>
    <w:p w:rsidR="00346628" w:rsidRPr="00A9474E" w:rsidRDefault="00346628" w:rsidP="00304BF0">
      <w:pPr>
        <w:rPr>
          <w:rFonts w:ascii="Palatino" w:hAnsi="Palatino"/>
        </w:rPr>
      </w:pPr>
      <w:r w:rsidRPr="00A9474E">
        <w:rPr>
          <w:rFonts w:ascii="Palatino" w:hAnsi="Palatino"/>
        </w:rPr>
        <w:t xml:space="preserve">The Avoided Cost </w:t>
      </w:r>
      <w:r w:rsidR="00C42780" w:rsidRPr="00A9474E">
        <w:rPr>
          <w:rFonts w:ascii="Palatino" w:hAnsi="Palatino"/>
        </w:rPr>
        <w:t>Calculator</w:t>
      </w:r>
      <w:r w:rsidR="004C16AB" w:rsidRPr="00A9474E">
        <w:rPr>
          <w:rFonts w:ascii="Palatino" w:hAnsi="Palatino"/>
        </w:rPr>
        <w:t xml:space="preserve">, </w:t>
      </w:r>
      <w:r w:rsidR="008F4942" w:rsidRPr="00A9474E">
        <w:rPr>
          <w:rFonts w:ascii="Palatino" w:hAnsi="Palatino"/>
        </w:rPr>
        <w:t xml:space="preserve">first </w:t>
      </w:r>
      <w:r w:rsidRPr="00A9474E">
        <w:rPr>
          <w:rFonts w:ascii="Palatino" w:hAnsi="Palatino"/>
        </w:rPr>
        <w:t>adopted in D.05-04-024</w:t>
      </w:r>
      <w:r w:rsidR="008F4942" w:rsidRPr="00A9474E">
        <w:rPr>
          <w:rStyle w:val="FootnoteReference"/>
          <w:rFonts w:ascii="Palatino" w:hAnsi="Palatino"/>
        </w:rPr>
        <w:footnoteReference w:id="2"/>
      </w:r>
      <w:r w:rsidR="008F4942" w:rsidRPr="00A9474E">
        <w:rPr>
          <w:rFonts w:ascii="Palatino" w:hAnsi="Palatino"/>
        </w:rPr>
        <w:t xml:space="preserve">, </w:t>
      </w:r>
      <w:r w:rsidRPr="00A9474E">
        <w:rPr>
          <w:rFonts w:ascii="Palatino" w:hAnsi="Palatino"/>
        </w:rPr>
        <w:t>was originally used to</w:t>
      </w:r>
      <w:r w:rsidR="008F4942" w:rsidRPr="00A9474E">
        <w:rPr>
          <w:rFonts w:ascii="Palatino" w:hAnsi="Palatino"/>
        </w:rPr>
        <w:t xml:space="preserve"> </w:t>
      </w:r>
      <w:r w:rsidRPr="00A9474E">
        <w:rPr>
          <w:rFonts w:ascii="Palatino" w:hAnsi="Palatino"/>
        </w:rPr>
        <w:t>measure Energy Efficiency (EE) cost-effectiveness.</w:t>
      </w:r>
      <w:r w:rsidR="008F4942" w:rsidRPr="00A9474E">
        <w:rPr>
          <w:rFonts w:ascii="Palatino" w:hAnsi="Palatino"/>
        </w:rPr>
        <w:t xml:space="preserve"> </w:t>
      </w:r>
      <w:r w:rsidRPr="00A9474E">
        <w:rPr>
          <w:rFonts w:ascii="Palatino" w:hAnsi="Palatino"/>
        </w:rPr>
        <w:t>The assumptions</w:t>
      </w:r>
      <w:r w:rsidR="004C16AB" w:rsidRPr="00A9474E">
        <w:rPr>
          <w:rFonts w:ascii="Palatino" w:hAnsi="Palatino"/>
        </w:rPr>
        <w:t>, data, and models</w:t>
      </w:r>
      <w:r w:rsidRPr="00A9474E">
        <w:rPr>
          <w:rFonts w:ascii="Palatino" w:hAnsi="Palatino"/>
        </w:rPr>
        <w:t xml:space="preserve"> used in the</w:t>
      </w:r>
      <w:r w:rsidR="008F4942" w:rsidRPr="00A9474E">
        <w:rPr>
          <w:rFonts w:ascii="Palatino" w:hAnsi="Palatino"/>
        </w:rPr>
        <w:t xml:space="preserve"> </w:t>
      </w:r>
      <w:r w:rsidR="004C16AB" w:rsidRPr="00A9474E">
        <w:rPr>
          <w:rFonts w:ascii="Palatino" w:hAnsi="Palatino"/>
        </w:rPr>
        <w:t xml:space="preserve">Avoided Cost Calculator </w:t>
      </w:r>
      <w:r w:rsidRPr="00A9474E">
        <w:rPr>
          <w:rFonts w:ascii="Palatino" w:hAnsi="Palatino"/>
        </w:rPr>
        <w:t>require periodic updates to stay current</w:t>
      </w:r>
      <w:r w:rsidR="008F4942" w:rsidRPr="00A9474E">
        <w:rPr>
          <w:rFonts w:ascii="Palatino" w:hAnsi="Palatino"/>
        </w:rPr>
        <w:t xml:space="preserve"> </w:t>
      </w:r>
      <w:r w:rsidRPr="00A9474E">
        <w:rPr>
          <w:rFonts w:ascii="Palatino" w:hAnsi="Palatino"/>
        </w:rPr>
        <w:t>with market conditions, prices, and trends. Thus</w:t>
      </w:r>
      <w:r w:rsidR="004C16AB" w:rsidRPr="00A9474E">
        <w:rPr>
          <w:rFonts w:ascii="Palatino" w:hAnsi="Palatino"/>
        </w:rPr>
        <w:t>,</w:t>
      </w:r>
      <w:r w:rsidRPr="00A9474E">
        <w:rPr>
          <w:rFonts w:ascii="Palatino" w:hAnsi="Palatino"/>
        </w:rPr>
        <w:t xml:space="preserve"> semi-regular improvements to</w:t>
      </w:r>
      <w:r w:rsidR="008F4942" w:rsidRPr="00A9474E">
        <w:rPr>
          <w:rFonts w:ascii="Palatino" w:hAnsi="Palatino"/>
        </w:rPr>
        <w:t xml:space="preserve"> </w:t>
      </w:r>
      <w:r w:rsidRPr="00A9474E">
        <w:rPr>
          <w:rFonts w:ascii="Palatino" w:hAnsi="Palatino"/>
        </w:rPr>
        <w:t xml:space="preserve">the </w:t>
      </w:r>
      <w:r w:rsidR="004C16AB" w:rsidRPr="00A9474E">
        <w:rPr>
          <w:rFonts w:ascii="Palatino" w:hAnsi="Palatino"/>
        </w:rPr>
        <w:t xml:space="preserve">Avoided Cost Calculator </w:t>
      </w:r>
      <w:r w:rsidRPr="00A9474E">
        <w:rPr>
          <w:rFonts w:ascii="Palatino" w:hAnsi="Palatino"/>
        </w:rPr>
        <w:t>modeling software and data input updates were adopted in</w:t>
      </w:r>
      <w:r w:rsidR="008F4942" w:rsidRPr="00A9474E">
        <w:rPr>
          <w:rFonts w:ascii="Palatino" w:hAnsi="Palatino"/>
        </w:rPr>
        <w:t xml:space="preserve"> </w:t>
      </w:r>
      <w:r w:rsidR="001C1EA6" w:rsidRPr="00A9474E">
        <w:rPr>
          <w:rFonts w:ascii="Palatino" w:hAnsi="Palatino"/>
        </w:rPr>
        <w:t xml:space="preserve">several Energy Efficiency proceedings by </w:t>
      </w:r>
      <w:r w:rsidRPr="00A9474E">
        <w:rPr>
          <w:rFonts w:ascii="Palatino" w:hAnsi="Palatino"/>
        </w:rPr>
        <w:t>D.06-06-063, D.09-09-047, and D.12-05-015</w:t>
      </w:r>
      <w:r w:rsidR="001C1EA6" w:rsidRPr="00A9474E">
        <w:rPr>
          <w:rFonts w:ascii="Palatino" w:hAnsi="Palatino"/>
        </w:rPr>
        <w:t xml:space="preserve">.  </w:t>
      </w:r>
      <w:r w:rsidR="00384ADD" w:rsidRPr="00A9474E">
        <w:rPr>
          <w:rFonts w:ascii="Palatino" w:hAnsi="Palatino"/>
        </w:rPr>
        <w:t xml:space="preserve">D.10-12-024 </w:t>
      </w:r>
      <w:r w:rsidR="004C16AB" w:rsidRPr="00A9474E">
        <w:rPr>
          <w:rFonts w:ascii="Palatino" w:hAnsi="Palatino"/>
        </w:rPr>
        <w:t>modified and adopted the Avoided Cost Calculator</w:t>
      </w:r>
      <w:r w:rsidR="00384ADD" w:rsidRPr="00A9474E">
        <w:rPr>
          <w:rFonts w:ascii="Palatino" w:hAnsi="Palatino"/>
        </w:rPr>
        <w:t xml:space="preserve"> for use by demand response programs, </w:t>
      </w:r>
      <w:proofErr w:type="gramStart"/>
      <w:r w:rsidR="00384ADD" w:rsidRPr="00A9474E">
        <w:rPr>
          <w:rFonts w:ascii="Palatino" w:hAnsi="Palatino"/>
        </w:rPr>
        <w:t>and also</w:t>
      </w:r>
      <w:proofErr w:type="gramEnd"/>
      <w:r w:rsidR="00384ADD" w:rsidRPr="00A9474E">
        <w:rPr>
          <w:rFonts w:ascii="Palatino" w:hAnsi="Palatino"/>
        </w:rPr>
        <w:t xml:space="preserve"> adopted Demand Response Cost-effectiveness Protocols, which detailed those Avoided Cost Calculator modifications.  The Demand Response Cost-effectiveness Protocols were subsequently updated in D.15-11-042</w:t>
      </w:r>
      <w:r w:rsidR="007C05F5" w:rsidRPr="00A9474E">
        <w:rPr>
          <w:rFonts w:ascii="Palatino" w:hAnsi="Palatino"/>
        </w:rPr>
        <w:t>,</w:t>
      </w:r>
      <w:r w:rsidR="00384ADD" w:rsidRPr="00A9474E">
        <w:rPr>
          <w:rFonts w:ascii="Palatino" w:hAnsi="Palatino"/>
        </w:rPr>
        <w:t xml:space="preserve"> includ</w:t>
      </w:r>
      <w:r w:rsidR="007C05F5" w:rsidRPr="00A9474E">
        <w:rPr>
          <w:rFonts w:ascii="Palatino" w:hAnsi="Palatino"/>
        </w:rPr>
        <w:t>ing</w:t>
      </w:r>
      <w:r w:rsidR="00384ADD" w:rsidRPr="00A9474E">
        <w:rPr>
          <w:rFonts w:ascii="Palatino" w:hAnsi="Palatino"/>
        </w:rPr>
        <w:t xml:space="preserve"> updates to the Avoided Cost Calculator.  D</w:t>
      </w:r>
      <w:r w:rsidR="007C05F5" w:rsidRPr="00A9474E">
        <w:rPr>
          <w:rFonts w:ascii="Palatino" w:hAnsi="Palatino"/>
        </w:rPr>
        <w:t>.</w:t>
      </w:r>
      <w:r w:rsidR="001C1EA6" w:rsidRPr="00A9474E">
        <w:rPr>
          <w:rFonts w:ascii="Palatino" w:hAnsi="Palatino"/>
        </w:rPr>
        <w:t>09-08-026</w:t>
      </w:r>
      <w:r w:rsidR="00384ADD" w:rsidRPr="00A9474E">
        <w:rPr>
          <w:rFonts w:ascii="Palatino" w:hAnsi="Palatino"/>
        </w:rPr>
        <w:t xml:space="preserve"> modified and adopted the Avoided Cost Calculator for use by </w:t>
      </w:r>
      <w:r w:rsidR="004C16AB" w:rsidRPr="00A9474E">
        <w:rPr>
          <w:rFonts w:ascii="Palatino" w:hAnsi="Palatino"/>
        </w:rPr>
        <w:t xml:space="preserve">customer generation </w:t>
      </w:r>
      <w:r w:rsidR="00384ADD" w:rsidRPr="00A9474E">
        <w:rPr>
          <w:rFonts w:ascii="Palatino" w:hAnsi="Palatino"/>
        </w:rPr>
        <w:t>(then call</w:t>
      </w:r>
      <w:bookmarkStart w:id="1" w:name="_GoBack"/>
      <w:bookmarkEnd w:id="1"/>
      <w:r w:rsidR="00384ADD" w:rsidRPr="00A9474E">
        <w:rPr>
          <w:rFonts w:ascii="Palatino" w:hAnsi="Palatino"/>
        </w:rPr>
        <w:t xml:space="preserve">ed distributed generation) </w:t>
      </w:r>
      <w:r w:rsidR="004C16AB" w:rsidRPr="00A9474E">
        <w:rPr>
          <w:rFonts w:ascii="Palatino" w:hAnsi="Palatino"/>
        </w:rPr>
        <w:t>programs.</w:t>
      </w:r>
    </w:p>
    <w:p w:rsidR="008F4942" w:rsidRPr="00A9474E" w:rsidRDefault="008F4942" w:rsidP="00304BF0">
      <w:pPr>
        <w:rPr>
          <w:rFonts w:ascii="Palatino" w:hAnsi="Palatino"/>
        </w:rPr>
      </w:pPr>
    </w:p>
    <w:p w:rsidR="004C16AB" w:rsidRPr="00A9474E" w:rsidRDefault="004C16AB" w:rsidP="00304BF0">
      <w:pPr>
        <w:rPr>
          <w:rFonts w:ascii="Palatino" w:hAnsi="Palatino"/>
        </w:rPr>
      </w:pPr>
      <w:r w:rsidRPr="00A9474E">
        <w:rPr>
          <w:rFonts w:ascii="Palatino" w:hAnsi="Palatino"/>
        </w:rPr>
        <w:t>In 2014, the IDER proceeding</w:t>
      </w:r>
      <w:r w:rsidRPr="00A9474E">
        <w:rPr>
          <w:rStyle w:val="FootnoteReference"/>
          <w:rFonts w:ascii="Palatino" w:hAnsi="Palatino"/>
        </w:rPr>
        <w:footnoteReference w:id="3"/>
      </w:r>
      <w:r w:rsidRPr="00A9474E">
        <w:rPr>
          <w:rFonts w:ascii="Palatino" w:hAnsi="Palatino"/>
        </w:rPr>
        <w:t xml:space="preserve"> opened with the goal of developing policy to facilitate the use of DERs.  Among its goals was to establish a unified cost-effectiveness framework that would apply to all DER programs, technologies and proceedings.  The IDER proceeding </w:t>
      </w:r>
      <w:r w:rsidR="006C5D96">
        <w:rPr>
          <w:rFonts w:ascii="Palatino" w:hAnsi="Palatino"/>
        </w:rPr>
        <w:t>established</w:t>
      </w:r>
      <w:r w:rsidRPr="00A9474E">
        <w:rPr>
          <w:rFonts w:ascii="Palatino" w:hAnsi="Palatino"/>
        </w:rPr>
        <w:t xml:space="preserve"> a four-phase plan to accomplish this, the first phase of which was to establish one Avoided Cost Calculator</w:t>
      </w:r>
      <w:r w:rsidR="00E32615" w:rsidRPr="00A9474E">
        <w:rPr>
          <w:rFonts w:ascii="Palatino" w:hAnsi="Palatino"/>
        </w:rPr>
        <w:t xml:space="preserve"> for use in all DER-related proceedings</w:t>
      </w:r>
      <w:r w:rsidRPr="00A9474E">
        <w:rPr>
          <w:rFonts w:ascii="Palatino" w:hAnsi="Palatino"/>
        </w:rPr>
        <w:t>, w</w:t>
      </w:r>
      <w:r w:rsidR="00E32615" w:rsidRPr="00A9474E">
        <w:rPr>
          <w:rFonts w:ascii="Palatino" w:hAnsi="Palatino"/>
        </w:rPr>
        <w:t>hich would be regularly updated.</w:t>
      </w:r>
    </w:p>
    <w:p w:rsidR="004C16AB" w:rsidRPr="00A9474E" w:rsidRDefault="004C16AB" w:rsidP="00304BF0">
      <w:pPr>
        <w:rPr>
          <w:rFonts w:ascii="Palatino" w:hAnsi="Palatino"/>
        </w:rPr>
      </w:pPr>
    </w:p>
    <w:p w:rsidR="00E32615" w:rsidRPr="00A9474E" w:rsidRDefault="00E32615" w:rsidP="00304BF0">
      <w:pPr>
        <w:rPr>
          <w:rFonts w:ascii="Palatino" w:hAnsi="Palatino"/>
        </w:rPr>
      </w:pPr>
      <w:r w:rsidRPr="00A9474E">
        <w:rPr>
          <w:rFonts w:ascii="Palatino" w:hAnsi="Palatino"/>
        </w:rPr>
        <w:t>D.16-06-007, OP 2</w:t>
      </w:r>
      <w:r w:rsidR="008F4942" w:rsidRPr="00A9474E">
        <w:rPr>
          <w:rFonts w:ascii="Palatino" w:hAnsi="Palatino"/>
        </w:rPr>
        <w:t xml:space="preserve"> </w:t>
      </w:r>
      <w:r w:rsidRPr="00A9474E">
        <w:rPr>
          <w:rFonts w:ascii="Palatino" w:hAnsi="Palatino"/>
        </w:rPr>
        <w:t>states:</w:t>
      </w:r>
    </w:p>
    <w:p w:rsidR="00E32615" w:rsidRPr="00A9474E" w:rsidRDefault="00E32615" w:rsidP="00304BF0">
      <w:pPr>
        <w:rPr>
          <w:rFonts w:ascii="Palatino" w:hAnsi="Palatino"/>
        </w:rPr>
      </w:pPr>
    </w:p>
    <w:p w:rsidR="00E32615" w:rsidRPr="00A9474E" w:rsidRDefault="00E32615" w:rsidP="00304BF0">
      <w:pPr>
        <w:ind w:left="720"/>
        <w:rPr>
          <w:rFonts w:ascii="Palatino" w:hAnsi="Palatino"/>
          <w:i/>
        </w:rPr>
      </w:pPr>
      <w:r w:rsidRPr="00A9474E">
        <w:rPr>
          <w:rFonts w:ascii="Palatino" w:hAnsi="Palatino"/>
          <w:i/>
        </w:rPr>
        <w:t>The Commission’s Energy Division, no later than May 1</w:t>
      </w:r>
      <w:r w:rsidRPr="00A9474E">
        <w:rPr>
          <w:rFonts w:ascii="Palatino" w:hAnsi="Palatino"/>
          <w:i/>
          <w:vertAlign w:val="superscript"/>
        </w:rPr>
        <w:t>st</w:t>
      </w:r>
      <w:r w:rsidRPr="00A9474E">
        <w:rPr>
          <w:rFonts w:ascii="Palatino" w:hAnsi="Palatino"/>
          <w:i/>
        </w:rPr>
        <w:t xml:space="preserve"> each year, shall draft a Resolution recommending data updates and minor corrections to the avoided costs calculator </w:t>
      </w:r>
      <w:proofErr w:type="gramStart"/>
      <w:r w:rsidRPr="00A9474E">
        <w:rPr>
          <w:rFonts w:ascii="Palatino" w:hAnsi="Palatino"/>
          <w:i/>
        </w:rPr>
        <w:t>and ,</w:t>
      </w:r>
      <w:proofErr w:type="gramEnd"/>
      <w:r w:rsidRPr="00A9474E">
        <w:rPr>
          <w:rFonts w:ascii="Palatino" w:hAnsi="Palatino"/>
          <w:i/>
        </w:rPr>
        <w:t xml:space="preserve"> when appropriate the inputs, as described in this decision.  Energy Division may issue a draft Resolution updating the Avoided Cost Calculator for 2016 after this Decision is adopted.</w:t>
      </w:r>
    </w:p>
    <w:p w:rsidR="00E32615" w:rsidRPr="00A9474E" w:rsidRDefault="00E32615" w:rsidP="00304BF0">
      <w:pPr>
        <w:rPr>
          <w:rFonts w:ascii="Palatino" w:hAnsi="Palatino"/>
        </w:rPr>
      </w:pPr>
    </w:p>
    <w:p w:rsidR="008F4942" w:rsidRPr="00A9474E" w:rsidRDefault="00E32615" w:rsidP="00304BF0">
      <w:pPr>
        <w:rPr>
          <w:rFonts w:ascii="Palatino" w:hAnsi="Palatino"/>
        </w:rPr>
      </w:pPr>
      <w:r w:rsidRPr="00A9474E">
        <w:rPr>
          <w:rFonts w:ascii="Palatino" w:hAnsi="Palatino"/>
        </w:rPr>
        <w:t xml:space="preserve">Subsequently, Energy Division submitted Resolution E-4801, adopted September 29, 2016, which updated the Avoided Cost Calculator for 2016.  </w:t>
      </w:r>
      <w:r w:rsidR="00FF063C" w:rsidRPr="00A9474E">
        <w:rPr>
          <w:rFonts w:ascii="Palatino" w:hAnsi="Palatino"/>
        </w:rPr>
        <w:t xml:space="preserve">The 2016 Avoided Cost Calculator implemented specific revisions ordered in D.16-06-007, including incorporation of the RECAP modeling and setting the Resource Balance Year to 2015.  In addition, most inputs where updated with more recent </w:t>
      </w:r>
      <w:r w:rsidR="00FF063C" w:rsidRPr="00A9474E">
        <w:rPr>
          <w:rFonts w:ascii="Palatino" w:hAnsi="Palatino"/>
        </w:rPr>
        <w:lastRenderedPageBreak/>
        <w:t>data, and minor corrections were made to improve data sources, methods, or modeling techniques.</w:t>
      </w:r>
    </w:p>
    <w:p w:rsidR="00E32615" w:rsidRPr="00A9474E" w:rsidRDefault="00E32615" w:rsidP="00304BF0">
      <w:pPr>
        <w:rPr>
          <w:rFonts w:ascii="Palatino" w:hAnsi="Palatino"/>
        </w:rPr>
      </w:pPr>
    </w:p>
    <w:p w:rsidR="00FF063C" w:rsidRPr="00A9474E" w:rsidRDefault="00FF063C" w:rsidP="00304BF0">
      <w:pPr>
        <w:rPr>
          <w:rFonts w:ascii="Palatino" w:hAnsi="Palatino"/>
        </w:rPr>
      </w:pPr>
      <w:r w:rsidRPr="00A9474E">
        <w:rPr>
          <w:rFonts w:ascii="Palatino" w:hAnsi="Palatino"/>
        </w:rPr>
        <w:t xml:space="preserve">In April 2017, an Energy Division Letter requested a 2017 waiver from the requirements of D.16-06-007, </w:t>
      </w:r>
      <w:r w:rsidR="005C3769" w:rsidRPr="00A9474E">
        <w:rPr>
          <w:rFonts w:ascii="Palatino" w:hAnsi="Palatino"/>
        </w:rPr>
        <w:t xml:space="preserve">OP </w:t>
      </w:r>
      <w:r w:rsidRPr="00A9474E">
        <w:rPr>
          <w:rFonts w:ascii="Palatino" w:hAnsi="Palatino"/>
        </w:rPr>
        <w:t xml:space="preserve">2, relying on Commission Rules of Practice and Procedure, Rule 16.6.  Energy Division explained in its </w:t>
      </w:r>
      <w:r w:rsidR="005C3769" w:rsidRPr="00A9474E">
        <w:rPr>
          <w:rFonts w:ascii="Palatino" w:hAnsi="Palatino"/>
        </w:rPr>
        <w:t xml:space="preserve">letter </w:t>
      </w:r>
      <w:r w:rsidRPr="00A9474E">
        <w:rPr>
          <w:rFonts w:ascii="Palatino" w:hAnsi="Palatino"/>
        </w:rPr>
        <w:t>that ongoing processing delays in the Commission’s contracts office have created a delay in obtaining technical consulting services to perform the update of the avoided cost calculator, thus creating an inability to meet the May 1, 2017 deadline to complete the update of the avoided cost calculator.  Furthermore, Energy Division contended that updating the calculator may not be necessary because data inputs had changed little since the last update was completed and adopted by the Commission in September 2016, only seven months previously.  D.17-08-002 modified Ordering Paragraph 2 of Decision 16-06-007 allowing for a one-year waiver of the Commission’s Energy Division’s requirement to update the Avoided Cost Calculator</w:t>
      </w:r>
      <w:r w:rsidR="00342B3A" w:rsidRPr="00A9474E">
        <w:rPr>
          <w:rFonts w:ascii="Palatino" w:hAnsi="Palatino"/>
        </w:rPr>
        <w:t>.  Hence, D.16-06-007, OP 2 was modified to:</w:t>
      </w:r>
    </w:p>
    <w:p w:rsidR="00342B3A" w:rsidRPr="00A9474E" w:rsidRDefault="00342B3A" w:rsidP="00304BF0">
      <w:pPr>
        <w:rPr>
          <w:rFonts w:ascii="Palatino" w:hAnsi="Palatino"/>
        </w:rPr>
      </w:pPr>
    </w:p>
    <w:p w:rsidR="00342B3A" w:rsidRPr="00A9474E" w:rsidRDefault="00342B3A" w:rsidP="00304BF0">
      <w:pPr>
        <w:ind w:left="720"/>
        <w:rPr>
          <w:rFonts w:ascii="Palatino" w:hAnsi="Palatino"/>
          <w:i/>
        </w:rPr>
      </w:pPr>
      <w:r w:rsidRPr="00A9474E">
        <w:rPr>
          <w:rFonts w:ascii="Palatino" w:hAnsi="Palatino"/>
          <w:i/>
        </w:rPr>
        <w:t>The Commission’s Energy Division, no later than May 1st each year beginning in 2018, shall draft a resolution recommending data updates and minor corrections to the avoided cost calculator, and when appropriate, the inputs as described in this decision.  Energy Division may issue a draft resolution updating the Avoided Cost Calculator for 2016 after this decision is adopted.</w:t>
      </w:r>
    </w:p>
    <w:p w:rsidR="00E32615" w:rsidRPr="00A9474E" w:rsidRDefault="00E32615" w:rsidP="00304BF0">
      <w:pPr>
        <w:rPr>
          <w:rFonts w:ascii="Palatino" w:hAnsi="Palatino"/>
        </w:rPr>
      </w:pPr>
    </w:p>
    <w:p w:rsidR="00C4395B" w:rsidRPr="00A9474E" w:rsidRDefault="00C4395B" w:rsidP="00304BF0">
      <w:pPr>
        <w:suppressAutoHyphens/>
        <w:rPr>
          <w:rFonts w:ascii="Palatino" w:hAnsi="Palatino"/>
        </w:rPr>
      </w:pPr>
      <w:r w:rsidRPr="00A9474E">
        <w:rPr>
          <w:rFonts w:ascii="Palatino" w:hAnsi="Palatino"/>
        </w:rPr>
        <w:t>Also</w:t>
      </w:r>
      <w:r w:rsidR="006C5D96">
        <w:rPr>
          <w:rFonts w:ascii="Palatino" w:hAnsi="Palatino"/>
        </w:rPr>
        <w:t>,</w:t>
      </w:r>
      <w:r w:rsidRPr="00A9474E">
        <w:rPr>
          <w:rFonts w:ascii="Palatino" w:hAnsi="Palatino"/>
        </w:rPr>
        <w:t xml:space="preserve"> D.17-08-022</w:t>
      </w:r>
      <w:r w:rsidR="00A9474E">
        <w:rPr>
          <w:rFonts w:ascii="Palatino" w:hAnsi="Palatino"/>
        </w:rPr>
        <w:t xml:space="preserve"> </w:t>
      </w:r>
      <w:r w:rsidRPr="00A9474E">
        <w:rPr>
          <w:rFonts w:ascii="Palatino" w:hAnsi="Palatino"/>
        </w:rPr>
        <w:t>ordered that an interim greenhouse gas (GHG) adder, based on the California Air Resources Board Cap</w:t>
      </w:r>
      <w:r w:rsidRPr="00A9474E">
        <w:rPr>
          <w:rFonts w:ascii="Palatino" w:hAnsi="Palatino"/>
        </w:rPr>
        <w:noBreakHyphen/>
        <w:t>and</w:t>
      </w:r>
      <w:r w:rsidRPr="00A9474E">
        <w:rPr>
          <w:rFonts w:ascii="Palatino" w:hAnsi="Palatino"/>
        </w:rPr>
        <w:noBreakHyphen/>
        <w:t>Trade Allowance Price Containment Reserve Price, be incorporated into the Avoided Cost Calculator.  D.17-08-022 also stated that development of a permanent greenhouse gas adder would be considered in the future, in coordination with the Integrated Resource Planning proceeding (Rulemaking 16</w:t>
      </w:r>
      <w:r w:rsidRPr="00A9474E">
        <w:rPr>
          <w:rFonts w:ascii="Palatino" w:hAnsi="Palatino"/>
        </w:rPr>
        <w:noBreakHyphen/>
        <w:t xml:space="preserve">02-007) and, </w:t>
      </w:r>
      <w:proofErr w:type="gramStart"/>
      <w:r w:rsidRPr="00A9474E">
        <w:rPr>
          <w:rFonts w:ascii="Palatino" w:hAnsi="Palatino"/>
        </w:rPr>
        <w:t>if and when</w:t>
      </w:r>
      <w:proofErr w:type="gramEnd"/>
      <w:r w:rsidRPr="00A9474E">
        <w:rPr>
          <w:rFonts w:ascii="Palatino" w:hAnsi="Palatino"/>
        </w:rPr>
        <w:t xml:space="preserve"> adopted, would replace the interim greenhouse gas adder.  D.17-08-022 adopted a sunset date of May 1, 2018 for the interim adder, with the option to extend once for up to one year.</w:t>
      </w:r>
    </w:p>
    <w:p w:rsidR="00C4395B" w:rsidRPr="00A9474E" w:rsidRDefault="00C4395B" w:rsidP="00304BF0">
      <w:pPr>
        <w:suppressAutoHyphens/>
        <w:rPr>
          <w:rFonts w:ascii="Palatino" w:hAnsi="Palatino"/>
        </w:rPr>
      </w:pPr>
    </w:p>
    <w:p w:rsidR="00C4395B" w:rsidRPr="00A9474E" w:rsidRDefault="00C4395B" w:rsidP="00304BF0">
      <w:pPr>
        <w:suppressAutoHyphens/>
        <w:rPr>
          <w:rFonts w:ascii="Palatino" w:hAnsi="Palatino"/>
        </w:rPr>
      </w:pPr>
      <w:r w:rsidRPr="00A9474E">
        <w:rPr>
          <w:rFonts w:ascii="Palatino" w:hAnsi="Palatino"/>
        </w:rPr>
        <w:t>D.17-08-022, OP 1, states:</w:t>
      </w:r>
    </w:p>
    <w:p w:rsidR="00C4395B" w:rsidRPr="00A9474E" w:rsidRDefault="00C4395B" w:rsidP="00304BF0">
      <w:pPr>
        <w:suppressAutoHyphens/>
        <w:rPr>
          <w:rFonts w:ascii="Palatino" w:hAnsi="Palatino"/>
        </w:rPr>
      </w:pPr>
    </w:p>
    <w:p w:rsidR="00C4395B" w:rsidRPr="00A9474E" w:rsidRDefault="00C4395B" w:rsidP="00304BF0">
      <w:pPr>
        <w:suppressAutoHyphens/>
        <w:ind w:left="720"/>
        <w:rPr>
          <w:rFonts w:ascii="Palatino" w:hAnsi="Palatino"/>
          <w:i/>
        </w:rPr>
      </w:pPr>
      <w:r w:rsidRPr="00A9474E">
        <w:rPr>
          <w:rFonts w:ascii="Palatino" w:hAnsi="Palatino"/>
          <w:i/>
        </w:rPr>
        <w:t>The California Air Resources Board Cap-and-Trade Allowance Price Containment Reserve Price shall be used to determine the interim value for the greenhouse gas adder in the avoided cost calculator until May 1, 2018 or until a permanent greenhouse gas adder is adopted by the Commission, whichever comes first.</w:t>
      </w:r>
    </w:p>
    <w:p w:rsidR="00020091" w:rsidRPr="00A9474E" w:rsidRDefault="00020091" w:rsidP="00304BF0">
      <w:pPr>
        <w:ind w:left="720"/>
        <w:rPr>
          <w:rFonts w:ascii="Palatino" w:hAnsi="Palatino"/>
          <w:i/>
        </w:rPr>
      </w:pPr>
    </w:p>
    <w:p w:rsidR="00074690" w:rsidRPr="00A9474E" w:rsidRDefault="00074690" w:rsidP="00304BF0">
      <w:pPr>
        <w:rPr>
          <w:rFonts w:ascii="Palatino" w:hAnsi="Palatino"/>
        </w:rPr>
      </w:pPr>
      <w:r w:rsidRPr="00A9474E">
        <w:rPr>
          <w:rFonts w:ascii="Palatino" w:hAnsi="Palatino"/>
        </w:rPr>
        <w:t xml:space="preserve">In February 2018, </w:t>
      </w:r>
      <w:r w:rsidR="00A9474E" w:rsidRPr="00A9474E">
        <w:rPr>
          <w:rFonts w:ascii="Palatino" w:hAnsi="Palatino"/>
        </w:rPr>
        <w:t>D.18-02-018</w:t>
      </w:r>
      <w:r w:rsidR="00A9474E">
        <w:rPr>
          <w:rFonts w:ascii="Palatino" w:hAnsi="Palatino"/>
        </w:rPr>
        <w:t xml:space="preserve"> in </w:t>
      </w:r>
      <w:r w:rsidRPr="00A9474E">
        <w:rPr>
          <w:rFonts w:ascii="Palatino" w:hAnsi="Palatino"/>
        </w:rPr>
        <w:t>the Integrated Resource Proceeding</w:t>
      </w:r>
      <w:r w:rsidR="00A9474E">
        <w:rPr>
          <w:rFonts w:ascii="Palatino" w:hAnsi="Palatino"/>
        </w:rPr>
        <w:t xml:space="preserve"> adopted </w:t>
      </w:r>
      <w:r w:rsidRPr="00A9474E">
        <w:rPr>
          <w:rFonts w:ascii="Palatino" w:hAnsi="Palatino"/>
        </w:rPr>
        <w:t xml:space="preserve">a “GHG adder for use in evaluating cost effectiveness of DERs when a marginal </w:t>
      </w:r>
      <w:r w:rsidRPr="00A9474E">
        <w:rPr>
          <w:rFonts w:ascii="Palatino" w:hAnsi="Palatino"/>
        </w:rPr>
        <w:lastRenderedPageBreak/>
        <w:t>GHG abatement cost is required,</w:t>
      </w:r>
      <w:r w:rsidRPr="00A9474E">
        <w:rPr>
          <w:rStyle w:val="FootnoteReference"/>
          <w:rFonts w:ascii="Palatino" w:hAnsi="Palatino"/>
        </w:rPr>
        <w:footnoteReference w:id="4"/>
      </w:r>
      <w:r w:rsidRPr="00A9474E">
        <w:rPr>
          <w:rFonts w:ascii="Palatino" w:hAnsi="Palatino"/>
        </w:rPr>
        <w:t>” and added that this GHG adder</w:t>
      </w:r>
      <w:r w:rsidRPr="00A9474E">
        <w:rPr>
          <w:rStyle w:val="FootnoteReference"/>
          <w:rFonts w:ascii="Palatino" w:hAnsi="Palatino"/>
        </w:rPr>
        <w:footnoteReference w:id="5"/>
      </w:r>
      <w:r w:rsidRPr="00A9474E">
        <w:rPr>
          <w:rFonts w:ascii="Palatino" w:hAnsi="Palatino"/>
        </w:rPr>
        <w:t xml:space="preserve"> should be “made available to replace the GHG Adder adopted in D.17</w:t>
      </w:r>
      <w:r w:rsidR="005C3769" w:rsidRPr="00A9474E">
        <w:rPr>
          <w:rFonts w:ascii="Palatino" w:hAnsi="Palatino"/>
        </w:rPr>
        <w:t>-</w:t>
      </w:r>
      <w:r w:rsidRPr="00A9474E">
        <w:rPr>
          <w:rFonts w:ascii="Palatino" w:hAnsi="Palatino"/>
        </w:rPr>
        <w:t>08</w:t>
      </w:r>
      <w:r w:rsidR="005C3769" w:rsidRPr="00A9474E">
        <w:rPr>
          <w:rFonts w:ascii="Palatino" w:hAnsi="Palatino"/>
        </w:rPr>
        <w:t>-</w:t>
      </w:r>
      <w:r w:rsidRPr="00A9474E">
        <w:rPr>
          <w:rFonts w:ascii="Palatino" w:hAnsi="Palatino"/>
        </w:rPr>
        <w:t>022 for use in the IDER proceeding and any other proceedings that rely on assumptions about the avoided GHG costs of DERs for evaluating cost effectiveness.</w:t>
      </w:r>
      <w:r w:rsidRPr="00A9474E">
        <w:rPr>
          <w:rStyle w:val="FootnoteReference"/>
          <w:rFonts w:ascii="Palatino" w:hAnsi="Palatino"/>
        </w:rPr>
        <w:footnoteReference w:id="6"/>
      </w:r>
      <w:r w:rsidRPr="00A9474E">
        <w:rPr>
          <w:rFonts w:ascii="Palatino" w:hAnsi="Palatino"/>
        </w:rPr>
        <w:t>”</w:t>
      </w:r>
    </w:p>
    <w:p w:rsidR="005716E7" w:rsidRPr="00A9474E" w:rsidRDefault="005716E7" w:rsidP="00304BF0">
      <w:pPr>
        <w:rPr>
          <w:rFonts w:ascii="Palatino" w:hAnsi="Palatino"/>
        </w:rPr>
      </w:pPr>
    </w:p>
    <w:p w:rsidR="00826DB7" w:rsidRPr="00A9474E" w:rsidRDefault="00826DB7" w:rsidP="00304BF0">
      <w:pPr>
        <w:rPr>
          <w:rFonts w:ascii="Palatino" w:hAnsi="Palatino"/>
        </w:rPr>
      </w:pPr>
      <w:r w:rsidRPr="00A9474E">
        <w:rPr>
          <w:rFonts w:ascii="Palatino" w:hAnsi="Palatino"/>
        </w:rPr>
        <w:t xml:space="preserve">Energy and Environmental Economics, Inc. (E3) </w:t>
      </w:r>
      <w:r w:rsidR="000C0338">
        <w:rPr>
          <w:rFonts w:ascii="Palatino" w:hAnsi="Palatino"/>
        </w:rPr>
        <w:t>performed</w:t>
      </w:r>
      <w:r w:rsidRPr="00A9474E">
        <w:rPr>
          <w:rFonts w:ascii="Palatino" w:hAnsi="Palatino"/>
        </w:rPr>
        <w:t xml:space="preserve"> the update of the </w:t>
      </w:r>
      <w:r w:rsidR="000C0338">
        <w:rPr>
          <w:rFonts w:ascii="Palatino" w:hAnsi="Palatino"/>
        </w:rPr>
        <w:t>Avoided Cost Calculator under direction from Commission staff</w:t>
      </w:r>
      <w:r w:rsidRPr="00A9474E">
        <w:rPr>
          <w:rFonts w:ascii="Palatino" w:hAnsi="Palatino"/>
        </w:rPr>
        <w:t>. E3 has issued a report that details the proposed set of data input updates and minor enhancements to the Avoided Cost Calculator.  Commission staff has posted E3’s report and the new version of the calculator to the CPUC’s Public Documents Area website, as described in Appendix A</w:t>
      </w:r>
      <w:r w:rsidR="00A9474E">
        <w:rPr>
          <w:rFonts w:ascii="Palatino" w:hAnsi="Palatino"/>
        </w:rPr>
        <w:t xml:space="preserve">: </w:t>
      </w:r>
      <w:hyperlink r:id="rId8" w:history="1">
        <w:r w:rsidR="00A9474E" w:rsidRPr="00A9474E">
          <w:rPr>
            <w:rStyle w:val="Hyperlink"/>
            <w:rFonts w:ascii="Palatino" w:hAnsi="Palatino"/>
          </w:rPr>
          <w:t>http://www.cpuc.ca.gov/General.aspx?id=5267</w:t>
        </w:r>
      </w:hyperlink>
    </w:p>
    <w:p w:rsidR="00826DB7" w:rsidRPr="00A9474E" w:rsidRDefault="00826DB7" w:rsidP="00304BF0">
      <w:pPr>
        <w:rPr>
          <w:rFonts w:ascii="Palatino" w:hAnsi="Palatino"/>
        </w:rPr>
      </w:pPr>
    </w:p>
    <w:p w:rsidR="008F4942" w:rsidRPr="00A9474E" w:rsidRDefault="008F4942" w:rsidP="00304BF0">
      <w:pPr>
        <w:rPr>
          <w:rFonts w:ascii="Palatino" w:hAnsi="Palatino"/>
        </w:rPr>
      </w:pPr>
      <w:r w:rsidRPr="00A9474E">
        <w:rPr>
          <w:rFonts w:ascii="Palatino" w:hAnsi="Palatino"/>
        </w:rPr>
        <w:t xml:space="preserve">In accordance with OP 2 of D.16-06-007, this Resolution </w:t>
      </w:r>
      <w:r w:rsidR="00703DBB">
        <w:rPr>
          <w:rFonts w:ascii="Palatino" w:hAnsi="Palatino"/>
        </w:rPr>
        <w:t>adopts</w:t>
      </w:r>
      <w:r w:rsidRPr="00A9474E">
        <w:rPr>
          <w:rFonts w:ascii="Palatino" w:hAnsi="Palatino"/>
        </w:rPr>
        <w:t xml:space="preserve"> the changes to the ACC as </w:t>
      </w:r>
      <w:r w:rsidR="00703DBB">
        <w:rPr>
          <w:rFonts w:ascii="Palatino" w:hAnsi="Palatino"/>
        </w:rPr>
        <w:t>set forth</w:t>
      </w:r>
      <w:r w:rsidRPr="00A9474E">
        <w:rPr>
          <w:rFonts w:ascii="Palatino" w:hAnsi="Palatino"/>
        </w:rPr>
        <w:t xml:space="preserve"> in </w:t>
      </w:r>
      <w:r w:rsidR="00074690" w:rsidRPr="00A9474E">
        <w:rPr>
          <w:rFonts w:ascii="Palatino" w:hAnsi="Palatino"/>
        </w:rPr>
        <w:t>Appendix A</w:t>
      </w:r>
      <w:r w:rsidRPr="00A9474E">
        <w:rPr>
          <w:rFonts w:ascii="Palatino" w:hAnsi="Palatino"/>
        </w:rPr>
        <w:t xml:space="preserve">. According to D.16-06-007, Conclusion of Law 2, all DER proceedings should be required to use the ACC adopted in </w:t>
      </w:r>
      <w:r w:rsidR="00703DBB">
        <w:rPr>
          <w:rFonts w:ascii="Palatino" w:hAnsi="Palatino"/>
        </w:rPr>
        <w:t xml:space="preserve">the </w:t>
      </w:r>
      <w:r w:rsidRPr="00A9474E">
        <w:rPr>
          <w:rFonts w:ascii="Palatino" w:hAnsi="Palatino"/>
        </w:rPr>
        <w:t>IDER Rulemaking (R.) 14-10-003.</w:t>
      </w:r>
    </w:p>
    <w:p w:rsidR="001C1EA6" w:rsidRPr="009F2626" w:rsidRDefault="009F2626" w:rsidP="004A775E">
      <w:pPr>
        <w:pStyle w:val="Heading1"/>
        <w:rPr>
          <w:rFonts w:ascii="Palatino" w:hAnsi="Palatino"/>
          <w:b/>
          <w:sz w:val="24"/>
          <w:szCs w:val="24"/>
        </w:rPr>
      </w:pPr>
      <w:r w:rsidRPr="009F2626">
        <w:rPr>
          <w:rFonts w:ascii="Palatino" w:hAnsi="Palatino" w:cs="Times New Roman"/>
          <w:b/>
          <w:color w:val="auto"/>
          <w:sz w:val="24"/>
          <w:szCs w:val="24"/>
          <w:u w:val="single"/>
        </w:rPr>
        <w:t>DISCUSSION</w:t>
      </w:r>
    </w:p>
    <w:p w:rsidR="00B85D2C" w:rsidRPr="00A9474E" w:rsidRDefault="00B85D2C" w:rsidP="00304BF0">
      <w:pPr>
        <w:rPr>
          <w:rFonts w:ascii="Palatino" w:hAnsi="Palatino"/>
        </w:rPr>
      </w:pPr>
      <w:r w:rsidRPr="00A9474E">
        <w:rPr>
          <w:rFonts w:ascii="Palatino" w:hAnsi="Palatino"/>
        </w:rPr>
        <w:t xml:space="preserve">Energy Division has reviewed </w:t>
      </w:r>
      <w:r w:rsidR="00826DB7" w:rsidRPr="00A9474E">
        <w:rPr>
          <w:rFonts w:ascii="Palatino" w:hAnsi="Palatino"/>
        </w:rPr>
        <w:t xml:space="preserve">the ACC updates in the E3 report and finds </w:t>
      </w:r>
      <w:r w:rsidR="00703DBB">
        <w:rPr>
          <w:rFonts w:ascii="Palatino" w:hAnsi="Palatino"/>
        </w:rPr>
        <w:t xml:space="preserve">that </w:t>
      </w:r>
      <w:r w:rsidR="00826DB7" w:rsidRPr="00A9474E">
        <w:rPr>
          <w:rFonts w:ascii="Palatino" w:hAnsi="Palatino"/>
        </w:rPr>
        <w:t xml:space="preserve">the proposed </w:t>
      </w:r>
      <w:r w:rsidR="00703DBB">
        <w:rPr>
          <w:rFonts w:ascii="Palatino" w:hAnsi="Palatino"/>
        </w:rPr>
        <w:t>ACC</w:t>
      </w:r>
      <w:r w:rsidR="00826DB7" w:rsidRPr="00A9474E">
        <w:rPr>
          <w:rFonts w:ascii="Palatino" w:hAnsi="Palatino"/>
        </w:rPr>
        <w:t xml:space="preserve"> updates are within the scope ordered by D.16-06-007. The Avoided Cost Calculator updates were necessary to more accurately reflect market conditions, trends and prices. We have determined that it is reasonable to adopt the</w:t>
      </w:r>
      <w:r w:rsidR="00703DBB">
        <w:rPr>
          <w:rFonts w:ascii="Palatino" w:hAnsi="Palatino"/>
        </w:rPr>
        <w:t>se changes</w:t>
      </w:r>
      <w:r w:rsidR="00826DB7" w:rsidRPr="00A9474E">
        <w:rPr>
          <w:rFonts w:ascii="Palatino" w:hAnsi="Palatino"/>
        </w:rPr>
        <w:t>.</w:t>
      </w:r>
    </w:p>
    <w:p w:rsidR="00EA328D" w:rsidRPr="00A9474E" w:rsidRDefault="00EA328D" w:rsidP="00304BF0">
      <w:pPr>
        <w:rPr>
          <w:rFonts w:ascii="Palatino" w:hAnsi="Palatino"/>
        </w:rPr>
      </w:pPr>
    </w:p>
    <w:p w:rsidR="00304BF0" w:rsidRPr="00A9474E" w:rsidRDefault="00703DBB" w:rsidP="00304BF0">
      <w:pPr>
        <w:rPr>
          <w:rFonts w:ascii="Palatino" w:hAnsi="Palatino"/>
        </w:rPr>
      </w:pPr>
      <w:r>
        <w:rPr>
          <w:rFonts w:ascii="Palatino" w:hAnsi="Palatino"/>
        </w:rPr>
        <w:t xml:space="preserve">The </w:t>
      </w:r>
      <w:r w:rsidR="00EA328D" w:rsidRPr="00A9474E">
        <w:rPr>
          <w:rFonts w:ascii="Palatino" w:hAnsi="Palatino"/>
        </w:rPr>
        <w:t>E3 report proposes nine data updates</w:t>
      </w:r>
      <w:r>
        <w:rPr>
          <w:rFonts w:ascii="Palatino" w:hAnsi="Palatino"/>
        </w:rPr>
        <w:t>. F</w:t>
      </w:r>
      <w:r w:rsidR="00EA328D" w:rsidRPr="00A9474E">
        <w:rPr>
          <w:rFonts w:ascii="Palatino" w:hAnsi="Palatino"/>
        </w:rPr>
        <w:t>ollowing the version-control nomenclature ordered in D.16-06-007</w:t>
      </w:r>
      <w:r w:rsidR="00541855" w:rsidRPr="00A9474E">
        <w:rPr>
          <w:rFonts w:ascii="Palatino" w:hAnsi="Palatino"/>
        </w:rPr>
        <w:t xml:space="preserve"> and described in detail in Resolution E-4801</w:t>
      </w:r>
      <w:r w:rsidR="00EA328D" w:rsidRPr="00A9474E">
        <w:rPr>
          <w:rFonts w:ascii="Palatino" w:hAnsi="Palatino"/>
        </w:rPr>
        <w:t xml:space="preserve">, </w:t>
      </w:r>
      <w:r>
        <w:rPr>
          <w:rFonts w:ascii="Palatino" w:hAnsi="Palatino"/>
        </w:rPr>
        <w:t xml:space="preserve">the E3 report </w:t>
      </w:r>
      <w:r w:rsidR="00EA328D" w:rsidRPr="00A9474E">
        <w:rPr>
          <w:rFonts w:ascii="Palatino" w:hAnsi="Palatino"/>
        </w:rPr>
        <w:t>refers to this new Avoided Cost Calculator as ACC_2018_v1, which will replace the previous version, ACC_2017_v1.</w:t>
      </w:r>
      <w:r w:rsidR="00304BF0" w:rsidRPr="00A9474E">
        <w:rPr>
          <w:rFonts w:ascii="Palatino" w:hAnsi="Palatino"/>
        </w:rPr>
        <w:t xml:space="preserve">  </w:t>
      </w:r>
      <w:r w:rsidR="00EA328D" w:rsidRPr="00A9474E">
        <w:rPr>
          <w:rFonts w:ascii="Palatino" w:hAnsi="Palatino"/>
        </w:rPr>
        <w:t xml:space="preserve">The </w:t>
      </w:r>
      <w:r w:rsidR="00304BF0" w:rsidRPr="00A9474E">
        <w:rPr>
          <w:rFonts w:ascii="Palatino" w:hAnsi="Palatino"/>
        </w:rPr>
        <w:t xml:space="preserve">update </w:t>
      </w:r>
      <w:r w:rsidR="00EA328D" w:rsidRPr="00A9474E">
        <w:rPr>
          <w:rFonts w:ascii="Palatino" w:hAnsi="Palatino"/>
        </w:rPr>
        <w:t xml:space="preserve">focused on incorporating historical market and weather information from 2017, as well as forecast market and commodity prices as of April 2018.  No changes in methods or models were made.  </w:t>
      </w:r>
    </w:p>
    <w:p w:rsidR="00304BF0" w:rsidRPr="00A9474E" w:rsidRDefault="00304BF0" w:rsidP="00304BF0">
      <w:pPr>
        <w:rPr>
          <w:rFonts w:ascii="Palatino" w:hAnsi="Palatino"/>
        </w:rPr>
      </w:pPr>
    </w:p>
    <w:p w:rsidR="00EA328D" w:rsidRPr="00A9474E" w:rsidRDefault="00EA328D" w:rsidP="00304BF0">
      <w:pPr>
        <w:rPr>
          <w:rFonts w:ascii="Palatino" w:hAnsi="Palatino"/>
        </w:rPr>
      </w:pPr>
      <w:r w:rsidRPr="00A9474E">
        <w:rPr>
          <w:rFonts w:ascii="Palatino" w:hAnsi="Palatino"/>
        </w:rPr>
        <w:t xml:space="preserve">This section of the Resolution addresses each of these </w:t>
      </w:r>
      <w:r w:rsidR="00304BF0" w:rsidRPr="00A9474E">
        <w:rPr>
          <w:rFonts w:ascii="Palatino" w:hAnsi="Palatino"/>
        </w:rPr>
        <w:t xml:space="preserve">proposed </w:t>
      </w:r>
      <w:r w:rsidRPr="00A9474E">
        <w:rPr>
          <w:rFonts w:ascii="Palatino" w:hAnsi="Palatino"/>
        </w:rPr>
        <w:t>updates with a brief description.</w:t>
      </w:r>
      <w:r w:rsidR="00286811" w:rsidRPr="00A9474E">
        <w:rPr>
          <w:rFonts w:ascii="Palatino" w:hAnsi="Palatino"/>
        </w:rPr>
        <w:t xml:space="preserve">  Details for each data source can be found in E3’s report.</w:t>
      </w:r>
    </w:p>
    <w:p w:rsidR="00EA328D" w:rsidRPr="00A9474E" w:rsidRDefault="00EA328D" w:rsidP="00304BF0">
      <w:pPr>
        <w:rPr>
          <w:rFonts w:ascii="Palatino" w:hAnsi="Palatino"/>
        </w:rPr>
      </w:pPr>
    </w:p>
    <w:p w:rsidR="00304BF0" w:rsidRPr="00A9474E" w:rsidRDefault="00304BF0" w:rsidP="00304BF0">
      <w:pPr>
        <w:rPr>
          <w:rFonts w:ascii="Palatino" w:hAnsi="Palatino"/>
          <w:b/>
        </w:rPr>
      </w:pPr>
      <w:r w:rsidRPr="00A9474E">
        <w:rPr>
          <w:rFonts w:ascii="Palatino" w:hAnsi="Palatino"/>
          <w:b/>
        </w:rPr>
        <w:t xml:space="preserve">Data Updates </w:t>
      </w:r>
      <w:r w:rsidR="00703DBB">
        <w:rPr>
          <w:rFonts w:ascii="Palatino" w:hAnsi="Palatino"/>
          <w:b/>
        </w:rPr>
        <w:t>in</w:t>
      </w:r>
      <w:r w:rsidRPr="00A9474E">
        <w:rPr>
          <w:rFonts w:ascii="Palatino" w:hAnsi="Palatino"/>
          <w:b/>
        </w:rPr>
        <w:t xml:space="preserve"> ACC_2018_v1</w:t>
      </w:r>
    </w:p>
    <w:p w:rsidR="00304BF0" w:rsidRPr="00A9474E" w:rsidRDefault="00304BF0" w:rsidP="00304BF0">
      <w:pPr>
        <w:rPr>
          <w:rFonts w:ascii="Palatino" w:hAnsi="Palatino"/>
        </w:rPr>
      </w:pPr>
    </w:p>
    <w:p w:rsidR="00304BF0" w:rsidRPr="00A9474E" w:rsidRDefault="00304BF0" w:rsidP="00304BF0">
      <w:pPr>
        <w:pStyle w:val="ListParagraph"/>
        <w:numPr>
          <w:ilvl w:val="0"/>
          <w:numId w:val="11"/>
        </w:numPr>
        <w:rPr>
          <w:rFonts w:ascii="Palatino" w:hAnsi="Palatino"/>
        </w:rPr>
      </w:pPr>
      <w:r w:rsidRPr="00A9474E">
        <w:rPr>
          <w:rFonts w:ascii="Palatino" w:hAnsi="Palatino"/>
        </w:rPr>
        <w:t>Update n</w:t>
      </w:r>
      <w:r w:rsidR="00EA328D" w:rsidRPr="00A9474E">
        <w:rPr>
          <w:rFonts w:ascii="Palatino" w:hAnsi="Palatino"/>
        </w:rPr>
        <w:t>atural gas prices</w:t>
      </w:r>
      <w:r w:rsidRPr="00A9474E">
        <w:rPr>
          <w:rFonts w:ascii="Palatino" w:hAnsi="Palatino"/>
        </w:rPr>
        <w:t>, using the following data sources:</w:t>
      </w:r>
    </w:p>
    <w:p w:rsidR="00304BF0" w:rsidRPr="00A9474E" w:rsidRDefault="00304BF0" w:rsidP="00304BF0">
      <w:pPr>
        <w:rPr>
          <w:rFonts w:ascii="Palatino" w:hAnsi="Palatino"/>
        </w:rPr>
      </w:pPr>
    </w:p>
    <w:p w:rsidR="00304BF0" w:rsidRPr="006C5D96" w:rsidRDefault="00EA328D" w:rsidP="006C5D96">
      <w:pPr>
        <w:pStyle w:val="ListParagraph"/>
        <w:numPr>
          <w:ilvl w:val="0"/>
          <w:numId w:val="5"/>
        </w:numPr>
        <w:rPr>
          <w:rFonts w:ascii="Palatino" w:hAnsi="Palatino"/>
        </w:rPr>
      </w:pPr>
      <w:r w:rsidRPr="006C5D96">
        <w:rPr>
          <w:rFonts w:ascii="Palatino" w:hAnsi="Palatino"/>
        </w:rPr>
        <w:lastRenderedPageBreak/>
        <w:t xml:space="preserve">NYMEX natural gas futures prices from </w:t>
      </w:r>
      <w:r w:rsidR="00304BF0" w:rsidRPr="006C5D96">
        <w:rPr>
          <w:rFonts w:ascii="Palatino" w:hAnsi="Palatino"/>
        </w:rPr>
        <w:t xml:space="preserve">the </w:t>
      </w:r>
      <w:r w:rsidRPr="006C5D96">
        <w:rPr>
          <w:rFonts w:ascii="Palatino" w:hAnsi="Palatino"/>
        </w:rPr>
        <w:t>most recent 22 trading days</w:t>
      </w:r>
    </w:p>
    <w:p w:rsidR="00EA328D" w:rsidRPr="006C5D96" w:rsidRDefault="00304BF0" w:rsidP="006C5D96">
      <w:pPr>
        <w:pStyle w:val="ListParagraph"/>
        <w:numPr>
          <w:ilvl w:val="0"/>
          <w:numId w:val="5"/>
        </w:numPr>
        <w:rPr>
          <w:rFonts w:ascii="Palatino" w:hAnsi="Palatino"/>
        </w:rPr>
      </w:pPr>
      <w:r w:rsidRPr="006C5D96">
        <w:rPr>
          <w:rFonts w:ascii="Palatino" w:hAnsi="Palatino"/>
        </w:rPr>
        <w:t>L</w:t>
      </w:r>
      <w:r w:rsidR="00EA328D" w:rsidRPr="006C5D96">
        <w:rPr>
          <w:rFonts w:ascii="Palatino" w:hAnsi="Palatino"/>
        </w:rPr>
        <w:t>ong-term natural gas forecast using revised 2017 I</w:t>
      </w:r>
      <w:r w:rsidR="00703DBB" w:rsidRPr="006C5D96">
        <w:rPr>
          <w:rFonts w:ascii="Palatino" w:hAnsi="Palatino"/>
        </w:rPr>
        <w:t xml:space="preserve">ntegrated </w:t>
      </w:r>
      <w:r w:rsidR="00EA328D" w:rsidRPr="006C5D96">
        <w:rPr>
          <w:rFonts w:ascii="Palatino" w:hAnsi="Palatino"/>
        </w:rPr>
        <w:t>E</w:t>
      </w:r>
      <w:r w:rsidR="00703DBB" w:rsidRPr="006C5D96">
        <w:rPr>
          <w:rFonts w:ascii="Palatino" w:hAnsi="Palatino"/>
        </w:rPr>
        <w:t xml:space="preserve">nergy </w:t>
      </w:r>
      <w:r w:rsidR="00EA328D" w:rsidRPr="006C5D96">
        <w:rPr>
          <w:rFonts w:ascii="Palatino" w:hAnsi="Palatino"/>
        </w:rPr>
        <w:t>P</w:t>
      </w:r>
      <w:r w:rsidR="00703DBB" w:rsidRPr="006C5D96">
        <w:rPr>
          <w:rFonts w:ascii="Palatino" w:hAnsi="Palatino"/>
        </w:rPr>
        <w:t xml:space="preserve">olicy </w:t>
      </w:r>
      <w:r w:rsidR="00EA328D" w:rsidRPr="006C5D96">
        <w:rPr>
          <w:rFonts w:ascii="Palatino" w:hAnsi="Palatino"/>
        </w:rPr>
        <w:t>R</w:t>
      </w:r>
      <w:r w:rsidR="00703DBB" w:rsidRPr="006C5D96">
        <w:rPr>
          <w:rFonts w:ascii="Palatino" w:hAnsi="Palatino"/>
        </w:rPr>
        <w:t>eport (IEPR)</w:t>
      </w:r>
      <w:r w:rsidR="00EA328D" w:rsidRPr="006C5D96">
        <w:rPr>
          <w:rFonts w:ascii="Palatino" w:hAnsi="Palatino"/>
        </w:rPr>
        <w:t xml:space="preserve"> Mid-Demand case and </w:t>
      </w:r>
      <w:r w:rsidR="00703DBB" w:rsidRPr="006C5D96">
        <w:rPr>
          <w:rFonts w:ascii="Palatino" w:hAnsi="Palatino"/>
        </w:rPr>
        <w:t xml:space="preserve">U.S. </w:t>
      </w:r>
      <w:r w:rsidR="00EA328D" w:rsidRPr="006C5D96">
        <w:rPr>
          <w:rFonts w:ascii="Palatino" w:hAnsi="Palatino"/>
        </w:rPr>
        <w:t>E</w:t>
      </w:r>
      <w:r w:rsidR="00703DBB" w:rsidRPr="006C5D96">
        <w:rPr>
          <w:rFonts w:ascii="Palatino" w:hAnsi="Palatino"/>
        </w:rPr>
        <w:t xml:space="preserve">nergy </w:t>
      </w:r>
      <w:r w:rsidR="00EA328D" w:rsidRPr="006C5D96">
        <w:rPr>
          <w:rFonts w:ascii="Palatino" w:hAnsi="Palatino"/>
        </w:rPr>
        <w:t>I</w:t>
      </w:r>
      <w:r w:rsidR="00703DBB" w:rsidRPr="006C5D96">
        <w:rPr>
          <w:rFonts w:ascii="Palatino" w:hAnsi="Palatino"/>
        </w:rPr>
        <w:t xml:space="preserve">nformation </w:t>
      </w:r>
      <w:r w:rsidR="00EA328D" w:rsidRPr="006C5D96">
        <w:rPr>
          <w:rFonts w:ascii="Palatino" w:hAnsi="Palatino"/>
        </w:rPr>
        <w:t>A</w:t>
      </w:r>
      <w:r w:rsidR="00703DBB" w:rsidRPr="006C5D96">
        <w:rPr>
          <w:rFonts w:ascii="Palatino" w:hAnsi="Palatino"/>
        </w:rPr>
        <w:t>gency</w:t>
      </w:r>
      <w:r w:rsidR="00EA328D" w:rsidRPr="006C5D96">
        <w:rPr>
          <w:rFonts w:ascii="Palatino" w:hAnsi="Palatino"/>
        </w:rPr>
        <w:t xml:space="preserve"> 2018 A</w:t>
      </w:r>
      <w:r w:rsidR="00703DBB" w:rsidRPr="006C5D96">
        <w:rPr>
          <w:rFonts w:ascii="Palatino" w:hAnsi="Palatino"/>
        </w:rPr>
        <w:t xml:space="preserve">nnual </w:t>
      </w:r>
      <w:r w:rsidR="00EA328D" w:rsidRPr="006C5D96">
        <w:rPr>
          <w:rFonts w:ascii="Palatino" w:hAnsi="Palatino"/>
        </w:rPr>
        <w:t>E</w:t>
      </w:r>
      <w:r w:rsidR="00703DBB" w:rsidRPr="006C5D96">
        <w:rPr>
          <w:rFonts w:ascii="Palatino" w:hAnsi="Palatino"/>
        </w:rPr>
        <w:t xml:space="preserve">nergy </w:t>
      </w:r>
      <w:r w:rsidR="00EA328D" w:rsidRPr="006C5D96">
        <w:rPr>
          <w:rFonts w:ascii="Palatino" w:hAnsi="Palatino"/>
        </w:rPr>
        <w:t>O</w:t>
      </w:r>
      <w:r w:rsidR="00703DBB" w:rsidRPr="006C5D96">
        <w:rPr>
          <w:rFonts w:ascii="Palatino" w:hAnsi="Palatino"/>
        </w:rPr>
        <w:t>utlook</w:t>
      </w:r>
      <w:r w:rsidR="00EA328D" w:rsidRPr="006C5D96">
        <w:rPr>
          <w:rFonts w:ascii="Palatino" w:hAnsi="Palatino"/>
        </w:rPr>
        <w:t xml:space="preserve"> Report</w:t>
      </w:r>
    </w:p>
    <w:p w:rsidR="00EA328D" w:rsidRPr="006C5D96" w:rsidRDefault="006C5D96" w:rsidP="002231CA">
      <w:pPr>
        <w:pStyle w:val="ListParagraph"/>
        <w:numPr>
          <w:ilvl w:val="0"/>
          <w:numId w:val="5"/>
        </w:numPr>
        <w:rPr>
          <w:rFonts w:ascii="Palatino" w:hAnsi="Palatino"/>
        </w:rPr>
      </w:pPr>
      <w:r w:rsidRPr="006C5D96">
        <w:rPr>
          <w:rFonts w:ascii="Palatino" w:hAnsi="Palatino"/>
        </w:rPr>
        <w:t>SoCal gas transportation rate for electric generation</w:t>
      </w:r>
      <w:r w:rsidR="00EA328D" w:rsidRPr="006C5D96">
        <w:rPr>
          <w:rFonts w:ascii="Palatino" w:hAnsi="Palatino"/>
        </w:rPr>
        <w:t xml:space="preserve">, </w:t>
      </w:r>
      <w:r w:rsidRPr="006C5D96">
        <w:rPr>
          <w:rFonts w:ascii="Palatino" w:hAnsi="Palatino"/>
        </w:rPr>
        <w:t>PG&amp;E backbone system</w:t>
      </w:r>
      <w:r>
        <w:rPr>
          <w:rFonts w:ascii="Palatino" w:hAnsi="Palatino"/>
        </w:rPr>
        <w:t xml:space="preserve"> (PG&amp;E </w:t>
      </w:r>
      <w:r w:rsidR="00EA328D" w:rsidRPr="006C5D96">
        <w:rPr>
          <w:rFonts w:ascii="Palatino" w:hAnsi="Palatino"/>
        </w:rPr>
        <w:t>BB</w:t>
      </w:r>
      <w:r>
        <w:rPr>
          <w:rFonts w:ascii="Palatino" w:hAnsi="Palatino"/>
        </w:rPr>
        <w:t>)</w:t>
      </w:r>
      <w:r w:rsidR="00EA328D" w:rsidRPr="006C5D96">
        <w:rPr>
          <w:rFonts w:ascii="Palatino" w:hAnsi="Palatino"/>
        </w:rPr>
        <w:t xml:space="preserve"> and </w:t>
      </w:r>
      <w:r w:rsidR="002231CA">
        <w:rPr>
          <w:rFonts w:ascii="Palatino" w:hAnsi="Palatino"/>
        </w:rPr>
        <w:t xml:space="preserve">PG&amp;E </w:t>
      </w:r>
      <w:r w:rsidR="002231CA" w:rsidRPr="002231CA">
        <w:rPr>
          <w:rFonts w:ascii="Palatino" w:hAnsi="Palatino"/>
        </w:rPr>
        <w:t xml:space="preserve">local transmission system </w:t>
      </w:r>
      <w:r>
        <w:rPr>
          <w:rFonts w:ascii="Palatino" w:hAnsi="Palatino"/>
        </w:rPr>
        <w:t>(</w:t>
      </w:r>
      <w:r w:rsidR="00EA328D" w:rsidRPr="006C5D96">
        <w:rPr>
          <w:rFonts w:ascii="Palatino" w:hAnsi="Palatino"/>
        </w:rPr>
        <w:t>PG&amp;E LT</w:t>
      </w:r>
      <w:r>
        <w:rPr>
          <w:rFonts w:ascii="Palatino" w:hAnsi="Palatino"/>
        </w:rPr>
        <w:t>)</w:t>
      </w:r>
      <w:r w:rsidR="00EA328D" w:rsidRPr="006C5D96">
        <w:rPr>
          <w:rFonts w:ascii="Palatino" w:hAnsi="Palatino"/>
        </w:rPr>
        <w:t xml:space="preserve"> natural gas transportation rates from 2017 IEPR</w:t>
      </w:r>
    </w:p>
    <w:p w:rsidR="00EA328D" w:rsidRPr="006C5D96" w:rsidRDefault="00EA328D" w:rsidP="006C5D96">
      <w:pPr>
        <w:pStyle w:val="ListParagraph"/>
        <w:numPr>
          <w:ilvl w:val="0"/>
          <w:numId w:val="5"/>
        </w:numPr>
        <w:rPr>
          <w:rFonts w:ascii="Palatino" w:hAnsi="Palatino"/>
        </w:rPr>
      </w:pPr>
      <w:r w:rsidRPr="006C5D96">
        <w:rPr>
          <w:rFonts w:ascii="Palatino" w:hAnsi="Palatino"/>
        </w:rPr>
        <w:t>Municipal surcharge rate for PG&amp;E</w:t>
      </w:r>
    </w:p>
    <w:p w:rsidR="00304BF0" w:rsidRPr="00A9474E" w:rsidRDefault="00304BF0" w:rsidP="00304BF0">
      <w:pPr>
        <w:rPr>
          <w:rFonts w:ascii="Palatino" w:hAnsi="Palatino"/>
        </w:rPr>
      </w:pPr>
    </w:p>
    <w:p w:rsidR="00304BF0" w:rsidRPr="00A9474E" w:rsidRDefault="00304BF0" w:rsidP="00304BF0">
      <w:pPr>
        <w:pStyle w:val="ListParagraph"/>
        <w:numPr>
          <w:ilvl w:val="0"/>
          <w:numId w:val="11"/>
        </w:numPr>
        <w:rPr>
          <w:rFonts w:ascii="Palatino" w:hAnsi="Palatino"/>
        </w:rPr>
      </w:pPr>
      <w:r w:rsidRPr="00A9474E">
        <w:rPr>
          <w:rFonts w:ascii="Palatino" w:hAnsi="Palatino"/>
        </w:rPr>
        <w:t>Update electricity forward prices using on-peak and off-peak forwards for NP-15 and SP-15 using most recent 22 trading days.</w:t>
      </w:r>
    </w:p>
    <w:p w:rsidR="00304BF0" w:rsidRPr="00A9474E" w:rsidRDefault="00304BF0" w:rsidP="00304BF0">
      <w:pPr>
        <w:pStyle w:val="ListParagraph"/>
        <w:rPr>
          <w:rFonts w:ascii="Palatino" w:hAnsi="Palatino"/>
        </w:rPr>
      </w:pPr>
    </w:p>
    <w:p w:rsidR="00304BF0" w:rsidRPr="00A9474E" w:rsidRDefault="00304BF0" w:rsidP="00304BF0">
      <w:pPr>
        <w:pStyle w:val="ListParagraph"/>
        <w:numPr>
          <w:ilvl w:val="0"/>
          <w:numId w:val="11"/>
        </w:numPr>
        <w:rPr>
          <w:rFonts w:ascii="Palatino" w:hAnsi="Palatino"/>
        </w:rPr>
      </w:pPr>
      <w:r w:rsidRPr="00A9474E">
        <w:rPr>
          <w:rFonts w:ascii="Palatino" w:hAnsi="Palatino"/>
        </w:rPr>
        <w:t xml:space="preserve">Update ancillary service costs to </w:t>
      </w:r>
      <w:r w:rsidR="00A62EAA">
        <w:rPr>
          <w:rFonts w:ascii="Palatino" w:hAnsi="Palatino"/>
        </w:rPr>
        <w:t>0</w:t>
      </w:r>
      <w:r w:rsidRPr="00A9474E">
        <w:rPr>
          <w:rFonts w:ascii="Palatino" w:hAnsi="Palatino"/>
        </w:rPr>
        <w:t>.6% for annual energy, based on C</w:t>
      </w:r>
      <w:r w:rsidR="00703DBB">
        <w:rPr>
          <w:rFonts w:ascii="Palatino" w:hAnsi="Palatino"/>
        </w:rPr>
        <w:t xml:space="preserve">alifornia </w:t>
      </w:r>
      <w:r w:rsidRPr="00A9474E">
        <w:rPr>
          <w:rFonts w:ascii="Palatino" w:hAnsi="Palatino"/>
        </w:rPr>
        <w:t>I</w:t>
      </w:r>
      <w:r w:rsidR="00703DBB">
        <w:rPr>
          <w:rFonts w:ascii="Palatino" w:hAnsi="Palatino"/>
        </w:rPr>
        <w:t xml:space="preserve">ndependent </w:t>
      </w:r>
      <w:r w:rsidRPr="00A9474E">
        <w:rPr>
          <w:rFonts w:ascii="Palatino" w:hAnsi="Palatino"/>
        </w:rPr>
        <w:t>S</w:t>
      </w:r>
      <w:r w:rsidR="00703DBB">
        <w:rPr>
          <w:rFonts w:ascii="Palatino" w:hAnsi="Palatino"/>
        </w:rPr>
        <w:t xml:space="preserve">ystem </w:t>
      </w:r>
      <w:r w:rsidRPr="00A9474E">
        <w:rPr>
          <w:rFonts w:ascii="Palatino" w:hAnsi="Palatino"/>
        </w:rPr>
        <w:t>O</w:t>
      </w:r>
      <w:r w:rsidR="00703DBB">
        <w:rPr>
          <w:rFonts w:ascii="Palatino" w:hAnsi="Palatino"/>
        </w:rPr>
        <w:t>perator (CAISO)</w:t>
      </w:r>
      <w:r w:rsidRPr="00A9474E">
        <w:rPr>
          <w:rFonts w:ascii="Palatino" w:hAnsi="Palatino"/>
        </w:rPr>
        <w:t xml:space="preserve"> 2016 Annual Report on Market Issues and Performance.</w:t>
      </w:r>
    </w:p>
    <w:p w:rsidR="00304BF0" w:rsidRPr="00A9474E" w:rsidRDefault="00304BF0" w:rsidP="00304BF0">
      <w:pPr>
        <w:pStyle w:val="ListParagraph"/>
        <w:rPr>
          <w:rFonts w:ascii="Palatino" w:hAnsi="Palatino"/>
        </w:rPr>
      </w:pPr>
    </w:p>
    <w:p w:rsidR="00304BF0" w:rsidRPr="00A9474E" w:rsidRDefault="00304BF0" w:rsidP="00304BF0">
      <w:pPr>
        <w:pStyle w:val="ListParagraph"/>
        <w:numPr>
          <w:ilvl w:val="0"/>
          <w:numId w:val="11"/>
        </w:numPr>
        <w:rPr>
          <w:rFonts w:ascii="Palatino" w:hAnsi="Palatino"/>
        </w:rPr>
      </w:pPr>
      <w:r w:rsidRPr="00A9474E">
        <w:rPr>
          <w:rFonts w:ascii="Palatino" w:hAnsi="Palatino"/>
        </w:rPr>
        <w:t>Update Hourly Market Price Shapes, using the following data sources:</w:t>
      </w:r>
    </w:p>
    <w:p w:rsidR="00304BF0" w:rsidRPr="00A9474E" w:rsidRDefault="00304BF0" w:rsidP="00304BF0">
      <w:pPr>
        <w:rPr>
          <w:rFonts w:ascii="Palatino" w:hAnsi="Palatino"/>
        </w:rPr>
      </w:pPr>
    </w:p>
    <w:p w:rsidR="00304BF0" w:rsidRPr="00A9474E" w:rsidRDefault="00304BF0" w:rsidP="00304BF0">
      <w:pPr>
        <w:pStyle w:val="ListParagraph"/>
        <w:numPr>
          <w:ilvl w:val="0"/>
          <w:numId w:val="13"/>
        </w:numPr>
        <w:rPr>
          <w:rFonts w:ascii="Palatino" w:hAnsi="Palatino"/>
        </w:rPr>
      </w:pPr>
      <w:r w:rsidRPr="00A9474E">
        <w:rPr>
          <w:rFonts w:ascii="Palatino" w:hAnsi="Palatino"/>
        </w:rPr>
        <w:t xml:space="preserve">Day ahead and real time prices for 2017 for NP-15 and SP-15.  </w:t>
      </w:r>
    </w:p>
    <w:p w:rsidR="00304BF0" w:rsidRPr="00A9474E" w:rsidRDefault="00304BF0" w:rsidP="00304BF0">
      <w:pPr>
        <w:pStyle w:val="ListParagraph"/>
        <w:numPr>
          <w:ilvl w:val="0"/>
          <w:numId w:val="13"/>
        </w:numPr>
        <w:rPr>
          <w:rFonts w:ascii="Palatino" w:hAnsi="Palatino"/>
        </w:rPr>
      </w:pPr>
      <w:r w:rsidRPr="00A9474E">
        <w:rPr>
          <w:rFonts w:ascii="Palatino" w:hAnsi="Palatino"/>
        </w:rPr>
        <w:t>Daily 2017 natural gas spot prices (used to derive inferred heat rates)</w:t>
      </w:r>
    </w:p>
    <w:p w:rsidR="00304BF0" w:rsidRPr="00A9474E" w:rsidRDefault="00304BF0" w:rsidP="00304BF0">
      <w:pPr>
        <w:pStyle w:val="ListParagraph"/>
        <w:numPr>
          <w:ilvl w:val="0"/>
          <w:numId w:val="13"/>
        </w:numPr>
        <w:rPr>
          <w:rFonts w:ascii="Palatino" w:hAnsi="Palatino"/>
        </w:rPr>
      </w:pPr>
      <w:r w:rsidRPr="00A9474E">
        <w:rPr>
          <w:rFonts w:ascii="Palatino" w:hAnsi="Palatino"/>
        </w:rPr>
        <w:t>Average 2017 CO2 trading price</w:t>
      </w:r>
    </w:p>
    <w:p w:rsidR="00EA328D" w:rsidRPr="00A9474E" w:rsidRDefault="00EA328D" w:rsidP="00304BF0">
      <w:pPr>
        <w:rPr>
          <w:rFonts w:ascii="Palatino" w:hAnsi="Palatino"/>
        </w:rPr>
      </w:pPr>
    </w:p>
    <w:p w:rsidR="00304BF0" w:rsidRPr="00A9474E" w:rsidRDefault="00304BF0" w:rsidP="00304BF0">
      <w:pPr>
        <w:numPr>
          <w:ilvl w:val="0"/>
          <w:numId w:val="11"/>
        </w:numPr>
        <w:rPr>
          <w:rFonts w:ascii="Palatino" w:hAnsi="Palatino"/>
        </w:rPr>
      </w:pPr>
      <w:r w:rsidRPr="00A9474E">
        <w:rPr>
          <w:rFonts w:ascii="Palatino" w:hAnsi="Palatino"/>
        </w:rPr>
        <w:t>Update CO2 cap and trade allowance price forecast, using data from the Revised 2017 IEPR Mid-Demand forecast.</w:t>
      </w:r>
      <w:r w:rsidR="00541855" w:rsidRPr="00A9474E">
        <w:rPr>
          <w:rFonts w:ascii="Palatino" w:hAnsi="Palatino"/>
        </w:rPr>
        <w:t xml:space="preserve">  This value is including in the avoided cost of energy.</w:t>
      </w:r>
    </w:p>
    <w:p w:rsidR="00286811" w:rsidRPr="00A9474E" w:rsidRDefault="00286811" w:rsidP="00286811">
      <w:pPr>
        <w:ind w:left="720"/>
        <w:rPr>
          <w:rFonts w:ascii="Palatino" w:hAnsi="Palatino"/>
        </w:rPr>
      </w:pPr>
    </w:p>
    <w:p w:rsidR="00286811" w:rsidRDefault="00286811" w:rsidP="0038550A">
      <w:pPr>
        <w:pStyle w:val="ListParagraph"/>
        <w:numPr>
          <w:ilvl w:val="0"/>
          <w:numId w:val="11"/>
        </w:numPr>
        <w:rPr>
          <w:rFonts w:ascii="Palatino" w:hAnsi="Palatino"/>
        </w:rPr>
      </w:pPr>
      <w:r w:rsidRPr="00A9474E">
        <w:rPr>
          <w:rFonts w:ascii="Palatino" w:hAnsi="Palatino"/>
        </w:rPr>
        <w:t xml:space="preserve">Update GHG adder </w:t>
      </w:r>
      <w:r w:rsidR="000C0338">
        <w:rPr>
          <w:rFonts w:ascii="Palatino" w:hAnsi="Palatino"/>
        </w:rPr>
        <w:t>with</w:t>
      </w:r>
      <w:r w:rsidRPr="00A9474E">
        <w:rPr>
          <w:rFonts w:ascii="Palatino" w:hAnsi="Palatino"/>
        </w:rPr>
        <w:t xml:space="preserve"> v</w:t>
      </w:r>
      <w:r w:rsidR="00703DBB">
        <w:rPr>
          <w:rFonts w:ascii="Palatino" w:hAnsi="Palatino"/>
        </w:rPr>
        <w:t>alues adopted in D.</w:t>
      </w:r>
      <w:r w:rsidRPr="00A9474E">
        <w:rPr>
          <w:rFonts w:ascii="Palatino" w:hAnsi="Palatino"/>
        </w:rPr>
        <w:t>18.02-018, Table 6.</w:t>
      </w:r>
      <w:r w:rsidR="00725510" w:rsidRPr="00A9474E">
        <w:rPr>
          <w:rFonts w:ascii="Palatino" w:hAnsi="Palatino"/>
        </w:rPr>
        <w:t xml:space="preserve">  This replaces the Interim GHG Adder adopted in D.17-08-022, as per OP</w:t>
      </w:r>
      <w:r w:rsidR="003861B4" w:rsidRPr="00A9474E">
        <w:rPr>
          <w:rFonts w:ascii="Palatino" w:hAnsi="Palatino"/>
        </w:rPr>
        <w:t xml:space="preserve"> </w:t>
      </w:r>
      <w:r w:rsidR="00725510" w:rsidRPr="00A9474E">
        <w:rPr>
          <w:rFonts w:ascii="Palatino" w:hAnsi="Palatino"/>
        </w:rPr>
        <w:t>1 of that Decision.</w:t>
      </w:r>
      <w:r w:rsidR="001C1EA6" w:rsidRPr="00A9474E">
        <w:rPr>
          <w:rFonts w:ascii="Palatino" w:hAnsi="Palatino"/>
        </w:rPr>
        <w:t xml:space="preserve">  The values in Table 6 were modified to eliminate the CO2 allowance prices, which are </w:t>
      </w:r>
      <w:r w:rsidR="000C0338">
        <w:rPr>
          <w:rFonts w:ascii="Palatino" w:hAnsi="Palatino"/>
        </w:rPr>
        <w:t xml:space="preserve">already </w:t>
      </w:r>
      <w:r w:rsidR="001C1EA6" w:rsidRPr="00A9474E">
        <w:rPr>
          <w:rFonts w:ascii="Palatino" w:hAnsi="Palatino"/>
        </w:rPr>
        <w:t>included in the avoided energy cost.</w:t>
      </w:r>
      <w:r w:rsidR="004F797E" w:rsidRPr="00A9474E">
        <w:rPr>
          <w:rFonts w:ascii="Palatino" w:hAnsi="Palatino"/>
        </w:rPr>
        <w:t xml:space="preserve">  </w:t>
      </w:r>
      <w:r w:rsidR="00703DBB">
        <w:rPr>
          <w:rFonts w:ascii="Palatino" w:hAnsi="Palatino"/>
        </w:rPr>
        <w:t>T</w:t>
      </w:r>
      <w:r w:rsidR="00703DBB" w:rsidRPr="00A9474E">
        <w:rPr>
          <w:rFonts w:ascii="Palatino" w:hAnsi="Palatino"/>
        </w:rPr>
        <w:t>he Avoided Cost of RPS has been eliminated from the Avoided Cost Calculator with this update</w:t>
      </w:r>
      <w:r w:rsidR="00703DBB">
        <w:rPr>
          <w:rFonts w:ascii="Palatino" w:hAnsi="Palatino"/>
        </w:rPr>
        <w:t xml:space="preserve"> to avoid double-counting</w:t>
      </w:r>
      <w:r w:rsidR="00703DBB" w:rsidRPr="00A9474E">
        <w:rPr>
          <w:rStyle w:val="FootnoteReference"/>
          <w:rFonts w:ascii="Palatino" w:hAnsi="Palatino"/>
        </w:rPr>
        <w:footnoteReference w:id="7"/>
      </w:r>
      <w:r w:rsidR="00703DBB" w:rsidRPr="00A9474E">
        <w:rPr>
          <w:rFonts w:ascii="Palatino" w:hAnsi="Palatino"/>
        </w:rPr>
        <w:t>.</w:t>
      </w:r>
      <w:r w:rsidR="00703DBB">
        <w:rPr>
          <w:rFonts w:ascii="Palatino" w:hAnsi="Palatino"/>
        </w:rPr>
        <w:t xml:space="preserve"> </w:t>
      </w:r>
      <w:r w:rsidR="004F797E" w:rsidRPr="00A9474E">
        <w:rPr>
          <w:rFonts w:ascii="Palatino" w:hAnsi="Palatino"/>
        </w:rPr>
        <w:t>Th</w:t>
      </w:r>
      <w:r w:rsidR="0038550A">
        <w:rPr>
          <w:rFonts w:ascii="Palatino" w:hAnsi="Palatino"/>
        </w:rPr>
        <w:t>is is necessary</w:t>
      </w:r>
      <w:r w:rsidR="004F797E" w:rsidRPr="00A9474E">
        <w:rPr>
          <w:rFonts w:ascii="Palatino" w:hAnsi="Palatino"/>
        </w:rPr>
        <w:t xml:space="preserve"> </w:t>
      </w:r>
      <w:r w:rsidR="0038550A">
        <w:rPr>
          <w:rFonts w:ascii="Palatino" w:hAnsi="Palatino"/>
        </w:rPr>
        <w:t xml:space="preserve">because the </w:t>
      </w:r>
      <w:r w:rsidR="004F797E" w:rsidRPr="00A9474E">
        <w:rPr>
          <w:rFonts w:ascii="Palatino" w:hAnsi="Palatino"/>
        </w:rPr>
        <w:t xml:space="preserve">GHG adder </w:t>
      </w:r>
      <w:r w:rsidR="00703DBB">
        <w:rPr>
          <w:rFonts w:ascii="Palatino" w:hAnsi="Palatino"/>
        </w:rPr>
        <w:t xml:space="preserve">adopted in </w:t>
      </w:r>
      <w:r w:rsidR="00703DBB" w:rsidRPr="00A9474E">
        <w:rPr>
          <w:rFonts w:ascii="Palatino" w:hAnsi="Palatino"/>
        </w:rPr>
        <w:t>D.17-08-022</w:t>
      </w:r>
      <w:r w:rsidR="00703DBB">
        <w:rPr>
          <w:rFonts w:ascii="Palatino" w:hAnsi="Palatino"/>
        </w:rPr>
        <w:t xml:space="preserve"> </w:t>
      </w:r>
      <w:r w:rsidR="004F797E" w:rsidRPr="00A9474E">
        <w:rPr>
          <w:rFonts w:ascii="Palatino" w:hAnsi="Palatino"/>
        </w:rPr>
        <w:t>encompasses costs related to the price differential between a combustion turbine, which is the marginal unit used in the Avoided Cost Calculator, and the cost of a typical utility-scale renewable energy unit used to comply with the Renewable Portfolio Standard (RPS) requirement.</w:t>
      </w:r>
      <w:r w:rsidR="0038550A">
        <w:rPr>
          <w:rFonts w:ascii="Palatino" w:hAnsi="Palatino"/>
        </w:rPr>
        <w:t xml:space="preserve">  In addition, two other </w:t>
      </w:r>
      <w:r w:rsidR="005C7CCE">
        <w:rPr>
          <w:rFonts w:ascii="Palatino" w:hAnsi="Palatino"/>
        </w:rPr>
        <w:lastRenderedPageBreak/>
        <w:t xml:space="preserve">minor </w:t>
      </w:r>
      <w:r w:rsidR="0038550A">
        <w:rPr>
          <w:rFonts w:ascii="Palatino" w:hAnsi="Palatino"/>
        </w:rPr>
        <w:t>c</w:t>
      </w:r>
      <w:r w:rsidR="005C7CCE">
        <w:rPr>
          <w:rFonts w:ascii="Palatino" w:hAnsi="Palatino"/>
        </w:rPr>
        <w:t>orrections</w:t>
      </w:r>
      <w:r w:rsidR="0038550A">
        <w:rPr>
          <w:rFonts w:ascii="Palatino" w:hAnsi="Palatino"/>
        </w:rPr>
        <w:t xml:space="preserve"> were made for consistency with the updated GHG adder.  First, t</w:t>
      </w:r>
      <w:r w:rsidR="0038550A" w:rsidRPr="0038550A">
        <w:rPr>
          <w:rFonts w:ascii="Palatino" w:hAnsi="Palatino"/>
        </w:rPr>
        <w:t xml:space="preserve">he hourly inferred heat rates </w:t>
      </w:r>
      <w:r w:rsidR="0038550A">
        <w:rPr>
          <w:rFonts w:ascii="Palatino" w:hAnsi="Palatino"/>
        </w:rPr>
        <w:t xml:space="preserve">used to allocate avoided energy costs </w:t>
      </w:r>
      <w:r w:rsidR="0038550A" w:rsidRPr="0038550A">
        <w:rPr>
          <w:rFonts w:ascii="Palatino" w:hAnsi="Palatino"/>
        </w:rPr>
        <w:t>are adjusted for forecasted changes in market</w:t>
      </w:r>
      <w:r w:rsidR="00A62EAA">
        <w:rPr>
          <w:rFonts w:ascii="Palatino" w:hAnsi="Palatino"/>
        </w:rPr>
        <w:t>-</w:t>
      </w:r>
      <w:r w:rsidR="0038550A" w:rsidRPr="0038550A">
        <w:rPr>
          <w:rFonts w:ascii="Palatino" w:hAnsi="Palatino"/>
        </w:rPr>
        <w:t>clearing heat rates</w:t>
      </w:r>
      <w:r w:rsidR="00A62EAA">
        <w:rPr>
          <w:rFonts w:ascii="Palatino" w:hAnsi="Palatino"/>
        </w:rPr>
        <w:t>, that are now</w:t>
      </w:r>
      <w:r w:rsidR="0038550A" w:rsidRPr="0038550A">
        <w:rPr>
          <w:rFonts w:ascii="Palatino" w:hAnsi="Palatino"/>
        </w:rPr>
        <w:t xml:space="preserve"> based on </w:t>
      </w:r>
      <w:r w:rsidR="0038550A">
        <w:rPr>
          <w:rFonts w:ascii="Palatino" w:hAnsi="Palatino"/>
        </w:rPr>
        <w:t xml:space="preserve">a version of </w:t>
      </w:r>
      <w:r w:rsidR="0038550A" w:rsidRPr="0038550A">
        <w:rPr>
          <w:rFonts w:ascii="Palatino" w:hAnsi="Palatino"/>
        </w:rPr>
        <w:t xml:space="preserve">the </w:t>
      </w:r>
      <w:r w:rsidR="0038550A">
        <w:rPr>
          <w:rFonts w:ascii="Palatino" w:hAnsi="Palatino"/>
        </w:rPr>
        <w:t xml:space="preserve">2017 </w:t>
      </w:r>
      <w:r w:rsidR="0038550A" w:rsidRPr="0038550A">
        <w:rPr>
          <w:rFonts w:ascii="Palatino" w:hAnsi="Palatino"/>
        </w:rPr>
        <w:t>RPS Calculator</w:t>
      </w:r>
      <w:r w:rsidR="00A62EAA">
        <w:rPr>
          <w:rFonts w:ascii="Palatino" w:hAnsi="Palatino"/>
        </w:rPr>
        <w:t xml:space="preserve"> that</w:t>
      </w:r>
      <w:r w:rsidR="0038550A">
        <w:rPr>
          <w:rFonts w:ascii="Palatino" w:hAnsi="Palatino"/>
        </w:rPr>
        <w:t xml:space="preserve"> has been</w:t>
      </w:r>
      <w:r w:rsidR="0038550A" w:rsidRPr="0038550A">
        <w:rPr>
          <w:rFonts w:ascii="Palatino" w:hAnsi="Palatino"/>
        </w:rPr>
        <w:t xml:space="preserve"> updated with a renewable build consistent with the 2017 IRP modeling that was used to determine the GHG adder</w:t>
      </w:r>
      <w:r w:rsidR="0038550A">
        <w:rPr>
          <w:rFonts w:ascii="Palatino" w:hAnsi="Palatino"/>
        </w:rPr>
        <w:t xml:space="preserve">.  Second, the </w:t>
      </w:r>
      <w:r w:rsidR="000C0338">
        <w:rPr>
          <w:rFonts w:ascii="Palatino" w:hAnsi="Palatino"/>
        </w:rPr>
        <w:t>“</w:t>
      </w:r>
      <w:r w:rsidR="0038550A">
        <w:rPr>
          <w:rFonts w:ascii="Palatino" w:hAnsi="Palatino"/>
        </w:rPr>
        <w:t xml:space="preserve">1 </w:t>
      </w:r>
      <w:r w:rsidR="000C0338">
        <w:rPr>
          <w:rFonts w:ascii="Palatino" w:hAnsi="Palatino"/>
        </w:rPr>
        <w:t>minus</w:t>
      </w:r>
      <w:r w:rsidR="0038550A">
        <w:rPr>
          <w:rFonts w:ascii="Palatino" w:hAnsi="Palatino"/>
        </w:rPr>
        <w:t xml:space="preserve"> </w:t>
      </w:r>
      <w:r w:rsidR="0038550A" w:rsidRPr="0038550A">
        <w:rPr>
          <w:rFonts w:ascii="Palatino" w:hAnsi="Palatino"/>
        </w:rPr>
        <w:t>RPS</w:t>
      </w:r>
      <w:r w:rsidR="000C0338">
        <w:rPr>
          <w:rFonts w:ascii="Palatino" w:hAnsi="Palatino"/>
        </w:rPr>
        <w:t>”</w:t>
      </w:r>
      <w:r w:rsidR="0038550A" w:rsidRPr="0038550A">
        <w:rPr>
          <w:rFonts w:ascii="Palatino" w:hAnsi="Palatino"/>
        </w:rPr>
        <w:t xml:space="preserve"> adjustment </w:t>
      </w:r>
      <w:r w:rsidR="0038550A">
        <w:rPr>
          <w:rFonts w:ascii="Palatino" w:hAnsi="Palatino"/>
        </w:rPr>
        <w:t xml:space="preserve">was </w:t>
      </w:r>
      <w:r w:rsidR="0038550A" w:rsidRPr="0038550A">
        <w:rPr>
          <w:rFonts w:ascii="Palatino" w:hAnsi="Palatino"/>
        </w:rPr>
        <w:t xml:space="preserve">removed from </w:t>
      </w:r>
      <w:r w:rsidR="0038550A">
        <w:rPr>
          <w:rFonts w:ascii="Palatino" w:hAnsi="Palatino"/>
        </w:rPr>
        <w:t xml:space="preserve">the </w:t>
      </w:r>
      <w:r w:rsidR="0038550A" w:rsidRPr="0038550A">
        <w:rPr>
          <w:rFonts w:ascii="Palatino" w:hAnsi="Palatino"/>
        </w:rPr>
        <w:t xml:space="preserve">calculation of marginal emission changes for GHG adder and </w:t>
      </w:r>
      <w:r w:rsidR="0038550A">
        <w:rPr>
          <w:rFonts w:ascii="Palatino" w:hAnsi="Palatino"/>
        </w:rPr>
        <w:t xml:space="preserve">(in the natural gas calculator) </w:t>
      </w:r>
      <w:r w:rsidR="0038550A" w:rsidRPr="0038550A">
        <w:rPr>
          <w:rFonts w:ascii="Palatino" w:hAnsi="Palatino"/>
        </w:rPr>
        <w:t>criteria pollutants</w:t>
      </w:r>
      <w:r w:rsidR="002E4898">
        <w:rPr>
          <w:rFonts w:ascii="Palatino" w:hAnsi="Palatino"/>
        </w:rPr>
        <w:t>, since this correction is inconsistent with the IRP modeling results that created the GHG adder</w:t>
      </w:r>
      <w:r w:rsidR="0038550A" w:rsidRPr="0038550A">
        <w:rPr>
          <w:rFonts w:ascii="Palatino" w:hAnsi="Palatino"/>
        </w:rPr>
        <w:t>.</w:t>
      </w:r>
    </w:p>
    <w:p w:rsidR="00286811" w:rsidRPr="00A9474E" w:rsidRDefault="00286811" w:rsidP="00286811">
      <w:pPr>
        <w:pStyle w:val="ListParagraph"/>
        <w:rPr>
          <w:rFonts w:ascii="Palatino" w:hAnsi="Palatino"/>
        </w:rPr>
      </w:pPr>
    </w:p>
    <w:p w:rsidR="00286811" w:rsidRPr="00A9474E" w:rsidRDefault="00286811" w:rsidP="00286811">
      <w:pPr>
        <w:numPr>
          <w:ilvl w:val="0"/>
          <w:numId w:val="11"/>
        </w:numPr>
        <w:rPr>
          <w:rFonts w:ascii="Palatino" w:hAnsi="Palatino"/>
        </w:rPr>
      </w:pPr>
      <w:r w:rsidRPr="00A9474E">
        <w:rPr>
          <w:rFonts w:ascii="Palatino" w:hAnsi="Palatino"/>
        </w:rPr>
        <w:t>Update transmission and distribution (T&amp;D) hourly allocation factors based on 2017 recorded weather by climate zone, and 2017 weekend and holiday schedules.</w:t>
      </w:r>
    </w:p>
    <w:p w:rsidR="00286811" w:rsidRPr="00A9474E" w:rsidRDefault="00286811" w:rsidP="00286811">
      <w:pPr>
        <w:ind w:left="720"/>
        <w:rPr>
          <w:rFonts w:ascii="Palatino" w:hAnsi="Palatino"/>
        </w:rPr>
      </w:pPr>
    </w:p>
    <w:p w:rsidR="00286811" w:rsidRPr="00A9474E" w:rsidRDefault="00286811" w:rsidP="00286811">
      <w:pPr>
        <w:numPr>
          <w:ilvl w:val="0"/>
          <w:numId w:val="11"/>
        </w:numPr>
        <w:rPr>
          <w:rFonts w:ascii="Palatino" w:hAnsi="Palatino"/>
        </w:rPr>
      </w:pPr>
      <w:r w:rsidRPr="00A9474E">
        <w:rPr>
          <w:rFonts w:ascii="Palatino" w:hAnsi="Palatino"/>
        </w:rPr>
        <w:t>Update generation capacity hourly allocation factors using 2017 recorded weather.</w:t>
      </w:r>
    </w:p>
    <w:p w:rsidR="00286811" w:rsidRPr="00A9474E" w:rsidRDefault="00286811" w:rsidP="00286811">
      <w:pPr>
        <w:ind w:left="720"/>
        <w:rPr>
          <w:rFonts w:ascii="Palatino" w:hAnsi="Palatino"/>
        </w:rPr>
      </w:pPr>
    </w:p>
    <w:p w:rsidR="00EA328D" w:rsidRPr="00A9474E" w:rsidRDefault="00286811" w:rsidP="00286811">
      <w:pPr>
        <w:numPr>
          <w:ilvl w:val="0"/>
          <w:numId w:val="11"/>
        </w:numPr>
        <w:rPr>
          <w:rFonts w:ascii="Palatino" w:hAnsi="Palatino"/>
        </w:rPr>
      </w:pPr>
      <w:r w:rsidRPr="00A9474E">
        <w:rPr>
          <w:rFonts w:ascii="Palatino" w:hAnsi="Palatino"/>
        </w:rPr>
        <w:t>Update natural gas generation costs and performance based on 2017 IRP assumptions.</w:t>
      </w:r>
    </w:p>
    <w:p w:rsidR="00B85D2C" w:rsidRPr="009F2626" w:rsidRDefault="009F2626" w:rsidP="00304BF0">
      <w:pPr>
        <w:pStyle w:val="Heading1"/>
        <w:rPr>
          <w:rFonts w:ascii="Palatino" w:hAnsi="Palatino" w:cs="Times New Roman"/>
          <w:b/>
          <w:color w:val="auto"/>
          <w:sz w:val="24"/>
          <w:szCs w:val="24"/>
          <w:u w:val="single"/>
        </w:rPr>
      </w:pPr>
      <w:r w:rsidRPr="009F2626">
        <w:rPr>
          <w:rFonts w:ascii="Palatino" w:hAnsi="Palatino" w:cs="Times New Roman"/>
          <w:b/>
          <w:color w:val="auto"/>
          <w:sz w:val="24"/>
          <w:szCs w:val="24"/>
          <w:u w:val="single"/>
        </w:rPr>
        <w:t>COMMENTS</w:t>
      </w:r>
    </w:p>
    <w:p w:rsidR="00B85D2C" w:rsidRPr="00A9474E" w:rsidRDefault="00B85D2C" w:rsidP="00304BF0">
      <w:pPr>
        <w:rPr>
          <w:rFonts w:ascii="Palatino" w:hAnsi="Palatino"/>
        </w:rPr>
      </w:pPr>
      <w:r w:rsidRPr="00A9474E">
        <w:rPr>
          <w:rFonts w:ascii="Palatino" w:hAnsi="Palatino"/>
        </w:rPr>
        <w:t>Public Utilities Code section 311(g)(1) provides that this resolution must be served on all parties and subject to at least 30 days public review and comment prior to a vote of the Commission.  Section 311(g)(2) provides that this 30-day period may be reduced or waived upon the stipulation of all parties in the proceeding.</w:t>
      </w:r>
    </w:p>
    <w:p w:rsidR="00B85D2C" w:rsidRPr="00A9474E" w:rsidRDefault="00B85D2C" w:rsidP="00304BF0">
      <w:pPr>
        <w:rPr>
          <w:rFonts w:ascii="Palatino" w:hAnsi="Palatino"/>
        </w:rPr>
      </w:pPr>
    </w:p>
    <w:p w:rsidR="00B85D2C" w:rsidRPr="00A9474E" w:rsidRDefault="00B85D2C" w:rsidP="00304BF0">
      <w:pPr>
        <w:rPr>
          <w:rFonts w:ascii="Palatino" w:hAnsi="Palatino"/>
        </w:rPr>
      </w:pPr>
      <w:r w:rsidRPr="00A9474E">
        <w:rPr>
          <w:rFonts w:ascii="Palatino" w:hAnsi="Palatino"/>
        </w:rPr>
        <w:t>The 30-day comment period for the draft of this resolution was neither waived nor reduced.  Accordingly, this draft resolution was mailed to parties for comments, and will be placed on the Commission's agenda no ea</w:t>
      </w:r>
      <w:r w:rsidR="007136E9" w:rsidRPr="00A9474E">
        <w:rPr>
          <w:rFonts w:ascii="Palatino" w:hAnsi="Palatino"/>
        </w:rPr>
        <w:t>rlier than 30 days from today.</w:t>
      </w:r>
      <w:r w:rsidR="00725510" w:rsidRPr="00A9474E">
        <w:rPr>
          <w:rFonts w:ascii="Palatino" w:hAnsi="Palatino"/>
        </w:rPr>
        <w:t xml:space="preserve">  Comments are due in 20 days from the date of this Draft Resolution.</w:t>
      </w:r>
    </w:p>
    <w:p w:rsidR="00B85D2C" w:rsidRPr="009F2626" w:rsidRDefault="00B85D2C" w:rsidP="00304BF0">
      <w:pPr>
        <w:pStyle w:val="Heading1"/>
        <w:rPr>
          <w:rFonts w:ascii="Palatino" w:hAnsi="Palatino" w:cs="Times New Roman"/>
          <w:b/>
          <w:color w:val="auto"/>
          <w:sz w:val="24"/>
          <w:szCs w:val="24"/>
          <w:u w:val="single"/>
        </w:rPr>
      </w:pPr>
      <w:r w:rsidRPr="009F2626">
        <w:rPr>
          <w:rFonts w:ascii="Palatino" w:hAnsi="Palatino" w:cs="Times New Roman"/>
          <w:b/>
          <w:color w:val="auto"/>
          <w:sz w:val="24"/>
          <w:szCs w:val="24"/>
          <w:u w:val="single"/>
        </w:rPr>
        <w:t>F</w:t>
      </w:r>
      <w:r w:rsidR="009F2626" w:rsidRPr="009F2626">
        <w:rPr>
          <w:rFonts w:ascii="Palatino" w:hAnsi="Palatino" w:cs="Times New Roman"/>
          <w:b/>
          <w:color w:val="auto"/>
          <w:sz w:val="24"/>
          <w:szCs w:val="24"/>
          <w:u w:val="single"/>
        </w:rPr>
        <w:t>INDINGS</w:t>
      </w:r>
    </w:p>
    <w:p w:rsidR="001C1EA6" w:rsidRPr="00A9474E" w:rsidRDefault="001C1EA6" w:rsidP="001C1EA6">
      <w:pPr>
        <w:rPr>
          <w:rFonts w:ascii="Palatino" w:hAnsi="Palatino"/>
        </w:rPr>
      </w:pPr>
    </w:p>
    <w:p w:rsidR="008850AB" w:rsidRDefault="008850AB" w:rsidP="00541855">
      <w:pPr>
        <w:pStyle w:val="ListParagraph"/>
        <w:numPr>
          <w:ilvl w:val="0"/>
          <w:numId w:val="21"/>
        </w:numPr>
        <w:rPr>
          <w:rFonts w:ascii="Palatino" w:hAnsi="Palatino"/>
        </w:rPr>
      </w:pPr>
      <w:r w:rsidRPr="008850AB">
        <w:rPr>
          <w:rFonts w:ascii="Palatino" w:hAnsi="Palatino"/>
        </w:rPr>
        <w:t>D.</w:t>
      </w:r>
      <w:r>
        <w:rPr>
          <w:rFonts w:ascii="Palatino" w:hAnsi="Palatino"/>
        </w:rPr>
        <w:t>16-06-007 OP 2, directs Commission staff to annually update the Avoided Cost Calculator by May 1.</w:t>
      </w:r>
    </w:p>
    <w:p w:rsidR="008850AB" w:rsidRPr="008850AB" w:rsidRDefault="008850AB" w:rsidP="008850AB">
      <w:pPr>
        <w:pStyle w:val="ListParagraph"/>
        <w:ind w:left="360"/>
        <w:rPr>
          <w:rFonts w:ascii="Palatino" w:hAnsi="Palatino"/>
        </w:rPr>
      </w:pPr>
    </w:p>
    <w:p w:rsidR="008850AB" w:rsidRDefault="008850AB" w:rsidP="00541855">
      <w:pPr>
        <w:pStyle w:val="ListParagraph"/>
        <w:numPr>
          <w:ilvl w:val="0"/>
          <w:numId w:val="21"/>
        </w:numPr>
        <w:rPr>
          <w:rFonts w:ascii="Palatino" w:hAnsi="Palatino"/>
        </w:rPr>
      </w:pPr>
      <w:r>
        <w:rPr>
          <w:rFonts w:ascii="Palatino" w:hAnsi="Palatino"/>
        </w:rPr>
        <w:t xml:space="preserve">By letter dated April 30, 2018, the CPUC Executive Director extended the deadline for the 2018 </w:t>
      </w:r>
      <w:r w:rsidR="002231CA">
        <w:rPr>
          <w:rFonts w:ascii="Palatino" w:hAnsi="Palatino"/>
        </w:rPr>
        <w:t xml:space="preserve">update </w:t>
      </w:r>
      <w:r>
        <w:rPr>
          <w:rFonts w:ascii="Palatino" w:hAnsi="Palatino"/>
        </w:rPr>
        <w:t>to June 1, 2018.</w:t>
      </w:r>
    </w:p>
    <w:p w:rsidR="008850AB" w:rsidRPr="008850AB" w:rsidRDefault="008850AB" w:rsidP="008850AB">
      <w:pPr>
        <w:pStyle w:val="ListParagraph"/>
        <w:ind w:left="360"/>
        <w:rPr>
          <w:rFonts w:ascii="Palatino" w:hAnsi="Palatino"/>
        </w:rPr>
      </w:pPr>
    </w:p>
    <w:p w:rsidR="00541855" w:rsidRPr="008850AB" w:rsidRDefault="00826DB7" w:rsidP="00541855">
      <w:pPr>
        <w:pStyle w:val="ListParagraph"/>
        <w:numPr>
          <w:ilvl w:val="0"/>
          <w:numId w:val="21"/>
        </w:numPr>
        <w:rPr>
          <w:rFonts w:ascii="Palatino" w:hAnsi="Palatino"/>
        </w:rPr>
      </w:pPr>
      <w:r w:rsidRPr="008850AB">
        <w:rPr>
          <w:rFonts w:ascii="Palatino" w:hAnsi="Palatino"/>
        </w:rPr>
        <w:lastRenderedPageBreak/>
        <w:t>The updates to the Avoided Cost Calculator as described by E3 in its Final Report are reasonable for use in DER cost-effectiveness. It is reasonable</w:t>
      </w:r>
      <w:r w:rsidR="00F66234" w:rsidRPr="008850AB">
        <w:rPr>
          <w:rFonts w:ascii="Palatino" w:hAnsi="Palatino"/>
        </w:rPr>
        <w:t xml:space="preserve"> to adopt this 2018 Avoided Cost Calculator, </w:t>
      </w:r>
      <w:r w:rsidR="00541855" w:rsidRPr="008850AB">
        <w:rPr>
          <w:rFonts w:ascii="Palatino" w:hAnsi="Palatino"/>
        </w:rPr>
        <w:t>specifically referred to as ACC_2018_v1.</w:t>
      </w:r>
    </w:p>
    <w:p w:rsidR="00EA328D" w:rsidRPr="00A9474E" w:rsidRDefault="00EA328D" w:rsidP="00541855">
      <w:pPr>
        <w:rPr>
          <w:rFonts w:ascii="Palatino" w:hAnsi="Palatino"/>
          <w:b/>
        </w:rPr>
      </w:pPr>
    </w:p>
    <w:p w:rsidR="00541855" w:rsidRPr="00A9474E" w:rsidRDefault="00541855" w:rsidP="00541855">
      <w:pPr>
        <w:pStyle w:val="ListParagraph"/>
        <w:numPr>
          <w:ilvl w:val="0"/>
          <w:numId w:val="21"/>
        </w:numPr>
        <w:rPr>
          <w:rFonts w:ascii="Palatino" w:hAnsi="Palatino"/>
        </w:rPr>
      </w:pPr>
      <w:r w:rsidRPr="00A9474E">
        <w:rPr>
          <w:rFonts w:ascii="Palatino" w:hAnsi="Palatino"/>
        </w:rPr>
        <w:t>It is reasonable for ACC_2018_v1 to use updated natural gas prices, using the data sources listed above.</w:t>
      </w:r>
    </w:p>
    <w:p w:rsidR="00EA328D" w:rsidRPr="00A9474E" w:rsidRDefault="00EA328D" w:rsidP="00725510">
      <w:pPr>
        <w:rPr>
          <w:rFonts w:ascii="Palatino" w:hAnsi="Palatino"/>
          <w:b/>
        </w:rPr>
      </w:pPr>
    </w:p>
    <w:p w:rsidR="00541855" w:rsidRPr="00A9474E" w:rsidRDefault="00541855" w:rsidP="00725510">
      <w:pPr>
        <w:pStyle w:val="ListParagraph"/>
        <w:numPr>
          <w:ilvl w:val="0"/>
          <w:numId w:val="21"/>
        </w:numPr>
        <w:rPr>
          <w:rFonts w:ascii="Palatino" w:hAnsi="Palatino"/>
        </w:rPr>
      </w:pPr>
      <w:r w:rsidRPr="00A9474E">
        <w:rPr>
          <w:rFonts w:ascii="Palatino" w:hAnsi="Palatino"/>
        </w:rPr>
        <w:t>It is reasonable for ACC_2018_v1 to use update</w:t>
      </w:r>
      <w:r w:rsidR="00475BC9" w:rsidRPr="00A9474E">
        <w:rPr>
          <w:rFonts w:ascii="Palatino" w:hAnsi="Palatino"/>
        </w:rPr>
        <w:t>d</w:t>
      </w:r>
      <w:r w:rsidRPr="00A9474E">
        <w:rPr>
          <w:rFonts w:ascii="Palatino" w:hAnsi="Palatino"/>
        </w:rPr>
        <w:t xml:space="preserve"> electricity forward prices using on-peak and off-peak forwards for NP-15 and SP-15 using most recent 22 trading days.</w:t>
      </w:r>
    </w:p>
    <w:p w:rsidR="00541855" w:rsidRPr="00A9474E" w:rsidRDefault="00541855" w:rsidP="00725510">
      <w:pPr>
        <w:pStyle w:val="ListParagraph"/>
        <w:ind w:left="360"/>
        <w:rPr>
          <w:rFonts w:ascii="Palatino" w:hAnsi="Palatino"/>
        </w:rPr>
      </w:pPr>
    </w:p>
    <w:p w:rsidR="00541855" w:rsidRPr="00A9474E" w:rsidRDefault="00541855" w:rsidP="00725510">
      <w:pPr>
        <w:pStyle w:val="ListParagraph"/>
        <w:numPr>
          <w:ilvl w:val="0"/>
          <w:numId w:val="21"/>
        </w:numPr>
        <w:rPr>
          <w:rFonts w:ascii="Palatino" w:hAnsi="Palatino"/>
        </w:rPr>
      </w:pPr>
      <w:r w:rsidRPr="00A9474E">
        <w:rPr>
          <w:rFonts w:ascii="Palatino" w:hAnsi="Palatino"/>
        </w:rPr>
        <w:t xml:space="preserve">It is reasonable for ACC_2018_v1 to update ancillary service costs to </w:t>
      </w:r>
      <w:r w:rsidR="00A62EAA">
        <w:rPr>
          <w:rFonts w:ascii="Palatino" w:hAnsi="Palatino"/>
        </w:rPr>
        <w:t>0</w:t>
      </w:r>
      <w:r w:rsidRPr="00A9474E">
        <w:rPr>
          <w:rFonts w:ascii="Palatino" w:hAnsi="Palatino"/>
        </w:rPr>
        <w:t>.6% for annual energy, based on CAISO 2016 Annual Report on Market Issues and Performance.</w:t>
      </w:r>
    </w:p>
    <w:p w:rsidR="00541855" w:rsidRPr="00A9474E" w:rsidRDefault="00541855" w:rsidP="00725510">
      <w:pPr>
        <w:pStyle w:val="ListParagraph"/>
        <w:ind w:left="360"/>
        <w:rPr>
          <w:rFonts w:ascii="Palatino" w:hAnsi="Palatino"/>
        </w:rPr>
      </w:pPr>
    </w:p>
    <w:p w:rsidR="00541855" w:rsidRPr="00A9474E" w:rsidRDefault="00541855" w:rsidP="00725510">
      <w:pPr>
        <w:pStyle w:val="ListParagraph"/>
        <w:numPr>
          <w:ilvl w:val="0"/>
          <w:numId w:val="21"/>
        </w:numPr>
        <w:rPr>
          <w:rFonts w:ascii="Palatino" w:hAnsi="Palatino"/>
        </w:rPr>
      </w:pPr>
      <w:r w:rsidRPr="00A9474E">
        <w:rPr>
          <w:rFonts w:ascii="Palatino" w:hAnsi="Palatino"/>
        </w:rPr>
        <w:t>It is reasonable for ACC_2018_v1 to use updated Hourly Market Price Shapes, using the data sources listed above.</w:t>
      </w:r>
    </w:p>
    <w:p w:rsidR="00541855" w:rsidRPr="00A9474E" w:rsidRDefault="00541855" w:rsidP="00725510">
      <w:pPr>
        <w:rPr>
          <w:rFonts w:ascii="Palatino" w:hAnsi="Palatino"/>
        </w:rPr>
      </w:pPr>
    </w:p>
    <w:p w:rsidR="00541855" w:rsidRPr="00A9474E" w:rsidRDefault="00541855" w:rsidP="00725510">
      <w:pPr>
        <w:pStyle w:val="ListParagraph"/>
        <w:numPr>
          <w:ilvl w:val="0"/>
          <w:numId w:val="21"/>
        </w:numPr>
        <w:rPr>
          <w:rFonts w:ascii="Palatino" w:hAnsi="Palatino"/>
        </w:rPr>
      </w:pPr>
      <w:r w:rsidRPr="00A9474E">
        <w:rPr>
          <w:rFonts w:ascii="Palatino" w:hAnsi="Palatino"/>
        </w:rPr>
        <w:t>It is reasonable for ACC_2018_v1 to use updated CO2 cap and trade allowance price forecasts, using data from the Revised 2017 IEPR Mid-Demand forecast</w:t>
      </w:r>
      <w:r w:rsidR="00725510" w:rsidRPr="00A9474E">
        <w:rPr>
          <w:rFonts w:ascii="Palatino" w:hAnsi="Palatino"/>
        </w:rPr>
        <w:t>, for the CO2 price included in the avoided cost of energy</w:t>
      </w:r>
      <w:r w:rsidRPr="00A9474E">
        <w:rPr>
          <w:rFonts w:ascii="Palatino" w:hAnsi="Palatino"/>
        </w:rPr>
        <w:t>.</w:t>
      </w:r>
    </w:p>
    <w:p w:rsidR="00541855" w:rsidRPr="00A9474E" w:rsidRDefault="00541855" w:rsidP="00725510">
      <w:pPr>
        <w:ind w:left="360"/>
        <w:rPr>
          <w:rFonts w:ascii="Palatino" w:hAnsi="Palatino"/>
        </w:rPr>
      </w:pPr>
    </w:p>
    <w:p w:rsidR="00541855" w:rsidRPr="00A9474E" w:rsidRDefault="00541855" w:rsidP="00725510">
      <w:pPr>
        <w:pStyle w:val="ListParagraph"/>
        <w:numPr>
          <w:ilvl w:val="0"/>
          <w:numId w:val="21"/>
        </w:numPr>
        <w:rPr>
          <w:rFonts w:ascii="Palatino" w:hAnsi="Palatino"/>
        </w:rPr>
      </w:pPr>
      <w:r w:rsidRPr="00A9474E">
        <w:rPr>
          <w:rFonts w:ascii="Palatino" w:hAnsi="Palatino"/>
        </w:rPr>
        <w:t>It is reasonable for ACC_2018_v1 to update the GHG adder from v</w:t>
      </w:r>
      <w:r w:rsidR="008850AB">
        <w:rPr>
          <w:rFonts w:ascii="Palatino" w:hAnsi="Palatino"/>
        </w:rPr>
        <w:t>alues adopted in CPUC D.</w:t>
      </w:r>
      <w:r w:rsidRPr="00A9474E">
        <w:rPr>
          <w:rFonts w:ascii="Palatino" w:hAnsi="Palatino"/>
        </w:rPr>
        <w:t>18.02-018, Table 6</w:t>
      </w:r>
      <w:r w:rsidR="00725510" w:rsidRPr="00A9474E">
        <w:rPr>
          <w:rFonts w:ascii="Palatino" w:hAnsi="Palatino"/>
        </w:rPr>
        <w:t>, to replace the Interim GHG Adder</w:t>
      </w:r>
      <w:r w:rsidRPr="00A9474E">
        <w:rPr>
          <w:rFonts w:ascii="Palatino" w:hAnsi="Palatino"/>
        </w:rPr>
        <w:t>.</w:t>
      </w:r>
    </w:p>
    <w:p w:rsidR="004F797E" w:rsidRPr="00A9474E" w:rsidRDefault="004F797E" w:rsidP="004F797E">
      <w:pPr>
        <w:pStyle w:val="ListParagraph"/>
        <w:ind w:left="360"/>
        <w:rPr>
          <w:rFonts w:ascii="Palatino" w:hAnsi="Palatino"/>
        </w:rPr>
      </w:pPr>
    </w:p>
    <w:p w:rsidR="004F797E" w:rsidRPr="00A9474E" w:rsidRDefault="004F797E" w:rsidP="004F797E">
      <w:pPr>
        <w:pStyle w:val="ListParagraph"/>
        <w:numPr>
          <w:ilvl w:val="0"/>
          <w:numId w:val="21"/>
        </w:numPr>
        <w:rPr>
          <w:rFonts w:ascii="Palatino" w:hAnsi="Palatino"/>
        </w:rPr>
      </w:pPr>
      <w:r w:rsidRPr="00A9474E">
        <w:rPr>
          <w:rFonts w:ascii="Palatino" w:hAnsi="Palatino"/>
        </w:rPr>
        <w:t>It is reasonable for ACC_2018_v1 to elim</w:t>
      </w:r>
      <w:r w:rsidR="00475BC9" w:rsidRPr="00A9474E">
        <w:rPr>
          <w:rFonts w:ascii="Palatino" w:hAnsi="Palatino"/>
        </w:rPr>
        <w:t>in</w:t>
      </w:r>
      <w:r w:rsidRPr="00A9474E">
        <w:rPr>
          <w:rFonts w:ascii="Palatino" w:hAnsi="Palatino"/>
        </w:rPr>
        <w:t xml:space="preserve">ate the Avoided Cost of RPS, to </w:t>
      </w:r>
      <w:r w:rsidR="00475BC9" w:rsidRPr="00A9474E">
        <w:rPr>
          <w:rFonts w:ascii="Palatino" w:hAnsi="Palatino"/>
        </w:rPr>
        <w:t>avoid</w:t>
      </w:r>
      <w:r w:rsidRPr="00A9474E">
        <w:rPr>
          <w:rFonts w:ascii="Palatino" w:hAnsi="Palatino"/>
        </w:rPr>
        <w:t xml:space="preserve"> double-counting that would otherwise result from updating the GHG adder from values adopted in CPUC D</w:t>
      </w:r>
      <w:r w:rsidR="008850AB">
        <w:rPr>
          <w:rFonts w:ascii="Palatino" w:hAnsi="Palatino"/>
        </w:rPr>
        <w:t>.</w:t>
      </w:r>
      <w:r w:rsidRPr="00A9474E">
        <w:rPr>
          <w:rFonts w:ascii="Palatino" w:hAnsi="Palatino"/>
        </w:rPr>
        <w:t>18.02-018, Table 6, to replace the Interim GHG Adder</w:t>
      </w:r>
      <w:r w:rsidR="00A62EAA">
        <w:rPr>
          <w:rFonts w:ascii="Palatino" w:hAnsi="Palatino"/>
        </w:rPr>
        <w:t>, and make two other minor corrections for consistency with the updated GHG adder</w:t>
      </w:r>
      <w:r w:rsidRPr="00A9474E">
        <w:rPr>
          <w:rFonts w:ascii="Palatino" w:hAnsi="Palatino"/>
        </w:rPr>
        <w:t>.</w:t>
      </w:r>
    </w:p>
    <w:p w:rsidR="00541855" w:rsidRPr="00A9474E" w:rsidRDefault="00541855" w:rsidP="00725510">
      <w:pPr>
        <w:pStyle w:val="ListParagraph"/>
        <w:ind w:left="360"/>
        <w:rPr>
          <w:rFonts w:ascii="Palatino" w:hAnsi="Palatino"/>
        </w:rPr>
      </w:pPr>
    </w:p>
    <w:p w:rsidR="00541855" w:rsidRPr="00A9474E" w:rsidRDefault="00725510" w:rsidP="00725510">
      <w:pPr>
        <w:pStyle w:val="ListParagraph"/>
        <w:numPr>
          <w:ilvl w:val="0"/>
          <w:numId w:val="21"/>
        </w:numPr>
        <w:rPr>
          <w:rFonts w:ascii="Palatino" w:hAnsi="Palatino"/>
        </w:rPr>
      </w:pPr>
      <w:r w:rsidRPr="00A9474E">
        <w:rPr>
          <w:rFonts w:ascii="Palatino" w:hAnsi="Palatino"/>
        </w:rPr>
        <w:t>It is reasonable for ACC_2018_v1 to u</w:t>
      </w:r>
      <w:r w:rsidR="00541855" w:rsidRPr="00A9474E">
        <w:rPr>
          <w:rFonts w:ascii="Palatino" w:hAnsi="Palatino"/>
        </w:rPr>
        <w:t>pdate T&amp;D hourly allocation factors based on 2017 recorded weather by climate zone, and 2017 weekend and holiday schedules.</w:t>
      </w:r>
    </w:p>
    <w:p w:rsidR="00541855" w:rsidRPr="00A9474E" w:rsidRDefault="00541855" w:rsidP="00725510">
      <w:pPr>
        <w:ind w:left="360"/>
        <w:rPr>
          <w:rFonts w:ascii="Palatino" w:hAnsi="Palatino"/>
        </w:rPr>
      </w:pPr>
    </w:p>
    <w:p w:rsidR="00541855" w:rsidRPr="00A9474E" w:rsidRDefault="00725510" w:rsidP="00725510">
      <w:pPr>
        <w:pStyle w:val="ListParagraph"/>
        <w:numPr>
          <w:ilvl w:val="0"/>
          <w:numId w:val="21"/>
        </w:numPr>
        <w:rPr>
          <w:rFonts w:ascii="Palatino" w:hAnsi="Palatino"/>
        </w:rPr>
      </w:pPr>
      <w:r w:rsidRPr="00A9474E">
        <w:rPr>
          <w:rFonts w:ascii="Palatino" w:hAnsi="Palatino"/>
        </w:rPr>
        <w:t>It is reasonable for ACC_2018_v1 to u</w:t>
      </w:r>
      <w:r w:rsidR="00541855" w:rsidRPr="00A9474E">
        <w:rPr>
          <w:rFonts w:ascii="Palatino" w:hAnsi="Palatino"/>
        </w:rPr>
        <w:t>pdate generation capacity hourly allocation factors using 2017 recorded weather.</w:t>
      </w:r>
    </w:p>
    <w:p w:rsidR="00541855" w:rsidRPr="00A9474E" w:rsidRDefault="00541855" w:rsidP="00725510">
      <w:pPr>
        <w:ind w:left="360"/>
        <w:rPr>
          <w:rFonts w:ascii="Palatino" w:hAnsi="Palatino"/>
        </w:rPr>
      </w:pPr>
    </w:p>
    <w:p w:rsidR="00541855" w:rsidRPr="00A9474E" w:rsidRDefault="00725510" w:rsidP="00725510">
      <w:pPr>
        <w:pStyle w:val="ListParagraph"/>
        <w:numPr>
          <w:ilvl w:val="0"/>
          <w:numId w:val="21"/>
        </w:numPr>
        <w:rPr>
          <w:rFonts w:ascii="Palatino" w:hAnsi="Palatino"/>
        </w:rPr>
      </w:pPr>
      <w:r w:rsidRPr="00A9474E">
        <w:rPr>
          <w:rFonts w:ascii="Palatino" w:hAnsi="Palatino"/>
        </w:rPr>
        <w:t>It is reasonable for ACC_2018_v1 to u</w:t>
      </w:r>
      <w:r w:rsidR="00541855" w:rsidRPr="00A9474E">
        <w:rPr>
          <w:rFonts w:ascii="Palatino" w:hAnsi="Palatino"/>
        </w:rPr>
        <w:t>pdate natural gas generation costs and performance based on 2017 IRP assumptions.</w:t>
      </w:r>
    </w:p>
    <w:p w:rsidR="00725510" w:rsidRPr="00A9474E" w:rsidRDefault="00725510" w:rsidP="00725510">
      <w:pPr>
        <w:rPr>
          <w:rFonts w:ascii="Palatino" w:hAnsi="Palatino"/>
        </w:rPr>
      </w:pPr>
    </w:p>
    <w:p w:rsidR="00725510" w:rsidRPr="009F2626" w:rsidRDefault="009F2626" w:rsidP="00725510">
      <w:pPr>
        <w:pStyle w:val="Heading1"/>
        <w:rPr>
          <w:rFonts w:ascii="Palatino" w:hAnsi="Palatino" w:cs="Times New Roman"/>
          <w:b/>
          <w:color w:val="auto"/>
          <w:sz w:val="24"/>
          <w:szCs w:val="24"/>
        </w:rPr>
      </w:pPr>
      <w:proofErr w:type="gramStart"/>
      <w:r w:rsidRPr="009F2626">
        <w:rPr>
          <w:rFonts w:ascii="Palatino" w:hAnsi="Palatino" w:cs="Times New Roman"/>
          <w:b/>
          <w:color w:val="auto"/>
          <w:sz w:val="24"/>
          <w:szCs w:val="24"/>
        </w:rPr>
        <w:lastRenderedPageBreak/>
        <w:t>THEREFORE</w:t>
      </w:r>
      <w:proofErr w:type="gramEnd"/>
      <w:r w:rsidRPr="009F2626">
        <w:rPr>
          <w:rFonts w:ascii="Palatino" w:hAnsi="Palatino" w:cs="Times New Roman"/>
          <w:b/>
          <w:color w:val="auto"/>
          <w:sz w:val="24"/>
          <w:szCs w:val="24"/>
        </w:rPr>
        <w:t xml:space="preserve"> IT IS ORDERED THAT</w:t>
      </w:r>
      <w:r w:rsidR="00725510" w:rsidRPr="009F2626">
        <w:rPr>
          <w:rFonts w:ascii="Palatino" w:hAnsi="Palatino" w:cs="Times New Roman"/>
          <w:b/>
          <w:color w:val="auto"/>
          <w:sz w:val="24"/>
          <w:szCs w:val="24"/>
        </w:rPr>
        <w:t>:</w:t>
      </w:r>
    </w:p>
    <w:p w:rsidR="001C1EA6" w:rsidRPr="00A9474E" w:rsidRDefault="001C1EA6" w:rsidP="001C1EA6">
      <w:pPr>
        <w:rPr>
          <w:rFonts w:ascii="Palatino" w:hAnsi="Palatino"/>
        </w:rPr>
      </w:pPr>
    </w:p>
    <w:p w:rsidR="00725510" w:rsidRPr="00A9474E" w:rsidRDefault="00725510" w:rsidP="001C1EA6">
      <w:pPr>
        <w:pStyle w:val="ListParagraph"/>
        <w:numPr>
          <w:ilvl w:val="0"/>
          <w:numId w:val="22"/>
        </w:numPr>
        <w:tabs>
          <w:tab w:val="left" w:pos="720"/>
          <w:tab w:val="left" w:pos="1296"/>
          <w:tab w:val="left" w:pos="2016"/>
          <w:tab w:val="left" w:pos="2736"/>
          <w:tab w:val="left" w:pos="3456"/>
          <w:tab w:val="left" w:pos="4176"/>
          <w:tab w:val="left" w:pos="5760"/>
        </w:tabs>
        <w:rPr>
          <w:rFonts w:ascii="Palatino" w:hAnsi="Palatino"/>
        </w:rPr>
      </w:pPr>
      <w:r w:rsidRPr="00A9474E">
        <w:rPr>
          <w:rFonts w:ascii="Palatino" w:hAnsi="Palatino"/>
          <w:snapToGrid w:val="0"/>
        </w:rPr>
        <w:t xml:space="preserve">The updates to the Avoided Cost Calculator </w:t>
      </w:r>
      <w:r w:rsidR="000C0338">
        <w:rPr>
          <w:rFonts w:ascii="Palatino" w:hAnsi="Palatino"/>
          <w:snapToGrid w:val="0"/>
        </w:rPr>
        <w:t xml:space="preserve">as </w:t>
      </w:r>
      <w:r w:rsidR="008850AB">
        <w:rPr>
          <w:rFonts w:ascii="Palatino" w:hAnsi="Palatino"/>
          <w:snapToGrid w:val="0"/>
        </w:rPr>
        <w:t xml:space="preserve">specified herein </w:t>
      </w:r>
      <w:r w:rsidR="000C0338">
        <w:rPr>
          <w:rFonts w:ascii="Palatino" w:hAnsi="Palatino"/>
          <w:snapToGrid w:val="0"/>
        </w:rPr>
        <w:t xml:space="preserve">and further enumerated in documents made available through Appendix A </w:t>
      </w:r>
      <w:r w:rsidRPr="00A9474E">
        <w:rPr>
          <w:rFonts w:ascii="Palatino" w:hAnsi="Palatino"/>
          <w:snapToGrid w:val="0"/>
        </w:rPr>
        <w:t>are adopted for use in demand-side distributed energy resource cost-effectiveness analyses.</w:t>
      </w:r>
    </w:p>
    <w:p w:rsidR="00725510" w:rsidRPr="00A9474E" w:rsidRDefault="00725510" w:rsidP="00725510">
      <w:pPr>
        <w:rPr>
          <w:rFonts w:ascii="Palatino" w:hAnsi="Palatino"/>
        </w:rPr>
      </w:pPr>
    </w:p>
    <w:p w:rsidR="00B85D2C" w:rsidRPr="00A9474E" w:rsidRDefault="00B85D2C" w:rsidP="00304BF0">
      <w:pPr>
        <w:tabs>
          <w:tab w:val="left" w:pos="720"/>
          <w:tab w:val="left" w:pos="1296"/>
          <w:tab w:val="left" w:pos="2016"/>
          <w:tab w:val="left" w:pos="2736"/>
          <w:tab w:val="left" w:pos="3456"/>
          <w:tab w:val="left" w:pos="4176"/>
          <w:tab w:val="left" w:pos="5760"/>
        </w:tabs>
        <w:rPr>
          <w:rFonts w:ascii="Palatino" w:hAnsi="Palatino"/>
        </w:rPr>
      </w:pPr>
      <w:r w:rsidRPr="00A9474E">
        <w:rPr>
          <w:rFonts w:ascii="Palatino" w:hAnsi="Palatino"/>
        </w:rPr>
        <w:t>This Resolution is effective today.</w:t>
      </w:r>
    </w:p>
    <w:p w:rsidR="00B85D2C" w:rsidRPr="00A9474E" w:rsidRDefault="00B85D2C" w:rsidP="00304BF0">
      <w:pPr>
        <w:tabs>
          <w:tab w:val="left" w:pos="720"/>
          <w:tab w:val="left" w:pos="1296"/>
          <w:tab w:val="left" w:pos="2016"/>
          <w:tab w:val="left" w:pos="2736"/>
          <w:tab w:val="left" w:pos="3456"/>
          <w:tab w:val="left" w:pos="4176"/>
          <w:tab w:val="left" w:pos="5760"/>
        </w:tabs>
        <w:rPr>
          <w:rFonts w:ascii="Palatino" w:hAnsi="Palatino"/>
        </w:rPr>
      </w:pPr>
    </w:p>
    <w:p w:rsidR="00B85D2C" w:rsidRPr="00A9474E" w:rsidRDefault="00B85D2C" w:rsidP="00304BF0">
      <w:pPr>
        <w:rPr>
          <w:rFonts w:ascii="Palatino" w:hAnsi="Palatino"/>
          <w:snapToGrid w:val="0"/>
        </w:rPr>
      </w:pPr>
      <w:r w:rsidRPr="00A9474E">
        <w:rPr>
          <w:rFonts w:ascii="Palatino" w:hAnsi="Palatino"/>
          <w:snapToGrid w:val="0"/>
        </w:rPr>
        <w:t xml:space="preserve">I certify that the foregoing resolution was duly introduced, passed and adopted at a conference of the Public Utilities Commission of the State of California held on </w:t>
      </w:r>
      <w:r w:rsidR="00475BC9" w:rsidRPr="00A9474E">
        <w:rPr>
          <w:rFonts w:ascii="Palatino" w:hAnsi="Palatino"/>
          <w:snapToGrid w:val="0"/>
        </w:rPr>
        <w:t>July 12</w:t>
      </w:r>
      <w:r w:rsidR="005E557A" w:rsidRPr="00A9474E">
        <w:rPr>
          <w:rFonts w:ascii="Palatino" w:hAnsi="Palatino"/>
          <w:snapToGrid w:val="0"/>
        </w:rPr>
        <w:t>, 2018;</w:t>
      </w:r>
      <w:r w:rsidRPr="00A9474E">
        <w:rPr>
          <w:rFonts w:ascii="Palatino" w:hAnsi="Palatino"/>
          <w:snapToGrid w:val="0"/>
        </w:rPr>
        <w:t xml:space="preserve"> the following Commissioners voting favorably thereon:</w:t>
      </w:r>
    </w:p>
    <w:p w:rsidR="00B85D2C" w:rsidRPr="00A9474E" w:rsidRDefault="00B85D2C" w:rsidP="00304BF0">
      <w:pPr>
        <w:tabs>
          <w:tab w:val="left" w:pos="720"/>
          <w:tab w:val="left" w:pos="1152"/>
          <w:tab w:val="left" w:pos="1728"/>
          <w:tab w:val="left" w:pos="3168"/>
          <w:tab w:val="left" w:pos="5040"/>
        </w:tabs>
        <w:ind w:right="144"/>
        <w:rPr>
          <w:rFonts w:ascii="Palatino" w:hAnsi="Palatino"/>
        </w:rPr>
      </w:pPr>
    </w:p>
    <w:p w:rsidR="00B85D2C" w:rsidRPr="00A9474E" w:rsidRDefault="00B85D2C" w:rsidP="00304BF0">
      <w:pPr>
        <w:tabs>
          <w:tab w:val="left" w:pos="720"/>
          <w:tab w:val="left" w:pos="1152"/>
          <w:tab w:val="left" w:pos="1728"/>
          <w:tab w:val="left" w:pos="3168"/>
          <w:tab w:val="left" w:pos="5040"/>
        </w:tabs>
        <w:ind w:right="144"/>
        <w:rPr>
          <w:rFonts w:ascii="Palatino" w:hAnsi="Palatino"/>
        </w:rPr>
      </w:pPr>
    </w:p>
    <w:p w:rsidR="00B85D2C" w:rsidRPr="00A9474E" w:rsidRDefault="00B85D2C" w:rsidP="00304BF0">
      <w:pPr>
        <w:tabs>
          <w:tab w:val="left" w:pos="720"/>
          <w:tab w:val="left" w:pos="1152"/>
          <w:tab w:val="left" w:pos="1728"/>
          <w:tab w:val="left" w:pos="3168"/>
          <w:tab w:val="left" w:pos="5040"/>
        </w:tabs>
        <w:ind w:right="144"/>
        <w:rPr>
          <w:rFonts w:ascii="Palatino" w:hAnsi="Palatino"/>
        </w:rPr>
      </w:pPr>
    </w:p>
    <w:p w:rsidR="00B85D2C" w:rsidRPr="00A9474E" w:rsidRDefault="00B85D2C" w:rsidP="00304BF0">
      <w:pPr>
        <w:tabs>
          <w:tab w:val="left" w:pos="720"/>
          <w:tab w:val="left" w:pos="1152"/>
          <w:tab w:val="left" w:pos="1728"/>
          <w:tab w:val="left" w:pos="3168"/>
          <w:tab w:val="left" w:pos="5040"/>
        </w:tabs>
        <w:ind w:right="144"/>
        <w:rPr>
          <w:rFonts w:ascii="Palatino" w:hAnsi="Palatino"/>
        </w:rPr>
      </w:pPr>
    </w:p>
    <w:p w:rsidR="00B85D2C" w:rsidRPr="00A9474E" w:rsidRDefault="00B85D2C" w:rsidP="00304BF0">
      <w:pPr>
        <w:tabs>
          <w:tab w:val="left" w:pos="720"/>
          <w:tab w:val="left" w:pos="1152"/>
          <w:tab w:val="left" w:pos="1728"/>
          <w:tab w:val="left" w:pos="3168"/>
          <w:tab w:val="left" w:pos="5040"/>
        </w:tabs>
        <w:ind w:right="144"/>
        <w:rPr>
          <w:rFonts w:ascii="Palatino" w:hAnsi="Palatino"/>
        </w:rPr>
      </w:pP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t>_____________________</w:t>
      </w:r>
    </w:p>
    <w:p w:rsidR="00B85D2C" w:rsidRPr="00A9474E" w:rsidRDefault="00B85D2C" w:rsidP="00304BF0">
      <w:pPr>
        <w:rPr>
          <w:rFonts w:ascii="Palatino" w:hAnsi="Palatino"/>
        </w:rPr>
      </w:pP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t>ALICE STEBBINS</w:t>
      </w:r>
    </w:p>
    <w:p w:rsidR="00B85D2C" w:rsidRPr="00A9474E" w:rsidRDefault="00B85D2C" w:rsidP="00304BF0">
      <w:pPr>
        <w:rPr>
          <w:rFonts w:ascii="Palatino" w:hAnsi="Palatino"/>
        </w:rPr>
      </w:pP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r>
      <w:r w:rsidRPr="00A9474E">
        <w:rPr>
          <w:rFonts w:ascii="Palatino" w:hAnsi="Palatino"/>
        </w:rPr>
        <w:tab/>
        <w:t>Executive Director</w:t>
      </w:r>
    </w:p>
    <w:p w:rsidR="007A24A8" w:rsidRPr="00A9474E" w:rsidRDefault="007A24A8">
      <w:pPr>
        <w:rPr>
          <w:rFonts w:ascii="Palatino" w:hAnsi="Palatino"/>
        </w:rPr>
      </w:pPr>
      <w:r w:rsidRPr="00A9474E">
        <w:rPr>
          <w:rFonts w:ascii="Palatino" w:hAnsi="Palatino"/>
        </w:rPr>
        <w:br w:type="page"/>
      </w:r>
    </w:p>
    <w:p w:rsidR="007A24A8" w:rsidRPr="00A9474E" w:rsidRDefault="007A24A8" w:rsidP="007A24A8">
      <w:pPr>
        <w:jc w:val="center"/>
        <w:rPr>
          <w:rFonts w:ascii="Palatino" w:hAnsi="Palatino"/>
          <w:b/>
        </w:rPr>
      </w:pPr>
      <w:r w:rsidRPr="00A9474E">
        <w:rPr>
          <w:rFonts w:ascii="Palatino" w:hAnsi="Palatino"/>
          <w:b/>
        </w:rPr>
        <w:lastRenderedPageBreak/>
        <w:t>Appendix A</w:t>
      </w:r>
    </w:p>
    <w:p w:rsidR="007A24A8" w:rsidRPr="00A9474E" w:rsidRDefault="007A24A8" w:rsidP="007A24A8">
      <w:pPr>
        <w:jc w:val="center"/>
        <w:rPr>
          <w:rFonts w:ascii="Palatino" w:hAnsi="Palatino"/>
          <w:b/>
        </w:rPr>
      </w:pPr>
    </w:p>
    <w:p w:rsidR="007A24A8" w:rsidRPr="00A9474E" w:rsidRDefault="007A24A8" w:rsidP="007A24A8">
      <w:pPr>
        <w:rPr>
          <w:rFonts w:ascii="Palatino" w:hAnsi="Palatino"/>
        </w:rPr>
      </w:pPr>
      <w:r w:rsidRPr="00A9474E">
        <w:rPr>
          <w:rFonts w:ascii="Palatino" w:hAnsi="Palatino"/>
        </w:rPr>
        <w:t>Avoided Cost Calculator 2018 Update documents available online:</w:t>
      </w:r>
    </w:p>
    <w:p w:rsidR="007A24A8" w:rsidRPr="00A9474E" w:rsidRDefault="007A24A8" w:rsidP="007A24A8">
      <w:pPr>
        <w:rPr>
          <w:rFonts w:ascii="Palatino" w:hAnsi="Palatino"/>
        </w:rPr>
      </w:pPr>
    </w:p>
    <w:p w:rsidR="00083E84" w:rsidRPr="00A9474E" w:rsidRDefault="007A24A8" w:rsidP="007A24A8">
      <w:pPr>
        <w:rPr>
          <w:rFonts w:ascii="Palatino" w:hAnsi="Palatino"/>
        </w:rPr>
      </w:pPr>
      <w:r w:rsidRPr="00A9474E">
        <w:rPr>
          <w:rFonts w:ascii="Palatino" w:hAnsi="Palatino"/>
        </w:rPr>
        <w:t xml:space="preserve">2018 Avoided Cost Calculator ACC_2018_v1 (available in both </w:t>
      </w:r>
      <w:proofErr w:type="spellStart"/>
      <w:r w:rsidRPr="00A9474E">
        <w:rPr>
          <w:rFonts w:ascii="Palatino" w:hAnsi="Palatino"/>
        </w:rPr>
        <w:t>xlsb</w:t>
      </w:r>
      <w:proofErr w:type="spellEnd"/>
      <w:r w:rsidRPr="00A9474E">
        <w:rPr>
          <w:rFonts w:ascii="Palatino" w:hAnsi="Palatino"/>
        </w:rPr>
        <w:t xml:space="preserve"> and </w:t>
      </w:r>
      <w:proofErr w:type="spellStart"/>
      <w:r w:rsidRPr="00A9474E">
        <w:rPr>
          <w:rFonts w:ascii="Palatino" w:hAnsi="Palatino"/>
        </w:rPr>
        <w:t>xlsm</w:t>
      </w:r>
      <w:proofErr w:type="spellEnd"/>
      <w:r w:rsidRPr="00A9474E">
        <w:rPr>
          <w:rFonts w:ascii="Palatino" w:hAnsi="Palatino"/>
        </w:rPr>
        <w:t xml:space="preserve"> formats</w:t>
      </w:r>
      <w:proofErr w:type="gramStart"/>
      <w:r w:rsidRPr="00A9474E">
        <w:rPr>
          <w:rFonts w:ascii="Palatino" w:hAnsi="Palatino"/>
        </w:rPr>
        <w:t>) ,</w:t>
      </w:r>
      <w:proofErr w:type="gramEnd"/>
      <w:r w:rsidRPr="00A9474E">
        <w:rPr>
          <w:rFonts w:ascii="Palatino" w:hAnsi="Palatino"/>
        </w:rPr>
        <w:t xml:space="preserve"> and the Avoided Costs 2018 Update report are all available for download on this site:</w:t>
      </w:r>
    </w:p>
    <w:p w:rsidR="007A24A8" w:rsidRPr="00A9474E" w:rsidRDefault="007A24A8" w:rsidP="007A24A8">
      <w:pPr>
        <w:rPr>
          <w:rFonts w:ascii="Palatino" w:hAnsi="Palatino"/>
        </w:rPr>
      </w:pPr>
    </w:p>
    <w:p w:rsidR="007A24A8" w:rsidRPr="00A9474E" w:rsidRDefault="008568A9" w:rsidP="008835A3">
      <w:pPr>
        <w:rPr>
          <w:rFonts w:ascii="Palatino" w:hAnsi="Palatino"/>
        </w:rPr>
      </w:pPr>
      <w:hyperlink r:id="rId9" w:history="1">
        <w:r w:rsidR="008835A3" w:rsidRPr="00A9474E">
          <w:rPr>
            <w:rStyle w:val="Hyperlink"/>
            <w:rFonts w:ascii="Palatino" w:hAnsi="Palatino"/>
          </w:rPr>
          <w:t>http://www.cpuc.ca.gov/General.aspx?id=5267</w:t>
        </w:r>
      </w:hyperlink>
      <w:r w:rsidR="008835A3" w:rsidRPr="00A9474E">
        <w:rPr>
          <w:rFonts w:ascii="Palatino" w:hAnsi="Palatino"/>
        </w:rPr>
        <w:t xml:space="preserve"> </w:t>
      </w:r>
      <w:r w:rsidR="00EB57D8" w:rsidRPr="00A9474E">
        <w:rPr>
          <w:rFonts w:ascii="Palatino" w:hAnsi="Palatino"/>
        </w:rPr>
        <w:t>(scroll down to Avoided Cost Calculator section)</w:t>
      </w:r>
    </w:p>
    <w:sectPr w:rsidR="007A24A8" w:rsidRPr="00A9474E">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B9E" w:rsidRDefault="00582B9E" w:rsidP="00FE7D75">
      <w:r>
        <w:separator/>
      </w:r>
    </w:p>
  </w:endnote>
  <w:endnote w:type="continuationSeparator" w:id="0">
    <w:p w:rsidR="00582B9E" w:rsidRDefault="00582B9E" w:rsidP="00F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2020500000000000000"/>
    <w:charset w:val="00"/>
    <w:family w:val="roman"/>
    <w:notTrueType/>
    <w:pitch w:val="variable"/>
    <w:sig w:usb0="00000003" w:usb1="00000000" w:usb2="00000000" w:usb3="00000000" w:csb0="00000001" w:csb1="00000000"/>
  </w:font>
  <w:font w:name="Helvetica">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53883"/>
      <w:docPartObj>
        <w:docPartGallery w:val="Page Numbers (Bottom of Page)"/>
        <w:docPartUnique/>
      </w:docPartObj>
    </w:sdtPr>
    <w:sdtEndPr>
      <w:rPr>
        <w:noProof/>
      </w:rPr>
    </w:sdtEndPr>
    <w:sdtContent>
      <w:p w:rsidR="00A9474E" w:rsidRDefault="00A9474E">
        <w:pPr>
          <w:pStyle w:val="Footer"/>
          <w:jc w:val="center"/>
        </w:pPr>
        <w:r>
          <w:fldChar w:fldCharType="begin"/>
        </w:r>
        <w:r>
          <w:instrText xml:space="preserve"> PAGE   \* MERGEFORMAT </w:instrText>
        </w:r>
        <w:r>
          <w:fldChar w:fldCharType="separate"/>
        </w:r>
        <w:r w:rsidR="000C0338">
          <w:rPr>
            <w:noProof/>
          </w:rPr>
          <w:t>8</w:t>
        </w:r>
        <w:r>
          <w:rPr>
            <w:noProof/>
          </w:rPr>
          <w:fldChar w:fldCharType="end"/>
        </w:r>
      </w:p>
    </w:sdtContent>
  </w:sdt>
  <w:p w:rsidR="00FE7D75" w:rsidRDefault="00FE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B9E" w:rsidRDefault="00582B9E" w:rsidP="00FE7D75">
      <w:r>
        <w:separator/>
      </w:r>
    </w:p>
  </w:footnote>
  <w:footnote w:type="continuationSeparator" w:id="0">
    <w:p w:rsidR="00582B9E" w:rsidRDefault="00582B9E" w:rsidP="00FE7D75">
      <w:r>
        <w:continuationSeparator/>
      </w:r>
    </w:p>
  </w:footnote>
  <w:footnote w:id="1">
    <w:p w:rsidR="008F4942" w:rsidRPr="006C5D96" w:rsidRDefault="008F4942">
      <w:pPr>
        <w:pStyle w:val="FootnoteText"/>
        <w:rPr>
          <w:rFonts w:ascii="Palatino" w:hAnsi="Palatino"/>
        </w:rPr>
      </w:pPr>
      <w:r w:rsidRPr="006C5D96">
        <w:rPr>
          <w:rStyle w:val="FootnoteReference"/>
          <w:rFonts w:ascii="Palatino" w:hAnsi="Palatino"/>
        </w:rPr>
        <w:footnoteRef/>
      </w:r>
      <w:r w:rsidRPr="006C5D96">
        <w:rPr>
          <w:rFonts w:ascii="Palatino" w:hAnsi="Palatino"/>
        </w:rPr>
        <w:t xml:space="preserve"> </w:t>
      </w:r>
      <w:r w:rsidR="00A210EB" w:rsidRPr="006C5D96">
        <w:rPr>
          <w:rFonts w:ascii="Palatino" w:hAnsi="Palatino"/>
        </w:rPr>
        <w:t>Letter from Alice Stebbins, CPUC Executive Directo</w:t>
      </w:r>
      <w:r w:rsidR="00F00DB9" w:rsidRPr="006C5D96">
        <w:rPr>
          <w:rFonts w:ascii="Palatino" w:hAnsi="Palatino"/>
        </w:rPr>
        <w:t>r</w:t>
      </w:r>
      <w:r w:rsidR="00A210EB" w:rsidRPr="006C5D96">
        <w:rPr>
          <w:rFonts w:ascii="Palatino" w:hAnsi="Palatino"/>
        </w:rPr>
        <w:t>, to Energy Division Director Edward Randolph, dated April 30, 2018 and sent by email to the service list of R.14-10-003 on May 1, 2018</w:t>
      </w:r>
      <w:r w:rsidR="00F00DB9" w:rsidRPr="006C5D96">
        <w:rPr>
          <w:rFonts w:ascii="Palatino" w:hAnsi="Palatino"/>
        </w:rPr>
        <w:t xml:space="preserve"> extended the deadline</w:t>
      </w:r>
      <w:r w:rsidR="008835A3" w:rsidRPr="006C5D96">
        <w:rPr>
          <w:rFonts w:ascii="Palatino" w:hAnsi="Palatino"/>
        </w:rPr>
        <w:t xml:space="preserve"> to June 1, 2018</w:t>
      </w:r>
    </w:p>
  </w:footnote>
  <w:footnote w:id="2">
    <w:p w:rsidR="008F4942" w:rsidRPr="00674034" w:rsidRDefault="008F4942">
      <w:pPr>
        <w:pStyle w:val="FootnoteText"/>
        <w:rPr>
          <w:rFonts w:ascii="Palatino" w:hAnsi="Palatino"/>
        </w:rPr>
      </w:pPr>
      <w:r w:rsidRPr="00674034">
        <w:rPr>
          <w:rStyle w:val="FootnoteReference"/>
          <w:rFonts w:ascii="Palatino" w:hAnsi="Palatino"/>
        </w:rPr>
        <w:footnoteRef/>
      </w:r>
      <w:r w:rsidRPr="00674034">
        <w:rPr>
          <w:rFonts w:ascii="Palatino" w:hAnsi="Palatino"/>
        </w:rPr>
        <w:t xml:space="preserve"> The Commission issued R.04-04-025 to develop avoided costs in a “consistent and coordinated manner across Commission proceedings. D.05-04-024 adopted the report, Methodology and Forecast of Long-Term Avoided Cost(s) for the Evaluation of California Energy Efficiency Programs and associated spreadsheet models developed by the firm E3 to use in determining cost effectiveness of energy efficiency programs.</w:t>
      </w:r>
    </w:p>
  </w:footnote>
  <w:footnote w:id="3">
    <w:p w:rsidR="004C16AB" w:rsidRDefault="004C16AB">
      <w:pPr>
        <w:pStyle w:val="FootnoteText"/>
      </w:pPr>
      <w:r w:rsidRPr="00674034">
        <w:rPr>
          <w:rStyle w:val="FootnoteReference"/>
          <w:rFonts w:ascii="Palatino" w:hAnsi="Palatino"/>
        </w:rPr>
        <w:footnoteRef/>
      </w:r>
      <w:r w:rsidR="00670A78" w:rsidRPr="00674034">
        <w:rPr>
          <w:rFonts w:ascii="Palatino" w:hAnsi="Palatino"/>
        </w:rPr>
        <w:t xml:space="preserve"> R.14-10-003</w:t>
      </w:r>
    </w:p>
  </w:footnote>
  <w:footnote w:id="4">
    <w:p w:rsidR="00074690" w:rsidRPr="00674034" w:rsidRDefault="00074690">
      <w:pPr>
        <w:pStyle w:val="FootnoteText"/>
        <w:rPr>
          <w:rFonts w:ascii="Palatino" w:hAnsi="Palatino"/>
        </w:rPr>
      </w:pPr>
      <w:r w:rsidRPr="00674034">
        <w:rPr>
          <w:rStyle w:val="FootnoteReference"/>
          <w:rFonts w:ascii="Palatino" w:hAnsi="Palatino"/>
        </w:rPr>
        <w:footnoteRef/>
      </w:r>
      <w:r w:rsidRPr="00674034">
        <w:rPr>
          <w:rFonts w:ascii="Palatino" w:hAnsi="Palatino"/>
        </w:rPr>
        <w:t xml:space="preserve"> D.18-02-018, Finding of Fact 17</w:t>
      </w:r>
    </w:p>
  </w:footnote>
  <w:footnote w:id="5">
    <w:p w:rsidR="00074690" w:rsidRPr="00674034" w:rsidRDefault="00074690">
      <w:pPr>
        <w:pStyle w:val="FootnoteText"/>
        <w:rPr>
          <w:rFonts w:ascii="Palatino" w:hAnsi="Palatino"/>
        </w:rPr>
      </w:pPr>
      <w:r w:rsidRPr="00674034">
        <w:rPr>
          <w:rStyle w:val="FootnoteReference"/>
          <w:rFonts w:ascii="Palatino" w:hAnsi="Palatino"/>
        </w:rPr>
        <w:footnoteRef/>
      </w:r>
      <w:r w:rsidRPr="00674034">
        <w:rPr>
          <w:rFonts w:ascii="Palatino" w:hAnsi="Palatino"/>
        </w:rPr>
        <w:t xml:space="preserve"> </w:t>
      </w:r>
      <w:r w:rsidR="00D04FEF" w:rsidRPr="00674034">
        <w:rPr>
          <w:rFonts w:ascii="Palatino" w:hAnsi="Palatino"/>
        </w:rPr>
        <w:t>See Table 6 in</w:t>
      </w:r>
      <w:r w:rsidRPr="00674034">
        <w:rPr>
          <w:rFonts w:ascii="Palatino" w:hAnsi="Palatino"/>
        </w:rPr>
        <w:t xml:space="preserve"> D.18-02-018 </w:t>
      </w:r>
    </w:p>
  </w:footnote>
  <w:footnote w:id="6">
    <w:p w:rsidR="00074690" w:rsidRDefault="00074690">
      <w:pPr>
        <w:pStyle w:val="FootnoteText"/>
      </w:pPr>
      <w:r w:rsidRPr="00674034">
        <w:rPr>
          <w:rStyle w:val="FootnoteReference"/>
          <w:rFonts w:ascii="Palatino" w:hAnsi="Palatino"/>
        </w:rPr>
        <w:footnoteRef/>
      </w:r>
      <w:r w:rsidRPr="00674034">
        <w:rPr>
          <w:rFonts w:ascii="Palatino" w:hAnsi="Palatino"/>
        </w:rPr>
        <w:t xml:space="preserve"> D.18-02-018, Conclusion of Law 24</w:t>
      </w:r>
    </w:p>
  </w:footnote>
  <w:footnote w:id="7">
    <w:p w:rsidR="00703DBB" w:rsidRPr="00674034" w:rsidRDefault="00703DBB" w:rsidP="00703DBB">
      <w:pPr>
        <w:pStyle w:val="FootnoteText"/>
        <w:rPr>
          <w:rFonts w:ascii="Palatino" w:hAnsi="Palatino"/>
        </w:rPr>
      </w:pPr>
      <w:r w:rsidRPr="00674034">
        <w:rPr>
          <w:rStyle w:val="FootnoteReference"/>
          <w:rFonts w:ascii="Palatino" w:hAnsi="Palatino"/>
        </w:rPr>
        <w:footnoteRef/>
      </w:r>
      <w:r w:rsidRPr="00674034">
        <w:rPr>
          <w:rFonts w:ascii="Palatino" w:hAnsi="Palatino"/>
        </w:rPr>
        <w:t xml:space="preserve"> The details of this double-counting problem are further discussed on page 9 of </w:t>
      </w:r>
      <w:r w:rsidRPr="00674034">
        <w:rPr>
          <w:rFonts w:ascii="Palatino" w:hAnsi="Palatino"/>
          <w:i/>
        </w:rPr>
        <w:t>Distributed Energy Resource Cost</w:t>
      </w:r>
      <w:r w:rsidRPr="00674034">
        <w:rPr>
          <w:rFonts w:ascii="Cambria Math" w:hAnsi="Cambria Math" w:cs="Cambria Math"/>
          <w:i/>
        </w:rPr>
        <w:t>‐</w:t>
      </w:r>
      <w:r w:rsidRPr="00674034">
        <w:rPr>
          <w:rFonts w:ascii="Palatino" w:hAnsi="Palatino"/>
          <w:i/>
        </w:rPr>
        <w:t>Effectiveness Evaluation: Further Recommendations on the Societal Cost</w:t>
      </w:r>
      <w:r w:rsidR="008850AB" w:rsidRPr="00674034">
        <w:rPr>
          <w:rFonts w:ascii="Palatino" w:hAnsi="Palatino"/>
          <w:i/>
        </w:rPr>
        <w:t xml:space="preserve"> Test</w:t>
      </w:r>
      <w:r w:rsidRPr="00674034">
        <w:rPr>
          <w:rFonts w:ascii="Palatino" w:hAnsi="Palatino"/>
          <w:i/>
        </w:rPr>
        <w:t xml:space="preserve">. </w:t>
      </w:r>
      <w:r w:rsidRPr="00674034">
        <w:rPr>
          <w:rFonts w:ascii="Palatino" w:hAnsi="Palatino"/>
        </w:rPr>
        <w:t xml:space="preserve"> The March 14, 2018 ruling in R.14-10-003 included this paper as Attachment 1.  It is available at:  </w:t>
      </w:r>
      <w:hyperlink r:id="rId1" w:history="1">
        <w:r w:rsidRPr="00674034">
          <w:rPr>
            <w:rStyle w:val="Hyperlink"/>
            <w:rFonts w:ascii="Palatino" w:hAnsi="Palatino"/>
          </w:rPr>
          <w:t>http://docs.cpuc.ca.gov/PublishedDocs/Efile/G000/M212/K023/212023660.PDF</w:t>
        </w:r>
      </w:hyperlink>
      <w:r w:rsidRPr="00674034">
        <w:rPr>
          <w:rFonts w:ascii="Palatino" w:hAnsi="Palatin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626" w:rsidRDefault="009F2626">
    <w:pPr>
      <w:pStyle w:val="Header"/>
    </w:pPr>
    <w:r>
      <w:t>Resolution E-4942</w:t>
    </w:r>
    <w:r w:rsidR="008568A9">
      <w:t xml:space="preserve"> </w:t>
    </w:r>
    <w:r>
      <w:t>/</w:t>
    </w:r>
    <w:r w:rsidR="008568A9">
      <w:t xml:space="preserve"> </w:t>
    </w:r>
    <w:r>
      <w:t>JYM                         DRAFT</w:t>
    </w:r>
    <w:r w:rsidR="008568A9">
      <w:tab/>
      <w:t xml:space="preserve">                                        July 12,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E65"/>
    <w:multiLevelType w:val="hybridMultilevel"/>
    <w:tmpl w:val="FABCBAC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96575"/>
    <w:multiLevelType w:val="hybridMultilevel"/>
    <w:tmpl w:val="FF9CA2BC"/>
    <w:lvl w:ilvl="0" w:tplc="C7E2AF4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D96780A"/>
    <w:multiLevelType w:val="hybridMultilevel"/>
    <w:tmpl w:val="5554075E"/>
    <w:lvl w:ilvl="0" w:tplc="86FC01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665715"/>
    <w:multiLevelType w:val="hybridMultilevel"/>
    <w:tmpl w:val="1D9AE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1D5C1E"/>
    <w:multiLevelType w:val="hybridMultilevel"/>
    <w:tmpl w:val="599ADB70"/>
    <w:lvl w:ilvl="0" w:tplc="ED044F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1D48D4"/>
    <w:multiLevelType w:val="hybridMultilevel"/>
    <w:tmpl w:val="6390F9A6"/>
    <w:lvl w:ilvl="0" w:tplc="ED044FEA">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B814BC"/>
    <w:multiLevelType w:val="hybridMultilevel"/>
    <w:tmpl w:val="6464D93E"/>
    <w:lvl w:ilvl="0" w:tplc="ED044FEA">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902DA7"/>
    <w:multiLevelType w:val="hybridMultilevel"/>
    <w:tmpl w:val="23F82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2794"/>
    <w:multiLevelType w:val="hybridMultilevel"/>
    <w:tmpl w:val="15BAF5DE"/>
    <w:lvl w:ilvl="0" w:tplc="ED044F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87E58"/>
    <w:multiLevelType w:val="hybridMultilevel"/>
    <w:tmpl w:val="22A68FD0"/>
    <w:lvl w:ilvl="0" w:tplc="B868EDB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9F43C1"/>
    <w:multiLevelType w:val="hybridMultilevel"/>
    <w:tmpl w:val="EE96884A"/>
    <w:lvl w:ilvl="0" w:tplc="ED044FEA">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557907"/>
    <w:multiLevelType w:val="hybridMultilevel"/>
    <w:tmpl w:val="BCB4E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795249"/>
    <w:multiLevelType w:val="hybridMultilevel"/>
    <w:tmpl w:val="3E48BC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6" w15:restartNumberingAfterBreak="0">
    <w:nsid w:val="59427D1D"/>
    <w:multiLevelType w:val="hybridMultilevel"/>
    <w:tmpl w:val="255E03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90166D"/>
    <w:multiLevelType w:val="hybridMultilevel"/>
    <w:tmpl w:val="AD8C4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352DA2"/>
    <w:multiLevelType w:val="hybridMultilevel"/>
    <w:tmpl w:val="BC6C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FA45A1"/>
    <w:multiLevelType w:val="hybridMultilevel"/>
    <w:tmpl w:val="DEC81C66"/>
    <w:lvl w:ilvl="0" w:tplc="C7E2AF4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E001A"/>
    <w:multiLevelType w:val="hybridMultilevel"/>
    <w:tmpl w:val="DBBE830E"/>
    <w:lvl w:ilvl="0" w:tplc="86FC015E">
      <w:start w:val="1"/>
      <w:numFmt w:val="decimal"/>
      <w:lvlText w:val="%1."/>
      <w:lvlJc w:val="left"/>
      <w:pPr>
        <w:ind w:left="1080" w:hanging="720"/>
      </w:pPr>
      <w:rPr>
        <w:rFonts w:hint="default"/>
      </w:rPr>
    </w:lvl>
    <w:lvl w:ilvl="1" w:tplc="2206BE0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6"/>
  </w:num>
  <w:num w:numId="4">
    <w:abstractNumId w:val="19"/>
  </w:num>
  <w:num w:numId="5">
    <w:abstractNumId w:val="14"/>
  </w:num>
  <w:num w:numId="6">
    <w:abstractNumId w:val="17"/>
  </w:num>
  <w:num w:numId="7">
    <w:abstractNumId w:val="4"/>
  </w:num>
  <w:num w:numId="8">
    <w:abstractNumId w:val="11"/>
  </w:num>
  <w:num w:numId="9">
    <w:abstractNumId w:val="9"/>
  </w:num>
  <w:num w:numId="10">
    <w:abstractNumId w:val="21"/>
  </w:num>
  <w:num w:numId="11">
    <w:abstractNumId w:val="3"/>
  </w:num>
  <w:num w:numId="12">
    <w:abstractNumId w:val="10"/>
  </w:num>
  <w:num w:numId="13">
    <w:abstractNumId w:val="13"/>
  </w:num>
  <w:num w:numId="14">
    <w:abstractNumId w:val="8"/>
  </w:num>
  <w:num w:numId="15">
    <w:abstractNumId w:val="7"/>
  </w:num>
  <w:num w:numId="16">
    <w:abstractNumId w:val="12"/>
  </w:num>
  <w:num w:numId="17">
    <w:abstractNumId w:val="5"/>
  </w:num>
  <w:num w:numId="18">
    <w:abstractNumId w:val="18"/>
  </w:num>
  <w:num w:numId="19">
    <w:abstractNumId w:val="0"/>
  </w:num>
  <w:num w:numId="20">
    <w:abstractNumId w:val="16"/>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D75"/>
    <w:rsid w:val="000004C5"/>
    <w:rsid w:val="000035FE"/>
    <w:rsid w:val="00011DCF"/>
    <w:rsid w:val="00020091"/>
    <w:rsid w:val="00020EF1"/>
    <w:rsid w:val="00024C33"/>
    <w:rsid w:val="0003014F"/>
    <w:rsid w:val="0003236C"/>
    <w:rsid w:val="0003611E"/>
    <w:rsid w:val="00040EC7"/>
    <w:rsid w:val="00042460"/>
    <w:rsid w:val="000438EE"/>
    <w:rsid w:val="00044790"/>
    <w:rsid w:val="00044E05"/>
    <w:rsid w:val="00045118"/>
    <w:rsid w:val="00045D7C"/>
    <w:rsid w:val="00046BCD"/>
    <w:rsid w:val="00046FAF"/>
    <w:rsid w:val="00047278"/>
    <w:rsid w:val="00047700"/>
    <w:rsid w:val="00050637"/>
    <w:rsid w:val="000507C8"/>
    <w:rsid w:val="000510CB"/>
    <w:rsid w:val="00060761"/>
    <w:rsid w:val="00063B97"/>
    <w:rsid w:val="000713CD"/>
    <w:rsid w:val="000724E0"/>
    <w:rsid w:val="00072AA0"/>
    <w:rsid w:val="00072CE4"/>
    <w:rsid w:val="00074690"/>
    <w:rsid w:val="00075A9F"/>
    <w:rsid w:val="00076F81"/>
    <w:rsid w:val="00080881"/>
    <w:rsid w:val="00083E84"/>
    <w:rsid w:val="00090334"/>
    <w:rsid w:val="00093AD7"/>
    <w:rsid w:val="00096981"/>
    <w:rsid w:val="00096D89"/>
    <w:rsid w:val="000B7015"/>
    <w:rsid w:val="000C007D"/>
    <w:rsid w:val="000C0338"/>
    <w:rsid w:val="000C2DCA"/>
    <w:rsid w:val="000C57F8"/>
    <w:rsid w:val="000C5C12"/>
    <w:rsid w:val="000C5EAB"/>
    <w:rsid w:val="000C7064"/>
    <w:rsid w:val="000D428B"/>
    <w:rsid w:val="000E039F"/>
    <w:rsid w:val="000E620B"/>
    <w:rsid w:val="000E7C16"/>
    <w:rsid w:val="000F0E8E"/>
    <w:rsid w:val="000F779D"/>
    <w:rsid w:val="00101BC7"/>
    <w:rsid w:val="00112230"/>
    <w:rsid w:val="001123CC"/>
    <w:rsid w:val="0011639E"/>
    <w:rsid w:val="0012001D"/>
    <w:rsid w:val="0012605E"/>
    <w:rsid w:val="00127A73"/>
    <w:rsid w:val="001325B8"/>
    <w:rsid w:val="00134291"/>
    <w:rsid w:val="0013667E"/>
    <w:rsid w:val="00137209"/>
    <w:rsid w:val="00145EE8"/>
    <w:rsid w:val="00147BBF"/>
    <w:rsid w:val="001514C3"/>
    <w:rsid w:val="00153048"/>
    <w:rsid w:val="00166F50"/>
    <w:rsid w:val="00166FCF"/>
    <w:rsid w:val="00174EAC"/>
    <w:rsid w:val="001751D4"/>
    <w:rsid w:val="00175AAD"/>
    <w:rsid w:val="00187210"/>
    <w:rsid w:val="001906A0"/>
    <w:rsid w:val="00190862"/>
    <w:rsid w:val="00193140"/>
    <w:rsid w:val="00197CA5"/>
    <w:rsid w:val="001A04E2"/>
    <w:rsid w:val="001A2C34"/>
    <w:rsid w:val="001B118D"/>
    <w:rsid w:val="001B5565"/>
    <w:rsid w:val="001C1EA6"/>
    <w:rsid w:val="001C2C2A"/>
    <w:rsid w:val="001C356A"/>
    <w:rsid w:val="001D72E6"/>
    <w:rsid w:val="001E7128"/>
    <w:rsid w:val="001E7221"/>
    <w:rsid w:val="001F0955"/>
    <w:rsid w:val="001F1F5E"/>
    <w:rsid w:val="001F37D9"/>
    <w:rsid w:val="001F457F"/>
    <w:rsid w:val="001F55DC"/>
    <w:rsid w:val="001F56C2"/>
    <w:rsid w:val="001F6D3F"/>
    <w:rsid w:val="00200976"/>
    <w:rsid w:val="00210B5E"/>
    <w:rsid w:val="0021393E"/>
    <w:rsid w:val="00213FD8"/>
    <w:rsid w:val="002163D1"/>
    <w:rsid w:val="00220464"/>
    <w:rsid w:val="002231CA"/>
    <w:rsid w:val="002310F3"/>
    <w:rsid w:val="002313D8"/>
    <w:rsid w:val="00232624"/>
    <w:rsid w:val="00233438"/>
    <w:rsid w:val="00243113"/>
    <w:rsid w:val="0025088B"/>
    <w:rsid w:val="00252578"/>
    <w:rsid w:val="00253B03"/>
    <w:rsid w:val="002558FB"/>
    <w:rsid w:val="002646BA"/>
    <w:rsid w:val="00264991"/>
    <w:rsid w:val="002713CF"/>
    <w:rsid w:val="00272AAE"/>
    <w:rsid w:val="00275D17"/>
    <w:rsid w:val="0027674F"/>
    <w:rsid w:val="00276C91"/>
    <w:rsid w:val="00282410"/>
    <w:rsid w:val="00283BD2"/>
    <w:rsid w:val="00285B20"/>
    <w:rsid w:val="00286811"/>
    <w:rsid w:val="002869FE"/>
    <w:rsid w:val="00290879"/>
    <w:rsid w:val="0029102E"/>
    <w:rsid w:val="00291089"/>
    <w:rsid w:val="00293A8C"/>
    <w:rsid w:val="002A26F9"/>
    <w:rsid w:val="002A5D6C"/>
    <w:rsid w:val="002A70A4"/>
    <w:rsid w:val="002A74BE"/>
    <w:rsid w:val="002B283F"/>
    <w:rsid w:val="002B31E7"/>
    <w:rsid w:val="002B3DF4"/>
    <w:rsid w:val="002B416B"/>
    <w:rsid w:val="002B6E9F"/>
    <w:rsid w:val="002C212F"/>
    <w:rsid w:val="002C60AC"/>
    <w:rsid w:val="002D0275"/>
    <w:rsid w:val="002D2D23"/>
    <w:rsid w:val="002D4712"/>
    <w:rsid w:val="002D78AC"/>
    <w:rsid w:val="002E383D"/>
    <w:rsid w:val="002E3C89"/>
    <w:rsid w:val="002E4898"/>
    <w:rsid w:val="002E706B"/>
    <w:rsid w:val="002E76BB"/>
    <w:rsid w:val="002E7DF8"/>
    <w:rsid w:val="002F2A0A"/>
    <w:rsid w:val="00304BF0"/>
    <w:rsid w:val="00310D94"/>
    <w:rsid w:val="00312FD1"/>
    <w:rsid w:val="00314EF1"/>
    <w:rsid w:val="00322CE9"/>
    <w:rsid w:val="00323CF6"/>
    <w:rsid w:val="00325DFF"/>
    <w:rsid w:val="003366BC"/>
    <w:rsid w:val="00342B3A"/>
    <w:rsid w:val="00342DA9"/>
    <w:rsid w:val="00346265"/>
    <w:rsid w:val="00346628"/>
    <w:rsid w:val="003513F9"/>
    <w:rsid w:val="0035349B"/>
    <w:rsid w:val="003558F5"/>
    <w:rsid w:val="003572D1"/>
    <w:rsid w:val="003601C5"/>
    <w:rsid w:val="0036124F"/>
    <w:rsid w:val="00364EB7"/>
    <w:rsid w:val="00367833"/>
    <w:rsid w:val="0037474D"/>
    <w:rsid w:val="00376F64"/>
    <w:rsid w:val="00384474"/>
    <w:rsid w:val="00384ADD"/>
    <w:rsid w:val="0038550A"/>
    <w:rsid w:val="003861B4"/>
    <w:rsid w:val="003926D7"/>
    <w:rsid w:val="00395B84"/>
    <w:rsid w:val="00397735"/>
    <w:rsid w:val="003A1423"/>
    <w:rsid w:val="003A371C"/>
    <w:rsid w:val="003A4639"/>
    <w:rsid w:val="003A6F50"/>
    <w:rsid w:val="003B3227"/>
    <w:rsid w:val="003B38EF"/>
    <w:rsid w:val="003B4786"/>
    <w:rsid w:val="003B4824"/>
    <w:rsid w:val="003B6120"/>
    <w:rsid w:val="003C2D3A"/>
    <w:rsid w:val="003C4C6B"/>
    <w:rsid w:val="003C67DC"/>
    <w:rsid w:val="003D04D5"/>
    <w:rsid w:val="003D0BBB"/>
    <w:rsid w:val="003D13E0"/>
    <w:rsid w:val="003D334D"/>
    <w:rsid w:val="003E00C3"/>
    <w:rsid w:val="003E293E"/>
    <w:rsid w:val="003E55AA"/>
    <w:rsid w:val="003F2CD6"/>
    <w:rsid w:val="003F582E"/>
    <w:rsid w:val="003F7387"/>
    <w:rsid w:val="003F76B9"/>
    <w:rsid w:val="00404BDE"/>
    <w:rsid w:val="00405424"/>
    <w:rsid w:val="00412936"/>
    <w:rsid w:val="00415C00"/>
    <w:rsid w:val="004346B9"/>
    <w:rsid w:val="00435FC2"/>
    <w:rsid w:val="004438DF"/>
    <w:rsid w:val="004461BB"/>
    <w:rsid w:val="00450889"/>
    <w:rsid w:val="004517BC"/>
    <w:rsid w:val="00454738"/>
    <w:rsid w:val="00454896"/>
    <w:rsid w:val="0045689A"/>
    <w:rsid w:val="0046133C"/>
    <w:rsid w:val="004624FF"/>
    <w:rsid w:val="004637DF"/>
    <w:rsid w:val="00473D03"/>
    <w:rsid w:val="00475BC9"/>
    <w:rsid w:val="00476923"/>
    <w:rsid w:val="00483588"/>
    <w:rsid w:val="004836C2"/>
    <w:rsid w:val="004975A0"/>
    <w:rsid w:val="004A775E"/>
    <w:rsid w:val="004B37EE"/>
    <w:rsid w:val="004B3A71"/>
    <w:rsid w:val="004B4599"/>
    <w:rsid w:val="004B53FC"/>
    <w:rsid w:val="004B77A2"/>
    <w:rsid w:val="004C084F"/>
    <w:rsid w:val="004C16AB"/>
    <w:rsid w:val="004C352C"/>
    <w:rsid w:val="004D14F7"/>
    <w:rsid w:val="004D2D79"/>
    <w:rsid w:val="004D3018"/>
    <w:rsid w:val="004D47CE"/>
    <w:rsid w:val="004D4B87"/>
    <w:rsid w:val="004D64B2"/>
    <w:rsid w:val="004D6992"/>
    <w:rsid w:val="004D6FD7"/>
    <w:rsid w:val="004D7725"/>
    <w:rsid w:val="004E04A7"/>
    <w:rsid w:val="004E4429"/>
    <w:rsid w:val="004F0A68"/>
    <w:rsid w:val="004F4A8A"/>
    <w:rsid w:val="004F4AC0"/>
    <w:rsid w:val="004F510C"/>
    <w:rsid w:val="004F6CF1"/>
    <w:rsid w:val="004F6F67"/>
    <w:rsid w:val="004F797E"/>
    <w:rsid w:val="00503A32"/>
    <w:rsid w:val="00504DB7"/>
    <w:rsid w:val="00505B53"/>
    <w:rsid w:val="00505E2B"/>
    <w:rsid w:val="0050684D"/>
    <w:rsid w:val="00506ACF"/>
    <w:rsid w:val="00512155"/>
    <w:rsid w:val="005121FD"/>
    <w:rsid w:val="005170F2"/>
    <w:rsid w:val="00520B62"/>
    <w:rsid w:val="00522AB1"/>
    <w:rsid w:val="0052370D"/>
    <w:rsid w:val="00527730"/>
    <w:rsid w:val="00531F51"/>
    <w:rsid w:val="005334F2"/>
    <w:rsid w:val="0053725E"/>
    <w:rsid w:val="005401D1"/>
    <w:rsid w:val="00541855"/>
    <w:rsid w:val="005421DD"/>
    <w:rsid w:val="0054339E"/>
    <w:rsid w:val="005443FA"/>
    <w:rsid w:val="00544C7A"/>
    <w:rsid w:val="00545E5A"/>
    <w:rsid w:val="005507F6"/>
    <w:rsid w:val="00551F14"/>
    <w:rsid w:val="005533C5"/>
    <w:rsid w:val="0055461F"/>
    <w:rsid w:val="00560079"/>
    <w:rsid w:val="00560EC0"/>
    <w:rsid w:val="005626EC"/>
    <w:rsid w:val="00563B7A"/>
    <w:rsid w:val="00565E62"/>
    <w:rsid w:val="00567A52"/>
    <w:rsid w:val="00570E14"/>
    <w:rsid w:val="005716E7"/>
    <w:rsid w:val="00572365"/>
    <w:rsid w:val="00572639"/>
    <w:rsid w:val="00572A44"/>
    <w:rsid w:val="00574AA8"/>
    <w:rsid w:val="0057773E"/>
    <w:rsid w:val="00582B9E"/>
    <w:rsid w:val="00584483"/>
    <w:rsid w:val="00585404"/>
    <w:rsid w:val="00586794"/>
    <w:rsid w:val="005900C4"/>
    <w:rsid w:val="00590A47"/>
    <w:rsid w:val="00595596"/>
    <w:rsid w:val="005975C3"/>
    <w:rsid w:val="005A4971"/>
    <w:rsid w:val="005A6BB1"/>
    <w:rsid w:val="005A7072"/>
    <w:rsid w:val="005B02CA"/>
    <w:rsid w:val="005B2544"/>
    <w:rsid w:val="005B2624"/>
    <w:rsid w:val="005B4EA8"/>
    <w:rsid w:val="005C3769"/>
    <w:rsid w:val="005C7CCE"/>
    <w:rsid w:val="005E0D77"/>
    <w:rsid w:val="005E557A"/>
    <w:rsid w:val="005E7CDC"/>
    <w:rsid w:val="005F4138"/>
    <w:rsid w:val="0060376F"/>
    <w:rsid w:val="00604AE0"/>
    <w:rsid w:val="00606AFA"/>
    <w:rsid w:val="00610B08"/>
    <w:rsid w:val="00612CBD"/>
    <w:rsid w:val="00615814"/>
    <w:rsid w:val="00622C6C"/>
    <w:rsid w:val="00625D32"/>
    <w:rsid w:val="00626C7B"/>
    <w:rsid w:val="00630BAD"/>
    <w:rsid w:val="00632DB8"/>
    <w:rsid w:val="00635778"/>
    <w:rsid w:val="006405CC"/>
    <w:rsid w:val="00641F70"/>
    <w:rsid w:val="00652345"/>
    <w:rsid w:val="0065350F"/>
    <w:rsid w:val="006555C8"/>
    <w:rsid w:val="006568DA"/>
    <w:rsid w:val="00657824"/>
    <w:rsid w:val="006600FA"/>
    <w:rsid w:val="006652AC"/>
    <w:rsid w:val="00667D3C"/>
    <w:rsid w:val="00670A78"/>
    <w:rsid w:val="0067296B"/>
    <w:rsid w:val="00672E88"/>
    <w:rsid w:val="00674034"/>
    <w:rsid w:val="006748A5"/>
    <w:rsid w:val="00676AC0"/>
    <w:rsid w:val="006A379D"/>
    <w:rsid w:val="006A634E"/>
    <w:rsid w:val="006B23EF"/>
    <w:rsid w:val="006B3398"/>
    <w:rsid w:val="006B72E3"/>
    <w:rsid w:val="006C050B"/>
    <w:rsid w:val="006C415C"/>
    <w:rsid w:val="006C4E08"/>
    <w:rsid w:val="006C5AFE"/>
    <w:rsid w:val="006C5D96"/>
    <w:rsid w:val="006D7DD2"/>
    <w:rsid w:val="006F40C3"/>
    <w:rsid w:val="006F4F72"/>
    <w:rsid w:val="00703DBB"/>
    <w:rsid w:val="00704D0D"/>
    <w:rsid w:val="00705865"/>
    <w:rsid w:val="007136E9"/>
    <w:rsid w:val="00714089"/>
    <w:rsid w:val="007233A6"/>
    <w:rsid w:val="0072512D"/>
    <w:rsid w:val="00725510"/>
    <w:rsid w:val="0072723F"/>
    <w:rsid w:val="0072766E"/>
    <w:rsid w:val="0072779A"/>
    <w:rsid w:val="007277F4"/>
    <w:rsid w:val="00727A78"/>
    <w:rsid w:val="007327A4"/>
    <w:rsid w:val="00737C61"/>
    <w:rsid w:val="00740996"/>
    <w:rsid w:val="00744F11"/>
    <w:rsid w:val="007466E7"/>
    <w:rsid w:val="0075319B"/>
    <w:rsid w:val="0075443C"/>
    <w:rsid w:val="0075765E"/>
    <w:rsid w:val="00763748"/>
    <w:rsid w:val="00765C99"/>
    <w:rsid w:val="007713FB"/>
    <w:rsid w:val="00771F52"/>
    <w:rsid w:val="00775F40"/>
    <w:rsid w:val="007765FA"/>
    <w:rsid w:val="00776B1C"/>
    <w:rsid w:val="0078134C"/>
    <w:rsid w:val="00782A2E"/>
    <w:rsid w:val="007850CB"/>
    <w:rsid w:val="00791CF3"/>
    <w:rsid w:val="0079702F"/>
    <w:rsid w:val="007A0A48"/>
    <w:rsid w:val="007A24A8"/>
    <w:rsid w:val="007B2768"/>
    <w:rsid w:val="007B293D"/>
    <w:rsid w:val="007B2EDF"/>
    <w:rsid w:val="007B7BEF"/>
    <w:rsid w:val="007C05F5"/>
    <w:rsid w:val="007C0FEC"/>
    <w:rsid w:val="007C7A64"/>
    <w:rsid w:val="007D4F90"/>
    <w:rsid w:val="007E1B2C"/>
    <w:rsid w:val="007E2F2E"/>
    <w:rsid w:val="007E7200"/>
    <w:rsid w:val="007E720F"/>
    <w:rsid w:val="007F5773"/>
    <w:rsid w:val="007F63A9"/>
    <w:rsid w:val="008044D8"/>
    <w:rsid w:val="0080575B"/>
    <w:rsid w:val="0080784E"/>
    <w:rsid w:val="008102E7"/>
    <w:rsid w:val="00820B76"/>
    <w:rsid w:val="00823F4D"/>
    <w:rsid w:val="008266E0"/>
    <w:rsid w:val="00826DB7"/>
    <w:rsid w:val="0083003C"/>
    <w:rsid w:val="00831D9D"/>
    <w:rsid w:val="00834AC9"/>
    <w:rsid w:val="00837C2B"/>
    <w:rsid w:val="00841895"/>
    <w:rsid w:val="00842217"/>
    <w:rsid w:val="0084295F"/>
    <w:rsid w:val="008466CC"/>
    <w:rsid w:val="00850B2B"/>
    <w:rsid w:val="008550FB"/>
    <w:rsid w:val="008568A9"/>
    <w:rsid w:val="00875684"/>
    <w:rsid w:val="008835A3"/>
    <w:rsid w:val="0088409B"/>
    <w:rsid w:val="00884805"/>
    <w:rsid w:val="00884984"/>
    <w:rsid w:val="00884EF5"/>
    <w:rsid w:val="008850AB"/>
    <w:rsid w:val="00885A8B"/>
    <w:rsid w:val="00891780"/>
    <w:rsid w:val="00891CE9"/>
    <w:rsid w:val="0089377E"/>
    <w:rsid w:val="00897D8B"/>
    <w:rsid w:val="008A1F51"/>
    <w:rsid w:val="008A4741"/>
    <w:rsid w:val="008A7BA2"/>
    <w:rsid w:val="008C0EB0"/>
    <w:rsid w:val="008C34D6"/>
    <w:rsid w:val="008C3E57"/>
    <w:rsid w:val="008C4FE3"/>
    <w:rsid w:val="008C5848"/>
    <w:rsid w:val="008D2813"/>
    <w:rsid w:val="008D4F7D"/>
    <w:rsid w:val="008E0445"/>
    <w:rsid w:val="008E0B6C"/>
    <w:rsid w:val="008E6689"/>
    <w:rsid w:val="008E7F3C"/>
    <w:rsid w:val="008F4942"/>
    <w:rsid w:val="008F7CC7"/>
    <w:rsid w:val="0090014B"/>
    <w:rsid w:val="00904CA5"/>
    <w:rsid w:val="009053E4"/>
    <w:rsid w:val="009120B1"/>
    <w:rsid w:val="00913749"/>
    <w:rsid w:val="00920D5C"/>
    <w:rsid w:val="00927DD8"/>
    <w:rsid w:val="00931B97"/>
    <w:rsid w:val="00932FE7"/>
    <w:rsid w:val="00934B49"/>
    <w:rsid w:val="0094172B"/>
    <w:rsid w:val="00953F2D"/>
    <w:rsid w:val="009558BF"/>
    <w:rsid w:val="0096633F"/>
    <w:rsid w:val="00972389"/>
    <w:rsid w:val="009746B5"/>
    <w:rsid w:val="009810F6"/>
    <w:rsid w:val="00983F29"/>
    <w:rsid w:val="009874CA"/>
    <w:rsid w:val="0099573D"/>
    <w:rsid w:val="009971C7"/>
    <w:rsid w:val="009B03A2"/>
    <w:rsid w:val="009B27C1"/>
    <w:rsid w:val="009B2AF3"/>
    <w:rsid w:val="009B7CD1"/>
    <w:rsid w:val="009C0644"/>
    <w:rsid w:val="009C45E7"/>
    <w:rsid w:val="009C68C7"/>
    <w:rsid w:val="009C6E3A"/>
    <w:rsid w:val="009C7537"/>
    <w:rsid w:val="009D0CB7"/>
    <w:rsid w:val="009D1D3F"/>
    <w:rsid w:val="009D32F8"/>
    <w:rsid w:val="009D5656"/>
    <w:rsid w:val="009D7746"/>
    <w:rsid w:val="009E69CD"/>
    <w:rsid w:val="009F12C3"/>
    <w:rsid w:val="009F1FFC"/>
    <w:rsid w:val="009F2626"/>
    <w:rsid w:val="009F641B"/>
    <w:rsid w:val="00A014A0"/>
    <w:rsid w:val="00A12307"/>
    <w:rsid w:val="00A14CDF"/>
    <w:rsid w:val="00A15218"/>
    <w:rsid w:val="00A210EB"/>
    <w:rsid w:val="00A212B9"/>
    <w:rsid w:val="00A21F2E"/>
    <w:rsid w:val="00A22933"/>
    <w:rsid w:val="00A26546"/>
    <w:rsid w:val="00A30435"/>
    <w:rsid w:val="00A37A1C"/>
    <w:rsid w:val="00A40C82"/>
    <w:rsid w:val="00A5003C"/>
    <w:rsid w:val="00A55304"/>
    <w:rsid w:val="00A62B5F"/>
    <w:rsid w:val="00A62EAA"/>
    <w:rsid w:val="00A6488A"/>
    <w:rsid w:val="00A64F42"/>
    <w:rsid w:val="00A74439"/>
    <w:rsid w:val="00A75D5B"/>
    <w:rsid w:val="00A827C2"/>
    <w:rsid w:val="00A8426A"/>
    <w:rsid w:val="00A84A9B"/>
    <w:rsid w:val="00A939D4"/>
    <w:rsid w:val="00A9474E"/>
    <w:rsid w:val="00A96771"/>
    <w:rsid w:val="00A97D9A"/>
    <w:rsid w:val="00AA6FC8"/>
    <w:rsid w:val="00AA7380"/>
    <w:rsid w:val="00AC7CA2"/>
    <w:rsid w:val="00AD2C42"/>
    <w:rsid w:val="00AD3F13"/>
    <w:rsid w:val="00AE3BAF"/>
    <w:rsid w:val="00AE4AC9"/>
    <w:rsid w:val="00AE52C0"/>
    <w:rsid w:val="00AE72CC"/>
    <w:rsid w:val="00AF10F9"/>
    <w:rsid w:val="00AF5B49"/>
    <w:rsid w:val="00B00DE4"/>
    <w:rsid w:val="00B01FF5"/>
    <w:rsid w:val="00B022DF"/>
    <w:rsid w:val="00B076BA"/>
    <w:rsid w:val="00B154E0"/>
    <w:rsid w:val="00B1720F"/>
    <w:rsid w:val="00B239E9"/>
    <w:rsid w:val="00B25F3D"/>
    <w:rsid w:val="00B30441"/>
    <w:rsid w:val="00B306A2"/>
    <w:rsid w:val="00B32F4D"/>
    <w:rsid w:val="00B33CDC"/>
    <w:rsid w:val="00B34E89"/>
    <w:rsid w:val="00B35442"/>
    <w:rsid w:val="00B36253"/>
    <w:rsid w:val="00B44A9B"/>
    <w:rsid w:val="00B45032"/>
    <w:rsid w:val="00B53A02"/>
    <w:rsid w:val="00B65276"/>
    <w:rsid w:val="00B65E4D"/>
    <w:rsid w:val="00B66951"/>
    <w:rsid w:val="00B739A8"/>
    <w:rsid w:val="00B73DAF"/>
    <w:rsid w:val="00B74D17"/>
    <w:rsid w:val="00B75F9A"/>
    <w:rsid w:val="00B76CFC"/>
    <w:rsid w:val="00B77DA1"/>
    <w:rsid w:val="00B84B1F"/>
    <w:rsid w:val="00B85D2C"/>
    <w:rsid w:val="00B86DE9"/>
    <w:rsid w:val="00B87F0F"/>
    <w:rsid w:val="00B932C7"/>
    <w:rsid w:val="00B941EF"/>
    <w:rsid w:val="00B957D1"/>
    <w:rsid w:val="00B96308"/>
    <w:rsid w:val="00B969C9"/>
    <w:rsid w:val="00B96F27"/>
    <w:rsid w:val="00B9735C"/>
    <w:rsid w:val="00BA3E2E"/>
    <w:rsid w:val="00BA4A80"/>
    <w:rsid w:val="00BA5139"/>
    <w:rsid w:val="00BA6E68"/>
    <w:rsid w:val="00BB0F12"/>
    <w:rsid w:val="00BB53F2"/>
    <w:rsid w:val="00BB70DE"/>
    <w:rsid w:val="00BB7D1F"/>
    <w:rsid w:val="00BC6965"/>
    <w:rsid w:val="00BD046F"/>
    <w:rsid w:val="00BD2A8F"/>
    <w:rsid w:val="00BD4377"/>
    <w:rsid w:val="00BD4D25"/>
    <w:rsid w:val="00BD68AE"/>
    <w:rsid w:val="00BE0361"/>
    <w:rsid w:val="00BE3704"/>
    <w:rsid w:val="00BE4157"/>
    <w:rsid w:val="00BE6386"/>
    <w:rsid w:val="00BF448A"/>
    <w:rsid w:val="00C020E6"/>
    <w:rsid w:val="00C02774"/>
    <w:rsid w:val="00C03CE5"/>
    <w:rsid w:val="00C04483"/>
    <w:rsid w:val="00C07218"/>
    <w:rsid w:val="00C10E24"/>
    <w:rsid w:val="00C1442E"/>
    <w:rsid w:val="00C21456"/>
    <w:rsid w:val="00C224B9"/>
    <w:rsid w:val="00C23C8E"/>
    <w:rsid w:val="00C27598"/>
    <w:rsid w:val="00C279C4"/>
    <w:rsid w:val="00C3153E"/>
    <w:rsid w:val="00C36C57"/>
    <w:rsid w:val="00C37B8D"/>
    <w:rsid w:val="00C37CA8"/>
    <w:rsid w:val="00C40336"/>
    <w:rsid w:val="00C42780"/>
    <w:rsid w:val="00C438FF"/>
    <w:rsid w:val="00C4395B"/>
    <w:rsid w:val="00C5011C"/>
    <w:rsid w:val="00C503CC"/>
    <w:rsid w:val="00C50E05"/>
    <w:rsid w:val="00C518BA"/>
    <w:rsid w:val="00C53660"/>
    <w:rsid w:val="00C70911"/>
    <w:rsid w:val="00C71FBF"/>
    <w:rsid w:val="00C75AF4"/>
    <w:rsid w:val="00C83B77"/>
    <w:rsid w:val="00C86B1B"/>
    <w:rsid w:val="00C87FC1"/>
    <w:rsid w:val="00C96D12"/>
    <w:rsid w:val="00CA633B"/>
    <w:rsid w:val="00CA711E"/>
    <w:rsid w:val="00CA745E"/>
    <w:rsid w:val="00CA7E2E"/>
    <w:rsid w:val="00CC408D"/>
    <w:rsid w:val="00CC55AB"/>
    <w:rsid w:val="00CC5E9E"/>
    <w:rsid w:val="00CC6F5E"/>
    <w:rsid w:val="00CD7347"/>
    <w:rsid w:val="00CE0EF9"/>
    <w:rsid w:val="00CE0F8E"/>
    <w:rsid w:val="00CE4FF5"/>
    <w:rsid w:val="00CF100C"/>
    <w:rsid w:val="00CF3237"/>
    <w:rsid w:val="00CF3E20"/>
    <w:rsid w:val="00CF5F64"/>
    <w:rsid w:val="00CF63B4"/>
    <w:rsid w:val="00D01682"/>
    <w:rsid w:val="00D0486B"/>
    <w:rsid w:val="00D04FEF"/>
    <w:rsid w:val="00D060FA"/>
    <w:rsid w:val="00D11045"/>
    <w:rsid w:val="00D11CBC"/>
    <w:rsid w:val="00D125B2"/>
    <w:rsid w:val="00D1791D"/>
    <w:rsid w:val="00D20178"/>
    <w:rsid w:val="00D210B5"/>
    <w:rsid w:val="00D22ACE"/>
    <w:rsid w:val="00D2368B"/>
    <w:rsid w:val="00D23971"/>
    <w:rsid w:val="00D3713D"/>
    <w:rsid w:val="00D37D75"/>
    <w:rsid w:val="00D37F66"/>
    <w:rsid w:val="00D514E4"/>
    <w:rsid w:val="00D523FF"/>
    <w:rsid w:val="00D52D91"/>
    <w:rsid w:val="00D54933"/>
    <w:rsid w:val="00D616A0"/>
    <w:rsid w:val="00D7059B"/>
    <w:rsid w:val="00D71A38"/>
    <w:rsid w:val="00D744F0"/>
    <w:rsid w:val="00D75C10"/>
    <w:rsid w:val="00D81D95"/>
    <w:rsid w:val="00D86736"/>
    <w:rsid w:val="00D8703B"/>
    <w:rsid w:val="00D87BFF"/>
    <w:rsid w:val="00D87E87"/>
    <w:rsid w:val="00D9089B"/>
    <w:rsid w:val="00D97DF6"/>
    <w:rsid w:val="00DA47BD"/>
    <w:rsid w:val="00DA6E08"/>
    <w:rsid w:val="00DB4CEE"/>
    <w:rsid w:val="00DC0A3A"/>
    <w:rsid w:val="00DC546C"/>
    <w:rsid w:val="00DD0850"/>
    <w:rsid w:val="00DD0C9D"/>
    <w:rsid w:val="00DD0D30"/>
    <w:rsid w:val="00DD2EE6"/>
    <w:rsid w:val="00DD5468"/>
    <w:rsid w:val="00DE1DA7"/>
    <w:rsid w:val="00DE1FFD"/>
    <w:rsid w:val="00DE7052"/>
    <w:rsid w:val="00DE7814"/>
    <w:rsid w:val="00DF0E94"/>
    <w:rsid w:val="00DF52D3"/>
    <w:rsid w:val="00DF5A5E"/>
    <w:rsid w:val="00DF6AB0"/>
    <w:rsid w:val="00E048B8"/>
    <w:rsid w:val="00E07020"/>
    <w:rsid w:val="00E07199"/>
    <w:rsid w:val="00E07507"/>
    <w:rsid w:val="00E1446F"/>
    <w:rsid w:val="00E203FA"/>
    <w:rsid w:val="00E24E1C"/>
    <w:rsid w:val="00E32615"/>
    <w:rsid w:val="00E33CCC"/>
    <w:rsid w:val="00E4044F"/>
    <w:rsid w:val="00E47D4C"/>
    <w:rsid w:val="00E50C0D"/>
    <w:rsid w:val="00E510FC"/>
    <w:rsid w:val="00E52E67"/>
    <w:rsid w:val="00E57B2A"/>
    <w:rsid w:val="00E6299C"/>
    <w:rsid w:val="00E6458A"/>
    <w:rsid w:val="00E6512D"/>
    <w:rsid w:val="00E65401"/>
    <w:rsid w:val="00E66003"/>
    <w:rsid w:val="00E7614D"/>
    <w:rsid w:val="00E76790"/>
    <w:rsid w:val="00E80491"/>
    <w:rsid w:val="00E83E15"/>
    <w:rsid w:val="00E83FF4"/>
    <w:rsid w:val="00E9394E"/>
    <w:rsid w:val="00E93A7E"/>
    <w:rsid w:val="00E9735F"/>
    <w:rsid w:val="00E97513"/>
    <w:rsid w:val="00EA328D"/>
    <w:rsid w:val="00EA5597"/>
    <w:rsid w:val="00EB0F04"/>
    <w:rsid w:val="00EB4AA8"/>
    <w:rsid w:val="00EB57D8"/>
    <w:rsid w:val="00EC0043"/>
    <w:rsid w:val="00EC0AFE"/>
    <w:rsid w:val="00EC5A84"/>
    <w:rsid w:val="00EC6E8D"/>
    <w:rsid w:val="00ED1150"/>
    <w:rsid w:val="00ED1D36"/>
    <w:rsid w:val="00EE1C08"/>
    <w:rsid w:val="00EE2B64"/>
    <w:rsid w:val="00EF1FB6"/>
    <w:rsid w:val="00EF35B5"/>
    <w:rsid w:val="00EF66CF"/>
    <w:rsid w:val="00F00DB9"/>
    <w:rsid w:val="00F01B18"/>
    <w:rsid w:val="00F02872"/>
    <w:rsid w:val="00F0378F"/>
    <w:rsid w:val="00F0553D"/>
    <w:rsid w:val="00F07EBF"/>
    <w:rsid w:val="00F13139"/>
    <w:rsid w:val="00F14798"/>
    <w:rsid w:val="00F15689"/>
    <w:rsid w:val="00F1783A"/>
    <w:rsid w:val="00F17977"/>
    <w:rsid w:val="00F17CBF"/>
    <w:rsid w:val="00F225DA"/>
    <w:rsid w:val="00F243AD"/>
    <w:rsid w:val="00F24DEC"/>
    <w:rsid w:val="00F24F6C"/>
    <w:rsid w:val="00F2548E"/>
    <w:rsid w:val="00F25718"/>
    <w:rsid w:val="00F31BCD"/>
    <w:rsid w:val="00F3247F"/>
    <w:rsid w:val="00F32DFB"/>
    <w:rsid w:val="00F3418F"/>
    <w:rsid w:val="00F41DCD"/>
    <w:rsid w:val="00F439D9"/>
    <w:rsid w:val="00F53CE5"/>
    <w:rsid w:val="00F66234"/>
    <w:rsid w:val="00F74B2C"/>
    <w:rsid w:val="00F76F16"/>
    <w:rsid w:val="00F776CB"/>
    <w:rsid w:val="00F83E2F"/>
    <w:rsid w:val="00F86E74"/>
    <w:rsid w:val="00FA26E6"/>
    <w:rsid w:val="00FB0275"/>
    <w:rsid w:val="00FC2BBB"/>
    <w:rsid w:val="00FC573A"/>
    <w:rsid w:val="00FE13AA"/>
    <w:rsid w:val="00FE1898"/>
    <w:rsid w:val="00FE3165"/>
    <w:rsid w:val="00FE7D75"/>
    <w:rsid w:val="00FF063C"/>
    <w:rsid w:val="00FF12D5"/>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4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85D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rsid w:val="00EA559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withindentation">
    <w:name w:val="Heading 4 with indentation"/>
    <w:basedOn w:val="Heading4"/>
    <w:rsid w:val="00EA5597"/>
    <w:pPr>
      <w:ind w:left="720"/>
    </w:pPr>
  </w:style>
  <w:style w:type="paragraph" w:customStyle="1" w:styleId="BodytextforH4withindentation">
    <w:name w:val="Body text for H4 with indentation"/>
    <w:basedOn w:val="BodyTextIndent"/>
    <w:rsid w:val="00EA5597"/>
  </w:style>
  <w:style w:type="paragraph" w:styleId="BodyTextIndent">
    <w:name w:val="Body Text Indent"/>
    <w:basedOn w:val="Normal"/>
    <w:rsid w:val="00EA5597"/>
    <w:pPr>
      <w:spacing w:after="120"/>
      <w:ind w:left="360"/>
    </w:pPr>
  </w:style>
  <w:style w:type="paragraph" w:styleId="Header">
    <w:name w:val="header"/>
    <w:basedOn w:val="Normal"/>
    <w:link w:val="HeaderChar"/>
    <w:rsid w:val="00FE7D75"/>
    <w:pPr>
      <w:tabs>
        <w:tab w:val="center" w:pos="4844"/>
        <w:tab w:val="right" w:pos="9689"/>
      </w:tabs>
    </w:pPr>
  </w:style>
  <w:style w:type="character" w:customStyle="1" w:styleId="HeaderChar">
    <w:name w:val="Header Char"/>
    <w:basedOn w:val="DefaultParagraphFont"/>
    <w:link w:val="Header"/>
    <w:rsid w:val="00FE7D75"/>
    <w:rPr>
      <w:sz w:val="24"/>
      <w:szCs w:val="24"/>
    </w:rPr>
  </w:style>
  <w:style w:type="paragraph" w:styleId="Footer">
    <w:name w:val="footer"/>
    <w:basedOn w:val="Normal"/>
    <w:link w:val="FooterChar"/>
    <w:uiPriority w:val="99"/>
    <w:rsid w:val="00FE7D75"/>
    <w:pPr>
      <w:tabs>
        <w:tab w:val="center" w:pos="4844"/>
        <w:tab w:val="right" w:pos="9689"/>
      </w:tabs>
    </w:pPr>
  </w:style>
  <w:style w:type="character" w:customStyle="1" w:styleId="FooterChar">
    <w:name w:val="Footer Char"/>
    <w:basedOn w:val="DefaultParagraphFont"/>
    <w:link w:val="Footer"/>
    <w:uiPriority w:val="99"/>
    <w:rsid w:val="00FE7D75"/>
    <w:rPr>
      <w:sz w:val="24"/>
      <w:szCs w:val="24"/>
    </w:rPr>
  </w:style>
  <w:style w:type="character" w:customStyle="1" w:styleId="Heading1Char">
    <w:name w:val="Heading 1 Char"/>
    <w:basedOn w:val="DefaultParagraphFont"/>
    <w:link w:val="Heading1"/>
    <w:rsid w:val="00B85D2C"/>
    <w:rPr>
      <w:rFonts w:asciiTheme="majorHAnsi" w:eastAsiaTheme="majorEastAsia" w:hAnsiTheme="majorHAnsi" w:cstheme="majorBidi"/>
      <w:color w:val="365F91" w:themeColor="accent1" w:themeShade="BF"/>
      <w:sz w:val="32"/>
      <w:szCs w:val="32"/>
    </w:rPr>
  </w:style>
  <w:style w:type="paragraph" w:customStyle="1" w:styleId="Style1">
    <w:name w:val="Style1"/>
    <w:basedOn w:val="Normal"/>
    <w:rsid w:val="00B85D2C"/>
    <w:pPr>
      <w:tabs>
        <w:tab w:val="left" w:pos="-720"/>
      </w:tabs>
      <w:suppressAutoHyphens/>
      <w:spacing w:after="240"/>
    </w:pPr>
    <w:rPr>
      <w:rFonts w:ascii="Palatino" w:hAnsi="Palatino"/>
      <w:sz w:val="26"/>
      <w:szCs w:val="20"/>
    </w:rPr>
  </w:style>
  <w:style w:type="paragraph" w:customStyle="1" w:styleId="mainex">
    <w:name w:val="mainex"/>
    <w:basedOn w:val="Normal"/>
    <w:rsid w:val="00B85D2C"/>
    <w:pPr>
      <w:keepNext/>
      <w:jc w:val="center"/>
    </w:pPr>
    <w:rPr>
      <w:rFonts w:ascii="Helvetica" w:hAnsi="Helvetica"/>
      <w:b/>
      <w:spacing w:val="120"/>
      <w:sz w:val="26"/>
      <w:szCs w:val="20"/>
    </w:rPr>
  </w:style>
  <w:style w:type="paragraph" w:customStyle="1" w:styleId="titlebar">
    <w:name w:val="title bar"/>
    <w:basedOn w:val="Normal"/>
    <w:rsid w:val="00B85D2C"/>
    <w:pPr>
      <w:keepNext/>
      <w:suppressAutoHyphens/>
      <w:jc w:val="center"/>
    </w:pPr>
    <w:rPr>
      <w:rFonts w:ascii="Helvetica" w:hAnsi="Helvetica"/>
      <w:b/>
      <w:sz w:val="26"/>
      <w:szCs w:val="20"/>
    </w:rPr>
  </w:style>
  <w:style w:type="character" w:styleId="FootnoteReference">
    <w:name w:val="footnote reference"/>
    <w:semiHidden/>
    <w:rsid w:val="00B85D2C"/>
    <w:rPr>
      <w:vertAlign w:val="superscript"/>
    </w:rPr>
  </w:style>
  <w:style w:type="paragraph" w:customStyle="1" w:styleId="Res-Caption">
    <w:name w:val="Res-Caption"/>
    <w:basedOn w:val="Normal"/>
    <w:rsid w:val="00B85D2C"/>
    <w:pPr>
      <w:ind w:left="720" w:right="720"/>
    </w:pPr>
    <w:rPr>
      <w:rFonts w:ascii="Palatino" w:hAnsi="Palatino"/>
      <w:sz w:val="26"/>
      <w:szCs w:val="20"/>
    </w:rPr>
  </w:style>
  <w:style w:type="paragraph" w:styleId="FootnoteText">
    <w:name w:val="footnote text"/>
    <w:basedOn w:val="Normal"/>
    <w:link w:val="FootnoteTextChar"/>
    <w:semiHidden/>
    <w:unhideWhenUsed/>
    <w:rsid w:val="008F4942"/>
    <w:rPr>
      <w:sz w:val="20"/>
      <w:szCs w:val="20"/>
    </w:rPr>
  </w:style>
  <w:style w:type="character" w:customStyle="1" w:styleId="FootnoteTextChar">
    <w:name w:val="Footnote Text Char"/>
    <w:basedOn w:val="DefaultParagraphFont"/>
    <w:link w:val="FootnoteText"/>
    <w:semiHidden/>
    <w:rsid w:val="008F4942"/>
  </w:style>
  <w:style w:type="character" w:styleId="Hyperlink">
    <w:name w:val="Hyperlink"/>
    <w:basedOn w:val="DefaultParagraphFont"/>
    <w:unhideWhenUsed/>
    <w:rsid w:val="008F4942"/>
    <w:rPr>
      <w:color w:val="0000FF" w:themeColor="hyperlink"/>
      <w:u w:val="single"/>
    </w:rPr>
  </w:style>
  <w:style w:type="character" w:customStyle="1" w:styleId="UnresolvedMention1">
    <w:name w:val="Unresolved Mention1"/>
    <w:basedOn w:val="DefaultParagraphFont"/>
    <w:uiPriority w:val="99"/>
    <w:semiHidden/>
    <w:unhideWhenUsed/>
    <w:rsid w:val="008F4942"/>
    <w:rPr>
      <w:color w:val="808080"/>
      <w:shd w:val="clear" w:color="auto" w:fill="E6E6E6"/>
    </w:rPr>
  </w:style>
  <w:style w:type="character" w:styleId="FollowedHyperlink">
    <w:name w:val="FollowedHyperlink"/>
    <w:basedOn w:val="DefaultParagraphFont"/>
    <w:semiHidden/>
    <w:unhideWhenUsed/>
    <w:rsid w:val="00826DB7"/>
    <w:rPr>
      <w:color w:val="800080" w:themeColor="followedHyperlink"/>
      <w:u w:val="single"/>
    </w:rPr>
  </w:style>
  <w:style w:type="paragraph" w:styleId="ListParagraph">
    <w:name w:val="List Paragraph"/>
    <w:basedOn w:val="Normal"/>
    <w:uiPriority w:val="34"/>
    <w:qFormat/>
    <w:rsid w:val="00826DB7"/>
    <w:pPr>
      <w:ind w:left="720"/>
      <w:contextualSpacing/>
    </w:pPr>
  </w:style>
  <w:style w:type="paragraph" w:styleId="BalloonText">
    <w:name w:val="Balloon Text"/>
    <w:basedOn w:val="Normal"/>
    <w:link w:val="BalloonTextChar"/>
    <w:semiHidden/>
    <w:unhideWhenUsed/>
    <w:rsid w:val="004F797E"/>
    <w:rPr>
      <w:rFonts w:ascii="Tahoma" w:hAnsi="Tahoma" w:cs="Tahoma"/>
      <w:sz w:val="16"/>
      <w:szCs w:val="16"/>
    </w:rPr>
  </w:style>
  <w:style w:type="character" w:customStyle="1" w:styleId="BalloonTextChar">
    <w:name w:val="Balloon Text Char"/>
    <w:basedOn w:val="DefaultParagraphFont"/>
    <w:link w:val="BalloonText"/>
    <w:semiHidden/>
    <w:rsid w:val="004F797E"/>
    <w:rPr>
      <w:rFonts w:ascii="Tahoma" w:hAnsi="Tahoma" w:cs="Tahoma"/>
      <w:sz w:val="16"/>
      <w:szCs w:val="16"/>
    </w:rPr>
  </w:style>
  <w:style w:type="character" w:styleId="CommentReference">
    <w:name w:val="annotation reference"/>
    <w:basedOn w:val="DefaultParagraphFont"/>
    <w:semiHidden/>
    <w:unhideWhenUsed/>
    <w:rsid w:val="00F00DB9"/>
    <w:rPr>
      <w:sz w:val="16"/>
      <w:szCs w:val="16"/>
    </w:rPr>
  </w:style>
  <w:style w:type="paragraph" w:styleId="CommentText">
    <w:name w:val="annotation text"/>
    <w:basedOn w:val="Normal"/>
    <w:link w:val="CommentTextChar"/>
    <w:semiHidden/>
    <w:unhideWhenUsed/>
    <w:rsid w:val="00F00DB9"/>
    <w:rPr>
      <w:sz w:val="20"/>
      <w:szCs w:val="20"/>
    </w:rPr>
  </w:style>
  <w:style w:type="character" w:customStyle="1" w:styleId="CommentTextChar">
    <w:name w:val="Comment Text Char"/>
    <w:basedOn w:val="DefaultParagraphFont"/>
    <w:link w:val="CommentText"/>
    <w:semiHidden/>
    <w:rsid w:val="00F00DB9"/>
  </w:style>
  <w:style w:type="paragraph" w:styleId="CommentSubject">
    <w:name w:val="annotation subject"/>
    <w:basedOn w:val="CommentText"/>
    <w:next w:val="CommentText"/>
    <w:link w:val="CommentSubjectChar"/>
    <w:semiHidden/>
    <w:unhideWhenUsed/>
    <w:rsid w:val="00F00DB9"/>
    <w:rPr>
      <w:b/>
      <w:bCs/>
    </w:rPr>
  </w:style>
  <w:style w:type="character" w:customStyle="1" w:styleId="CommentSubjectChar">
    <w:name w:val="Comment Subject Char"/>
    <w:basedOn w:val="CommentTextChar"/>
    <w:link w:val="CommentSubject"/>
    <w:semiHidden/>
    <w:rsid w:val="00F00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c.ca.gov/General.aspx?id=52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c.ca.gov/General.aspx?id=526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cs.cpuc.ca.gov/PublishedDocs/Efile/G000/M212/K023/2120236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85C75-CF52-4A55-BF65-6B0E024B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2245</Words>
  <Characters>12730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2018-05-25T20:50:00Z</dcterms:created>
  <dcterms:modified xsi:type="dcterms:W3CDTF">2018-05-25T20:50:00Z</dcterms:modified>
</cp:coreProperties>
</file>