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0A722" w14:textId="77777777" w:rsidR="00CF17DE" w:rsidRPr="00FE0D15" w:rsidRDefault="00CF17DE">
      <w:pPr>
        <w:pStyle w:val="titlebar"/>
        <w:rPr>
          <w:rFonts w:ascii="Palatino Linotype" w:hAnsi="Palatino Linotype"/>
          <w:sz w:val="24"/>
        </w:rPr>
      </w:pPr>
      <w:r w:rsidRPr="00FE0D15">
        <w:rPr>
          <w:rFonts w:ascii="Palatino Linotype" w:hAnsi="Palatino Linotype"/>
          <w:sz w:val="24"/>
        </w:rPr>
        <w:t>PUBLIC UTILITIES COMMISSION OF THE STATE OF CALIFORNIA</w:t>
      </w:r>
    </w:p>
    <w:p w14:paraId="2508A549" w14:textId="72A51266" w:rsidR="00CF17DE" w:rsidRPr="00484D72" w:rsidRDefault="00484D72">
      <w:pPr>
        <w:suppressAutoHyphens/>
        <w:rPr>
          <w:rFonts w:ascii="Palatino Linotype" w:hAnsi="Palatino Linotype"/>
          <w:b/>
          <w:sz w:val="24"/>
          <w:szCs w:val="24"/>
        </w:rPr>
      </w:pP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sidRPr="00484D72">
        <w:rPr>
          <w:rFonts w:ascii="Palatino Linotype" w:hAnsi="Palatino Linotype"/>
          <w:b/>
          <w:sz w:val="24"/>
          <w:szCs w:val="24"/>
        </w:rPr>
        <w:t xml:space="preserve">AGENDA ID # </w:t>
      </w:r>
      <w:r>
        <w:rPr>
          <w:rFonts w:ascii="Palatino Linotype" w:hAnsi="Palatino Linotype"/>
          <w:b/>
          <w:sz w:val="24"/>
          <w:szCs w:val="24"/>
        </w:rPr>
        <w:t>16571</w:t>
      </w:r>
    </w:p>
    <w:p w14:paraId="57B9A481" w14:textId="0BE6D5DF" w:rsidR="00CF17DE" w:rsidRPr="00FE0D15" w:rsidRDefault="00593807">
      <w:pPr>
        <w:rPr>
          <w:rFonts w:ascii="Palatino Linotype" w:hAnsi="Palatino Linotype"/>
          <w:b/>
          <w:sz w:val="24"/>
        </w:rPr>
      </w:pPr>
      <w:r w:rsidRPr="00FE0D15">
        <w:rPr>
          <w:rFonts w:ascii="Palatino Linotype" w:hAnsi="Palatino Linotype"/>
          <w:b/>
          <w:sz w:val="24"/>
        </w:rPr>
        <w:t>ENERGY DIVISION</w:t>
      </w:r>
      <w:r w:rsidRPr="00FE0D15">
        <w:rPr>
          <w:rFonts w:ascii="Palatino Linotype" w:hAnsi="Palatino Linotype"/>
          <w:b/>
          <w:sz w:val="24"/>
        </w:rPr>
        <w:tab/>
      </w:r>
      <w:r w:rsidRPr="00FE0D15">
        <w:rPr>
          <w:rFonts w:ascii="Palatino Linotype" w:hAnsi="Palatino Linotype"/>
          <w:b/>
          <w:sz w:val="24"/>
        </w:rPr>
        <w:tab/>
      </w:r>
      <w:r w:rsidRPr="00FE0D15">
        <w:rPr>
          <w:rFonts w:ascii="Palatino Linotype" w:hAnsi="Palatino Linotype"/>
          <w:b/>
          <w:sz w:val="24"/>
        </w:rPr>
        <w:tab/>
      </w:r>
      <w:r w:rsidRPr="00FE0D15">
        <w:rPr>
          <w:rFonts w:ascii="Palatino Linotype" w:hAnsi="Palatino Linotype"/>
          <w:b/>
          <w:sz w:val="24"/>
        </w:rPr>
        <w:tab/>
      </w:r>
      <w:r w:rsidRPr="00FE0D15">
        <w:rPr>
          <w:rFonts w:ascii="Palatino Linotype" w:hAnsi="Palatino Linotype"/>
          <w:b/>
          <w:sz w:val="24"/>
        </w:rPr>
        <w:tab/>
      </w:r>
      <w:r w:rsidR="00BC3A59">
        <w:rPr>
          <w:rFonts w:ascii="Palatino Linotype" w:hAnsi="Palatino Linotype"/>
          <w:b/>
          <w:sz w:val="24"/>
        </w:rPr>
        <w:tab/>
      </w:r>
      <w:r w:rsidR="00CF17DE" w:rsidRPr="00FE0D15">
        <w:rPr>
          <w:rFonts w:ascii="Palatino Linotype" w:hAnsi="Palatino Linotype"/>
          <w:b/>
          <w:sz w:val="24"/>
        </w:rPr>
        <w:t xml:space="preserve">RESOLUTION </w:t>
      </w:r>
      <w:r w:rsidR="00EA429B" w:rsidRPr="00FE0D15">
        <w:rPr>
          <w:rFonts w:ascii="Palatino Linotype" w:hAnsi="Palatino Linotype"/>
          <w:b/>
          <w:sz w:val="24"/>
        </w:rPr>
        <w:t>E-4925</w:t>
      </w:r>
    </w:p>
    <w:p w14:paraId="07E8D18B" w14:textId="3B33C1D1" w:rsidR="00CF17DE" w:rsidRPr="00FE0D15" w:rsidRDefault="00CF17DE">
      <w:pPr>
        <w:tabs>
          <w:tab w:val="right" w:pos="8910"/>
        </w:tabs>
        <w:ind w:left="1440" w:firstLine="720"/>
        <w:rPr>
          <w:rFonts w:ascii="Palatino Linotype" w:hAnsi="Palatino Linotype"/>
          <w:b/>
          <w:sz w:val="24"/>
        </w:rPr>
      </w:pPr>
      <w:r w:rsidRPr="00FE0D15">
        <w:rPr>
          <w:rFonts w:ascii="Palatino Linotype" w:hAnsi="Palatino Linotype"/>
          <w:b/>
          <w:sz w:val="24"/>
        </w:rPr>
        <w:tab/>
      </w:r>
      <w:r w:rsidR="00DC7316">
        <w:rPr>
          <w:rFonts w:ascii="Palatino Linotype" w:hAnsi="Palatino Linotype"/>
          <w:b/>
          <w:sz w:val="24"/>
        </w:rPr>
        <w:t>July 12</w:t>
      </w:r>
      <w:r w:rsidR="00BC3A59">
        <w:rPr>
          <w:rFonts w:ascii="Palatino Linotype" w:hAnsi="Palatino Linotype"/>
          <w:b/>
          <w:sz w:val="24"/>
        </w:rPr>
        <w:t>, 2018</w:t>
      </w:r>
    </w:p>
    <w:p w14:paraId="09BB6B76" w14:textId="77777777" w:rsidR="00CF17DE" w:rsidRPr="00FE0D15" w:rsidRDefault="00CF17DE">
      <w:pPr>
        <w:tabs>
          <w:tab w:val="right" w:pos="8910"/>
        </w:tabs>
        <w:ind w:left="1440" w:firstLine="720"/>
        <w:rPr>
          <w:rFonts w:ascii="Palatino Linotype" w:hAnsi="Palatino Linotype"/>
          <w:b/>
          <w:sz w:val="24"/>
        </w:rPr>
      </w:pPr>
    </w:p>
    <w:p w14:paraId="7616368D" w14:textId="77777777" w:rsidR="00CF17DE" w:rsidRPr="00FE0D15" w:rsidRDefault="00CF17DE">
      <w:pPr>
        <w:pStyle w:val="mainex"/>
        <w:rPr>
          <w:rFonts w:ascii="Palatino Linotype" w:hAnsi="Palatino Linotype"/>
          <w:u w:val="single"/>
        </w:rPr>
      </w:pPr>
      <w:bookmarkStart w:id="0" w:name="_Ref404993683"/>
      <w:r w:rsidRPr="00FE0D15">
        <w:rPr>
          <w:rFonts w:ascii="Palatino Linotype" w:hAnsi="Palatino Linotype"/>
          <w:u w:val="single"/>
        </w:rPr>
        <w:t>RESOLUTION</w:t>
      </w:r>
    </w:p>
    <w:p w14:paraId="4D37B143" w14:textId="77777777" w:rsidR="00CF17DE" w:rsidRPr="00FE0D15" w:rsidRDefault="00CF17DE">
      <w:pPr>
        <w:rPr>
          <w:rFonts w:ascii="Palatino Linotype" w:hAnsi="Palatino Linotype"/>
        </w:rPr>
      </w:pPr>
    </w:p>
    <w:p w14:paraId="6C9842DC" w14:textId="2676266F" w:rsidR="00B927B5" w:rsidRPr="00FE0D15" w:rsidRDefault="00B927B5" w:rsidP="00B927B5">
      <w:pPr>
        <w:pStyle w:val="Res-Caption"/>
        <w:rPr>
          <w:rFonts w:ascii="Palatino Linotype" w:hAnsi="Palatino Linotype"/>
        </w:rPr>
      </w:pPr>
      <w:r w:rsidRPr="00FE0D15">
        <w:rPr>
          <w:rFonts w:ascii="Palatino Linotype" w:hAnsi="Palatino Linotype"/>
        </w:rPr>
        <w:t xml:space="preserve">Resolution </w:t>
      </w:r>
      <w:r w:rsidR="00EA429B" w:rsidRPr="00FE0D15">
        <w:rPr>
          <w:rFonts w:ascii="Palatino Linotype" w:hAnsi="Palatino Linotype"/>
        </w:rPr>
        <w:t xml:space="preserve">E-4925. </w:t>
      </w:r>
      <w:r w:rsidR="00DC30F6">
        <w:rPr>
          <w:rFonts w:ascii="Palatino Linotype" w:hAnsi="Palatino Linotype"/>
        </w:rPr>
        <w:t xml:space="preserve">Approves </w:t>
      </w:r>
      <w:r w:rsidR="00EA429B" w:rsidRPr="00FE0D15">
        <w:rPr>
          <w:rFonts w:ascii="Palatino Linotype" w:hAnsi="Palatino Linotype"/>
        </w:rPr>
        <w:t xml:space="preserve">Southern California Edison’s request for greenhouse gas reduction credits from </w:t>
      </w:r>
      <w:r w:rsidR="00790CAB">
        <w:rPr>
          <w:rFonts w:ascii="Palatino Linotype" w:hAnsi="Palatino Linotype"/>
        </w:rPr>
        <w:t xml:space="preserve">the </w:t>
      </w:r>
      <w:r w:rsidR="00EA429B" w:rsidRPr="00FE0D15">
        <w:rPr>
          <w:rFonts w:ascii="Palatino Linotype" w:hAnsi="Palatino Linotype"/>
        </w:rPr>
        <w:t>shut-down of Carson Cogeneration Company facility.</w:t>
      </w:r>
    </w:p>
    <w:p w14:paraId="2849E4DD" w14:textId="77777777" w:rsidR="00801D70" w:rsidRPr="00FE0D15" w:rsidRDefault="00EA429B">
      <w:pPr>
        <w:pStyle w:val="Res-Caption"/>
        <w:rPr>
          <w:rFonts w:ascii="Palatino Linotype" w:hAnsi="Palatino Linotype"/>
        </w:rPr>
      </w:pPr>
      <w:r w:rsidRPr="00FE0D15">
        <w:rPr>
          <w:rFonts w:ascii="Palatino Linotype" w:hAnsi="Palatino Linotype"/>
        </w:rPr>
        <w:tab/>
      </w:r>
      <w:r w:rsidRPr="00FE0D15">
        <w:rPr>
          <w:rFonts w:ascii="Palatino Linotype" w:hAnsi="Palatino Linotype"/>
        </w:rPr>
        <w:tab/>
      </w:r>
    </w:p>
    <w:p w14:paraId="35DDBE57" w14:textId="77777777" w:rsidR="00DF35CC" w:rsidRPr="00FE0D15" w:rsidRDefault="00801D70" w:rsidP="00DF35CC">
      <w:pPr>
        <w:pStyle w:val="Res-Caption"/>
        <w:rPr>
          <w:rFonts w:ascii="Palatino Linotype" w:hAnsi="Palatino Linotype"/>
        </w:rPr>
      </w:pPr>
      <w:r w:rsidRPr="00FE0D15">
        <w:rPr>
          <w:rFonts w:ascii="Palatino Linotype" w:hAnsi="Palatino Linotype"/>
        </w:rPr>
        <w:t>PROPOSED OUTCOME:</w:t>
      </w:r>
      <w:r w:rsidR="00142FB8" w:rsidRPr="00FE0D15">
        <w:rPr>
          <w:rFonts w:ascii="Palatino Linotype" w:hAnsi="Palatino Linotype"/>
        </w:rPr>
        <w:t xml:space="preserve"> </w:t>
      </w:r>
    </w:p>
    <w:p w14:paraId="16DBD118" w14:textId="43F8957B" w:rsidR="00142FB8" w:rsidRPr="00FE0D15" w:rsidRDefault="00EA429B" w:rsidP="00DF35CC">
      <w:pPr>
        <w:pStyle w:val="Res-Caption"/>
        <w:numPr>
          <w:ilvl w:val="0"/>
          <w:numId w:val="7"/>
        </w:numPr>
        <w:rPr>
          <w:rFonts w:ascii="Palatino Linotype" w:hAnsi="Palatino Linotype"/>
        </w:rPr>
      </w:pPr>
      <w:r w:rsidRPr="00FE0D15">
        <w:rPr>
          <w:rFonts w:ascii="Palatino Linotype" w:hAnsi="Palatino Linotype"/>
        </w:rPr>
        <w:t xml:space="preserve">This Resolution </w:t>
      </w:r>
      <w:r w:rsidR="003D0A3E" w:rsidRPr="00401A6D">
        <w:rPr>
          <w:rFonts w:ascii="Palatino Linotype" w:hAnsi="Palatino Linotype"/>
        </w:rPr>
        <w:t>grants</w:t>
      </w:r>
      <w:r w:rsidR="003D0A3E">
        <w:rPr>
          <w:rFonts w:ascii="Palatino Linotype" w:hAnsi="Palatino Linotype"/>
        </w:rPr>
        <w:t xml:space="preserve"> </w:t>
      </w:r>
      <w:r w:rsidRPr="00FE0D15">
        <w:rPr>
          <w:rFonts w:ascii="Palatino Linotype" w:hAnsi="Palatino Linotype"/>
        </w:rPr>
        <w:t xml:space="preserve">Southern California Edison’s (SCE) request to claim greenhouse gas (GHG) reduction credits towards its Combined Heat and Power (CHP) program abatement targets. </w:t>
      </w:r>
    </w:p>
    <w:p w14:paraId="09F1561F" w14:textId="77777777" w:rsidR="00F51F8B" w:rsidRPr="00FE0D15" w:rsidRDefault="00F51F8B">
      <w:pPr>
        <w:pStyle w:val="Res-Caption"/>
        <w:rPr>
          <w:rFonts w:ascii="Palatino Linotype" w:hAnsi="Palatino Linotype"/>
        </w:rPr>
      </w:pPr>
    </w:p>
    <w:p w14:paraId="0A8192EB" w14:textId="77777777" w:rsidR="00F51F8B" w:rsidRPr="00FE0D15" w:rsidRDefault="00F51F8B">
      <w:pPr>
        <w:pStyle w:val="Res-Caption"/>
        <w:rPr>
          <w:rFonts w:ascii="Palatino Linotype" w:hAnsi="Palatino Linotype"/>
        </w:rPr>
      </w:pPr>
      <w:r w:rsidRPr="00FE0D15">
        <w:rPr>
          <w:rFonts w:ascii="Palatino Linotype" w:hAnsi="Palatino Linotype"/>
        </w:rPr>
        <w:t>SAFETY CONSIDERATIONS:</w:t>
      </w:r>
    </w:p>
    <w:p w14:paraId="45ABA679" w14:textId="53BD8E7A" w:rsidR="00790CAB" w:rsidRDefault="00790CAB" w:rsidP="00790CAB">
      <w:pPr>
        <w:pStyle w:val="Res-Caption"/>
        <w:numPr>
          <w:ilvl w:val="0"/>
          <w:numId w:val="7"/>
        </w:numPr>
        <w:rPr>
          <w:rFonts w:ascii="Palatino Linotype" w:hAnsi="Palatino Linotype"/>
        </w:rPr>
      </w:pPr>
      <w:r>
        <w:rPr>
          <w:rFonts w:ascii="Palatino Linotype" w:hAnsi="Palatino Linotype"/>
        </w:rPr>
        <w:t xml:space="preserve">There </w:t>
      </w:r>
      <w:r w:rsidRPr="00790CAB">
        <w:rPr>
          <w:rFonts w:ascii="Palatino Linotype" w:hAnsi="Palatino Linotype"/>
        </w:rPr>
        <w:t>are no new safety risks associated with the approval of this contract.</w:t>
      </w:r>
    </w:p>
    <w:p w14:paraId="062A7925" w14:textId="77777777" w:rsidR="00790CAB" w:rsidRDefault="00790CAB">
      <w:pPr>
        <w:pStyle w:val="Res-Caption"/>
        <w:rPr>
          <w:rFonts w:ascii="Palatino Linotype" w:hAnsi="Palatino Linotype"/>
        </w:rPr>
      </w:pPr>
    </w:p>
    <w:p w14:paraId="3A0BDAF3" w14:textId="77777777" w:rsidR="00801D70" w:rsidRPr="00FE0D15" w:rsidRDefault="00801D70">
      <w:pPr>
        <w:pStyle w:val="Res-Caption"/>
        <w:rPr>
          <w:rFonts w:ascii="Palatino Linotype" w:hAnsi="Palatino Linotype"/>
        </w:rPr>
      </w:pPr>
      <w:r w:rsidRPr="00FE0D15">
        <w:rPr>
          <w:rFonts w:ascii="Palatino Linotype" w:hAnsi="Palatino Linotype"/>
        </w:rPr>
        <w:t xml:space="preserve">ESTIMATED COST:  </w:t>
      </w:r>
    </w:p>
    <w:p w14:paraId="73DB8240" w14:textId="43E8FF8F" w:rsidR="003F6E5A" w:rsidRPr="00FE0D15" w:rsidRDefault="00EA429B" w:rsidP="003F6E5A">
      <w:pPr>
        <w:pStyle w:val="Res-Caption"/>
        <w:numPr>
          <w:ilvl w:val="0"/>
          <w:numId w:val="6"/>
        </w:numPr>
        <w:rPr>
          <w:rFonts w:ascii="Palatino Linotype" w:hAnsi="Palatino Linotype"/>
        </w:rPr>
      </w:pPr>
      <w:r w:rsidRPr="00FE0D15">
        <w:rPr>
          <w:rFonts w:ascii="Palatino Linotype" w:hAnsi="Palatino Linotype"/>
        </w:rPr>
        <w:t xml:space="preserve"> </w:t>
      </w:r>
      <w:r w:rsidR="00E57DFB">
        <w:rPr>
          <w:rFonts w:ascii="Palatino Linotype" w:hAnsi="Palatino Linotype"/>
        </w:rPr>
        <w:t xml:space="preserve"> </w:t>
      </w:r>
      <w:r w:rsidR="00B22F6F">
        <w:rPr>
          <w:rFonts w:ascii="Palatino Linotype" w:hAnsi="Palatino Linotype"/>
        </w:rPr>
        <w:t>There is no cost impact</w:t>
      </w:r>
      <w:r w:rsidR="00E57DFB">
        <w:rPr>
          <w:rFonts w:ascii="Palatino Linotype" w:hAnsi="Palatino Linotype"/>
        </w:rPr>
        <w:t>.</w:t>
      </w:r>
    </w:p>
    <w:p w14:paraId="4720D99F" w14:textId="77777777" w:rsidR="003F6E5A" w:rsidRPr="00FE0D15" w:rsidRDefault="003F6E5A" w:rsidP="00EA429B">
      <w:pPr>
        <w:pStyle w:val="Res-Caption"/>
        <w:ind w:left="1440"/>
        <w:rPr>
          <w:rFonts w:ascii="Palatino Linotype" w:hAnsi="Palatino Linotype"/>
        </w:rPr>
      </w:pPr>
    </w:p>
    <w:p w14:paraId="524972B7" w14:textId="77777777" w:rsidR="00CF17DE" w:rsidRPr="00FE0D15" w:rsidRDefault="00CF17DE">
      <w:pPr>
        <w:pStyle w:val="Res-Caption"/>
        <w:rPr>
          <w:rFonts w:ascii="Palatino Linotype" w:hAnsi="Palatino Linotype"/>
        </w:rPr>
      </w:pPr>
    </w:p>
    <w:p w14:paraId="66C2BB08" w14:textId="77777777" w:rsidR="00CF17DE" w:rsidRPr="00FE0D15" w:rsidRDefault="00CF17DE">
      <w:pPr>
        <w:pStyle w:val="Res-Caption"/>
        <w:rPr>
          <w:rFonts w:ascii="Palatino Linotype" w:hAnsi="Palatino Linotype"/>
        </w:rPr>
      </w:pPr>
      <w:r w:rsidRPr="00FE0D15">
        <w:rPr>
          <w:rFonts w:ascii="Palatino Linotype" w:hAnsi="Palatino Linotype"/>
        </w:rPr>
        <w:t xml:space="preserve">By Advice Letter </w:t>
      </w:r>
      <w:r w:rsidR="00EA429B" w:rsidRPr="00FE0D15">
        <w:rPr>
          <w:rFonts w:ascii="Palatino Linotype" w:hAnsi="Palatino Linotype"/>
        </w:rPr>
        <w:t>3681-E, filed on October 25, 2017.</w:t>
      </w:r>
    </w:p>
    <w:p w14:paraId="578E18F7" w14:textId="77777777" w:rsidR="00CF17DE" w:rsidRPr="00FE0D15" w:rsidRDefault="00CF17DE">
      <w:pPr>
        <w:jc w:val="center"/>
        <w:rPr>
          <w:rFonts w:ascii="Palatino Linotype" w:hAnsi="Palatino Linotype"/>
        </w:rPr>
      </w:pPr>
      <w:r w:rsidRPr="00FE0D15">
        <w:rPr>
          <w:rFonts w:ascii="Palatino Linotype" w:hAnsi="Palatino Linotype"/>
        </w:rPr>
        <w:t>__________________________________________________________</w:t>
      </w:r>
    </w:p>
    <w:p w14:paraId="0160ADA0" w14:textId="77777777" w:rsidR="00CF17DE" w:rsidRPr="00FE0D15" w:rsidRDefault="00CF17DE">
      <w:pPr>
        <w:rPr>
          <w:rFonts w:ascii="Palatino Linotype" w:hAnsi="Palatino Linotype"/>
          <w:b/>
        </w:rPr>
      </w:pPr>
    </w:p>
    <w:p w14:paraId="74F18A32" w14:textId="77777777" w:rsidR="00CF17DE" w:rsidRPr="00FE0D15" w:rsidRDefault="00CF17DE">
      <w:pPr>
        <w:pStyle w:val="Heading1"/>
        <w:rPr>
          <w:rFonts w:ascii="Palatino Linotype" w:hAnsi="Palatino Linotype"/>
        </w:rPr>
      </w:pPr>
      <w:r w:rsidRPr="00FE0D15">
        <w:rPr>
          <w:rFonts w:ascii="Palatino Linotype" w:hAnsi="Palatino Linotype"/>
        </w:rPr>
        <w:t>Summary</w:t>
      </w:r>
      <w:bookmarkEnd w:id="0"/>
    </w:p>
    <w:p w14:paraId="714F8D68" w14:textId="4E05DE6B" w:rsidR="00CF17DE" w:rsidRPr="00FE0D15" w:rsidRDefault="00CF17DE">
      <w:pPr>
        <w:rPr>
          <w:rFonts w:ascii="Palatino Linotype" w:hAnsi="Palatino Linotype"/>
        </w:rPr>
      </w:pPr>
      <w:bookmarkStart w:id="1" w:name="OLE_LINK1"/>
      <w:r w:rsidRPr="00FE0D15">
        <w:rPr>
          <w:rFonts w:ascii="Palatino Linotype" w:hAnsi="Palatino Linotype"/>
        </w:rPr>
        <w:t>This Resolution</w:t>
      </w:r>
      <w:r w:rsidR="00005C10" w:rsidRPr="00FE0D15">
        <w:rPr>
          <w:rFonts w:ascii="Palatino Linotype" w:hAnsi="Palatino Linotype"/>
        </w:rPr>
        <w:t xml:space="preserve"> </w:t>
      </w:r>
      <w:r w:rsidR="003D0A3E">
        <w:rPr>
          <w:rFonts w:ascii="Palatino Linotype" w:hAnsi="Palatino Linotype"/>
        </w:rPr>
        <w:t xml:space="preserve">grants </w:t>
      </w:r>
      <w:r w:rsidR="00005C10" w:rsidRPr="00FE0D15">
        <w:rPr>
          <w:rFonts w:ascii="Palatino Linotype" w:hAnsi="Palatino Linotype"/>
        </w:rPr>
        <w:t>Southern California Edison’s (SCE) request for approval to claim greenhouse gas (GHG) reduction credits towards its Combined Heat and Power (CHP) program abatement targets. SCE seeks GHG abatement credits from the Termination &amp; Shutdown</w:t>
      </w:r>
      <w:r w:rsidR="00CC4CD8" w:rsidRPr="00FE0D15">
        <w:rPr>
          <w:rFonts w:ascii="Palatino Linotype" w:hAnsi="Palatino Linotype"/>
        </w:rPr>
        <w:t xml:space="preserve"> Agreement (Termination Agreement) between SCE and Carson Cogeneration Company, LLC (Carson), dated as of June 1, 2017.</w:t>
      </w:r>
    </w:p>
    <w:bookmarkEnd w:id="1"/>
    <w:p w14:paraId="13F0D415" w14:textId="77777777" w:rsidR="00CF17DE" w:rsidRPr="00FE0D15" w:rsidRDefault="00CF17DE">
      <w:pPr>
        <w:rPr>
          <w:rFonts w:ascii="Palatino Linotype" w:hAnsi="Palatino Linotype"/>
        </w:rPr>
      </w:pPr>
    </w:p>
    <w:p w14:paraId="1904E281" w14:textId="77777777" w:rsidR="00CF17DE" w:rsidRPr="00FE0D15" w:rsidRDefault="00CF17DE">
      <w:pPr>
        <w:pStyle w:val="Heading1"/>
        <w:rPr>
          <w:rFonts w:ascii="Palatino Linotype" w:hAnsi="Palatino Linotype"/>
        </w:rPr>
      </w:pPr>
      <w:r w:rsidRPr="00FE0D15">
        <w:rPr>
          <w:rFonts w:ascii="Palatino Linotype" w:hAnsi="Palatino Linotype"/>
        </w:rPr>
        <w:lastRenderedPageBreak/>
        <w:t>Background</w:t>
      </w:r>
    </w:p>
    <w:p w14:paraId="6B721D2B" w14:textId="77777777" w:rsidR="00D972B8" w:rsidRPr="00FE0D15" w:rsidRDefault="00D972B8" w:rsidP="00D972B8">
      <w:pPr>
        <w:pStyle w:val="standard"/>
        <w:ind w:firstLine="0"/>
        <w:rPr>
          <w:rFonts w:ascii="Palatino Linotype" w:hAnsi="Palatino Linotype"/>
        </w:rPr>
      </w:pPr>
      <w:r w:rsidRPr="00FE0D15">
        <w:rPr>
          <w:rFonts w:ascii="Palatino Linotype" w:hAnsi="Palatino Linotype"/>
          <w:i/>
          <w:iCs/>
          <w:szCs w:val="26"/>
          <w:u w:val="single"/>
        </w:rPr>
        <w:t>Background on Relevant terms of the CHP/QF Settlement</w:t>
      </w:r>
    </w:p>
    <w:p w14:paraId="13D5DE34" w14:textId="77777777" w:rsidR="00D972B8" w:rsidRPr="00FE0D15" w:rsidRDefault="00D972B8" w:rsidP="00D972B8">
      <w:pPr>
        <w:pStyle w:val="Default"/>
        <w:rPr>
          <w:rFonts w:ascii="Palatino Linotype" w:hAnsi="Palatino Linotype"/>
          <w:sz w:val="26"/>
          <w:szCs w:val="26"/>
        </w:rPr>
      </w:pPr>
      <w:r w:rsidRPr="00FE0D15">
        <w:rPr>
          <w:rFonts w:ascii="Palatino Linotype" w:hAnsi="Palatino Linotype"/>
          <w:sz w:val="26"/>
          <w:szCs w:val="26"/>
        </w:rPr>
        <w:t>On December 16, 2010, the Commission adopted the Qualifying Facility and Combined Heat and Power Program Settlement Agreement (Settlement) with the issuance of Decision (D).10</w:t>
      </w:r>
      <w:r w:rsidR="0007631F" w:rsidRPr="00FE0D15">
        <w:rPr>
          <w:rFonts w:ascii="Palatino Linotype" w:hAnsi="Palatino Linotype"/>
          <w:sz w:val="26"/>
          <w:szCs w:val="26"/>
        </w:rPr>
        <w:t>-12-035. The Settlement resolved</w:t>
      </w:r>
      <w:r w:rsidRPr="00FE0D15">
        <w:rPr>
          <w:rFonts w:ascii="Palatino Linotype" w:hAnsi="Palatino Linotype"/>
          <w:sz w:val="26"/>
          <w:szCs w:val="26"/>
        </w:rPr>
        <w:t xml:space="preserve"> </w:t>
      </w:r>
      <w:proofErr w:type="gramStart"/>
      <w:r w:rsidRPr="00FE0D15">
        <w:rPr>
          <w:rFonts w:ascii="Palatino Linotype" w:hAnsi="Palatino Linotype"/>
          <w:sz w:val="26"/>
          <w:szCs w:val="26"/>
        </w:rPr>
        <w:t>a number of</w:t>
      </w:r>
      <w:proofErr w:type="gramEnd"/>
      <w:r w:rsidRPr="00FE0D15">
        <w:rPr>
          <w:rFonts w:ascii="Palatino Linotype" w:hAnsi="Palatino Linotype"/>
          <w:sz w:val="26"/>
          <w:szCs w:val="26"/>
        </w:rPr>
        <w:t xml:space="preserve"> longstanding issues regarding the contractual obligations and procurement options for facilities operating under legacy and qualifying facility contracts. </w:t>
      </w:r>
    </w:p>
    <w:p w14:paraId="0EBA33CE" w14:textId="77777777" w:rsidR="00D972B8" w:rsidRPr="00FE0D15" w:rsidRDefault="00D972B8" w:rsidP="00D972B8">
      <w:pPr>
        <w:pStyle w:val="Default"/>
        <w:rPr>
          <w:rFonts w:ascii="Palatino Linotype" w:hAnsi="Palatino Linotype"/>
          <w:sz w:val="26"/>
          <w:szCs w:val="26"/>
        </w:rPr>
      </w:pPr>
    </w:p>
    <w:p w14:paraId="1862212F" w14:textId="77777777" w:rsidR="00D972B8" w:rsidRPr="00FE0D15" w:rsidRDefault="00D972B8" w:rsidP="00D972B8">
      <w:pPr>
        <w:pStyle w:val="Default"/>
        <w:rPr>
          <w:rFonts w:ascii="Palatino Linotype" w:hAnsi="Palatino Linotype"/>
          <w:sz w:val="26"/>
          <w:szCs w:val="26"/>
        </w:rPr>
      </w:pPr>
      <w:r w:rsidRPr="00FE0D15">
        <w:rPr>
          <w:rFonts w:ascii="Palatino Linotype" w:hAnsi="Palatino Linotype"/>
          <w:sz w:val="26"/>
          <w:szCs w:val="26"/>
        </w:rPr>
        <w:t xml:space="preserve">The Settlement establishes megawatt (MW) procurement targets and GHG Emissions Reduction Targets the investor-owned utilities (IOUs) are required to meet by entering into contracts with eligible CHP Facilities, as defined in the Settlement. </w:t>
      </w:r>
    </w:p>
    <w:p w14:paraId="079FB629" w14:textId="77777777" w:rsidR="00D972B8" w:rsidRPr="00FE0D15" w:rsidRDefault="00D972B8" w:rsidP="00D972B8">
      <w:pPr>
        <w:pStyle w:val="Default"/>
        <w:rPr>
          <w:rFonts w:ascii="Palatino Linotype" w:hAnsi="Palatino Linotype"/>
          <w:sz w:val="26"/>
          <w:szCs w:val="26"/>
        </w:rPr>
      </w:pPr>
    </w:p>
    <w:p w14:paraId="151BEB35" w14:textId="5A44858A" w:rsidR="00D972B8" w:rsidRPr="00FE0D15" w:rsidRDefault="00D972B8" w:rsidP="00D972B8">
      <w:pPr>
        <w:pStyle w:val="Default"/>
        <w:rPr>
          <w:rFonts w:ascii="Palatino Linotype" w:hAnsi="Palatino Linotype"/>
          <w:sz w:val="26"/>
          <w:szCs w:val="26"/>
        </w:rPr>
      </w:pPr>
      <w:r w:rsidRPr="00FE0D15">
        <w:rPr>
          <w:rFonts w:ascii="Palatino Linotype" w:hAnsi="Palatino Linotype"/>
          <w:sz w:val="26"/>
          <w:szCs w:val="26"/>
        </w:rPr>
        <w:t xml:space="preserve">Pursuant to D.10-12-035, the three large electric IOUs must procure a minimum of 3,000 MW of CHP and reduce GHG emissions consistent with the California Air Resources Board (CARB) Scoping Plan, currently set at 4.8 million metric </w:t>
      </w:r>
      <w:proofErr w:type="spellStart"/>
      <w:r w:rsidRPr="00FE0D15">
        <w:rPr>
          <w:rFonts w:ascii="Palatino Linotype" w:hAnsi="Palatino Linotype"/>
          <w:sz w:val="26"/>
          <w:szCs w:val="26"/>
        </w:rPr>
        <w:t>ton</w:t>
      </w:r>
      <w:r w:rsidR="00C740D1">
        <w:rPr>
          <w:rFonts w:ascii="Palatino Linotype" w:hAnsi="Palatino Linotype"/>
          <w:sz w:val="26"/>
          <w:szCs w:val="26"/>
        </w:rPr>
        <w:t>ne</w:t>
      </w:r>
      <w:r w:rsidRPr="00FE0D15">
        <w:rPr>
          <w:rFonts w:ascii="Palatino Linotype" w:hAnsi="Palatino Linotype"/>
          <w:sz w:val="26"/>
          <w:szCs w:val="26"/>
        </w:rPr>
        <w:t>s</w:t>
      </w:r>
      <w:proofErr w:type="spellEnd"/>
      <w:r w:rsidRPr="00FE0D15">
        <w:rPr>
          <w:rFonts w:ascii="Palatino Linotype" w:hAnsi="Palatino Linotype"/>
          <w:sz w:val="26"/>
          <w:szCs w:val="26"/>
        </w:rPr>
        <w:t xml:space="preserve"> (MMT) by the end of 2020. </w:t>
      </w:r>
    </w:p>
    <w:p w14:paraId="6B1B1F73" w14:textId="77777777" w:rsidR="00D972B8" w:rsidRPr="00FE0D15" w:rsidRDefault="00D972B8" w:rsidP="00D972B8">
      <w:pPr>
        <w:pStyle w:val="Default"/>
        <w:rPr>
          <w:rFonts w:ascii="Palatino Linotype" w:hAnsi="Palatino Linotype"/>
          <w:sz w:val="26"/>
          <w:szCs w:val="26"/>
        </w:rPr>
      </w:pPr>
    </w:p>
    <w:p w14:paraId="0A927EC2" w14:textId="77777777" w:rsidR="00D972B8" w:rsidRPr="00FE0D15" w:rsidRDefault="00D972B8" w:rsidP="00D972B8">
      <w:pPr>
        <w:pStyle w:val="Default"/>
        <w:rPr>
          <w:rFonts w:ascii="Palatino Linotype" w:hAnsi="Palatino Linotype"/>
          <w:sz w:val="26"/>
          <w:szCs w:val="26"/>
        </w:rPr>
      </w:pPr>
      <w:r w:rsidRPr="00FE0D15">
        <w:rPr>
          <w:rFonts w:ascii="Palatino Linotype" w:hAnsi="Palatino Linotype"/>
          <w:sz w:val="26"/>
          <w:szCs w:val="26"/>
        </w:rPr>
        <w:t>Section</w:t>
      </w:r>
      <w:r w:rsidR="00AD2A34" w:rsidRPr="00FE0D15">
        <w:rPr>
          <w:rFonts w:ascii="Palatino Linotype" w:hAnsi="Palatino Linotype"/>
          <w:sz w:val="26"/>
          <w:szCs w:val="26"/>
        </w:rPr>
        <w:t>s 6 and</w:t>
      </w:r>
      <w:r w:rsidRPr="00FE0D15">
        <w:rPr>
          <w:rFonts w:ascii="Palatino Linotype" w:hAnsi="Palatino Linotype"/>
          <w:sz w:val="26"/>
          <w:szCs w:val="26"/>
        </w:rPr>
        <w:t xml:space="preserve"> 7 of the Settlement Term Sheet provides accounting methodology and principles for the IOUs and the CPUC to track GHG emissions reductions </w:t>
      </w:r>
      <w:proofErr w:type="gramStart"/>
      <w:r w:rsidRPr="00FE0D15">
        <w:rPr>
          <w:rFonts w:ascii="Palatino Linotype" w:hAnsi="Palatino Linotype"/>
          <w:sz w:val="26"/>
          <w:szCs w:val="26"/>
        </w:rPr>
        <w:t>as a result of</w:t>
      </w:r>
      <w:proofErr w:type="gramEnd"/>
      <w:r w:rsidRPr="00FE0D15">
        <w:rPr>
          <w:rFonts w:ascii="Palatino Linotype" w:hAnsi="Palatino Linotype"/>
          <w:sz w:val="26"/>
          <w:szCs w:val="26"/>
        </w:rPr>
        <w:t xml:space="preserve"> various activities, including contracting new CHP facilities, physically changing a CHP facility, shutting</w:t>
      </w:r>
      <w:r w:rsidR="0007631F" w:rsidRPr="00FE0D15">
        <w:rPr>
          <w:rFonts w:ascii="Palatino Linotype" w:hAnsi="Palatino Linotype"/>
          <w:sz w:val="26"/>
          <w:szCs w:val="26"/>
        </w:rPr>
        <w:t xml:space="preserve"> down existing CHP facilities,</w:t>
      </w:r>
      <w:r w:rsidRPr="00FE0D15">
        <w:rPr>
          <w:rFonts w:ascii="Palatino Linotype" w:hAnsi="Palatino Linotype"/>
          <w:sz w:val="26"/>
          <w:szCs w:val="26"/>
        </w:rPr>
        <w:t xml:space="preserve"> changing operations, etc.</w:t>
      </w:r>
    </w:p>
    <w:p w14:paraId="3115953F" w14:textId="77777777" w:rsidR="00D972B8" w:rsidRPr="00FE0D15" w:rsidRDefault="00D972B8" w:rsidP="00D972B8">
      <w:pPr>
        <w:pStyle w:val="Default"/>
        <w:rPr>
          <w:rFonts w:ascii="Palatino Linotype" w:hAnsi="Palatino Linotype"/>
          <w:sz w:val="26"/>
          <w:szCs w:val="26"/>
        </w:rPr>
      </w:pPr>
    </w:p>
    <w:p w14:paraId="240B5147" w14:textId="77777777" w:rsidR="00D972B8" w:rsidRPr="00FE0D15" w:rsidRDefault="00D972B8" w:rsidP="00D972B8">
      <w:pPr>
        <w:pStyle w:val="Default"/>
        <w:rPr>
          <w:rFonts w:ascii="Palatino Linotype" w:hAnsi="Palatino Linotype"/>
          <w:sz w:val="26"/>
          <w:szCs w:val="26"/>
        </w:rPr>
      </w:pPr>
      <w:r w:rsidRPr="00FE0D15">
        <w:rPr>
          <w:rFonts w:ascii="Palatino Linotype" w:hAnsi="Palatino Linotype"/>
          <w:sz w:val="26"/>
          <w:szCs w:val="26"/>
        </w:rPr>
        <w:t xml:space="preserve">Under D.15-06-028, the Greenhouse Gas Emissions Reduction Targets were revised to collectively achieve 2.72 MMT of emissions reductions from CHP facilities by 2020. </w:t>
      </w:r>
    </w:p>
    <w:p w14:paraId="6139DDE4" w14:textId="77777777" w:rsidR="00D972B8" w:rsidRPr="00FE0D15" w:rsidRDefault="00D972B8" w:rsidP="00D972B8">
      <w:pPr>
        <w:pStyle w:val="Default"/>
        <w:rPr>
          <w:rFonts w:ascii="Palatino Linotype" w:hAnsi="Palatino Linotype"/>
          <w:sz w:val="26"/>
          <w:szCs w:val="26"/>
        </w:rPr>
      </w:pPr>
    </w:p>
    <w:p w14:paraId="04027083" w14:textId="77777777" w:rsidR="00D972B8" w:rsidRPr="00FE0D15" w:rsidRDefault="00D972B8" w:rsidP="00D972B8">
      <w:pPr>
        <w:pStyle w:val="standard"/>
        <w:ind w:firstLine="0"/>
        <w:rPr>
          <w:rFonts w:ascii="Palatino Linotype" w:hAnsi="Palatino Linotype"/>
          <w:i/>
          <w:iCs/>
          <w:szCs w:val="26"/>
          <w:u w:val="single"/>
        </w:rPr>
      </w:pPr>
      <w:r w:rsidRPr="00FE0D15">
        <w:rPr>
          <w:rFonts w:ascii="Palatino Linotype" w:hAnsi="Palatino Linotype"/>
          <w:i/>
          <w:iCs/>
          <w:szCs w:val="26"/>
          <w:u w:val="single"/>
        </w:rPr>
        <w:t>Background on t</w:t>
      </w:r>
      <w:r w:rsidR="009B4F3E" w:rsidRPr="00FE0D15">
        <w:rPr>
          <w:rFonts w:ascii="Palatino Linotype" w:hAnsi="Palatino Linotype"/>
          <w:i/>
          <w:iCs/>
          <w:szCs w:val="26"/>
          <w:u w:val="single"/>
        </w:rPr>
        <w:t>he Carson Cogeneration Facility</w:t>
      </w:r>
    </w:p>
    <w:p w14:paraId="6CA30EA7" w14:textId="77777777" w:rsidR="00D972B8" w:rsidRPr="00FE0D15" w:rsidRDefault="00D972B8" w:rsidP="00D972B8">
      <w:pPr>
        <w:pStyle w:val="standard"/>
        <w:spacing w:line="240" w:lineRule="auto"/>
        <w:ind w:firstLine="0"/>
        <w:rPr>
          <w:rFonts w:ascii="Palatino Linotype" w:hAnsi="Palatino Linotype"/>
          <w:iCs/>
          <w:szCs w:val="26"/>
        </w:rPr>
      </w:pPr>
      <w:r w:rsidRPr="00FE0D15">
        <w:rPr>
          <w:rFonts w:ascii="Palatino Linotype" w:hAnsi="Palatino Linotype"/>
          <w:iCs/>
          <w:szCs w:val="26"/>
        </w:rPr>
        <w:t xml:space="preserve">SCE and Carson executed a Power Purchase Agreement (Legacy Contract) on June 10, 1985 for the procurement of energy and capacity from Carson for a 30-year term. The CHP Settlement required that SCE offer its CHP </w:t>
      </w:r>
      <w:r w:rsidR="00240DF8" w:rsidRPr="00FE0D15">
        <w:rPr>
          <w:rFonts w:ascii="Palatino Linotype" w:hAnsi="Palatino Linotype"/>
          <w:iCs/>
          <w:szCs w:val="26"/>
        </w:rPr>
        <w:t>contracts</w:t>
      </w:r>
      <w:r w:rsidRPr="00FE0D15">
        <w:rPr>
          <w:rFonts w:ascii="Palatino Linotype" w:hAnsi="Palatino Linotype"/>
          <w:iCs/>
          <w:szCs w:val="26"/>
        </w:rPr>
        <w:t xml:space="preserve"> the option to negotiate the terms of the pro forma Power </w:t>
      </w:r>
      <w:r w:rsidR="00240DF8" w:rsidRPr="00FE0D15">
        <w:rPr>
          <w:rFonts w:ascii="Palatino Linotype" w:hAnsi="Palatino Linotype"/>
          <w:iCs/>
          <w:szCs w:val="26"/>
        </w:rPr>
        <w:t>Purchase</w:t>
      </w:r>
      <w:r w:rsidRPr="00FE0D15">
        <w:rPr>
          <w:rFonts w:ascii="Palatino Linotype" w:hAnsi="Palatino Linotype"/>
          <w:iCs/>
          <w:szCs w:val="26"/>
        </w:rPr>
        <w:t xml:space="preserve"> </w:t>
      </w:r>
      <w:r w:rsidR="00240DF8" w:rsidRPr="00FE0D15">
        <w:rPr>
          <w:rFonts w:ascii="Palatino Linotype" w:hAnsi="Palatino Linotype"/>
          <w:iCs/>
          <w:szCs w:val="26"/>
        </w:rPr>
        <w:t>Agreement</w:t>
      </w:r>
      <w:r w:rsidRPr="00FE0D15">
        <w:rPr>
          <w:rFonts w:ascii="Palatino Linotype" w:hAnsi="Palatino Linotype"/>
          <w:iCs/>
          <w:szCs w:val="26"/>
        </w:rPr>
        <w:t xml:space="preserve"> or amend an existing Legacy Contract. </w:t>
      </w:r>
      <w:r w:rsidR="009B4F3E" w:rsidRPr="00FE0D15">
        <w:rPr>
          <w:rFonts w:ascii="Palatino Linotype" w:hAnsi="Palatino Linotype"/>
          <w:iCs/>
          <w:szCs w:val="26"/>
        </w:rPr>
        <w:t xml:space="preserve">Carson elected to enter into an amended and restated agreement, composed of an Edison Energy Institute Master Agreement to govern the terms of the transaction, a resource adequacy (RA) confirm for RA benefits, and an energy-only tolling confirm for procurement of energy and ancillary services. </w:t>
      </w:r>
    </w:p>
    <w:p w14:paraId="46761E4B" w14:textId="77777777" w:rsidR="009B4F3E" w:rsidRPr="00FE0D15" w:rsidRDefault="009B4F3E" w:rsidP="00D972B8">
      <w:pPr>
        <w:pStyle w:val="standard"/>
        <w:spacing w:line="240" w:lineRule="auto"/>
        <w:ind w:firstLine="0"/>
        <w:rPr>
          <w:rFonts w:ascii="Palatino Linotype" w:hAnsi="Palatino Linotype"/>
          <w:iCs/>
          <w:szCs w:val="26"/>
        </w:rPr>
      </w:pPr>
    </w:p>
    <w:p w14:paraId="3C750660" w14:textId="2D332EF5" w:rsidR="00183D59" w:rsidRPr="00FE0D15" w:rsidRDefault="009B4F3E" w:rsidP="00D972B8">
      <w:pPr>
        <w:pStyle w:val="standard"/>
        <w:spacing w:line="240" w:lineRule="auto"/>
        <w:ind w:firstLine="0"/>
        <w:rPr>
          <w:rFonts w:ascii="Palatino Linotype" w:hAnsi="Palatino Linotype"/>
          <w:iCs/>
          <w:szCs w:val="26"/>
        </w:rPr>
      </w:pPr>
      <w:r w:rsidRPr="00FE0D15">
        <w:rPr>
          <w:rFonts w:ascii="Palatino Linotype" w:hAnsi="Palatino Linotype"/>
          <w:iCs/>
          <w:szCs w:val="26"/>
        </w:rPr>
        <w:t xml:space="preserve">The Carson plant (the Facility) was a natural-gas fired CHP generating facility with a capacity of 48 MW located in Carson, California. Under the Legacy Contract, the Facility was required to serve the steam and electricity needs of a host entity to satisfy PURPA </w:t>
      </w:r>
      <w:r w:rsidR="00C740D1">
        <w:rPr>
          <w:rFonts w:ascii="Palatino Linotype" w:hAnsi="Palatino Linotype"/>
          <w:iCs/>
          <w:szCs w:val="26"/>
        </w:rPr>
        <w:t>Qualifying Facility (</w:t>
      </w:r>
      <w:r w:rsidRPr="00FE0D15">
        <w:rPr>
          <w:rFonts w:ascii="Palatino Linotype" w:hAnsi="Palatino Linotype"/>
          <w:iCs/>
          <w:szCs w:val="26"/>
        </w:rPr>
        <w:t>QF</w:t>
      </w:r>
      <w:r w:rsidR="00C740D1">
        <w:rPr>
          <w:rFonts w:ascii="Palatino Linotype" w:hAnsi="Palatino Linotype"/>
          <w:iCs/>
          <w:szCs w:val="26"/>
        </w:rPr>
        <w:t>)</w:t>
      </w:r>
      <w:r w:rsidRPr="00FE0D15">
        <w:rPr>
          <w:rFonts w:ascii="Palatino Linotype" w:hAnsi="Palatino Linotype"/>
          <w:iCs/>
          <w:szCs w:val="26"/>
        </w:rPr>
        <w:t xml:space="preserve"> CHP requirements. Under the terms of the new Agreement, Carson was no longer obligated to maintain its steam host and gave up its CHP capabilities, making it a combined cycle gas turbine generating facility. By transitioning fro</w:t>
      </w:r>
      <w:r w:rsidR="00021F13" w:rsidRPr="00FE0D15">
        <w:rPr>
          <w:rFonts w:ascii="Palatino Linotype" w:hAnsi="Palatino Linotype"/>
          <w:iCs/>
          <w:szCs w:val="26"/>
        </w:rPr>
        <w:t>m baseload generation to dispat</w:t>
      </w:r>
      <w:r w:rsidRPr="00FE0D15">
        <w:rPr>
          <w:rFonts w:ascii="Palatino Linotype" w:hAnsi="Palatino Linotype"/>
          <w:iCs/>
          <w:szCs w:val="26"/>
        </w:rPr>
        <w:t>chable generation</w:t>
      </w:r>
      <w:r w:rsidR="00F43DC2" w:rsidRPr="00FE0D15">
        <w:rPr>
          <w:rFonts w:ascii="Palatino Linotype" w:hAnsi="Palatino Linotype"/>
          <w:iCs/>
          <w:szCs w:val="26"/>
        </w:rPr>
        <w:t xml:space="preserve"> </w:t>
      </w:r>
      <w:r w:rsidR="002D52BD">
        <w:rPr>
          <w:rFonts w:ascii="Palatino Linotype" w:hAnsi="Palatino Linotype"/>
          <w:iCs/>
          <w:szCs w:val="26"/>
        </w:rPr>
        <w:t xml:space="preserve">and becoming a UPF </w:t>
      </w:r>
      <w:r w:rsidR="00F43DC2" w:rsidRPr="00FE0D15">
        <w:rPr>
          <w:rFonts w:ascii="Palatino Linotype" w:hAnsi="Palatino Linotype"/>
          <w:iCs/>
          <w:szCs w:val="26"/>
        </w:rPr>
        <w:t>in 2012</w:t>
      </w:r>
      <w:r w:rsidRPr="00FE0D15">
        <w:rPr>
          <w:rFonts w:ascii="Palatino Linotype" w:hAnsi="Palatino Linotype"/>
          <w:iCs/>
          <w:szCs w:val="26"/>
        </w:rPr>
        <w:t xml:space="preserve">, SCE claimed 32,563.6 metric </w:t>
      </w:r>
      <w:proofErr w:type="spellStart"/>
      <w:r w:rsidRPr="00FE0D15">
        <w:rPr>
          <w:rFonts w:ascii="Palatino Linotype" w:hAnsi="Palatino Linotype"/>
          <w:iCs/>
          <w:szCs w:val="26"/>
        </w:rPr>
        <w:t>tonnes</w:t>
      </w:r>
      <w:proofErr w:type="spellEnd"/>
      <w:r w:rsidRPr="00FE0D15">
        <w:rPr>
          <w:rFonts w:ascii="Palatino Linotype" w:hAnsi="Palatino Linotype"/>
          <w:iCs/>
          <w:szCs w:val="26"/>
        </w:rPr>
        <w:t xml:space="preserve"> (MT)</w:t>
      </w:r>
      <w:r w:rsidR="0007631F" w:rsidRPr="00FE0D15">
        <w:rPr>
          <w:rFonts w:ascii="Palatino Linotype" w:hAnsi="Palatino Linotype"/>
          <w:iCs/>
          <w:szCs w:val="26"/>
        </w:rPr>
        <w:t xml:space="preserve"> of GHG credits towards its CHP</w:t>
      </w:r>
      <w:r w:rsidRPr="00FE0D15">
        <w:rPr>
          <w:rFonts w:ascii="Palatino Linotype" w:hAnsi="Palatino Linotype"/>
          <w:iCs/>
          <w:szCs w:val="26"/>
        </w:rPr>
        <w:t xml:space="preserve"> GHG reduction targets.</w:t>
      </w:r>
    </w:p>
    <w:p w14:paraId="708276A0" w14:textId="77777777" w:rsidR="009B4F3E" w:rsidRPr="00FE0D15" w:rsidRDefault="009B4F3E" w:rsidP="00D972B8">
      <w:pPr>
        <w:pStyle w:val="standard"/>
        <w:spacing w:line="240" w:lineRule="auto"/>
        <w:ind w:firstLine="0"/>
        <w:rPr>
          <w:rFonts w:ascii="Palatino Linotype" w:hAnsi="Palatino Linotype"/>
          <w:iCs/>
          <w:szCs w:val="26"/>
        </w:rPr>
      </w:pPr>
    </w:p>
    <w:p w14:paraId="580DCB97" w14:textId="77777777" w:rsidR="009B4F3E" w:rsidRPr="00FE0D15" w:rsidRDefault="009B4F3E" w:rsidP="00D972B8">
      <w:pPr>
        <w:pStyle w:val="standard"/>
        <w:spacing w:line="240" w:lineRule="auto"/>
        <w:ind w:firstLine="0"/>
        <w:rPr>
          <w:rFonts w:ascii="Palatino Linotype" w:hAnsi="Palatino Linotype"/>
          <w:i/>
          <w:iCs/>
          <w:szCs w:val="26"/>
          <w:u w:val="single"/>
        </w:rPr>
      </w:pPr>
      <w:r w:rsidRPr="00FE0D15">
        <w:rPr>
          <w:rFonts w:ascii="Palatino Linotype" w:hAnsi="Palatino Linotype"/>
          <w:i/>
          <w:iCs/>
          <w:szCs w:val="26"/>
          <w:u w:val="single"/>
        </w:rPr>
        <w:t>Background on the Termination Agreement</w:t>
      </w:r>
    </w:p>
    <w:p w14:paraId="24483640" w14:textId="77777777" w:rsidR="009B4F3E" w:rsidRPr="00FE0D15" w:rsidRDefault="009B4F3E" w:rsidP="00D972B8">
      <w:pPr>
        <w:pStyle w:val="standard"/>
        <w:spacing w:line="240" w:lineRule="auto"/>
        <w:ind w:firstLine="0"/>
        <w:rPr>
          <w:rFonts w:ascii="Palatino Linotype" w:hAnsi="Palatino Linotype"/>
          <w:b/>
          <w:i/>
          <w:iCs/>
          <w:szCs w:val="26"/>
        </w:rPr>
      </w:pPr>
    </w:p>
    <w:p w14:paraId="0155F94A" w14:textId="70A25119" w:rsidR="009B4F3E" w:rsidRPr="00FE0D15" w:rsidRDefault="009B4F3E" w:rsidP="00D972B8">
      <w:pPr>
        <w:pStyle w:val="standard"/>
        <w:spacing w:line="240" w:lineRule="auto"/>
        <w:ind w:firstLine="0"/>
        <w:rPr>
          <w:rFonts w:ascii="Palatino Linotype" w:hAnsi="Palatino Linotype"/>
          <w:iCs/>
          <w:szCs w:val="26"/>
        </w:rPr>
      </w:pPr>
      <w:r w:rsidRPr="00FE0D15">
        <w:rPr>
          <w:rFonts w:ascii="Palatino Linotype" w:hAnsi="Palatino Linotype"/>
          <w:iCs/>
          <w:szCs w:val="26"/>
        </w:rPr>
        <w:t xml:space="preserve">SCE and Carson executed the Termination Agreement on June 1, 2017, terminating the Contract thirty-two months before the original term. SCE asserts terminating the Contract was in the best interest of ratepayers, including the cost of the termination payment, </w:t>
      </w:r>
      <w:r w:rsidR="00AD2A34" w:rsidRPr="00FE0D15">
        <w:rPr>
          <w:rFonts w:ascii="Palatino Linotype" w:hAnsi="Palatino Linotype"/>
          <w:iCs/>
          <w:szCs w:val="26"/>
        </w:rPr>
        <w:t xml:space="preserve">without accounting for GHG reduction benefits. SCE asserts it intends to seek approval for the Termination Agreement through its annual ERRA filing, and thus </w:t>
      </w:r>
      <w:r w:rsidR="0007631F" w:rsidRPr="00FE0D15">
        <w:rPr>
          <w:rFonts w:ascii="Palatino Linotype" w:hAnsi="Palatino Linotype"/>
          <w:iCs/>
          <w:szCs w:val="26"/>
        </w:rPr>
        <w:t xml:space="preserve">in AL-3681 </w:t>
      </w:r>
      <w:r w:rsidR="00AD2A34" w:rsidRPr="00FE0D15">
        <w:rPr>
          <w:rFonts w:ascii="Palatino Linotype" w:hAnsi="Palatino Linotype"/>
          <w:iCs/>
          <w:szCs w:val="26"/>
        </w:rPr>
        <w:t xml:space="preserve">only seeks Commission approval to allow SCE to claim the GHG credits associated with the incremental reduction in emissions caused by the permanent shutdown of the </w:t>
      </w:r>
      <w:r w:rsidR="0007631F" w:rsidRPr="00FE0D15">
        <w:rPr>
          <w:rFonts w:ascii="Palatino Linotype" w:hAnsi="Palatino Linotype"/>
          <w:iCs/>
          <w:szCs w:val="26"/>
        </w:rPr>
        <w:t xml:space="preserve">Facility, a </w:t>
      </w:r>
      <w:r w:rsidR="00AD2A34" w:rsidRPr="00FE0D15">
        <w:rPr>
          <w:rFonts w:ascii="Palatino Linotype" w:hAnsi="Palatino Linotype"/>
          <w:iCs/>
          <w:szCs w:val="26"/>
        </w:rPr>
        <w:t>dispatchable tolling resource.</w:t>
      </w:r>
    </w:p>
    <w:p w14:paraId="5A493CA9" w14:textId="77777777" w:rsidR="00AD2A34" w:rsidRPr="00FE0D15" w:rsidRDefault="00AD2A34" w:rsidP="00D972B8">
      <w:pPr>
        <w:pStyle w:val="standard"/>
        <w:spacing w:line="240" w:lineRule="auto"/>
        <w:ind w:firstLine="0"/>
        <w:rPr>
          <w:rFonts w:ascii="Palatino Linotype" w:hAnsi="Palatino Linotype"/>
          <w:iCs/>
          <w:szCs w:val="26"/>
        </w:rPr>
      </w:pPr>
    </w:p>
    <w:p w14:paraId="46A902C0" w14:textId="77777777" w:rsidR="00AD2A34" w:rsidRPr="00FE0D15" w:rsidRDefault="00AD2A34" w:rsidP="00D972B8">
      <w:pPr>
        <w:pStyle w:val="standard"/>
        <w:spacing w:line="240" w:lineRule="auto"/>
        <w:ind w:firstLine="0"/>
        <w:rPr>
          <w:rFonts w:ascii="Palatino Linotype" w:hAnsi="Palatino Linotype"/>
          <w:i/>
          <w:iCs/>
          <w:szCs w:val="26"/>
          <w:u w:val="single"/>
        </w:rPr>
      </w:pPr>
      <w:r w:rsidRPr="00FE0D15">
        <w:rPr>
          <w:rFonts w:ascii="Palatino Linotype" w:hAnsi="Palatino Linotype"/>
          <w:i/>
          <w:iCs/>
          <w:szCs w:val="26"/>
          <w:u w:val="single"/>
        </w:rPr>
        <w:t>Settlement Accounting for CHP Procurement and GHG Emissions Reduction Target</w:t>
      </w:r>
    </w:p>
    <w:p w14:paraId="5CDB5F82" w14:textId="77777777" w:rsidR="00AD2A34" w:rsidRPr="00FE0D15" w:rsidRDefault="00AD2A34" w:rsidP="00D972B8">
      <w:pPr>
        <w:pStyle w:val="standard"/>
        <w:spacing w:line="240" w:lineRule="auto"/>
        <w:ind w:firstLine="0"/>
        <w:rPr>
          <w:rFonts w:ascii="Palatino Linotype" w:hAnsi="Palatino Linotype"/>
          <w:i/>
          <w:iCs/>
          <w:szCs w:val="26"/>
          <w:u w:val="single"/>
        </w:rPr>
      </w:pPr>
    </w:p>
    <w:p w14:paraId="7475B391" w14:textId="1C4DE890" w:rsidR="00240DF8" w:rsidRPr="00FE0D15" w:rsidRDefault="00AD2A34" w:rsidP="00DE63E2">
      <w:pPr>
        <w:pStyle w:val="standard"/>
        <w:spacing w:line="240" w:lineRule="auto"/>
        <w:ind w:firstLine="0"/>
        <w:rPr>
          <w:rFonts w:ascii="Palatino Linotype" w:hAnsi="Palatino Linotype"/>
        </w:rPr>
      </w:pPr>
      <w:r w:rsidRPr="00FE0D15">
        <w:rPr>
          <w:rFonts w:ascii="Palatino Linotype" w:hAnsi="Palatino Linotype"/>
          <w:iCs/>
          <w:szCs w:val="26"/>
        </w:rPr>
        <w:t xml:space="preserve">SCE calculated </w:t>
      </w:r>
      <w:r w:rsidR="00900A1A">
        <w:rPr>
          <w:rFonts w:ascii="Palatino Linotype" w:hAnsi="Palatino Linotype"/>
          <w:iCs/>
          <w:szCs w:val="26"/>
        </w:rPr>
        <w:t>whether the Facility was efficient or inefficient</w:t>
      </w:r>
      <w:r w:rsidRPr="00FE0D15">
        <w:rPr>
          <w:rFonts w:ascii="Palatino Linotype" w:hAnsi="Palatino Linotype"/>
          <w:iCs/>
          <w:szCs w:val="26"/>
        </w:rPr>
        <w:t xml:space="preserve"> </w:t>
      </w:r>
      <w:r w:rsidR="00900A1A">
        <w:rPr>
          <w:rFonts w:ascii="Palatino Linotype" w:hAnsi="Palatino Linotype"/>
          <w:iCs/>
          <w:szCs w:val="26"/>
        </w:rPr>
        <w:t>compared to the Double Benchmark Heat Rate (8,300 Btu/kW-hr.) and determined that Carson was ‘inefficient’.</w:t>
      </w:r>
    </w:p>
    <w:p w14:paraId="6276AA20" w14:textId="77777777" w:rsidR="00DF35CC" w:rsidRPr="00FE0D15" w:rsidRDefault="00DF35CC">
      <w:pPr>
        <w:rPr>
          <w:rFonts w:ascii="Palatino Linotype" w:hAnsi="Palatino Linotype"/>
          <w:b/>
          <w:u w:val="single"/>
        </w:rPr>
      </w:pPr>
    </w:p>
    <w:p w14:paraId="7D697AF1" w14:textId="39E7C3EA" w:rsidR="00240DF8" w:rsidRDefault="00240DF8">
      <w:pPr>
        <w:rPr>
          <w:rFonts w:ascii="Palatino Linotype" w:hAnsi="Palatino Linotype"/>
        </w:rPr>
      </w:pPr>
      <w:r w:rsidRPr="00FE0D15">
        <w:rPr>
          <w:rFonts w:ascii="Palatino Linotype" w:hAnsi="Palatino Linotype"/>
        </w:rPr>
        <w:t xml:space="preserve">SCE notes that Carson had given up its thermal need in 2013 and had been operating as a dispatchable combined cycle gas-fired generating facility. </w:t>
      </w:r>
      <w:r w:rsidR="00900A1A">
        <w:rPr>
          <w:rFonts w:ascii="Palatino Linotype" w:hAnsi="Palatino Linotype"/>
        </w:rPr>
        <w:t xml:space="preserve">As Carson had no thermal need, </w:t>
      </w:r>
      <w:r w:rsidRPr="00FE0D15">
        <w:rPr>
          <w:rFonts w:ascii="Palatino Linotype" w:hAnsi="Palatino Linotype"/>
        </w:rPr>
        <w:t xml:space="preserve">SCE then references Section 7.3.1.4.2 of the Settlement Agreement, describing Carson as </w:t>
      </w:r>
      <w:proofErr w:type="gramStart"/>
      <w:r w:rsidRPr="00FE0D15">
        <w:rPr>
          <w:rFonts w:ascii="Palatino Linotype" w:hAnsi="Palatino Linotype"/>
        </w:rPr>
        <w:t>similar to</w:t>
      </w:r>
      <w:proofErr w:type="gramEnd"/>
      <w:r w:rsidRPr="00FE0D15">
        <w:rPr>
          <w:rFonts w:ascii="Palatino Linotype" w:hAnsi="Palatino Linotype"/>
        </w:rPr>
        <w:t xml:space="preserve"> other facilities “whose thermal need no longer continues:”</w:t>
      </w:r>
    </w:p>
    <w:p w14:paraId="0B53B8C9" w14:textId="77777777" w:rsidR="00900A1A" w:rsidRPr="00FE0D15" w:rsidRDefault="00900A1A">
      <w:pPr>
        <w:rPr>
          <w:rFonts w:ascii="Palatino Linotype" w:hAnsi="Palatino Linotype"/>
        </w:rPr>
      </w:pPr>
    </w:p>
    <w:p w14:paraId="529E7047" w14:textId="77777777" w:rsidR="00240DF8" w:rsidRPr="00FE0D15" w:rsidRDefault="00240DF8" w:rsidP="00240DF8">
      <w:pPr>
        <w:ind w:left="720"/>
        <w:rPr>
          <w:rFonts w:ascii="Palatino Linotype" w:hAnsi="Palatino Linotype"/>
        </w:rPr>
      </w:pPr>
      <w:r w:rsidRPr="00FE0D15">
        <w:rPr>
          <w:rFonts w:ascii="Palatino Linotype" w:hAnsi="Palatino Linotype"/>
        </w:rPr>
        <w:t>[M]</w:t>
      </w:r>
      <w:proofErr w:type="spellStart"/>
      <w:r w:rsidRPr="00FE0D15">
        <w:rPr>
          <w:rFonts w:ascii="Palatino Linotype" w:hAnsi="Palatino Linotype"/>
        </w:rPr>
        <w:t>easurement</w:t>
      </w:r>
      <w:proofErr w:type="spellEnd"/>
      <w:r w:rsidRPr="00FE0D15">
        <w:rPr>
          <w:rFonts w:ascii="Palatino Linotype" w:hAnsi="Palatino Linotype"/>
        </w:rPr>
        <w:t xml:space="preserve"> is based on the Baseline year emissions minus the projected PPA emissions and emissions associated with replacing one hundred percent (100%) of the decreased electric generation at a time differentiated Heat Rate. The baseline year emissions are the average of the previous two (2) calendar years of operational data.</w:t>
      </w:r>
    </w:p>
    <w:p w14:paraId="23463008" w14:textId="77777777" w:rsidR="00240DF8" w:rsidRPr="00FE0D15" w:rsidRDefault="00240DF8" w:rsidP="00240DF8">
      <w:pPr>
        <w:rPr>
          <w:rFonts w:ascii="Palatino Linotype" w:hAnsi="Palatino Linotype"/>
        </w:rPr>
      </w:pPr>
    </w:p>
    <w:p w14:paraId="56AD6D62" w14:textId="77777777" w:rsidR="00240DF8" w:rsidRPr="00FE0D15" w:rsidRDefault="00240DF8" w:rsidP="00240DF8">
      <w:pPr>
        <w:rPr>
          <w:rFonts w:ascii="Palatino Linotype" w:hAnsi="Palatino Linotype"/>
        </w:rPr>
      </w:pPr>
      <w:r w:rsidRPr="00FE0D15">
        <w:rPr>
          <w:rFonts w:ascii="Palatino Linotype" w:hAnsi="Palatino Linotype"/>
        </w:rPr>
        <w:t>After performing this calculation, SCE determined that the Termination Agreement contributes 1,682 MT of GHG Credit towards their target.</w:t>
      </w:r>
      <w:r w:rsidR="00183D59" w:rsidRPr="00FE0D15">
        <w:rPr>
          <w:rFonts w:ascii="Palatino Linotype" w:hAnsi="Palatino Linotype"/>
        </w:rPr>
        <w:t xml:space="preserve"> </w:t>
      </w:r>
    </w:p>
    <w:p w14:paraId="564A3792" w14:textId="77777777" w:rsidR="00F43DC2" w:rsidRPr="00FE0D15" w:rsidRDefault="00F43DC2" w:rsidP="00240DF8">
      <w:pPr>
        <w:rPr>
          <w:rFonts w:ascii="Palatino Linotype" w:hAnsi="Palatino Linotype"/>
        </w:rPr>
      </w:pPr>
    </w:p>
    <w:p w14:paraId="7842B640" w14:textId="77777777" w:rsidR="00F43DC2" w:rsidRPr="00FE0D15" w:rsidRDefault="00F43DC2" w:rsidP="00F43DC2">
      <w:pPr>
        <w:pStyle w:val="standard"/>
        <w:spacing w:line="240" w:lineRule="auto"/>
        <w:ind w:firstLine="0"/>
        <w:rPr>
          <w:rFonts w:ascii="Palatino Linotype" w:hAnsi="Palatino Linotype"/>
          <w:iCs/>
          <w:szCs w:val="26"/>
        </w:rPr>
      </w:pPr>
      <w:proofErr w:type="gramStart"/>
      <w:r w:rsidRPr="00FE0D15">
        <w:rPr>
          <w:rFonts w:ascii="Palatino Linotype" w:hAnsi="Palatino Linotype"/>
          <w:iCs/>
          <w:szCs w:val="26"/>
        </w:rPr>
        <w:t>In the course of</w:t>
      </w:r>
      <w:proofErr w:type="gramEnd"/>
      <w:r w:rsidRPr="00FE0D15">
        <w:rPr>
          <w:rFonts w:ascii="Palatino Linotype" w:hAnsi="Palatino Linotype"/>
          <w:iCs/>
          <w:szCs w:val="26"/>
        </w:rPr>
        <w:t xml:space="preserve"> reviewing its workpapers</w:t>
      </w:r>
      <w:r w:rsidR="00AC4B33" w:rsidRPr="00FE0D15">
        <w:rPr>
          <w:rFonts w:ascii="Palatino Linotype" w:hAnsi="Palatino Linotype"/>
          <w:iCs/>
          <w:szCs w:val="26"/>
        </w:rPr>
        <w:t xml:space="preserve"> and after the submission of AL 3681</w:t>
      </w:r>
      <w:r w:rsidRPr="00FE0D15">
        <w:rPr>
          <w:rFonts w:ascii="Palatino Linotype" w:hAnsi="Palatino Linotype"/>
          <w:iCs/>
          <w:szCs w:val="26"/>
        </w:rPr>
        <w:t>, SCE realized that it needed to revise the GHG emissions reductions resulting from the Termination Agreement.</w:t>
      </w:r>
      <w:r w:rsidR="00AC4B33" w:rsidRPr="00FE0D15">
        <w:rPr>
          <w:rFonts w:ascii="Palatino Linotype" w:hAnsi="Palatino Linotype"/>
          <w:iCs/>
          <w:szCs w:val="26"/>
        </w:rPr>
        <w:t xml:space="preserve"> On February 28, 2018, SCE submitted a supplemental filing to AL 3681</w:t>
      </w:r>
      <w:r w:rsidR="003B0F58" w:rsidRPr="00FE0D15">
        <w:rPr>
          <w:rFonts w:ascii="Palatino Linotype" w:hAnsi="Palatino Linotype"/>
          <w:iCs/>
          <w:szCs w:val="26"/>
        </w:rPr>
        <w:t xml:space="preserve"> revising its GHG emissions reductions Credit to 1,488 MT</w:t>
      </w:r>
      <w:r w:rsidR="00AC4B33" w:rsidRPr="00FE0D15">
        <w:rPr>
          <w:rFonts w:ascii="Palatino Linotype" w:hAnsi="Palatino Linotype"/>
          <w:iCs/>
          <w:szCs w:val="26"/>
        </w:rPr>
        <w:t>.</w:t>
      </w:r>
    </w:p>
    <w:p w14:paraId="3256A9C4" w14:textId="77777777" w:rsidR="00F43DC2" w:rsidRPr="00FE0D15" w:rsidRDefault="00F43DC2" w:rsidP="00240DF8">
      <w:pPr>
        <w:rPr>
          <w:rFonts w:ascii="Palatino Linotype" w:hAnsi="Palatino Linotype"/>
        </w:rPr>
      </w:pPr>
    </w:p>
    <w:p w14:paraId="41BB8910" w14:textId="77777777" w:rsidR="00CF17DE" w:rsidRPr="00FE0D15" w:rsidRDefault="00394B3A">
      <w:pPr>
        <w:pStyle w:val="Heading1"/>
        <w:rPr>
          <w:rFonts w:ascii="Palatino Linotype" w:hAnsi="Palatino Linotype"/>
        </w:rPr>
      </w:pPr>
      <w:r w:rsidRPr="00FE0D15">
        <w:rPr>
          <w:rFonts w:ascii="Palatino Linotype" w:hAnsi="Palatino Linotype"/>
        </w:rPr>
        <w:t>Notice</w:t>
      </w:r>
    </w:p>
    <w:p w14:paraId="528601E1" w14:textId="77777777" w:rsidR="00CF17DE" w:rsidRPr="00FE0D15" w:rsidRDefault="00CF17DE">
      <w:pPr>
        <w:rPr>
          <w:rFonts w:ascii="Palatino Linotype" w:hAnsi="Palatino Linotype"/>
        </w:rPr>
      </w:pPr>
      <w:r w:rsidRPr="00FE0D15">
        <w:rPr>
          <w:rFonts w:ascii="Palatino Linotype" w:hAnsi="Palatino Linotype"/>
        </w:rPr>
        <w:t xml:space="preserve">Notice of AL </w:t>
      </w:r>
      <w:r w:rsidR="00240DF8" w:rsidRPr="00FE0D15">
        <w:rPr>
          <w:rFonts w:ascii="Palatino Linotype" w:hAnsi="Palatino Linotype"/>
        </w:rPr>
        <w:t>3681-E</w:t>
      </w:r>
      <w:r w:rsidRPr="00FE0D15">
        <w:rPr>
          <w:rFonts w:ascii="Palatino Linotype" w:hAnsi="Palatino Linotype"/>
        </w:rPr>
        <w:t xml:space="preserve"> was made by publication in the Commission’s</w:t>
      </w:r>
      <w:r w:rsidR="00240DF8" w:rsidRPr="00FE0D15">
        <w:rPr>
          <w:rFonts w:ascii="Palatino Linotype" w:hAnsi="Palatino Linotype"/>
        </w:rPr>
        <w:t xml:space="preserve"> Daily Calendar.  Southern California Edison</w:t>
      </w:r>
      <w:r w:rsidRPr="00FE0D15">
        <w:rPr>
          <w:rFonts w:ascii="Palatino Linotype" w:hAnsi="Palatino Linotype"/>
        </w:rPr>
        <w:t xml:space="preserve"> states that a copy of the Advice Letter was mailed and distributed in accordance with Sec</w:t>
      </w:r>
      <w:r w:rsidR="00A1526C" w:rsidRPr="00FE0D15">
        <w:rPr>
          <w:rFonts w:ascii="Palatino Linotype" w:hAnsi="Palatino Linotype"/>
        </w:rPr>
        <w:t xml:space="preserve">tion </w:t>
      </w:r>
      <w:r w:rsidR="0069631C" w:rsidRPr="00FE0D15">
        <w:rPr>
          <w:rFonts w:ascii="Palatino Linotype" w:hAnsi="Palatino Linotype"/>
        </w:rPr>
        <w:t>4</w:t>
      </w:r>
      <w:r w:rsidR="00E928CF" w:rsidRPr="00FE0D15">
        <w:rPr>
          <w:rFonts w:ascii="Palatino Linotype" w:hAnsi="Palatino Linotype"/>
        </w:rPr>
        <w:t xml:space="preserve"> of General Order 96-B</w:t>
      </w:r>
      <w:r w:rsidRPr="00FE0D15">
        <w:rPr>
          <w:rFonts w:ascii="Palatino Linotype" w:hAnsi="Palatino Linotype"/>
        </w:rPr>
        <w:t xml:space="preserve">. </w:t>
      </w:r>
    </w:p>
    <w:p w14:paraId="7A02F11F" w14:textId="77777777" w:rsidR="00CF17DE" w:rsidRPr="00FE0D15" w:rsidRDefault="00CF17DE">
      <w:pPr>
        <w:rPr>
          <w:rFonts w:ascii="Palatino Linotype" w:hAnsi="Palatino Linotype"/>
        </w:rPr>
      </w:pPr>
    </w:p>
    <w:p w14:paraId="5DE9310A" w14:textId="77777777" w:rsidR="00CF17DE" w:rsidRPr="00FE0D15" w:rsidRDefault="00CF17DE">
      <w:pPr>
        <w:pStyle w:val="Heading1"/>
        <w:rPr>
          <w:rFonts w:ascii="Palatino Linotype" w:hAnsi="Palatino Linotype"/>
        </w:rPr>
      </w:pPr>
      <w:r w:rsidRPr="00FE0D15">
        <w:rPr>
          <w:rFonts w:ascii="Palatino Linotype" w:hAnsi="Palatino Linotype"/>
        </w:rPr>
        <w:t>Protests</w:t>
      </w:r>
    </w:p>
    <w:p w14:paraId="560B335C" w14:textId="77777777" w:rsidR="00CF17DE" w:rsidRPr="00FE0D15" w:rsidRDefault="00240DF8">
      <w:pPr>
        <w:rPr>
          <w:rFonts w:ascii="Palatino Linotype" w:hAnsi="Palatino Linotype"/>
        </w:rPr>
      </w:pPr>
      <w:r w:rsidRPr="00FE0D15">
        <w:rPr>
          <w:rFonts w:ascii="Palatino Linotype" w:hAnsi="Palatino Linotype"/>
        </w:rPr>
        <w:t>Advice Letter 3681-E</w:t>
      </w:r>
      <w:r w:rsidR="00CF17DE" w:rsidRPr="00FE0D15">
        <w:rPr>
          <w:rFonts w:ascii="Palatino Linotype" w:hAnsi="Palatino Linotype"/>
        </w:rPr>
        <w:t xml:space="preserve"> was protested.  </w:t>
      </w:r>
    </w:p>
    <w:p w14:paraId="06BE2B63" w14:textId="77777777" w:rsidR="00CF17DE" w:rsidRPr="00FE0D15" w:rsidRDefault="00CF17DE">
      <w:pPr>
        <w:rPr>
          <w:rFonts w:ascii="Palatino Linotype" w:hAnsi="Palatino Linotype"/>
        </w:rPr>
      </w:pPr>
    </w:p>
    <w:p w14:paraId="48933C12" w14:textId="77777777" w:rsidR="00664EE2" w:rsidRPr="00FE0D15" w:rsidRDefault="00664EE2">
      <w:pPr>
        <w:rPr>
          <w:rFonts w:ascii="Palatino Linotype" w:hAnsi="Palatino Linotype"/>
          <w:i/>
          <w:u w:val="single"/>
        </w:rPr>
      </w:pPr>
      <w:r w:rsidRPr="00FE0D15">
        <w:rPr>
          <w:rFonts w:ascii="Palatino Linotype" w:hAnsi="Palatino Linotype"/>
          <w:i/>
          <w:u w:val="single"/>
        </w:rPr>
        <w:t>ORA’s Protest</w:t>
      </w:r>
    </w:p>
    <w:p w14:paraId="537466D7" w14:textId="77777777" w:rsidR="00664EE2" w:rsidRPr="00FE0D15" w:rsidRDefault="00664EE2">
      <w:pPr>
        <w:rPr>
          <w:rFonts w:ascii="Palatino Linotype" w:hAnsi="Palatino Linotype"/>
        </w:rPr>
      </w:pPr>
    </w:p>
    <w:p w14:paraId="339A19F4" w14:textId="77777777" w:rsidR="00BD2CDB" w:rsidRPr="00FE0D15" w:rsidRDefault="00240DF8">
      <w:pPr>
        <w:rPr>
          <w:rFonts w:ascii="Palatino Linotype" w:hAnsi="Palatino Linotype"/>
        </w:rPr>
      </w:pPr>
      <w:r w:rsidRPr="00FE0D15">
        <w:rPr>
          <w:rFonts w:ascii="Palatino Linotype" w:hAnsi="Palatino Linotype"/>
        </w:rPr>
        <w:t>SCE’s Advice Letter 3681-</w:t>
      </w:r>
      <w:r w:rsidR="00BD2CDB" w:rsidRPr="00FE0D15">
        <w:rPr>
          <w:rFonts w:ascii="Palatino Linotype" w:hAnsi="Palatino Linotype"/>
        </w:rPr>
        <w:t>E</w:t>
      </w:r>
      <w:r w:rsidRPr="00FE0D15">
        <w:rPr>
          <w:rFonts w:ascii="Palatino Linotype" w:hAnsi="Palatino Linotype"/>
        </w:rPr>
        <w:t xml:space="preserve"> </w:t>
      </w:r>
      <w:r w:rsidR="00CF17DE" w:rsidRPr="00FE0D15">
        <w:rPr>
          <w:rFonts w:ascii="Palatino Linotype" w:hAnsi="Palatino Linotype"/>
        </w:rPr>
        <w:t>was timely</w:t>
      </w:r>
      <w:r w:rsidRPr="00FE0D15">
        <w:rPr>
          <w:rFonts w:ascii="Palatino Linotype" w:hAnsi="Palatino Linotype"/>
        </w:rPr>
        <w:t xml:space="preserve"> protested by the Office of Ratepayer Advocates (ORA)</w:t>
      </w:r>
      <w:r w:rsidR="00BD2CDB" w:rsidRPr="00FE0D15">
        <w:rPr>
          <w:rFonts w:ascii="Palatino Linotype" w:hAnsi="Palatino Linotype"/>
        </w:rPr>
        <w:t>, filed on November 14, 2017. In</w:t>
      </w:r>
      <w:r w:rsidR="003B0F58" w:rsidRPr="00FE0D15">
        <w:rPr>
          <w:rFonts w:ascii="Palatino Linotype" w:hAnsi="Palatino Linotype"/>
        </w:rPr>
        <w:t xml:space="preserve"> its </w:t>
      </w:r>
      <w:r w:rsidR="00BD2CDB" w:rsidRPr="00FE0D15">
        <w:rPr>
          <w:rFonts w:ascii="Palatino Linotype" w:hAnsi="Palatino Linotype"/>
        </w:rPr>
        <w:t xml:space="preserve">protest, ORA raised two main </w:t>
      </w:r>
      <w:r w:rsidR="003B0F58" w:rsidRPr="00FE0D15">
        <w:rPr>
          <w:rFonts w:ascii="Palatino Linotype" w:hAnsi="Palatino Linotype"/>
        </w:rPr>
        <w:t>issues</w:t>
      </w:r>
      <w:r w:rsidR="00BD2CDB" w:rsidRPr="00FE0D15">
        <w:rPr>
          <w:rFonts w:ascii="Palatino Linotype" w:hAnsi="Palatino Linotype"/>
        </w:rPr>
        <w:t>:</w:t>
      </w:r>
    </w:p>
    <w:p w14:paraId="39E262EF" w14:textId="77777777" w:rsidR="00C3326E" w:rsidRPr="00FE0D15" w:rsidRDefault="00C3326E">
      <w:pPr>
        <w:rPr>
          <w:rFonts w:ascii="Palatino Linotype" w:hAnsi="Palatino Linotype"/>
        </w:rPr>
      </w:pPr>
    </w:p>
    <w:p w14:paraId="3CFA34A1" w14:textId="77777777" w:rsidR="00BD2CDB" w:rsidRPr="00FE0D15" w:rsidRDefault="00FE0131" w:rsidP="00BD2CDB">
      <w:pPr>
        <w:pStyle w:val="ListParagraph"/>
        <w:numPr>
          <w:ilvl w:val="0"/>
          <w:numId w:val="6"/>
        </w:numPr>
        <w:rPr>
          <w:rFonts w:ascii="Palatino Linotype" w:hAnsi="Palatino Linotype"/>
        </w:rPr>
      </w:pPr>
      <w:r w:rsidRPr="00FE0D15">
        <w:rPr>
          <w:rFonts w:ascii="Palatino Linotype" w:hAnsi="Palatino Linotype"/>
        </w:rPr>
        <w:t xml:space="preserve">Whether </w:t>
      </w:r>
      <w:r w:rsidR="00BD2CDB" w:rsidRPr="00FE0D15">
        <w:rPr>
          <w:rFonts w:ascii="Palatino Linotype" w:hAnsi="Palatino Linotype"/>
        </w:rPr>
        <w:t>SCE demonstrates that Carson met the definition of a CHP Facility at the time of the Termination Agreement</w:t>
      </w:r>
      <w:r w:rsidR="003B0F58" w:rsidRPr="00FE0D15">
        <w:rPr>
          <w:rFonts w:ascii="Palatino Linotype" w:hAnsi="Palatino Linotype"/>
        </w:rPr>
        <w:t>.</w:t>
      </w:r>
    </w:p>
    <w:p w14:paraId="65C1DB1A" w14:textId="07304BD6" w:rsidR="00BD2CDB" w:rsidRPr="00FE0D15" w:rsidRDefault="00EA182E" w:rsidP="00BD2CDB">
      <w:pPr>
        <w:pStyle w:val="ListParagraph"/>
        <w:numPr>
          <w:ilvl w:val="0"/>
          <w:numId w:val="6"/>
        </w:numPr>
        <w:rPr>
          <w:rFonts w:ascii="Palatino Linotype" w:hAnsi="Palatino Linotype"/>
        </w:rPr>
      </w:pPr>
      <w:r>
        <w:rPr>
          <w:rFonts w:ascii="Palatino Linotype" w:hAnsi="Palatino Linotype"/>
        </w:rPr>
        <w:t xml:space="preserve">Whether </w:t>
      </w:r>
      <w:r w:rsidR="00BD2CDB" w:rsidRPr="00FE0D15">
        <w:rPr>
          <w:rFonts w:ascii="Palatino Linotype" w:hAnsi="Palatino Linotype"/>
        </w:rPr>
        <w:t xml:space="preserve">SCE </w:t>
      </w:r>
      <w:r w:rsidR="00FE0131" w:rsidRPr="00FE0D15">
        <w:rPr>
          <w:rFonts w:ascii="Palatino Linotype" w:hAnsi="Palatino Linotype"/>
        </w:rPr>
        <w:t>correctly calculated its GHG Credit</w:t>
      </w:r>
      <w:r w:rsidR="00BD2CDB" w:rsidRPr="00FE0D15">
        <w:rPr>
          <w:rFonts w:ascii="Palatino Linotype" w:hAnsi="Palatino Linotype"/>
        </w:rPr>
        <w:t>, using the heat rate required by the Settlement Agreement Term Sheet.</w:t>
      </w:r>
    </w:p>
    <w:p w14:paraId="58FF73BF" w14:textId="77777777" w:rsidR="00BD2CDB" w:rsidRPr="00FE0D15" w:rsidRDefault="00BD2CDB" w:rsidP="00BD2CDB">
      <w:pPr>
        <w:rPr>
          <w:rFonts w:ascii="Palatino Linotype" w:hAnsi="Palatino Linotype"/>
        </w:rPr>
      </w:pPr>
    </w:p>
    <w:p w14:paraId="5B085787" w14:textId="3E3516E2" w:rsidR="00BD2CDB" w:rsidRPr="00FE0D15" w:rsidRDefault="00C3326E" w:rsidP="00BD2CDB">
      <w:pPr>
        <w:rPr>
          <w:rFonts w:ascii="Palatino Linotype" w:hAnsi="Palatino Linotype"/>
        </w:rPr>
      </w:pPr>
      <w:r w:rsidRPr="00FE0D15">
        <w:rPr>
          <w:rFonts w:ascii="Palatino Linotype" w:hAnsi="Palatino Linotype"/>
        </w:rPr>
        <w:t>On the first point, ORA notes that SCE is claiming GHG Credits towards its CHP GHG Emissions Reduction Target from shutting do</w:t>
      </w:r>
      <w:r w:rsidR="0007631F" w:rsidRPr="00FE0D15">
        <w:rPr>
          <w:rFonts w:ascii="Palatino Linotype" w:hAnsi="Palatino Linotype"/>
        </w:rPr>
        <w:t>wn an existing inefficient CHP f</w:t>
      </w:r>
      <w:r w:rsidRPr="00FE0D15">
        <w:rPr>
          <w:rFonts w:ascii="Palatino Linotype" w:hAnsi="Palatino Linotype"/>
        </w:rPr>
        <w:t>acility</w:t>
      </w:r>
      <w:r w:rsidR="00527CCD" w:rsidRPr="00FE0D15">
        <w:rPr>
          <w:rFonts w:ascii="Palatino Linotype" w:hAnsi="Palatino Linotype"/>
        </w:rPr>
        <w:t>. ORA notes that</w:t>
      </w:r>
      <w:r w:rsidR="0007631F" w:rsidRPr="00FE0D15">
        <w:rPr>
          <w:rFonts w:ascii="Palatino Linotype" w:hAnsi="Palatino Linotype"/>
        </w:rPr>
        <w:t xml:space="preserve"> Carson would have to be a CHP f</w:t>
      </w:r>
      <w:r w:rsidR="00527CCD" w:rsidRPr="00FE0D15">
        <w:rPr>
          <w:rFonts w:ascii="Palatino Linotype" w:hAnsi="Palatino Linotype"/>
        </w:rPr>
        <w:t xml:space="preserve">acility </w:t>
      </w:r>
      <w:proofErr w:type="gramStart"/>
      <w:r w:rsidR="00527CCD" w:rsidRPr="00FE0D15">
        <w:rPr>
          <w:rFonts w:ascii="Palatino Linotype" w:hAnsi="Palatino Linotype"/>
        </w:rPr>
        <w:t>in order for</w:t>
      </w:r>
      <w:proofErr w:type="gramEnd"/>
      <w:r w:rsidR="00527CCD" w:rsidRPr="00FE0D15">
        <w:rPr>
          <w:rFonts w:ascii="Palatino Linotype" w:hAnsi="Palatino Linotype"/>
        </w:rPr>
        <w:t xml:space="preserve"> its termination to qualify. Carson has not </w:t>
      </w:r>
      <w:proofErr w:type="gramStart"/>
      <w:r w:rsidR="00527CCD" w:rsidRPr="00FE0D15">
        <w:rPr>
          <w:rFonts w:ascii="Palatino Linotype" w:hAnsi="Palatino Linotype"/>
        </w:rPr>
        <w:t>have</w:t>
      </w:r>
      <w:proofErr w:type="gramEnd"/>
      <w:r w:rsidR="00527CCD" w:rsidRPr="00FE0D15">
        <w:rPr>
          <w:rFonts w:ascii="Palatino Linotype" w:hAnsi="Palatino Linotype"/>
        </w:rPr>
        <w:t xml:space="preserve"> any useful thermal output since 2013, and</w:t>
      </w:r>
      <w:r w:rsidR="00900A1A">
        <w:rPr>
          <w:rFonts w:ascii="Palatino Linotype" w:hAnsi="Palatino Linotype"/>
        </w:rPr>
        <w:t xml:space="preserve"> ORA states</w:t>
      </w:r>
      <w:r w:rsidR="00527CCD" w:rsidRPr="00FE0D15">
        <w:rPr>
          <w:rFonts w:ascii="Palatino Linotype" w:hAnsi="Palatino Linotype"/>
        </w:rPr>
        <w:t xml:space="preserve"> it is unclear whether Carso</w:t>
      </w:r>
      <w:r w:rsidR="0007631F" w:rsidRPr="00FE0D15">
        <w:rPr>
          <w:rFonts w:ascii="Palatino Linotype" w:hAnsi="Palatino Linotype"/>
        </w:rPr>
        <w:t>n met the definition of a CHP f</w:t>
      </w:r>
      <w:r w:rsidR="00527CCD" w:rsidRPr="00FE0D15">
        <w:rPr>
          <w:rFonts w:ascii="Palatino Linotype" w:hAnsi="Palatino Linotype"/>
        </w:rPr>
        <w:t>acility at the time of the shutdown. As directed in the Settlement, ORA recommends that SCE demonstrate that Carson met t</w:t>
      </w:r>
      <w:r w:rsidR="0007631F" w:rsidRPr="00FE0D15">
        <w:rPr>
          <w:rFonts w:ascii="Palatino Linotype" w:hAnsi="Palatino Linotype"/>
        </w:rPr>
        <w:t>he federal definition of a CHP f</w:t>
      </w:r>
      <w:r w:rsidR="00527CCD" w:rsidRPr="00FE0D15">
        <w:rPr>
          <w:rFonts w:ascii="Palatino Linotype" w:hAnsi="Palatino Linotype"/>
        </w:rPr>
        <w:t>acility under 18 C.F.R. §292.205.</w:t>
      </w:r>
    </w:p>
    <w:p w14:paraId="6A12BA85" w14:textId="77777777" w:rsidR="00BD2CDB" w:rsidRPr="00FE0D15" w:rsidRDefault="00BD2CDB" w:rsidP="00BD2CDB">
      <w:pPr>
        <w:rPr>
          <w:rFonts w:ascii="Palatino Linotype" w:hAnsi="Palatino Linotype"/>
        </w:rPr>
      </w:pPr>
    </w:p>
    <w:p w14:paraId="6B8A7068" w14:textId="77777777" w:rsidR="00BD2CDB" w:rsidRPr="00FE0D15" w:rsidRDefault="00664EE2" w:rsidP="00BD2CDB">
      <w:pPr>
        <w:rPr>
          <w:rFonts w:ascii="Palatino Linotype" w:hAnsi="Palatino Linotype"/>
        </w:rPr>
      </w:pPr>
      <w:r w:rsidRPr="00FE0D15">
        <w:rPr>
          <w:rFonts w:ascii="Palatino Linotype" w:hAnsi="Palatino Linotype"/>
        </w:rPr>
        <w:t>Secondly, ORA</w:t>
      </w:r>
      <w:r w:rsidR="00BD2CDB" w:rsidRPr="00FE0D15">
        <w:rPr>
          <w:rFonts w:ascii="Palatino Linotype" w:hAnsi="Palatino Linotype"/>
        </w:rPr>
        <w:t xml:space="preserve"> protests </w:t>
      </w:r>
      <w:r w:rsidRPr="00FE0D15">
        <w:rPr>
          <w:rFonts w:ascii="Palatino Linotype" w:hAnsi="Palatino Linotype"/>
        </w:rPr>
        <w:t>that</w:t>
      </w:r>
      <w:r w:rsidR="00BD2CDB" w:rsidRPr="00FE0D15">
        <w:rPr>
          <w:rFonts w:ascii="Palatino Linotype" w:hAnsi="Palatino Linotype"/>
        </w:rPr>
        <w:t xml:space="preserve"> SCE uses a Heat Rate that deviates from what is required by the CHP Program Settlement Agreement. According to this theory, SCE is seeking a different number of GHG Credits than that yielded by the calculations based on the Term Sheet value of 8,300 Btu/kWh. ORA recommends that if SCE cannot justify using a different heat rate, SCE should comply with the GHG Emission Accounting Methodology as defined in the Term Sheet.</w:t>
      </w:r>
    </w:p>
    <w:p w14:paraId="39073BCB" w14:textId="77777777" w:rsidR="00CF17DE" w:rsidRPr="00FE0D15" w:rsidRDefault="00CF17DE">
      <w:pPr>
        <w:rPr>
          <w:rFonts w:ascii="Palatino Linotype" w:hAnsi="Palatino Linotype"/>
        </w:rPr>
      </w:pPr>
    </w:p>
    <w:p w14:paraId="658DB7E1" w14:textId="77777777" w:rsidR="00664EE2" w:rsidRPr="00FE0D15" w:rsidRDefault="00664EE2">
      <w:pPr>
        <w:rPr>
          <w:rFonts w:ascii="Palatino Linotype" w:hAnsi="Palatino Linotype"/>
          <w:i/>
          <w:u w:val="single"/>
        </w:rPr>
      </w:pPr>
      <w:r w:rsidRPr="00FE0D15">
        <w:rPr>
          <w:rFonts w:ascii="Palatino Linotype" w:hAnsi="Palatino Linotype"/>
          <w:i/>
          <w:u w:val="single"/>
        </w:rPr>
        <w:t>SCE’s Reply</w:t>
      </w:r>
    </w:p>
    <w:p w14:paraId="08D42A7A" w14:textId="77777777" w:rsidR="00664EE2" w:rsidRPr="00FE0D15" w:rsidRDefault="00664EE2">
      <w:pPr>
        <w:rPr>
          <w:rFonts w:ascii="Palatino Linotype" w:hAnsi="Palatino Linotype"/>
        </w:rPr>
      </w:pPr>
    </w:p>
    <w:p w14:paraId="4E6E47D6" w14:textId="77777777" w:rsidR="00CF17DE" w:rsidRPr="00FE0D15" w:rsidRDefault="00527CCD">
      <w:pPr>
        <w:rPr>
          <w:rFonts w:ascii="Palatino Linotype" w:hAnsi="Palatino Linotype"/>
        </w:rPr>
      </w:pPr>
      <w:r w:rsidRPr="00FE0D15">
        <w:rPr>
          <w:rFonts w:ascii="Palatino Linotype" w:hAnsi="Palatino Linotype"/>
        </w:rPr>
        <w:t xml:space="preserve">SCE </w:t>
      </w:r>
      <w:r w:rsidR="00CF17DE" w:rsidRPr="00FE0D15">
        <w:rPr>
          <w:rFonts w:ascii="Palatino Linotype" w:hAnsi="Palatino Linotype"/>
        </w:rPr>
        <w:t xml:space="preserve">responded to </w:t>
      </w:r>
      <w:r w:rsidRPr="00FE0D15">
        <w:rPr>
          <w:rFonts w:ascii="Palatino Linotype" w:hAnsi="Palatino Linotype"/>
        </w:rPr>
        <w:t>ORA’s protests on November 21, 2017. In their reply, SCE rebutted both of ORA’s points.</w:t>
      </w:r>
    </w:p>
    <w:p w14:paraId="77C6BB73" w14:textId="77777777" w:rsidR="00527CCD" w:rsidRPr="00FE0D15" w:rsidRDefault="00527CCD">
      <w:pPr>
        <w:rPr>
          <w:rFonts w:ascii="Palatino Linotype" w:hAnsi="Palatino Linotype"/>
        </w:rPr>
      </w:pPr>
    </w:p>
    <w:p w14:paraId="1E121B66" w14:textId="77777777" w:rsidR="00F13CBC" w:rsidRPr="00FE0D15" w:rsidRDefault="00527CCD">
      <w:pPr>
        <w:rPr>
          <w:rFonts w:ascii="Palatino Linotype" w:hAnsi="Palatino Linotype"/>
        </w:rPr>
      </w:pPr>
      <w:r w:rsidRPr="00FE0D15">
        <w:rPr>
          <w:rFonts w:ascii="Palatino Linotype" w:hAnsi="Palatino Linotype"/>
        </w:rPr>
        <w:t xml:space="preserve">On the first point, </w:t>
      </w:r>
      <w:r w:rsidR="00F13CBC" w:rsidRPr="00FE0D15">
        <w:rPr>
          <w:rFonts w:ascii="Palatino Linotype" w:hAnsi="Palatino Linotype"/>
        </w:rPr>
        <w:t>SCE asserts</w:t>
      </w:r>
      <w:r w:rsidR="0007631F" w:rsidRPr="00FE0D15">
        <w:rPr>
          <w:rFonts w:ascii="Palatino Linotype" w:hAnsi="Palatino Linotype"/>
        </w:rPr>
        <w:t xml:space="preserve"> that Carson need not be a CHP f</w:t>
      </w:r>
      <w:r w:rsidR="00F13CBC" w:rsidRPr="00FE0D15">
        <w:rPr>
          <w:rFonts w:ascii="Palatino Linotype" w:hAnsi="Palatino Linotype"/>
        </w:rPr>
        <w:t xml:space="preserve">acility to count the GHG Credits associated with the shut-down. </w:t>
      </w:r>
    </w:p>
    <w:p w14:paraId="37B1CBD5" w14:textId="77777777" w:rsidR="00F13CBC" w:rsidRPr="00FE0D15" w:rsidRDefault="00F13CBC">
      <w:pPr>
        <w:rPr>
          <w:rFonts w:ascii="Palatino Linotype" w:hAnsi="Palatino Linotype"/>
        </w:rPr>
      </w:pPr>
    </w:p>
    <w:p w14:paraId="3AE57190" w14:textId="77777777" w:rsidR="00527CCD" w:rsidRPr="00FE0D15" w:rsidRDefault="00F13CBC" w:rsidP="00F13CBC">
      <w:pPr>
        <w:ind w:left="720"/>
        <w:rPr>
          <w:rFonts w:ascii="Palatino Linotype" w:hAnsi="Palatino Linotype"/>
        </w:rPr>
      </w:pPr>
      <w:r w:rsidRPr="00FE0D15">
        <w:rPr>
          <w:rFonts w:ascii="Palatino Linotype" w:hAnsi="Palatino Linotype"/>
        </w:rPr>
        <w:t>Carson was an inefficient CHP Facility that converted to ‘utility controlled scheduled dispatchable generation facility,’ i.e., a UPF. A UPF does not need to be a CHP Facility (i.e. a Qualifying Facility) and can b</w:t>
      </w:r>
      <w:r w:rsidR="0007631F" w:rsidRPr="00FE0D15">
        <w:rPr>
          <w:rFonts w:ascii="Palatino Linotype" w:hAnsi="Palatino Linotype"/>
        </w:rPr>
        <w:t>e an Exempt Wholesale Generator</w:t>
      </w:r>
      <w:r w:rsidRPr="00FE0D15">
        <w:rPr>
          <w:rFonts w:ascii="Palatino Linotype" w:hAnsi="Palatino Linotype"/>
        </w:rPr>
        <w:t>.</w:t>
      </w:r>
    </w:p>
    <w:p w14:paraId="0F426A39" w14:textId="77777777" w:rsidR="00F13CBC" w:rsidRPr="00FE0D15" w:rsidRDefault="00F13CBC" w:rsidP="00F13CBC">
      <w:pPr>
        <w:rPr>
          <w:rFonts w:ascii="Palatino Linotype" w:hAnsi="Palatino Linotype"/>
        </w:rPr>
      </w:pPr>
    </w:p>
    <w:p w14:paraId="01F1B612" w14:textId="77777777" w:rsidR="00F13CBC" w:rsidRPr="00FE0D15" w:rsidRDefault="00F13CBC" w:rsidP="00F13CBC">
      <w:pPr>
        <w:rPr>
          <w:rFonts w:ascii="Palatino Linotype" w:hAnsi="Palatino Linotype"/>
        </w:rPr>
      </w:pPr>
      <w:r w:rsidRPr="00FE0D15">
        <w:rPr>
          <w:rFonts w:ascii="Palatino Linotype" w:hAnsi="Palatino Linotype"/>
        </w:rPr>
        <w:t>SCE notes that UPFs are eligible to participate in CHP RFOs as a means of achieving its MW and GHG Targets as part of the Settlement, and thus concludes that as, “the Settlement clearly contemplates that the utilities can receive GHG Credits from UPFs,</w:t>
      </w:r>
      <w:r w:rsidR="0007631F" w:rsidRPr="00FE0D15">
        <w:rPr>
          <w:rFonts w:ascii="Palatino Linotype" w:hAnsi="Palatino Linotype"/>
        </w:rPr>
        <w:t xml:space="preserve"> which do not have to be a CHP f</w:t>
      </w:r>
      <w:r w:rsidRPr="00FE0D15">
        <w:rPr>
          <w:rFonts w:ascii="Palatino Linotype" w:hAnsi="Palatino Linotype"/>
        </w:rPr>
        <w:t>acility, it should likewise allow the termination of inefficient UPF contracts to count,” toward the target.</w:t>
      </w:r>
    </w:p>
    <w:p w14:paraId="30E28E35" w14:textId="77777777" w:rsidR="00021F13" w:rsidRPr="00FE0D15" w:rsidRDefault="00021F13" w:rsidP="00F13CBC">
      <w:pPr>
        <w:rPr>
          <w:rFonts w:ascii="Palatino Linotype" w:hAnsi="Palatino Linotype"/>
        </w:rPr>
      </w:pPr>
    </w:p>
    <w:p w14:paraId="7E764D89" w14:textId="77777777" w:rsidR="00021F13" w:rsidRPr="00FE0D15" w:rsidRDefault="00021F13" w:rsidP="00F13CBC">
      <w:pPr>
        <w:rPr>
          <w:rFonts w:ascii="Palatino Linotype" w:hAnsi="Palatino Linotype"/>
        </w:rPr>
      </w:pPr>
      <w:r w:rsidRPr="00FE0D15">
        <w:rPr>
          <w:rFonts w:ascii="Palatino Linotype" w:hAnsi="Palatino Linotype"/>
        </w:rPr>
        <w:t xml:space="preserve">On the second point, SCE replies that ORA misapplied the Accounting Methodology of the Settlement Agreement Term Sheet. </w:t>
      </w:r>
      <w:r w:rsidR="00B530DA" w:rsidRPr="00FE0D15">
        <w:rPr>
          <w:rFonts w:ascii="Palatino Linotype" w:hAnsi="Palatino Linotype"/>
        </w:rPr>
        <w:t>SCE writes that it first determined that Carson was “inefficient” compared to the Double Benchmark Heat Rate (8,300 Btu/kW</w:t>
      </w:r>
      <w:r w:rsidR="00FE0131" w:rsidRPr="00FE0D15">
        <w:rPr>
          <w:rFonts w:ascii="Palatino Linotype" w:hAnsi="Palatino Linotype"/>
        </w:rPr>
        <w:t>h</w:t>
      </w:r>
      <w:r w:rsidR="00B530DA" w:rsidRPr="00FE0D15">
        <w:rPr>
          <w:rFonts w:ascii="Palatino Linotype" w:hAnsi="Palatino Linotype"/>
        </w:rPr>
        <w:t>). It then applied Term Sheet Sections 7.3.1.4 and 7.3.1.4.2:</w:t>
      </w:r>
    </w:p>
    <w:p w14:paraId="1B898026" w14:textId="77777777" w:rsidR="00B530DA" w:rsidRPr="00FE0D15" w:rsidRDefault="00B530DA" w:rsidP="00F13CBC">
      <w:pPr>
        <w:rPr>
          <w:rFonts w:ascii="Palatino Linotype" w:hAnsi="Palatino Linotype"/>
        </w:rPr>
      </w:pPr>
    </w:p>
    <w:p w14:paraId="0506038E" w14:textId="252BA258" w:rsidR="00B530DA" w:rsidRPr="00FE0D15" w:rsidRDefault="00B530DA" w:rsidP="00B530DA">
      <w:pPr>
        <w:autoSpaceDE w:val="0"/>
        <w:autoSpaceDN w:val="0"/>
        <w:adjustRightInd w:val="0"/>
        <w:ind w:left="720"/>
        <w:rPr>
          <w:rFonts w:ascii="Palatino Linotype" w:hAnsi="Palatino Linotype" w:cs="Arial"/>
          <w:color w:val="000000"/>
          <w:szCs w:val="26"/>
        </w:rPr>
      </w:pPr>
      <w:r w:rsidRPr="00FE0D15">
        <w:rPr>
          <w:rFonts w:ascii="Palatino Linotype" w:hAnsi="Palatino Linotype" w:cs="Arial"/>
          <w:color w:val="000000"/>
          <w:szCs w:val="26"/>
        </w:rPr>
        <w:t>7.3.1.4 - Existing inefficient CHP Facility shuts down: Counts as a GHG Credit toward the CARB CHP RRM</w:t>
      </w:r>
      <w:r w:rsidR="00D2140A">
        <w:rPr>
          <w:rStyle w:val="FootnoteReference"/>
          <w:rFonts w:ascii="Palatino Linotype" w:hAnsi="Palatino Linotype" w:cs="Arial"/>
          <w:color w:val="000000"/>
          <w:szCs w:val="26"/>
        </w:rPr>
        <w:footnoteReference w:id="2"/>
      </w:r>
      <w:r w:rsidRPr="00FE0D15">
        <w:rPr>
          <w:rFonts w:ascii="Palatino Linotype" w:hAnsi="Palatino Linotype" w:cs="Arial"/>
          <w:color w:val="000000"/>
          <w:szCs w:val="26"/>
        </w:rPr>
        <w:t xml:space="preserve"> of the IOU that previously contracted with the CHP;</w:t>
      </w:r>
    </w:p>
    <w:p w14:paraId="52C31894" w14:textId="77777777" w:rsidR="00B530DA" w:rsidRPr="00FE0D15" w:rsidRDefault="00B530DA" w:rsidP="00B530DA">
      <w:pPr>
        <w:autoSpaceDE w:val="0"/>
        <w:autoSpaceDN w:val="0"/>
        <w:adjustRightInd w:val="0"/>
        <w:rPr>
          <w:rFonts w:ascii="Palatino Linotype" w:hAnsi="Palatino Linotype" w:cs="Arial"/>
          <w:color w:val="000000"/>
          <w:szCs w:val="26"/>
        </w:rPr>
      </w:pPr>
    </w:p>
    <w:p w14:paraId="2192D63C" w14:textId="77777777" w:rsidR="00B530DA" w:rsidRPr="00FE0D15" w:rsidRDefault="00B530DA" w:rsidP="00B530DA">
      <w:pPr>
        <w:autoSpaceDE w:val="0"/>
        <w:autoSpaceDN w:val="0"/>
        <w:adjustRightInd w:val="0"/>
        <w:ind w:left="720"/>
        <w:rPr>
          <w:rFonts w:ascii="Palatino Linotype" w:hAnsi="Palatino Linotype" w:cs="Arial"/>
          <w:color w:val="000000"/>
          <w:szCs w:val="26"/>
        </w:rPr>
      </w:pPr>
      <w:r w:rsidRPr="00FE0D15">
        <w:rPr>
          <w:rFonts w:ascii="Palatino Linotype" w:hAnsi="Palatino Linotype" w:cs="Arial"/>
          <w:color w:val="000000"/>
          <w:szCs w:val="26"/>
        </w:rPr>
        <w:t xml:space="preserve">7.3.1.4.2 - If the thermal need no longer exists, measurement is based on the Baseline year emissions minus the projected PPA emissions and emissions associated with replacing one hundred percent (100%) of the decreased electric generation at a </w:t>
      </w:r>
      <w:r w:rsidRPr="00FE0D15">
        <w:rPr>
          <w:rFonts w:ascii="Palatino Linotype" w:hAnsi="Palatino Linotype" w:cs="Arial"/>
          <w:i/>
          <w:color w:val="000000"/>
          <w:szCs w:val="26"/>
        </w:rPr>
        <w:t>time differentiated Heat Rate.</w:t>
      </w:r>
      <w:r w:rsidRPr="00FE0D15">
        <w:rPr>
          <w:rFonts w:ascii="Palatino Linotype" w:hAnsi="Palatino Linotype" w:cs="Arial"/>
          <w:color w:val="000000"/>
          <w:szCs w:val="26"/>
        </w:rPr>
        <w:t xml:space="preserve"> The baseline year emissions are the average of the previous two (2) calendar years of operational data. The IOU shall demonstrate the thermal need no longer exists.  (Emphasis Added.)</w:t>
      </w:r>
    </w:p>
    <w:p w14:paraId="193187ED" w14:textId="77777777" w:rsidR="00B530DA" w:rsidRPr="00FE0D15" w:rsidRDefault="00B530DA" w:rsidP="00B530DA">
      <w:pPr>
        <w:autoSpaceDE w:val="0"/>
        <w:autoSpaceDN w:val="0"/>
        <w:adjustRightInd w:val="0"/>
        <w:ind w:left="720"/>
        <w:rPr>
          <w:rFonts w:ascii="Palatino Linotype" w:hAnsi="Palatino Linotype" w:cs="Arial"/>
          <w:color w:val="000000"/>
          <w:szCs w:val="26"/>
        </w:rPr>
      </w:pPr>
    </w:p>
    <w:p w14:paraId="1C38578E" w14:textId="77777777" w:rsidR="00B530DA" w:rsidRPr="00FE0D15" w:rsidRDefault="00B530DA" w:rsidP="00852554">
      <w:pPr>
        <w:autoSpaceDE w:val="0"/>
        <w:autoSpaceDN w:val="0"/>
        <w:adjustRightInd w:val="0"/>
        <w:rPr>
          <w:rFonts w:ascii="Palatino Linotype" w:hAnsi="Palatino Linotype" w:cs="Arial"/>
          <w:color w:val="000000"/>
          <w:szCs w:val="26"/>
        </w:rPr>
      </w:pPr>
      <w:r w:rsidRPr="00FE0D15">
        <w:rPr>
          <w:rFonts w:ascii="Palatino Linotype" w:hAnsi="Palatino Linotype" w:cs="Arial"/>
          <w:color w:val="000000"/>
          <w:szCs w:val="26"/>
        </w:rPr>
        <w:t>SCE thus concluded that it correctly applied the Accounting Methodology.</w:t>
      </w:r>
    </w:p>
    <w:p w14:paraId="3883AEDD" w14:textId="77777777" w:rsidR="00183D59" w:rsidRPr="00FE0D15" w:rsidRDefault="00183D59" w:rsidP="00852554">
      <w:pPr>
        <w:autoSpaceDE w:val="0"/>
        <w:autoSpaceDN w:val="0"/>
        <w:adjustRightInd w:val="0"/>
        <w:rPr>
          <w:rFonts w:ascii="Palatino Linotype" w:hAnsi="Palatino Linotype" w:cs="Arial"/>
          <w:color w:val="000000"/>
          <w:szCs w:val="26"/>
        </w:rPr>
      </w:pPr>
    </w:p>
    <w:p w14:paraId="35EA193F" w14:textId="77777777" w:rsidR="00CF17DE" w:rsidRPr="00FE0D15" w:rsidRDefault="00CF17DE">
      <w:pPr>
        <w:pStyle w:val="Heading1"/>
        <w:rPr>
          <w:rFonts w:ascii="Palatino Linotype" w:hAnsi="Palatino Linotype"/>
        </w:rPr>
      </w:pPr>
      <w:r w:rsidRPr="00FE0D15">
        <w:rPr>
          <w:rFonts w:ascii="Palatino Linotype" w:hAnsi="Palatino Linotype"/>
        </w:rPr>
        <w:t>Discussion</w:t>
      </w:r>
    </w:p>
    <w:p w14:paraId="70D75D07" w14:textId="77777777" w:rsidR="000A41E1" w:rsidRPr="00FE0D15" w:rsidRDefault="000A41E1" w:rsidP="000A41E1">
      <w:pPr>
        <w:pStyle w:val="standard"/>
        <w:spacing w:line="240" w:lineRule="auto"/>
        <w:ind w:firstLine="0"/>
        <w:rPr>
          <w:rFonts w:ascii="Palatino Linotype" w:hAnsi="Palatino Linotype"/>
        </w:rPr>
      </w:pPr>
      <w:r w:rsidRPr="00FE0D15">
        <w:rPr>
          <w:rFonts w:ascii="Palatino Linotype" w:hAnsi="Palatino Linotype"/>
        </w:rPr>
        <w:t>On October 25, 2017, SCE filed Advice Letter 3681-E requesting Commission approval of a request for GHG credits associated with the Termination and Shut-Down Agreement between SCE and Carson.</w:t>
      </w:r>
    </w:p>
    <w:p w14:paraId="1118B8E7" w14:textId="77777777" w:rsidR="000A41E1" w:rsidRPr="00FE0D15" w:rsidRDefault="000A41E1" w:rsidP="000A41E1">
      <w:pPr>
        <w:pStyle w:val="standard"/>
        <w:spacing w:line="240" w:lineRule="auto"/>
        <w:ind w:firstLine="0"/>
        <w:rPr>
          <w:rFonts w:ascii="Palatino Linotype" w:hAnsi="Palatino Linotype"/>
        </w:rPr>
      </w:pPr>
    </w:p>
    <w:p w14:paraId="7C7A23FF" w14:textId="77777777" w:rsidR="000A41E1" w:rsidRPr="00FE0D15" w:rsidRDefault="000D5AE2" w:rsidP="000A41E1">
      <w:pPr>
        <w:pStyle w:val="standard"/>
        <w:spacing w:line="240" w:lineRule="auto"/>
        <w:ind w:firstLine="0"/>
        <w:rPr>
          <w:rFonts w:ascii="Palatino Linotype" w:hAnsi="Palatino Linotype"/>
        </w:rPr>
      </w:pPr>
      <w:r w:rsidRPr="00FE0D15">
        <w:rPr>
          <w:rFonts w:ascii="Palatino Linotype" w:hAnsi="Palatino Linotype"/>
        </w:rPr>
        <w:t>In</w:t>
      </w:r>
      <w:r w:rsidR="000A41E1" w:rsidRPr="00FE0D15">
        <w:rPr>
          <w:rFonts w:ascii="Palatino Linotype" w:hAnsi="Palatino Linotype"/>
        </w:rPr>
        <w:t xml:space="preserve"> this Advice Letter, SCE requested that the Commission:</w:t>
      </w:r>
    </w:p>
    <w:p w14:paraId="74C3E2AC" w14:textId="77777777" w:rsidR="000D5AE2" w:rsidRPr="00FE0D15" w:rsidRDefault="000D5AE2" w:rsidP="000A41E1">
      <w:pPr>
        <w:pStyle w:val="standard"/>
        <w:spacing w:line="240" w:lineRule="auto"/>
        <w:ind w:firstLine="0"/>
        <w:rPr>
          <w:rFonts w:ascii="Palatino Linotype" w:hAnsi="Palatino Linotype"/>
        </w:rPr>
      </w:pPr>
    </w:p>
    <w:p w14:paraId="19DBD633" w14:textId="77777777" w:rsidR="000A41E1" w:rsidRPr="00FE0D15" w:rsidRDefault="00183D59" w:rsidP="000A41E1">
      <w:pPr>
        <w:pStyle w:val="standard"/>
        <w:numPr>
          <w:ilvl w:val="0"/>
          <w:numId w:val="10"/>
        </w:numPr>
        <w:spacing w:line="240" w:lineRule="auto"/>
        <w:rPr>
          <w:rFonts w:ascii="Palatino Linotype" w:hAnsi="Palatino Linotype"/>
        </w:rPr>
      </w:pPr>
      <w:r w:rsidRPr="00FE0D15">
        <w:rPr>
          <w:rFonts w:ascii="Palatino Linotype" w:hAnsi="Palatino Linotype"/>
        </w:rPr>
        <w:t>Find that 1,488</w:t>
      </w:r>
      <w:r w:rsidR="000A41E1" w:rsidRPr="00FE0D15">
        <w:rPr>
          <w:rFonts w:ascii="Palatino Linotype" w:hAnsi="Palatino Linotype"/>
        </w:rPr>
        <w:t xml:space="preserve"> MT of GHG emissions reductions associated with the </w:t>
      </w:r>
      <w:r w:rsidR="0007631F" w:rsidRPr="00FE0D15">
        <w:rPr>
          <w:rFonts w:ascii="Palatino Linotype" w:hAnsi="Palatino Linotype"/>
        </w:rPr>
        <w:t xml:space="preserve">Termination </w:t>
      </w:r>
      <w:r w:rsidR="000A41E1" w:rsidRPr="00FE0D15">
        <w:rPr>
          <w:rFonts w:ascii="Palatino Linotype" w:hAnsi="Palatino Linotype"/>
        </w:rPr>
        <w:t>Agreement applies towards SCE’s GHG Target.</w:t>
      </w:r>
    </w:p>
    <w:p w14:paraId="21B523CB" w14:textId="77777777" w:rsidR="000A41E1" w:rsidRPr="00FE0D15" w:rsidRDefault="000A41E1" w:rsidP="000A41E1">
      <w:pPr>
        <w:pStyle w:val="standard"/>
        <w:spacing w:line="240" w:lineRule="auto"/>
        <w:rPr>
          <w:rFonts w:ascii="Palatino Linotype" w:hAnsi="Palatino Linotype"/>
        </w:rPr>
      </w:pPr>
    </w:p>
    <w:p w14:paraId="3D2ADE3D" w14:textId="77777777" w:rsidR="00852554" w:rsidRPr="00FE0D15" w:rsidRDefault="00B530DA" w:rsidP="000A41E1">
      <w:pPr>
        <w:rPr>
          <w:rFonts w:ascii="Palatino Linotype" w:hAnsi="Palatino Linotype"/>
        </w:rPr>
      </w:pPr>
      <w:r w:rsidRPr="00FE0D15">
        <w:rPr>
          <w:rFonts w:ascii="Palatino Linotype" w:hAnsi="Palatino Linotype"/>
        </w:rPr>
        <w:t xml:space="preserve">Energy Division has reviewed </w:t>
      </w:r>
      <w:r w:rsidR="009F3447" w:rsidRPr="00FE0D15">
        <w:rPr>
          <w:rFonts w:ascii="Palatino Linotype" w:hAnsi="Palatino Linotype"/>
        </w:rPr>
        <w:t xml:space="preserve">the Advice Letter and the Protests and summarizes that SCE seeks GHG credits toward its CHP GHG Emissions Reduction Target from shutting down Carson </w:t>
      </w:r>
      <w:r w:rsidR="0007631F" w:rsidRPr="00FE0D15">
        <w:rPr>
          <w:rFonts w:ascii="Palatino Linotype" w:hAnsi="Palatino Linotype"/>
        </w:rPr>
        <w:t>Cogeneration Facility</w:t>
      </w:r>
      <w:r w:rsidR="00852554" w:rsidRPr="00FE0D15">
        <w:rPr>
          <w:rFonts w:ascii="Palatino Linotype" w:hAnsi="Palatino Linotype"/>
        </w:rPr>
        <w:t>. We will first address whether Ca</w:t>
      </w:r>
      <w:r w:rsidR="0007631F" w:rsidRPr="00FE0D15">
        <w:rPr>
          <w:rFonts w:ascii="Palatino Linotype" w:hAnsi="Palatino Linotype"/>
        </w:rPr>
        <w:t>rson was considered a CHP f</w:t>
      </w:r>
      <w:r w:rsidR="00852554" w:rsidRPr="00FE0D15">
        <w:rPr>
          <w:rFonts w:ascii="Palatino Linotype" w:hAnsi="Palatino Linotype"/>
        </w:rPr>
        <w:t xml:space="preserve">acility at the time of the Termination Agreement and </w:t>
      </w:r>
      <w:r w:rsidR="00663E56" w:rsidRPr="00FE0D15">
        <w:rPr>
          <w:rFonts w:ascii="Palatino Linotype" w:hAnsi="Palatino Linotype"/>
        </w:rPr>
        <w:t>then address</w:t>
      </w:r>
      <w:r w:rsidR="00852554" w:rsidRPr="00FE0D15">
        <w:rPr>
          <w:rFonts w:ascii="Palatino Linotype" w:hAnsi="Palatino Linotype"/>
        </w:rPr>
        <w:t xml:space="preserve"> the Accounting Methodology used to determine the GHG credits from shutting Carson.</w:t>
      </w:r>
    </w:p>
    <w:p w14:paraId="309CAC8B" w14:textId="77777777" w:rsidR="00852554" w:rsidRPr="00FE0D15" w:rsidRDefault="00852554" w:rsidP="009F3447">
      <w:pPr>
        <w:rPr>
          <w:rFonts w:ascii="Palatino Linotype" w:hAnsi="Palatino Linotype"/>
        </w:rPr>
      </w:pPr>
    </w:p>
    <w:p w14:paraId="059416EF" w14:textId="77777777" w:rsidR="00CE4E6E" w:rsidRPr="00FE0D15" w:rsidRDefault="00852554" w:rsidP="009F3447">
      <w:pPr>
        <w:rPr>
          <w:rFonts w:ascii="Palatino Linotype" w:hAnsi="Palatino Linotype"/>
          <w:i/>
          <w:u w:val="single"/>
        </w:rPr>
      </w:pPr>
      <w:r w:rsidRPr="00FE0D15">
        <w:rPr>
          <w:rFonts w:ascii="Palatino Linotype" w:hAnsi="Palatino Linotype"/>
          <w:i/>
          <w:u w:val="single"/>
        </w:rPr>
        <w:t>Carson’s Status as a CHP Facility</w:t>
      </w:r>
    </w:p>
    <w:p w14:paraId="1D407869" w14:textId="77777777" w:rsidR="00CE4E6E" w:rsidRPr="00FE0D15" w:rsidRDefault="00CE4E6E" w:rsidP="009F3447">
      <w:pPr>
        <w:rPr>
          <w:rFonts w:ascii="Palatino Linotype" w:hAnsi="Palatino Linotype"/>
        </w:rPr>
      </w:pPr>
    </w:p>
    <w:p w14:paraId="1A60A2A4" w14:textId="441ACD19" w:rsidR="009F3447" w:rsidRPr="00FE0D15" w:rsidRDefault="009F3447" w:rsidP="00900A1A">
      <w:pPr>
        <w:rPr>
          <w:rFonts w:ascii="Palatino Linotype" w:hAnsi="Palatino Linotype"/>
        </w:rPr>
      </w:pPr>
      <w:r w:rsidRPr="00FE0D15">
        <w:rPr>
          <w:rFonts w:ascii="Palatino Linotype" w:hAnsi="Palatino Linotype"/>
        </w:rPr>
        <w:t>Carson has not had any useful thermal output since 2013, when it became a UPF. SCE seeks credit pursuant to Section 7.3.1.4:</w:t>
      </w:r>
    </w:p>
    <w:p w14:paraId="084C3D61" w14:textId="77777777" w:rsidR="009F3447" w:rsidRPr="00FE0D15" w:rsidRDefault="009F3447" w:rsidP="009F3447">
      <w:pPr>
        <w:rPr>
          <w:rFonts w:ascii="Palatino Linotype" w:hAnsi="Palatino Linotype"/>
        </w:rPr>
      </w:pPr>
    </w:p>
    <w:p w14:paraId="6FDB76DF" w14:textId="77777777" w:rsidR="009F3447" w:rsidRPr="00FE0D15" w:rsidRDefault="009F3447" w:rsidP="009F3447">
      <w:pPr>
        <w:ind w:left="720"/>
        <w:rPr>
          <w:rFonts w:ascii="Palatino Linotype" w:hAnsi="Palatino Linotype"/>
        </w:rPr>
      </w:pPr>
      <w:r w:rsidRPr="00FE0D15">
        <w:rPr>
          <w:rFonts w:ascii="Palatino Linotype" w:hAnsi="Palatino Linotype"/>
          <w:b/>
        </w:rPr>
        <w:t>7.3.1.4</w:t>
      </w:r>
      <w:r w:rsidRPr="00FE0D15">
        <w:rPr>
          <w:rFonts w:ascii="Palatino Linotype" w:hAnsi="Palatino Linotype"/>
        </w:rPr>
        <w:tab/>
      </w:r>
      <w:r w:rsidR="00664EE2" w:rsidRPr="00FE0D15">
        <w:rPr>
          <w:rFonts w:ascii="Palatino Linotype" w:hAnsi="Palatino Linotype"/>
        </w:rPr>
        <w:t xml:space="preserve"> </w:t>
      </w:r>
      <w:r w:rsidRPr="00FE0D15">
        <w:rPr>
          <w:rFonts w:ascii="Palatino Linotype" w:hAnsi="Palatino Linotype"/>
        </w:rPr>
        <w:t>Existing inefficient CHP Facility shuts down:  Counts as a GHG Credit toward the CARB CHP RRM of the IOU that previously contracted with the CHP.</w:t>
      </w:r>
    </w:p>
    <w:p w14:paraId="516C3189" w14:textId="77777777" w:rsidR="009F3447" w:rsidRPr="00FE0D15" w:rsidRDefault="009F3447" w:rsidP="009F3447">
      <w:pPr>
        <w:ind w:firstLine="720"/>
        <w:rPr>
          <w:rFonts w:ascii="Palatino Linotype" w:hAnsi="Palatino Linotype"/>
        </w:rPr>
      </w:pPr>
      <w:r w:rsidRPr="00FE0D15">
        <w:rPr>
          <w:rFonts w:ascii="Palatino Linotype" w:hAnsi="Palatino Linotype"/>
        </w:rPr>
        <w:tab/>
      </w:r>
      <w:r w:rsidRPr="00FE0D15">
        <w:rPr>
          <w:rFonts w:ascii="Palatino Linotype" w:hAnsi="Palatino Linotype"/>
          <w:b/>
        </w:rPr>
        <w:t>7.3.1.4.1</w:t>
      </w:r>
      <w:r w:rsidRPr="00FE0D15">
        <w:rPr>
          <w:rFonts w:ascii="Palatino Linotype" w:hAnsi="Palatino Linotype"/>
        </w:rPr>
        <w:t xml:space="preserve"> (Omitted)</w:t>
      </w:r>
    </w:p>
    <w:p w14:paraId="3EB53D98" w14:textId="77777777" w:rsidR="009F3447" w:rsidRPr="00FE0D15" w:rsidRDefault="009F3447" w:rsidP="009F3447">
      <w:pPr>
        <w:ind w:firstLine="720"/>
        <w:rPr>
          <w:rFonts w:ascii="Palatino Linotype" w:hAnsi="Palatino Linotype"/>
        </w:rPr>
      </w:pPr>
    </w:p>
    <w:p w14:paraId="4A08CE7A" w14:textId="77777777" w:rsidR="009F3447" w:rsidRPr="00FE0D15" w:rsidRDefault="009F3447" w:rsidP="009F3447">
      <w:pPr>
        <w:ind w:left="1440"/>
        <w:rPr>
          <w:rFonts w:ascii="Palatino Linotype" w:hAnsi="Palatino Linotype"/>
        </w:rPr>
      </w:pPr>
      <w:r w:rsidRPr="00FE0D15">
        <w:rPr>
          <w:rFonts w:ascii="Palatino Linotype" w:hAnsi="Palatino Linotype"/>
          <w:b/>
        </w:rPr>
        <w:t>7.3.1.4.2</w:t>
      </w:r>
      <w:r w:rsidRPr="00FE0D15">
        <w:rPr>
          <w:rFonts w:ascii="Palatino Linotype" w:hAnsi="Palatino Linotype"/>
        </w:rPr>
        <w:t xml:space="preserve"> If the thermal need no longer exists, measurement is based on the Baseline year emissions minus the projected PPA emissions and emissions associated with replacing one hundred percent (100%) of the decreased electric generation at a time differentiated Heat Rate. The baseline year emissions are the average of the previous two (2) calendar years of operational data. The IOU shall demonstrate the thermal need no longer exists.</w:t>
      </w:r>
    </w:p>
    <w:p w14:paraId="4EE60B7E" w14:textId="77777777" w:rsidR="009F3447" w:rsidRPr="00FE0D15" w:rsidRDefault="009F3447" w:rsidP="009F3447">
      <w:pPr>
        <w:rPr>
          <w:rFonts w:ascii="Palatino Linotype" w:hAnsi="Palatino Linotype"/>
        </w:rPr>
      </w:pPr>
    </w:p>
    <w:p w14:paraId="6A53AD33" w14:textId="77777777" w:rsidR="009F3447" w:rsidRPr="00FE0D15" w:rsidRDefault="009F3447" w:rsidP="009F3447">
      <w:pPr>
        <w:autoSpaceDE w:val="0"/>
        <w:autoSpaceDN w:val="0"/>
        <w:adjustRightInd w:val="0"/>
        <w:rPr>
          <w:rFonts w:ascii="Palatino Linotype" w:hAnsi="Palatino Linotype"/>
        </w:rPr>
      </w:pPr>
      <w:r w:rsidRPr="00FE0D15">
        <w:rPr>
          <w:rFonts w:ascii="Palatino Linotype" w:hAnsi="Palatino Linotype"/>
        </w:rPr>
        <w:t>In their comments, ORA recommended that the Commission require</w:t>
      </w:r>
      <w:r w:rsidR="0007631F" w:rsidRPr="00FE0D15">
        <w:rPr>
          <w:rFonts w:ascii="Palatino Linotype" w:hAnsi="Palatino Linotype"/>
        </w:rPr>
        <w:t>,</w:t>
      </w:r>
      <w:r w:rsidRPr="00FE0D15">
        <w:rPr>
          <w:rFonts w:ascii="Palatino Linotype" w:hAnsi="Palatino Linotype"/>
        </w:rPr>
        <w:t xml:space="preserve"> “SCE demonstrates that Cars</w:t>
      </w:r>
      <w:r w:rsidR="0007631F" w:rsidRPr="00FE0D15">
        <w:rPr>
          <w:rFonts w:ascii="Palatino Linotype" w:hAnsi="Palatino Linotype"/>
        </w:rPr>
        <w:t>on met the definition of a CHP f</w:t>
      </w:r>
      <w:r w:rsidRPr="00FE0D15">
        <w:rPr>
          <w:rFonts w:ascii="Palatino Linotype" w:hAnsi="Palatino Linotype"/>
        </w:rPr>
        <w:t xml:space="preserve">acility at the time of the Termination Agreement.” ORA also notes: </w:t>
      </w:r>
    </w:p>
    <w:p w14:paraId="272861DC" w14:textId="77777777" w:rsidR="009F3447" w:rsidRPr="00FE0D15" w:rsidRDefault="009F3447" w:rsidP="009F3447">
      <w:pPr>
        <w:autoSpaceDE w:val="0"/>
        <w:autoSpaceDN w:val="0"/>
        <w:adjustRightInd w:val="0"/>
        <w:rPr>
          <w:rFonts w:ascii="Palatino Linotype" w:hAnsi="Palatino Linotype"/>
        </w:rPr>
      </w:pPr>
    </w:p>
    <w:p w14:paraId="533EF0B7" w14:textId="77777777" w:rsidR="009F3447" w:rsidRPr="00FE0D15" w:rsidRDefault="009F3447" w:rsidP="009F3447">
      <w:pPr>
        <w:autoSpaceDE w:val="0"/>
        <w:autoSpaceDN w:val="0"/>
        <w:adjustRightInd w:val="0"/>
        <w:ind w:left="720"/>
        <w:rPr>
          <w:rFonts w:ascii="Palatino Linotype" w:hAnsi="Palatino Linotype"/>
          <w:color w:val="000000"/>
        </w:rPr>
      </w:pPr>
      <w:r w:rsidRPr="00FE0D15">
        <w:rPr>
          <w:rFonts w:ascii="Palatino Linotype" w:hAnsi="Palatino Linotype"/>
        </w:rPr>
        <w:t>[F]</w:t>
      </w:r>
      <w:proofErr w:type="spellStart"/>
      <w:r w:rsidRPr="00FE0D15">
        <w:rPr>
          <w:rFonts w:ascii="Palatino Linotype" w:hAnsi="Palatino Linotype"/>
          <w:color w:val="000000"/>
        </w:rPr>
        <w:t>ollowing</w:t>
      </w:r>
      <w:proofErr w:type="spellEnd"/>
      <w:r w:rsidRPr="00FE0D15">
        <w:rPr>
          <w:rFonts w:ascii="Palatino Linotype" w:hAnsi="Palatino Linotype"/>
          <w:color w:val="000000"/>
        </w:rPr>
        <w:t xml:space="preserve"> the Qualifying Facility and Combined Heat and Power Program Settlement Agreement (CHP Settlement Agreement) approved by the Commission in Decision (D.) 10-12-035, the terms of the Power Purchase Agreement (PPA) between SCE and Carson were amended, and under the amended terms Carson was no longer obligated to maintain its steam host, thus giving up its CHP capabilities.</w:t>
      </w:r>
      <w:r w:rsidRPr="00FE0D15">
        <w:rPr>
          <w:rFonts w:ascii="Palatino Linotype" w:hAnsi="Palatino Linotype"/>
        </w:rPr>
        <w:t xml:space="preserve"> </w:t>
      </w:r>
      <w:r w:rsidRPr="00FE0D15">
        <w:rPr>
          <w:rFonts w:ascii="Palatino Linotype" w:hAnsi="Palatino Linotype"/>
          <w:color w:val="000000"/>
        </w:rPr>
        <w:t>Carson has not served a thermal need since 2013.</w:t>
      </w:r>
    </w:p>
    <w:p w14:paraId="30A5745F" w14:textId="77777777" w:rsidR="009F3447" w:rsidRPr="00FE0D15" w:rsidRDefault="009F3447" w:rsidP="009F3447">
      <w:pPr>
        <w:autoSpaceDE w:val="0"/>
        <w:autoSpaceDN w:val="0"/>
        <w:adjustRightInd w:val="0"/>
        <w:rPr>
          <w:rFonts w:ascii="Palatino Linotype" w:hAnsi="Palatino Linotype"/>
          <w:color w:val="000000"/>
        </w:rPr>
      </w:pPr>
    </w:p>
    <w:p w14:paraId="566E3CD3" w14:textId="77777777" w:rsidR="009F3447" w:rsidRPr="00FE0D15" w:rsidRDefault="009F3447" w:rsidP="009F3447">
      <w:pPr>
        <w:autoSpaceDE w:val="0"/>
        <w:autoSpaceDN w:val="0"/>
        <w:adjustRightInd w:val="0"/>
        <w:rPr>
          <w:rFonts w:ascii="Palatino Linotype" w:hAnsi="Palatino Linotype"/>
          <w:color w:val="000000"/>
        </w:rPr>
      </w:pPr>
      <w:r w:rsidRPr="00FE0D15">
        <w:rPr>
          <w:rFonts w:ascii="Palatino Linotype" w:hAnsi="Palatino Linotype"/>
          <w:color w:val="000000"/>
        </w:rPr>
        <w:t>As part of its analysis, ORA re</w:t>
      </w:r>
      <w:r w:rsidR="0007631F" w:rsidRPr="00FE0D15">
        <w:rPr>
          <w:rFonts w:ascii="Palatino Linotype" w:hAnsi="Palatino Linotype"/>
          <w:color w:val="000000"/>
        </w:rPr>
        <w:t>ferenced the definition of CHP f</w:t>
      </w:r>
      <w:r w:rsidRPr="00FE0D15">
        <w:rPr>
          <w:rFonts w:ascii="Palatino Linotype" w:hAnsi="Palatino Linotype"/>
          <w:color w:val="000000"/>
        </w:rPr>
        <w:t>acility under the term sheet:</w:t>
      </w:r>
    </w:p>
    <w:p w14:paraId="5E203C19" w14:textId="77777777" w:rsidR="009F3447" w:rsidRPr="00FE0D15" w:rsidRDefault="009F3447" w:rsidP="009F3447">
      <w:pPr>
        <w:autoSpaceDE w:val="0"/>
        <w:autoSpaceDN w:val="0"/>
        <w:adjustRightInd w:val="0"/>
        <w:rPr>
          <w:rFonts w:ascii="Palatino Linotype" w:hAnsi="Palatino Linotype"/>
          <w:color w:val="000000"/>
        </w:rPr>
      </w:pPr>
    </w:p>
    <w:p w14:paraId="15AE75EF" w14:textId="77777777" w:rsidR="009F3447" w:rsidRPr="00FE0D15" w:rsidRDefault="009F3447" w:rsidP="009F3447">
      <w:pPr>
        <w:autoSpaceDE w:val="0"/>
        <w:autoSpaceDN w:val="0"/>
        <w:adjustRightInd w:val="0"/>
        <w:ind w:left="720"/>
        <w:rPr>
          <w:rFonts w:ascii="Palatino Linotype" w:hAnsi="Palatino Linotype"/>
          <w:color w:val="000000"/>
        </w:rPr>
      </w:pPr>
      <w:r w:rsidRPr="00FE0D15">
        <w:rPr>
          <w:rFonts w:ascii="Palatino Linotype" w:hAnsi="Palatino Linotype"/>
          <w:b/>
          <w:color w:val="000000"/>
        </w:rPr>
        <w:t>CHP Facility or CHP Facilities:</w:t>
      </w:r>
      <w:r w:rsidRPr="00FE0D15">
        <w:rPr>
          <w:rFonts w:ascii="Palatino Linotype" w:hAnsi="Palatino Linotype"/>
          <w:color w:val="000000"/>
        </w:rPr>
        <w:t xml:space="preserve">  A facility that meets the federal definition of a qualifying cogeneration facility under 18 </w:t>
      </w:r>
      <w:proofErr w:type="gramStart"/>
      <w:r w:rsidRPr="00FE0D15">
        <w:rPr>
          <w:rFonts w:ascii="Palatino Linotype" w:hAnsi="Palatino Linotype"/>
          <w:color w:val="000000"/>
        </w:rPr>
        <w:t>C.F.R .</w:t>
      </w:r>
      <w:proofErr w:type="gramEnd"/>
      <w:r w:rsidRPr="00FE0D15">
        <w:rPr>
          <w:rFonts w:ascii="Palatino Linotype" w:hAnsi="Palatino Linotype"/>
          <w:color w:val="000000"/>
        </w:rPr>
        <w:t xml:space="preserve"> §292.205.</w:t>
      </w:r>
    </w:p>
    <w:p w14:paraId="60EF060C" w14:textId="77777777" w:rsidR="009F3447" w:rsidRPr="00FE0D15" w:rsidRDefault="009F3447" w:rsidP="009F3447">
      <w:pPr>
        <w:autoSpaceDE w:val="0"/>
        <w:autoSpaceDN w:val="0"/>
        <w:adjustRightInd w:val="0"/>
        <w:rPr>
          <w:rFonts w:ascii="Palatino Linotype" w:hAnsi="Palatino Linotype"/>
          <w:color w:val="000000"/>
        </w:rPr>
      </w:pPr>
    </w:p>
    <w:p w14:paraId="4CC7EB5A" w14:textId="77777777" w:rsidR="009F3447" w:rsidRPr="00FE0D15" w:rsidRDefault="009F3447" w:rsidP="009F3447">
      <w:pPr>
        <w:rPr>
          <w:rFonts w:ascii="Palatino Linotype" w:hAnsi="Palatino Linotype"/>
        </w:rPr>
      </w:pPr>
      <w:r w:rsidRPr="00FE0D15">
        <w:rPr>
          <w:rFonts w:ascii="Palatino Linotype" w:hAnsi="Palatino Linotype"/>
        </w:rPr>
        <w:t>ORA accordingly requested that “SCE demonstrate that Carson met t</w:t>
      </w:r>
      <w:r w:rsidR="0007631F" w:rsidRPr="00FE0D15">
        <w:rPr>
          <w:rFonts w:ascii="Palatino Linotype" w:hAnsi="Palatino Linotype"/>
        </w:rPr>
        <w:t>he federal definition of a CHP f</w:t>
      </w:r>
      <w:r w:rsidRPr="00FE0D15">
        <w:rPr>
          <w:rFonts w:ascii="Palatino Linotype" w:hAnsi="Palatino Linotype"/>
        </w:rPr>
        <w:t>acility at the time of the Termination Agreement</w:t>
      </w:r>
      <w:r w:rsidR="0007631F" w:rsidRPr="00FE0D15">
        <w:rPr>
          <w:rFonts w:ascii="Palatino Linotype" w:hAnsi="Palatino Linotype"/>
        </w:rPr>
        <w:t>,</w:t>
      </w:r>
      <w:r w:rsidRPr="00FE0D15">
        <w:rPr>
          <w:rFonts w:ascii="Palatino Linotype" w:hAnsi="Palatino Linotype"/>
        </w:rPr>
        <w:t xml:space="preserve">” </w:t>
      </w:r>
      <w:proofErr w:type="gramStart"/>
      <w:r w:rsidRPr="00FE0D15">
        <w:rPr>
          <w:rFonts w:ascii="Palatino Linotype" w:hAnsi="Palatino Linotype"/>
        </w:rPr>
        <w:t>in order to</w:t>
      </w:r>
      <w:proofErr w:type="gramEnd"/>
      <w:r w:rsidRPr="00FE0D15">
        <w:rPr>
          <w:rFonts w:ascii="Palatino Linotype" w:hAnsi="Palatino Linotype"/>
        </w:rPr>
        <w:t xml:space="preserve"> claim their requested GHG Credits.</w:t>
      </w:r>
    </w:p>
    <w:p w14:paraId="2C9CB23D" w14:textId="77777777" w:rsidR="009F3447" w:rsidRPr="00FE0D15" w:rsidRDefault="009F3447" w:rsidP="009F3447">
      <w:pPr>
        <w:rPr>
          <w:rFonts w:ascii="Palatino Linotype" w:hAnsi="Palatino Linotype"/>
        </w:rPr>
      </w:pPr>
    </w:p>
    <w:p w14:paraId="126EA023" w14:textId="2C0422B8" w:rsidR="009F3447" w:rsidRPr="00FE0D15" w:rsidRDefault="009F3447" w:rsidP="009F3447">
      <w:pPr>
        <w:rPr>
          <w:rFonts w:ascii="Palatino Linotype" w:hAnsi="Palatino Linotype"/>
        </w:rPr>
      </w:pPr>
      <w:r w:rsidRPr="00FE0D15">
        <w:rPr>
          <w:rFonts w:ascii="Palatino Linotype" w:hAnsi="Palatino Linotype"/>
        </w:rPr>
        <w:t xml:space="preserve">In </w:t>
      </w:r>
      <w:r w:rsidR="00E57DFB">
        <w:rPr>
          <w:rFonts w:ascii="Palatino Linotype" w:hAnsi="Palatino Linotype"/>
        </w:rPr>
        <w:t xml:space="preserve">its </w:t>
      </w:r>
      <w:r w:rsidRPr="00FE0D15">
        <w:rPr>
          <w:rFonts w:ascii="Palatino Linotype" w:hAnsi="Palatino Linotype"/>
        </w:rPr>
        <w:t>reply, SCE references Section 4.2.2.2 of the Settlement Term Sheet, which allows for “CHP Facilities converting to Utility Prescheduled Facilities</w:t>
      </w:r>
      <w:r w:rsidR="008D5584">
        <w:rPr>
          <w:rFonts w:ascii="Palatino Linotype" w:hAnsi="Palatino Linotype"/>
        </w:rPr>
        <w:t>,</w:t>
      </w:r>
      <w:r w:rsidRPr="00FE0D15">
        <w:rPr>
          <w:rFonts w:ascii="Palatino Linotype" w:hAnsi="Palatino Linotype"/>
        </w:rPr>
        <w:t xml:space="preserve">” </w:t>
      </w:r>
      <w:r w:rsidR="00900A1A">
        <w:rPr>
          <w:rFonts w:ascii="Palatino Linotype" w:hAnsi="Palatino Linotype"/>
        </w:rPr>
        <w:t>to bid into CHP RFOs, and that</w:t>
      </w:r>
      <w:r w:rsidR="008D5584">
        <w:rPr>
          <w:rFonts w:ascii="Palatino Linotype" w:hAnsi="Palatino Linotype"/>
        </w:rPr>
        <w:t>,</w:t>
      </w:r>
      <w:r w:rsidR="00900A1A">
        <w:rPr>
          <w:rFonts w:ascii="Palatino Linotype" w:hAnsi="Palatino Linotype"/>
        </w:rPr>
        <w:t xml:space="preserve"> “[t]here is thus no issue with UPF’s (i.e., former CHP Facilities) can be a means of achieving both the MW and GHG Targets.</w:t>
      </w:r>
      <w:r w:rsidR="008D5584">
        <w:rPr>
          <w:rFonts w:ascii="Palatino Linotype" w:hAnsi="Palatino Linotype"/>
        </w:rPr>
        <w:t>”</w:t>
      </w:r>
    </w:p>
    <w:p w14:paraId="39020740" w14:textId="6BCABF1E" w:rsidR="009F3447" w:rsidRDefault="009F3447" w:rsidP="009F3447">
      <w:pPr>
        <w:rPr>
          <w:rFonts w:ascii="Palatino Linotype" w:hAnsi="Palatino Linotype"/>
        </w:rPr>
      </w:pPr>
    </w:p>
    <w:p w14:paraId="18F48B2F" w14:textId="2BAF42D8" w:rsidR="0021137E" w:rsidRDefault="008D5584" w:rsidP="00F71355">
      <w:pPr>
        <w:rPr>
          <w:rFonts w:ascii="Palatino Linotype" w:hAnsi="Palatino Linotype"/>
        </w:rPr>
      </w:pPr>
      <w:r>
        <w:rPr>
          <w:rFonts w:ascii="Palatino Linotype" w:hAnsi="Palatino Linotype"/>
        </w:rPr>
        <w:t xml:space="preserve">As Carson had been operating as a UPF, we must consider </w:t>
      </w:r>
      <w:proofErr w:type="gramStart"/>
      <w:r>
        <w:rPr>
          <w:rFonts w:ascii="Palatino Linotype" w:hAnsi="Palatino Linotype"/>
        </w:rPr>
        <w:t>whether or not</w:t>
      </w:r>
      <w:proofErr w:type="gramEnd"/>
      <w:r>
        <w:rPr>
          <w:rFonts w:ascii="Palatino Linotype" w:hAnsi="Palatino Linotype"/>
        </w:rPr>
        <w:t xml:space="preserve"> the Settlement intends to treat UPFs similarly to CHP facilities. It should be noted that in their reply, ORA fails to acknowledge the existence of UPFs </w:t>
      </w:r>
      <w:proofErr w:type="gramStart"/>
      <w:r>
        <w:rPr>
          <w:rFonts w:ascii="Palatino Linotype" w:hAnsi="Palatino Linotype"/>
        </w:rPr>
        <w:t>in light of</w:t>
      </w:r>
      <w:proofErr w:type="gramEnd"/>
      <w:r>
        <w:rPr>
          <w:rFonts w:ascii="Palatino Linotype" w:hAnsi="Palatino Linotype"/>
        </w:rPr>
        <w:t xml:space="preserve"> the Settlement. In reviewing the Settlement, the Commission finds that UPFs are </w:t>
      </w:r>
      <w:r w:rsidR="0021137E">
        <w:rPr>
          <w:rFonts w:ascii="Palatino Linotype" w:hAnsi="Palatino Linotype"/>
        </w:rPr>
        <w:t>treated largely in the same manner</w:t>
      </w:r>
      <w:r w:rsidR="003D0A3E">
        <w:rPr>
          <w:rFonts w:ascii="Palatino Linotype" w:hAnsi="Palatino Linotype"/>
        </w:rPr>
        <w:t xml:space="preserve"> as CHPs</w:t>
      </w:r>
      <w:r w:rsidR="0021137E">
        <w:rPr>
          <w:rFonts w:ascii="Palatino Linotype" w:hAnsi="Palatino Linotype"/>
        </w:rPr>
        <w:t>.</w:t>
      </w:r>
      <w:r w:rsidR="00F71355">
        <w:rPr>
          <w:rFonts w:ascii="Palatino Linotype" w:hAnsi="Palatino Linotype"/>
        </w:rPr>
        <w:t xml:space="preserve"> In fact</w:t>
      </w:r>
      <w:r w:rsidR="0021137E">
        <w:rPr>
          <w:rFonts w:ascii="Palatino Linotype" w:hAnsi="Palatino Linotype"/>
        </w:rPr>
        <w:t xml:space="preserve">, </w:t>
      </w:r>
      <w:r w:rsidR="0021137E" w:rsidRPr="0021137E">
        <w:rPr>
          <w:rFonts w:ascii="Palatino Linotype" w:hAnsi="Palatino Linotype"/>
        </w:rPr>
        <w:t>the definition of “State CHP Program or CHP Program,” reads:</w:t>
      </w:r>
      <w:r w:rsidR="0021137E">
        <w:rPr>
          <w:rFonts w:ascii="Palatino Linotype" w:hAnsi="Palatino Linotype"/>
        </w:rPr>
        <w:t xml:space="preserve"> “</w:t>
      </w:r>
      <w:r w:rsidR="0021137E" w:rsidRPr="0021137E">
        <w:rPr>
          <w:rFonts w:ascii="Palatino Linotype" w:hAnsi="Palatino Linotype"/>
        </w:rPr>
        <w:t>The program established in this Settlement for CPUC-jurisdiction entities to procure from CHP Facilities and Utility Prescheduled Facilities.</w:t>
      </w:r>
      <w:r w:rsidR="0021137E">
        <w:rPr>
          <w:rFonts w:ascii="Palatino Linotype" w:hAnsi="Palatino Linotype"/>
        </w:rPr>
        <w:t>”</w:t>
      </w:r>
      <w:r w:rsidR="00F71355">
        <w:rPr>
          <w:rFonts w:ascii="Palatino Linotype" w:hAnsi="Palatino Linotype"/>
        </w:rPr>
        <w:t xml:space="preserve"> </w:t>
      </w:r>
    </w:p>
    <w:p w14:paraId="70386C5B" w14:textId="77777777" w:rsidR="0021137E" w:rsidRDefault="0021137E" w:rsidP="009F3447">
      <w:pPr>
        <w:rPr>
          <w:rFonts w:ascii="Palatino Linotype" w:hAnsi="Palatino Linotype"/>
        </w:rPr>
      </w:pPr>
    </w:p>
    <w:p w14:paraId="52ECE89E" w14:textId="2FD87ACE" w:rsidR="0021137E" w:rsidRDefault="00F71355" w:rsidP="009F3447">
      <w:pPr>
        <w:rPr>
          <w:rFonts w:ascii="Palatino Linotype" w:hAnsi="Palatino Linotype"/>
        </w:rPr>
      </w:pPr>
      <w:r>
        <w:rPr>
          <w:rFonts w:ascii="Palatino Linotype" w:hAnsi="Palatino Linotype"/>
        </w:rPr>
        <w:t>As additional textual evidence,</w:t>
      </w:r>
      <w:r w:rsidR="0021137E">
        <w:rPr>
          <w:rFonts w:ascii="Palatino Linotype" w:hAnsi="Palatino Linotype"/>
        </w:rPr>
        <w:t xml:space="preserve"> Section 11.2.1 begins:</w:t>
      </w:r>
    </w:p>
    <w:p w14:paraId="27F6533E" w14:textId="36F3D681" w:rsidR="0021137E" w:rsidRDefault="0021137E" w:rsidP="009F3447">
      <w:pPr>
        <w:rPr>
          <w:rFonts w:ascii="Palatino Linotype" w:hAnsi="Palatino Linotype"/>
        </w:rPr>
      </w:pPr>
    </w:p>
    <w:p w14:paraId="4378E68F" w14:textId="420B9A44" w:rsidR="0021137E" w:rsidRDefault="0021137E" w:rsidP="00DE63E2">
      <w:pPr>
        <w:ind w:left="720"/>
        <w:rPr>
          <w:rFonts w:ascii="Palatino Linotype" w:hAnsi="Palatino Linotype"/>
        </w:rPr>
      </w:pPr>
      <w:r>
        <w:rPr>
          <w:rFonts w:ascii="Palatino Linotype" w:hAnsi="Palatino Linotype"/>
        </w:rPr>
        <w:t>11.2.1 The Parties’ objective is to assure that a CHP or Utility Prescheduled Facility operating under an extension ordered by the Commission in D.07-09-040 will be able to deliver power without interruption pursuant to the extension of the Legacy CHP PPA[.]</w:t>
      </w:r>
    </w:p>
    <w:p w14:paraId="6B55382D" w14:textId="4B95A1E3" w:rsidR="0021137E" w:rsidRDefault="0021137E" w:rsidP="0021137E">
      <w:pPr>
        <w:rPr>
          <w:rFonts w:ascii="Palatino Linotype" w:hAnsi="Palatino Linotype"/>
        </w:rPr>
      </w:pPr>
    </w:p>
    <w:p w14:paraId="6BC2176C" w14:textId="65F55214" w:rsidR="0021137E" w:rsidRDefault="0021137E" w:rsidP="0021137E">
      <w:pPr>
        <w:rPr>
          <w:rFonts w:ascii="Palatino Linotype" w:hAnsi="Palatino Linotype"/>
        </w:rPr>
      </w:pPr>
      <w:r>
        <w:rPr>
          <w:rFonts w:ascii="Palatino Linotype" w:hAnsi="Palatino Linotype"/>
        </w:rPr>
        <w:t xml:space="preserve">The rest of the section makes no further mention of </w:t>
      </w:r>
      <w:proofErr w:type="gramStart"/>
      <w:r>
        <w:rPr>
          <w:rFonts w:ascii="Palatino Linotype" w:hAnsi="Palatino Linotype"/>
        </w:rPr>
        <w:t>UPFs, but</w:t>
      </w:r>
      <w:proofErr w:type="gramEnd"/>
      <w:r>
        <w:rPr>
          <w:rFonts w:ascii="Palatino Linotype" w:hAnsi="Palatino Linotype"/>
        </w:rPr>
        <w:t xml:space="preserve"> does continue to discuss CHP PPAs. It thus cannot be inferred that the omission of the term ‘Utility Prescheduled Facility,’ is intended to preclude UPFs unless otherwise specifically mentioned. References to “CHP Facilities or Utility Prescheduled Facilities,” are littered throughout the Settlement. </w:t>
      </w:r>
      <w:r w:rsidR="00F71355">
        <w:rPr>
          <w:rFonts w:ascii="Palatino Linotype" w:hAnsi="Palatino Linotype"/>
        </w:rPr>
        <w:t xml:space="preserve">As the very definition of the Program includes UPFs, and as we can see that UPFs are not always explicitly included in the text, it is reasonable to </w:t>
      </w:r>
      <w:r w:rsidR="00C04162">
        <w:rPr>
          <w:rFonts w:ascii="Palatino Linotype" w:hAnsi="Palatino Linotype"/>
        </w:rPr>
        <w:t>conclude</w:t>
      </w:r>
      <w:r w:rsidR="00F71355">
        <w:rPr>
          <w:rFonts w:ascii="Palatino Linotype" w:hAnsi="Palatino Linotype"/>
        </w:rPr>
        <w:t xml:space="preserve"> that Carson</w:t>
      </w:r>
      <w:r w:rsidR="00C04162">
        <w:rPr>
          <w:rFonts w:ascii="Palatino Linotype" w:hAnsi="Palatino Linotype"/>
        </w:rPr>
        <w:t>, as a UPF,</w:t>
      </w:r>
      <w:r w:rsidR="00F71355">
        <w:rPr>
          <w:rFonts w:ascii="Palatino Linotype" w:hAnsi="Palatino Linotype"/>
        </w:rPr>
        <w:t xml:space="preserve"> need not be a CHP facility</w:t>
      </w:r>
      <w:r w:rsidR="00C04162">
        <w:rPr>
          <w:rFonts w:ascii="Palatino Linotype" w:hAnsi="Palatino Linotype"/>
        </w:rPr>
        <w:t xml:space="preserve"> under the federal definition in </w:t>
      </w:r>
      <w:r w:rsidR="00C04162" w:rsidRPr="00FE0D15">
        <w:rPr>
          <w:rFonts w:ascii="Palatino Linotype" w:hAnsi="Palatino Linotype"/>
          <w:color w:val="000000"/>
        </w:rPr>
        <w:t>18 C.F.R. §292.205</w:t>
      </w:r>
      <w:r w:rsidR="00F71355">
        <w:rPr>
          <w:rFonts w:ascii="Palatino Linotype" w:hAnsi="Palatino Linotype"/>
        </w:rPr>
        <w:t xml:space="preserve"> to qualify for GHG credits under Section 7.3.1.4.2</w:t>
      </w:r>
      <w:r w:rsidR="003D0A3E">
        <w:rPr>
          <w:rFonts w:ascii="Palatino Linotype" w:hAnsi="Palatino Linotype"/>
        </w:rPr>
        <w:t>.</w:t>
      </w:r>
    </w:p>
    <w:p w14:paraId="33FFB0A2" w14:textId="77777777" w:rsidR="009F3447" w:rsidRPr="00FE0D15" w:rsidRDefault="009F3447" w:rsidP="009F3447">
      <w:pPr>
        <w:rPr>
          <w:rFonts w:ascii="Palatino Linotype" w:hAnsi="Palatino Linotype"/>
        </w:rPr>
      </w:pPr>
    </w:p>
    <w:p w14:paraId="732812F0" w14:textId="77777777" w:rsidR="00852554" w:rsidRPr="00FE0D15" w:rsidRDefault="00852554" w:rsidP="009F3447">
      <w:pPr>
        <w:rPr>
          <w:rFonts w:ascii="Palatino Linotype" w:hAnsi="Palatino Linotype"/>
          <w:i/>
          <w:u w:val="single"/>
        </w:rPr>
      </w:pPr>
      <w:r w:rsidRPr="00FE0D15">
        <w:rPr>
          <w:rFonts w:ascii="Palatino Linotype" w:hAnsi="Palatino Linotype"/>
          <w:i/>
          <w:u w:val="single"/>
        </w:rPr>
        <w:t>Discussion of Accounting Methodology</w:t>
      </w:r>
    </w:p>
    <w:p w14:paraId="636B6417" w14:textId="77777777" w:rsidR="00852554" w:rsidRPr="00FE0D15" w:rsidRDefault="00852554" w:rsidP="009F3447">
      <w:pPr>
        <w:rPr>
          <w:rFonts w:ascii="Palatino Linotype" w:hAnsi="Palatino Linotype"/>
        </w:rPr>
      </w:pPr>
    </w:p>
    <w:p w14:paraId="46E10581" w14:textId="7DA411EF" w:rsidR="006B7F71" w:rsidRDefault="00C04162">
      <w:pPr>
        <w:rPr>
          <w:rFonts w:ascii="Palatino Linotype" w:hAnsi="Palatino Linotype"/>
        </w:rPr>
      </w:pPr>
      <w:r>
        <w:rPr>
          <w:rFonts w:ascii="Palatino Linotype" w:hAnsi="Palatino Linotype"/>
        </w:rPr>
        <w:t xml:space="preserve">ORA additionally refuted the methodology </w:t>
      </w:r>
      <w:r w:rsidR="00904E8D" w:rsidRPr="00FE0D15">
        <w:rPr>
          <w:rFonts w:ascii="Palatino Linotype" w:hAnsi="Palatino Linotype"/>
        </w:rPr>
        <w:t>SCE used to determined that the Termination Agreeme</w:t>
      </w:r>
      <w:r w:rsidR="005529BB" w:rsidRPr="00FE0D15">
        <w:rPr>
          <w:rFonts w:ascii="Palatino Linotype" w:hAnsi="Palatino Linotype"/>
        </w:rPr>
        <w:t xml:space="preserve">nt contributes </w:t>
      </w:r>
      <w:r w:rsidR="00183D59" w:rsidRPr="00FE0D15">
        <w:rPr>
          <w:rFonts w:ascii="Palatino Linotype" w:hAnsi="Palatino Linotype"/>
        </w:rPr>
        <w:t xml:space="preserve">1,488 MT </w:t>
      </w:r>
      <w:r w:rsidR="005529BB" w:rsidRPr="00FE0D15">
        <w:rPr>
          <w:rFonts w:ascii="Palatino Linotype" w:hAnsi="Palatino Linotype"/>
        </w:rPr>
        <w:t>of GHG c</w:t>
      </w:r>
      <w:r w:rsidR="00904E8D" w:rsidRPr="00FE0D15">
        <w:rPr>
          <w:rFonts w:ascii="Palatino Linotype" w:hAnsi="Palatino Linotype"/>
        </w:rPr>
        <w:t xml:space="preserve">redit </w:t>
      </w:r>
      <w:r w:rsidR="00183D59" w:rsidRPr="00FE0D15">
        <w:rPr>
          <w:rFonts w:ascii="Palatino Linotype" w:hAnsi="Palatino Linotype"/>
        </w:rPr>
        <w:t xml:space="preserve">(modified from the original request of 1,682 MT) </w:t>
      </w:r>
      <w:r w:rsidR="00904E8D" w:rsidRPr="00FE0D15">
        <w:rPr>
          <w:rFonts w:ascii="Palatino Linotype" w:hAnsi="Palatino Linotype"/>
        </w:rPr>
        <w:t>towards their target.</w:t>
      </w:r>
      <w:r>
        <w:rPr>
          <w:rFonts w:ascii="Palatino Linotype" w:hAnsi="Palatino Linotype"/>
        </w:rPr>
        <w:t xml:space="preserve"> </w:t>
      </w:r>
      <w:r w:rsidR="006B7F71">
        <w:rPr>
          <w:rFonts w:ascii="Palatino Linotype" w:hAnsi="Palatino Linotype"/>
        </w:rPr>
        <w:t>In their protest, ORA states that SCE used a heat rate different than the heat rate required by the Term Sheet, yielding a different number of GHG Credits than yielded by the calculations based on the Term Sheet value of 8,300 Btu/kWh. ORA does not point to a specific section of the Term Sheet to justify why SCE ought to use a value of 8,300 Btu/kWh, but merely states that they should.</w:t>
      </w:r>
      <w:r w:rsidR="003D0A3E">
        <w:rPr>
          <w:rFonts w:ascii="Palatino Linotype" w:hAnsi="Palatino Linotype"/>
        </w:rPr>
        <w:t xml:space="preserve"> </w:t>
      </w:r>
      <w:r w:rsidR="006B7F71">
        <w:rPr>
          <w:rFonts w:ascii="Palatino Linotype" w:hAnsi="Palatino Linotype"/>
        </w:rPr>
        <w:t>ORA additionally notes that SCE references section 7.3.1.4.2, which states:</w:t>
      </w:r>
    </w:p>
    <w:p w14:paraId="51AF8E35" w14:textId="77777777" w:rsidR="006B7F71" w:rsidRDefault="006B7F71">
      <w:pPr>
        <w:rPr>
          <w:rFonts w:ascii="Palatino Linotype" w:hAnsi="Palatino Linotype"/>
        </w:rPr>
      </w:pPr>
    </w:p>
    <w:p w14:paraId="161B642D" w14:textId="7181B075" w:rsidR="006B7F71" w:rsidRPr="002F5E65" w:rsidRDefault="006B7F71" w:rsidP="00DE63E2">
      <w:pPr>
        <w:ind w:left="720"/>
        <w:rPr>
          <w:rFonts w:ascii="Palatino Linotype" w:hAnsi="Palatino Linotype"/>
          <w:szCs w:val="26"/>
        </w:rPr>
      </w:pPr>
      <w:r w:rsidRPr="002F5E65">
        <w:rPr>
          <w:rFonts w:ascii="Palatino Linotype" w:hAnsi="Palatino Linotype"/>
          <w:szCs w:val="26"/>
        </w:rPr>
        <w:t xml:space="preserve">If the thermal need no longer exists, measurement is based on the Baseline year emissions minus the projected PPA emissions and emissions associated with replacing one hundred percent (100%) of the decreased electric generation </w:t>
      </w:r>
      <w:r w:rsidRPr="002F5E65">
        <w:rPr>
          <w:rFonts w:ascii="Palatino Linotype" w:hAnsi="Palatino Linotype"/>
          <w:szCs w:val="26"/>
          <w:u w:val="single"/>
        </w:rPr>
        <w:t>at a time differentiated Heat Rate</w:t>
      </w:r>
      <w:r w:rsidRPr="002F5E65">
        <w:rPr>
          <w:rFonts w:ascii="Palatino Linotype" w:hAnsi="Palatino Linotype"/>
          <w:szCs w:val="26"/>
        </w:rPr>
        <w:t>. The baseline year emissions are the average of the previous two (2) calendar years of operational data. The IOU shall demonstrate the thermal need no longer exists. (Emphasis added)</w:t>
      </w:r>
    </w:p>
    <w:p w14:paraId="30B25543" w14:textId="2B3AA7EF" w:rsidR="006B7F71" w:rsidRPr="002F5E65" w:rsidRDefault="006B7F71" w:rsidP="006B7F71">
      <w:pPr>
        <w:rPr>
          <w:rFonts w:ascii="Palatino Linotype" w:hAnsi="Palatino Linotype"/>
          <w:szCs w:val="26"/>
        </w:rPr>
      </w:pPr>
    </w:p>
    <w:p w14:paraId="04493C1E" w14:textId="50595343" w:rsidR="006B7F71" w:rsidRPr="002F5E65" w:rsidRDefault="006B7F71" w:rsidP="006B7F71">
      <w:pPr>
        <w:rPr>
          <w:rFonts w:ascii="Palatino Linotype" w:hAnsi="Palatino Linotype"/>
          <w:szCs w:val="26"/>
        </w:rPr>
      </w:pPr>
      <w:r w:rsidRPr="002F5E65">
        <w:rPr>
          <w:rFonts w:ascii="Palatino Linotype" w:hAnsi="Palatino Linotype"/>
          <w:szCs w:val="26"/>
        </w:rPr>
        <w:t>ORA does not object to SCE using section 7.3.1.4.2 as the correct source to calculate the GHG credits available to Carson from shutting down.</w:t>
      </w:r>
    </w:p>
    <w:p w14:paraId="3D6C0FFF" w14:textId="3CDAF218" w:rsidR="006B7F71" w:rsidRPr="002F5E65" w:rsidRDefault="006B7F71" w:rsidP="00DE63E2">
      <w:pPr>
        <w:ind w:left="720"/>
        <w:rPr>
          <w:rFonts w:ascii="Palatino Linotype" w:hAnsi="Palatino Linotype"/>
          <w:szCs w:val="26"/>
        </w:rPr>
      </w:pPr>
    </w:p>
    <w:p w14:paraId="6ACE8B86" w14:textId="696FAE04" w:rsidR="00EA2F0D" w:rsidRPr="002F5E65" w:rsidRDefault="006B7F71" w:rsidP="00DE63E2">
      <w:pPr>
        <w:ind w:firstLine="720"/>
        <w:rPr>
          <w:rFonts w:ascii="Palatino Linotype" w:hAnsi="Palatino Linotype"/>
          <w:szCs w:val="26"/>
        </w:rPr>
      </w:pPr>
      <w:r w:rsidRPr="002F5E65">
        <w:rPr>
          <w:rFonts w:ascii="Palatino Linotype" w:hAnsi="Palatino Linotype"/>
          <w:szCs w:val="26"/>
        </w:rPr>
        <w:t xml:space="preserve">In their reply, SCE </w:t>
      </w:r>
      <w:r w:rsidR="00EA2F0D" w:rsidRPr="002F5E65">
        <w:rPr>
          <w:rFonts w:ascii="Palatino Linotype" w:hAnsi="Palatino Linotype"/>
          <w:szCs w:val="26"/>
        </w:rPr>
        <w:t xml:space="preserve">claims that the “calculation of GHG Credits is performed based upon proper applicability of the </w:t>
      </w:r>
      <w:r w:rsidR="00AB337F">
        <w:rPr>
          <w:rFonts w:ascii="Palatino Linotype" w:hAnsi="Palatino Linotype"/>
          <w:szCs w:val="26"/>
        </w:rPr>
        <w:t>[Time Differentiated Heat Rate]</w:t>
      </w:r>
      <w:r w:rsidR="00EA2F0D" w:rsidRPr="002F5E65">
        <w:rPr>
          <w:rFonts w:ascii="Palatino Linotype" w:hAnsi="Palatino Linotype"/>
          <w:szCs w:val="26"/>
        </w:rPr>
        <w:t xml:space="preserve"> as stated in Section 7.3.1.4.2</w:t>
      </w:r>
      <w:r w:rsidR="003D0A3E">
        <w:rPr>
          <w:rFonts w:ascii="Palatino Linotype" w:hAnsi="Palatino Linotype"/>
          <w:szCs w:val="26"/>
        </w:rPr>
        <w:t>.</w:t>
      </w:r>
      <w:r w:rsidR="00EA2F0D" w:rsidRPr="002F5E65">
        <w:rPr>
          <w:rFonts w:ascii="Palatino Linotype" w:hAnsi="Palatino Linotype"/>
          <w:szCs w:val="26"/>
        </w:rPr>
        <w:t>” In review, the Commission notes section 7.1 and 7.1.2:</w:t>
      </w:r>
    </w:p>
    <w:p w14:paraId="2DC6AFD1" w14:textId="117B3B19" w:rsidR="00EA2F0D" w:rsidRPr="002F5E65" w:rsidRDefault="00EA2F0D" w:rsidP="006B7F71">
      <w:pPr>
        <w:rPr>
          <w:rFonts w:ascii="Palatino Linotype" w:hAnsi="Palatino Linotype"/>
          <w:szCs w:val="26"/>
        </w:rPr>
      </w:pPr>
    </w:p>
    <w:p w14:paraId="3F96E89A" w14:textId="6722D789" w:rsidR="00EA2F0D" w:rsidRDefault="00EA2F0D" w:rsidP="00DE63E2">
      <w:pPr>
        <w:ind w:firstLine="720"/>
        <w:rPr>
          <w:rFonts w:ascii="Palatino Linotype" w:hAnsi="Palatino Linotype"/>
          <w:szCs w:val="26"/>
        </w:rPr>
      </w:pPr>
      <w:r w:rsidRPr="002F5E65">
        <w:rPr>
          <w:rFonts w:ascii="Palatino Linotype" w:hAnsi="Palatino Linotype"/>
          <w:b/>
          <w:szCs w:val="26"/>
        </w:rPr>
        <w:t>7.1</w:t>
      </w:r>
      <w:r w:rsidRPr="002F5E65">
        <w:rPr>
          <w:rFonts w:ascii="Palatino Linotype" w:hAnsi="Palatino Linotype"/>
          <w:szCs w:val="26"/>
        </w:rPr>
        <w:t xml:space="preserve"> GHG Accounting Principles</w:t>
      </w:r>
    </w:p>
    <w:p w14:paraId="3EB37E8F" w14:textId="635B9A79" w:rsidR="002F5E65" w:rsidRDefault="002F5E65" w:rsidP="00DE63E2">
      <w:pPr>
        <w:ind w:firstLine="720"/>
        <w:rPr>
          <w:rFonts w:ascii="Palatino Linotype" w:hAnsi="Palatino Linotype"/>
          <w:szCs w:val="26"/>
        </w:rPr>
      </w:pPr>
    </w:p>
    <w:p w14:paraId="4C41EFD2" w14:textId="74C68C30" w:rsidR="002F5E65" w:rsidRDefault="002F5E65" w:rsidP="00DE63E2">
      <w:pPr>
        <w:ind w:firstLine="720"/>
        <w:rPr>
          <w:rFonts w:ascii="Palatino Linotype" w:hAnsi="Palatino Linotype"/>
          <w:szCs w:val="26"/>
        </w:rPr>
      </w:pPr>
      <w:r w:rsidRPr="00401A6D">
        <w:rPr>
          <w:rFonts w:ascii="Palatino Linotype" w:hAnsi="Palatino Linotype"/>
          <w:b/>
          <w:szCs w:val="26"/>
        </w:rPr>
        <w:tab/>
        <w:t>7.1.1</w:t>
      </w:r>
      <w:r>
        <w:rPr>
          <w:rFonts w:ascii="Palatino Linotype" w:hAnsi="Palatino Linotype"/>
          <w:szCs w:val="26"/>
        </w:rPr>
        <w:t xml:space="preserve"> (Omitted)</w:t>
      </w:r>
    </w:p>
    <w:p w14:paraId="47457F4C" w14:textId="77777777" w:rsidR="002F5E65" w:rsidRPr="002F5E65" w:rsidRDefault="002F5E65" w:rsidP="00DE63E2">
      <w:pPr>
        <w:ind w:firstLine="720"/>
        <w:rPr>
          <w:rFonts w:ascii="Palatino Linotype" w:hAnsi="Palatino Linotype"/>
          <w:szCs w:val="26"/>
        </w:rPr>
      </w:pPr>
    </w:p>
    <w:p w14:paraId="4D563869" w14:textId="797DD17A" w:rsidR="00EA2F0D" w:rsidRPr="002F5E65" w:rsidRDefault="00EA2F0D" w:rsidP="002F5E65">
      <w:pPr>
        <w:ind w:left="1440"/>
        <w:rPr>
          <w:rFonts w:ascii="Palatino Linotype" w:hAnsi="Palatino Linotype"/>
          <w:szCs w:val="26"/>
        </w:rPr>
      </w:pPr>
      <w:r w:rsidRPr="002F5E65">
        <w:rPr>
          <w:rFonts w:ascii="Palatino Linotype" w:hAnsi="Palatino Linotype"/>
          <w:b/>
          <w:szCs w:val="26"/>
        </w:rPr>
        <w:t>7.1.2</w:t>
      </w:r>
      <w:r w:rsidRPr="002F5E65">
        <w:rPr>
          <w:rFonts w:ascii="Palatino Linotype" w:hAnsi="Palatino Linotype"/>
          <w:szCs w:val="26"/>
        </w:rPr>
        <w:t xml:space="preserve"> Except otherwise noted in Section 7.3, the Parties agree to measure the amount of GHG emissions from CHP Facilities as compared to the current Double Benchmark in place at the time of PPA execution or, for a Utility Prescheduled Facility, execution of a new PPA or a Legacy PPA Amendment.  [</w:t>
      </w:r>
      <w:r w:rsidR="002F5E65">
        <w:rPr>
          <w:rFonts w:ascii="Palatino Linotype" w:hAnsi="Palatino Linotype"/>
          <w:szCs w:val="26"/>
        </w:rPr>
        <w:t xml:space="preserve">Remainder </w:t>
      </w:r>
      <w:r w:rsidRPr="002F5E65">
        <w:rPr>
          <w:rFonts w:ascii="Palatino Linotype" w:hAnsi="Palatino Linotype"/>
          <w:szCs w:val="26"/>
        </w:rPr>
        <w:t>omitted]</w:t>
      </w:r>
    </w:p>
    <w:p w14:paraId="646AA201" w14:textId="0D0A9FF3" w:rsidR="00EA2F0D" w:rsidRPr="002F5E65" w:rsidRDefault="00EA2F0D" w:rsidP="00EA2F0D">
      <w:pPr>
        <w:rPr>
          <w:rFonts w:ascii="Palatino Linotype" w:hAnsi="Palatino Linotype"/>
          <w:szCs w:val="26"/>
        </w:rPr>
      </w:pPr>
    </w:p>
    <w:p w14:paraId="6BA6E180" w14:textId="49D927B4" w:rsidR="00EA2F0D" w:rsidRPr="002F5E65" w:rsidRDefault="00EA2F0D" w:rsidP="00EA2F0D">
      <w:pPr>
        <w:rPr>
          <w:rFonts w:ascii="Palatino Linotype" w:hAnsi="Palatino Linotype"/>
          <w:szCs w:val="26"/>
        </w:rPr>
      </w:pPr>
      <w:r w:rsidRPr="002F5E65">
        <w:rPr>
          <w:rFonts w:ascii="Palatino Linotype" w:hAnsi="Palatino Linotype"/>
          <w:szCs w:val="26"/>
        </w:rPr>
        <w:t xml:space="preserve">As is in fact noted in section 7.3.1.4.2, when calculating the GHG Credits for Carson, an existing inefficient facility whose thermal need no longer exists, the measurement is performed using a time differentiated Heat Rate. The Commission is thus satisfied with SCE’s accounting methodology and approves SCE’s request for </w:t>
      </w:r>
      <w:r w:rsidRPr="002F5E65">
        <w:rPr>
          <w:rFonts w:ascii="Palatino Linotype" w:hAnsi="Palatino Linotype"/>
          <w:iCs/>
          <w:szCs w:val="26"/>
        </w:rPr>
        <w:t>1,488 MT of GHG reduction credits from the shutdown of the Carson facility.</w:t>
      </w:r>
    </w:p>
    <w:p w14:paraId="29EBBD91" w14:textId="4E9FAE60" w:rsidR="00CF17DE" w:rsidRPr="002F5E65" w:rsidRDefault="00CF17DE" w:rsidP="00DE63E2">
      <w:pPr>
        <w:ind w:firstLine="720"/>
        <w:rPr>
          <w:rFonts w:ascii="Palatino Linotype" w:hAnsi="Palatino Linotype"/>
          <w:szCs w:val="26"/>
        </w:rPr>
      </w:pPr>
    </w:p>
    <w:p w14:paraId="103A6346" w14:textId="77777777" w:rsidR="00CF17DE" w:rsidRPr="002F5E65" w:rsidRDefault="00CF17DE">
      <w:pPr>
        <w:pStyle w:val="Heading1"/>
        <w:rPr>
          <w:rFonts w:ascii="Palatino Linotype" w:hAnsi="Palatino Linotype"/>
          <w:szCs w:val="26"/>
        </w:rPr>
      </w:pPr>
      <w:r w:rsidRPr="002F5E65">
        <w:rPr>
          <w:rFonts w:ascii="Palatino Linotype" w:hAnsi="Palatino Linotype"/>
          <w:szCs w:val="26"/>
        </w:rPr>
        <w:t>Comments</w:t>
      </w:r>
    </w:p>
    <w:p w14:paraId="2AFF3C10" w14:textId="77777777" w:rsidR="00CF17DE" w:rsidRPr="002F5E65" w:rsidRDefault="00CF17DE">
      <w:pPr>
        <w:rPr>
          <w:rFonts w:ascii="Palatino Linotype" w:hAnsi="Palatino Linotype"/>
          <w:szCs w:val="26"/>
        </w:rPr>
      </w:pPr>
      <w:r w:rsidRPr="002F5E65">
        <w:rPr>
          <w:rFonts w:ascii="Palatino Linotype" w:hAnsi="Palatino Linotype"/>
          <w:szCs w:val="26"/>
        </w:rPr>
        <w:t xml:space="preserve">Public Utilities Code section 311(g)(1) provides that this resolution must be served on all parties and subject to at least 30 days public review and comment prior to a vote of the Commission.  Section 311(g)(2) provides that this 30-day period may be reduced or waived upon the stipulation of </w:t>
      </w:r>
      <w:r w:rsidR="003F6E5A" w:rsidRPr="002F5E65">
        <w:rPr>
          <w:rFonts w:ascii="Palatino Linotype" w:hAnsi="Palatino Linotype"/>
          <w:szCs w:val="26"/>
        </w:rPr>
        <w:t>all parties in the proceeding.</w:t>
      </w:r>
    </w:p>
    <w:p w14:paraId="1CAFFE2B" w14:textId="77777777" w:rsidR="00CF17DE" w:rsidRPr="002F5E65" w:rsidRDefault="00CF17DE">
      <w:pPr>
        <w:rPr>
          <w:rFonts w:ascii="Palatino Linotype" w:hAnsi="Palatino Linotype"/>
          <w:szCs w:val="26"/>
        </w:rPr>
      </w:pPr>
    </w:p>
    <w:p w14:paraId="26B66E9F" w14:textId="77777777" w:rsidR="00CF17DE" w:rsidRPr="002F5E65" w:rsidRDefault="00CF17DE">
      <w:pPr>
        <w:rPr>
          <w:rFonts w:ascii="Palatino Linotype" w:hAnsi="Palatino Linotype"/>
          <w:szCs w:val="26"/>
        </w:rPr>
      </w:pPr>
      <w:r w:rsidRPr="002F5E65">
        <w:rPr>
          <w:rFonts w:ascii="Palatino Linotype" w:hAnsi="Palatino Linotype"/>
          <w:szCs w:val="26"/>
        </w:rPr>
        <w:t>The 30-day comment period for the draft of thi</w:t>
      </w:r>
      <w:r w:rsidR="009D7160" w:rsidRPr="002F5E65">
        <w:rPr>
          <w:rFonts w:ascii="Palatino Linotype" w:hAnsi="Palatino Linotype"/>
          <w:szCs w:val="26"/>
        </w:rPr>
        <w:t xml:space="preserve">s resolution was </w:t>
      </w:r>
      <w:r w:rsidR="003F6E5A" w:rsidRPr="002F5E65">
        <w:rPr>
          <w:rFonts w:ascii="Palatino Linotype" w:hAnsi="Palatino Linotype"/>
          <w:szCs w:val="26"/>
        </w:rPr>
        <w:t>neither waived nor</w:t>
      </w:r>
      <w:r w:rsidRPr="002F5E65">
        <w:rPr>
          <w:rFonts w:ascii="Palatino Linotype" w:hAnsi="Palatino Linotype"/>
          <w:szCs w:val="26"/>
        </w:rPr>
        <w:t xml:space="preserve"> reduced.  Accordingly, this draft resolution was mailed to parties for comments, and will be placed on the Commission's agenda no earlier than </w:t>
      </w:r>
      <w:r w:rsidR="0007023C" w:rsidRPr="002F5E65">
        <w:rPr>
          <w:rFonts w:ascii="Palatino Linotype" w:hAnsi="Palatino Linotype"/>
          <w:szCs w:val="26"/>
        </w:rPr>
        <w:br/>
        <w:t>30 days from today.</w:t>
      </w:r>
    </w:p>
    <w:p w14:paraId="3FBE89AD" w14:textId="77777777" w:rsidR="0007023C" w:rsidRPr="00FE0D15" w:rsidRDefault="0007023C">
      <w:pPr>
        <w:rPr>
          <w:rFonts w:ascii="Palatino Linotype" w:hAnsi="Palatino Linotype"/>
        </w:rPr>
      </w:pPr>
    </w:p>
    <w:p w14:paraId="0BB4895E" w14:textId="77777777" w:rsidR="00CF17DE" w:rsidRPr="00FE0D15" w:rsidRDefault="00CF17DE">
      <w:pPr>
        <w:pStyle w:val="Heading1"/>
        <w:rPr>
          <w:rFonts w:ascii="Palatino Linotype" w:hAnsi="Palatino Linotype"/>
        </w:rPr>
      </w:pPr>
      <w:r w:rsidRPr="00FE0D15">
        <w:rPr>
          <w:rFonts w:ascii="Palatino Linotype" w:hAnsi="Palatino Linotype"/>
        </w:rPr>
        <w:t>Findings</w:t>
      </w:r>
    </w:p>
    <w:p w14:paraId="2806949F" w14:textId="20E982D8" w:rsidR="005529BB" w:rsidRPr="00FE0D15" w:rsidRDefault="005529BB" w:rsidP="005529BB">
      <w:pPr>
        <w:numPr>
          <w:ilvl w:val="0"/>
          <w:numId w:val="4"/>
        </w:numPr>
        <w:rPr>
          <w:rFonts w:ascii="Palatino Linotype" w:hAnsi="Palatino Linotype"/>
        </w:rPr>
      </w:pPr>
      <w:r w:rsidRPr="00FE0D15">
        <w:rPr>
          <w:rFonts w:ascii="Palatino Linotype" w:hAnsi="Palatino Linotype"/>
        </w:rPr>
        <w:t xml:space="preserve">Commission Decision 10-12-035 directed </w:t>
      </w:r>
      <w:r w:rsidR="00AB337F">
        <w:rPr>
          <w:rFonts w:ascii="Palatino Linotype" w:hAnsi="Palatino Linotype"/>
        </w:rPr>
        <w:t>Southern California Edison</w:t>
      </w:r>
      <w:r w:rsidRPr="00FE0D15">
        <w:rPr>
          <w:rFonts w:ascii="Palatino Linotype" w:hAnsi="Palatino Linotype"/>
        </w:rPr>
        <w:t xml:space="preserve"> to procure 1,402 MW of combined heat and power capacity and established 1.22 </w:t>
      </w:r>
      <w:r w:rsidR="00AB337F">
        <w:rPr>
          <w:rFonts w:ascii="Palatino Linotype" w:hAnsi="Palatino Linotype"/>
        </w:rPr>
        <w:t xml:space="preserve">million metric </w:t>
      </w:r>
      <w:proofErr w:type="spellStart"/>
      <w:r w:rsidR="00AB337F">
        <w:rPr>
          <w:rFonts w:ascii="Palatino Linotype" w:hAnsi="Palatino Linotype"/>
        </w:rPr>
        <w:t>tonnes</w:t>
      </w:r>
      <w:proofErr w:type="spellEnd"/>
      <w:r w:rsidRPr="00FE0D15">
        <w:rPr>
          <w:rFonts w:ascii="Palatino Linotype" w:hAnsi="Palatino Linotype"/>
        </w:rPr>
        <w:t xml:space="preserve"> GHG reduction target.</w:t>
      </w:r>
    </w:p>
    <w:p w14:paraId="1F805774" w14:textId="033A5E24" w:rsidR="005529BB" w:rsidRPr="00FE0D15" w:rsidRDefault="005529BB" w:rsidP="005529BB">
      <w:pPr>
        <w:numPr>
          <w:ilvl w:val="0"/>
          <w:numId w:val="4"/>
        </w:numPr>
        <w:rPr>
          <w:rFonts w:ascii="Palatino Linotype" w:hAnsi="Palatino Linotype"/>
          <w:szCs w:val="26"/>
        </w:rPr>
      </w:pPr>
      <w:r w:rsidRPr="00FE0D15">
        <w:rPr>
          <w:rFonts w:ascii="Palatino Linotype" w:hAnsi="Palatino Linotype"/>
        </w:rPr>
        <w:t>On October 25, 2017, Southern California Edison (SCE) filed Advice Letter (AL) 3681-E</w:t>
      </w:r>
      <w:r w:rsidR="00183D59" w:rsidRPr="00FE0D15">
        <w:rPr>
          <w:rFonts w:ascii="Palatino Linotype" w:hAnsi="Palatino Linotype"/>
        </w:rPr>
        <w:t>, modified by Supplemental 3681-A,</w:t>
      </w:r>
      <w:r w:rsidRPr="00FE0D15">
        <w:rPr>
          <w:rFonts w:ascii="Palatino Linotype" w:hAnsi="Palatino Linotype"/>
        </w:rPr>
        <w:t xml:space="preserve"> seeking approval of </w:t>
      </w:r>
      <w:r w:rsidR="00183D59" w:rsidRPr="00FE0D15">
        <w:rPr>
          <w:rFonts w:ascii="Palatino Linotype" w:hAnsi="Palatino Linotype"/>
        </w:rPr>
        <w:t>1,488</w:t>
      </w:r>
      <w:r w:rsidR="00AB337F">
        <w:rPr>
          <w:rFonts w:ascii="Palatino Linotype" w:hAnsi="Palatino Linotype"/>
        </w:rPr>
        <w:t xml:space="preserve"> metric </w:t>
      </w:r>
      <w:proofErr w:type="spellStart"/>
      <w:r w:rsidR="00AB337F">
        <w:rPr>
          <w:rFonts w:ascii="Palatino Linotype" w:hAnsi="Palatino Linotype"/>
        </w:rPr>
        <w:t>tonnes</w:t>
      </w:r>
      <w:proofErr w:type="spellEnd"/>
      <w:r w:rsidRPr="00FE0D15">
        <w:rPr>
          <w:rFonts w:ascii="Palatino Linotype" w:hAnsi="Palatino Linotype"/>
        </w:rPr>
        <w:t xml:space="preserve"> of GHG credit towards their reduction target.</w:t>
      </w:r>
    </w:p>
    <w:p w14:paraId="19A7BFC1" w14:textId="3203AC5B" w:rsidR="00524EE8" w:rsidRPr="00FE0D15" w:rsidRDefault="00AB337F" w:rsidP="005529BB">
      <w:pPr>
        <w:numPr>
          <w:ilvl w:val="0"/>
          <w:numId w:val="4"/>
        </w:numPr>
        <w:rPr>
          <w:rFonts w:ascii="Palatino Linotype" w:hAnsi="Palatino Linotype"/>
          <w:szCs w:val="26"/>
        </w:rPr>
      </w:pPr>
      <w:r>
        <w:rPr>
          <w:rFonts w:ascii="Palatino Linotype" w:hAnsi="Palatino Linotype"/>
        </w:rPr>
        <w:t>Utility Prescheduled Facilities</w:t>
      </w:r>
      <w:r w:rsidR="00EA2F0D">
        <w:rPr>
          <w:rFonts w:ascii="Palatino Linotype" w:hAnsi="Palatino Linotype"/>
        </w:rPr>
        <w:t xml:space="preserve"> can be considered </w:t>
      </w:r>
      <w:r>
        <w:rPr>
          <w:rFonts w:ascii="Palatino Linotype" w:hAnsi="Palatino Linotype"/>
        </w:rPr>
        <w:t>Combined Heat and Power</w:t>
      </w:r>
      <w:r w:rsidR="00EA2F0D">
        <w:rPr>
          <w:rFonts w:ascii="Palatino Linotype" w:hAnsi="Palatino Linotype"/>
        </w:rPr>
        <w:t xml:space="preserve"> Facilities </w:t>
      </w:r>
      <w:proofErr w:type="gramStart"/>
      <w:r w:rsidR="00EA2F0D">
        <w:rPr>
          <w:rFonts w:ascii="Palatino Linotype" w:hAnsi="Palatino Linotype"/>
        </w:rPr>
        <w:t>in light of</w:t>
      </w:r>
      <w:proofErr w:type="gramEnd"/>
      <w:r w:rsidR="00EA2F0D">
        <w:rPr>
          <w:rFonts w:ascii="Palatino Linotype" w:hAnsi="Palatino Linotype"/>
        </w:rPr>
        <w:t xml:space="preserve"> the Settlement.</w:t>
      </w:r>
    </w:p>
    <w:p w14:paraId="77F50239" w14:textId="73385FCF" w:rsidR="00524EE8" w:rsidRDefault="00127A8C" w:rsidP="005529BB">
      <w:pPr>
        <w:numPr>
          <w:ilvl w:val="0"/>
          <w:numId w:val="4"/>
        </w:numPr>
        <w:rPr>
          <w:rFonts w:ascii="Palatino Linotype" w:hAnsi="Palatino Linotype"/>
          <w:szCs w:val="26"/>
        </w:rPr>
      </w:pPr>
      <w:r w:rsidRPr="00FE0D15">
        <w:rPr>
          <w:rFonts w:ascii="Palatino Linotype" w:hAnsi="Palatino Linotype"/>
          <w:szCs w:val="26"/>
        </w:rPr>
        <w:t xml:space="preserve">The Carson facility, as a </w:t>
      </w:r>
      <w:r w:rsidR="00AB337F">
        <w:rPr>
          <w:rFonts w:ascii="Palatino Linotype" w:hAnsi="Palatino Linotype"/>
          <w:szCs w:val="26"/>
        </w:rPr>
        <w:t>Utility Prescheduled Facility</w:t>
      </w:r>
      <w:r w:rsidRPr="00FE0D15">
        <w:rPr>
          <w:rFonts w:ascii="Palatino Linotype" w:hAnsi="Palatino Linotype"/>
          <w:szCs w:val="26"/>
        </w:rPr>
        <w:t>, is eligible to receive GHG reduction credits under the terms of the Settlement.</w:t>
      </w:r>
    </w:p>
    <w:p w14:paraId="00FFF28D" w14:textId="36385862" w:rsidR="00EA2F0D" w:rsidRPr="00FE0D15" w:rsidRDefault="00EA2F0D" w:rsidP="005529BB">
      <w:pPr>
        <w:numPr>
          <w:ilvl w:val="0"/>
          <w:numId w:val="4"/>
        </w:numPr>
        <w:rPr>
          <w:rFonts w:ascii="Palatino Linotype" w:hAnsi="Palatino Linotype"/>
          <w:szCs w:val="26"/>
        </w:rPr>
      </w:pPr>
      <w:r>
        <w:rPr>
          <w:rFonts w:ascii="Palatino Linotype" w:hAnsi="Palatino Linotype"/>
          <w:szCs w:val="26"/>
        </w:rPr>
        <w:t>As stipulated in section 7.3.1.4.2 of the Settlement Term Sheet, SCE correctly used a time-differentiated Heat Rate to calculate the GHG reduction credits associated with the Carson Cogeneration Company Facility shutdown.</w:t>
      </w:r>
    </w:p>
    <w:p w14:paraId="0D634A75" w14:textId="77777777" w:rsidR="00CF17DE" w:rsidRPr="00FE0D15" w:rsidRDefault="00CF17DE">
      <w:pPr>
        <w:rPr>
          <w:rFonts w:ascii="Palatino Linotype" w:hAnsi="Palatino Linotype"/>
          <w:b/>
        </w:rPr>
      </w:pPr>
    </w:p>
    <w:p w14:paraId="352C26D2" w14:textId="022AD1FF" w:rsidR="00CF17DE" w:rsidRPr="00FE0D15" w:rsidRDefault="00CF17DE">
      <w:pPr>
        <w:pStyle w:val="Heading1"/>
        <w:rPr>
          <w:rFonts w:ascii="Palatino Linotype" w:hAnsi="Palatino Linotype"/>
        </w:rPr>
      </w:pPr>
      <w:proofErr w:type="gramStart"/>
      <w:r w:rsidRPr="00FE0D15">
        <w:rPr>
          <w:rFonts w:ascii="Palatino Linotype" w:hAnsi="Palatino Linotype"/>
        </w:rPr>
        <w:t>Therefore</w:t>
      </w:r>
      <w:proofErr w:type="gramEnd"/>
      <w:r w:rsidRPr="00FE0D15">
        <w:rPr>
          <w:rFonts w:ascii="Palatino Linotype" w:hAnsi="Palatino Linotype"/>
        </w:rPr>
        <w:t xml:space="preserve"> it is ordered that:</w:t>
      </w:r>
    </w:p>
    <w:p w14:paraId="79DA2897" w14:textId="3915BE5D" w:rsidR="00CF17DE" w:rsidRPr="00FE0D15" w:rsidRDefault="009F0E24">
      <w:pPr>
        <w:numPr>
          <w:ilvl w:val="0"/>
          <w:numId w:val="5"/>
        </w:numPr>
        <w:rPr>
          <w:rFonts w:ascii="Palatino Linotype" w:hAnsi="Palatino Linotype"/>
          <w:snapToGrid w:val="0"/>
        </w:rPr>
      </w:pPr>
      <w:r w:rsidRPr="00FE0D15">
        <w:rPr>
          <w:rFonts w:ascii="Palatino Linotype" w:hAnsi="Palatino Linotype"/>
          <w:snapToGrid w:val="0"/>
        </w:rPr>
        <w:t xml:space="preserve">The request of Southern California Edison </w:t>
      </w:r>
      <w:r w:rsidR="00CF17DE" w:rsidRPr="00FE0D15">
        <w:rPr>
          <w:rFonts w:ascii="Palatino Linotype" w:hAnsi="Palatino Linotype"/>
          <w:snapToGrid w:val="0"/>
        </w:rPr>
        <w:t xml:space="preserve">to </w:t>
      </w:r>
      <w:r w:rsidRPr="00FE0D15">
        <w:rPr>
          <w:rFonts w:ascii="Palatino Linotype" w:hAnsi="Palatino Linotype"/>
          <w:snapToGrid w:val="0"/>
        </w:rPr>
        <w:t>claim GHG credits associated with permanently shutting down the Carson Cogeneration Company, LLC facility, as</w:t>
      </w:r>
      <w:r w:rsidR="00CF17DE" w:rsidRPr="00FE0D15">
        <w:rPr>
          <w:rFonts w:ascii="Palatino Linotype" w:hAnsi="Palatino Linotype"/>
          <w:snapToGrid w:val="0"/>
        </w:rPr>
        <w:t xml:space="preserve"> requested in Advice Letter </w:t>
      </w:r>
      <w:r w:rsidRPr="00FE0D15">
        <w:rPr>
          <w:rFonts w:ascii="Palatino Linotype" w:hAnsi="Palatino Linotype"/>
        </w:rPr>
        <w:t>3681-E</w:t>
      </w:r>
      <w:r w:rsidR="00524EE8" w:rsidRPr="00FE0D15">
        <w:rPr>
          <w:rFonts w:ascii="Palatino Linotype" w:hAnsi="Palatino Linotype"/>
        </w:rPr>
        <w:t>,</w:t>
      </w:r>
      <w:r w:rsidRPr="00FE0D15">
        <w:rPr>
          <w:rFonts w:ascii="Palatino Linotype" w:hAnsi="Palatino Linotype"/>
        </w:rPr>
        <w:t xml:space="preserve"> </w:t>
      </w:r>
      <w:r w:rsidRPr="00FE0D15">
        <w:rPr>
          <w:rFonts w:ascii="Palatino Linotype" w:hAnsi="Palatino Linotype"/>
          <w:snapToGrid w:val="0"/>
        </w:rPr>
        <w:t xml:space="preserve">is </w:t>
      </w:r>
      <w:r w:rsidR="00EA2F0D">
        <w:rPr>
          <w:rFonts w:ascii="Palatino Linotype" w:hAnsi="Palatino Linotype"/>
          <w:snapToGrid w:val="0"/>
        </w:rPr>
        <w:t>granted</w:t>
      </w:r>
      <w:r w:rsidRPr="00FE0D15">
        <w:rPr>
          <w:rFonts w:ascii="Palatino Linotype" w:hAnsi="Palatino Linotype"/>
          <w:snapToGrid w:val="0"/>
        </w:rPr>
        <w:t>.</w:t>
      </w:r>
    </w:p>
    <w:p w14:paraId="4154350C" w14:textId="77777777" w:rsidR="00CF17DE" w:rsidRPr="00FE0D15" w:rsidRDefault="00CF17DE">
      <w:pPr>
        <w:tabs>
          <w:tab w:val="left" w:pos="720"/>
          <w:tab w:val="left" w:pos="1296"/>
          <w:tab w:val="left" w:pos="2016"/>
          <w:tab w:val="left" w:pos="2736"/>
          <w:tab w:val="left" w:pos="3456"/>
          <w:tab w:val="left" w:pos="4176"/>
          <w:tab w:val="left" w:pos="5760"/>
        </w:tabs>
        <w:rPr>
          <w:rFonts w:ascii="Palatino Linotype" w:hAnsi="Palatino Linotype"/>
        </w:rPr>
      </w:pPr>
    </w:p>
    <w:p w14:paraId="5683E181" w14:textId="3F78D0D6" w:rsidR="00CF17DE" w:rsidRPr="00FE0D15" w:rsidRDefault="00CF17DE">
      <w:pPr>
        <w:tabs>
          <w:tab w:val="left" w:pos="720"/>
          <w:tab w:val="left" w:pos="1296"/>
          <w:tab w:val="left" w:pos="2016"/>
          <w:tab w:val="left" w:pos="2736"/>
          <w:tab w:val="left" w:pos="3456"/>
          <w:tab w:val="left" w:pos="4176"/>
          <w:tab w:val="left" w:pos="5760"/>
        </w:tabs>
        <w:rPr>
          <w:rFonts w:ascii="Palatino Linotype" w:hAnsi="Palatino Linotype"/>
        </w:rPr>
      </w:pPr>
      <w:r w:rsidRPr="00FE0D15">
        <w:rPr>
          <w:rFonts w:ascii="Palatino Linotype" w:hAnsi="Palatino Linotype"/>
        </w:rPr>
        <w:t>This Resolution is effective today.</w:t>
      </w:r>
    </w:p>
    <w:p w14:paraId="1C6EEB08" w14:textId="77777777" w:rsidR="00CB42C3" w:rsidRPr="00FE0D15" w:rsidRDefault="00CB42C3">
      <w:pPr>
        <w:tabs>
          <w:tab w:val="left" w:pos="720"/>
          <w:tab w:val="left" w:pos="1296"/>
          <w:tab w:val="left" w:pos="2016"/>
          <w:tab w:val="left" w:pos="2736"/>
          <w:tab w:val="left" w:pos="3456"/>
          <w:tab w:val="left" w:pos="4176"/>
          <w:tab w:val="left" w:pos="5760"/>
        </w:tabs>
        <w:rPr>
          <w:rFonts w:ascii="Palatino Linotype" w:hAnsi="Palatino Linotype"/>
        </w:rPr>
      </w:pPr>
    </w:p>
    <w:p w14:paraId="663B4B39" w14:textId="4E5BD997" w:rsidR="00CF17DE" w:rsidRPr="00FE0D15" w:rsidRDefault="00CF17DE">
      <w:pPr>
        <w:rPr>
          <w:rFonts w:ascii="Palatino Linotype" w:hAnsi="Palatino Linotype"/>
          <w:snapToGrid w:val="0"/>
        </w:rPr>
      </w:pPr>
      <w:r w:rsidRPr="00FE0D15">
        <w:rPr>
          <w:rFonts w:ascii="Palatino Linotype" w:hAnsi="Palatino Linotype"/>
          <w:snapToGrid w:val="0"/>
        </w:rPr>
        <w:t xml:space="preserve">I certify that the foregoing resolution was duly introduced, passed and adopted at a conference of the Public Utilities Commission of the State of California held on </w:t>
      </w:r>
      <w:r w:rsidR="00795890">
        <w:rPr>
          <w:rFonts w:ascii="Palatino Linotype" w:hAnsi="Palatino Linotype"/>
          <w:snapToGrid w:val="0"/>
        </w:rPr>
        <w:t>Ju</w:t>
      </w:r>
      <w:r w:rsidR="00042F2F">
        <w:rPr>
          <w:rFonts w:ascii="Palatino Linotype" w:hAnsi="Palatino Linotype"/>
          <w:snapToGrid w:val="0"/>
        </w:rPr>
        <w:t>ly</w:t>
      </w:r>
      <w:r w:rsidR="00795890">
        <w:rPr>
          <w:rFonts w:ascii="Palatino Linotype" w:hAnsi="Palatino Linotype"/>
          <w:snapToGrid w:val="0"/>
        </w:rPr>
        <w:t xml:space="preserve"> </w:t>
      </w:r>
      <w:r w:rsidR="003803EA">
        <w:rPr>
          <w:rFonts w:ascii="Palatino Linotype" w:hAnsi="Palatino Linotype"/>
          <w:snapToGrid w:val="0"/>
        </w:rPr>
        <w:t>12</w:t>
      </w:r>
      <w:bookmarkStart w:id="2" w:name="_GoBack"/>
      <w:bookmarkEnd w:id="2"/>
      <w:r w:rsidR="00795890">
        <w:rPr>
          <w:rFonts w:ascii="Palatino Linotype" w:hAnsi="Palatino Linotype"/>
          <w:snapToGrid w:val="0"/>
        </w:rPr>
        <w:t>, 2018</w:t>
      </w:r>
      <w:r w:rsidRPr="00FE0D15">
        <w:rPr>
          <w:rFonts w:ascii="Palatino Linotype" w:hAnsi="Palatino Linotype"/>
          <w:snapToGrid w:val="0"/>
        </w:rPr>
        <w:t>; the following Commissioners voting favorably thereon:</w:t>
      </w:r>
    </w:p>
    <w:p w14:paraId="0BC1C831" w14:textId="77777777" w:rsidR="00CF17DE" w:rsidRPr="00FE0D15" w:rsidRDefault="00CF17DE">
      <w:pPr>
        <w:tabs>
          <w:tab w:val="left" w:pos="720"/>
          <w:tab w:val="left" w:pos="1152"/>
          <w:tab w:val="left" w:pos="1728"/>
          <w:tab w:val="left" w:pos="3168"/>
          <w:tab w:val="left" w:pos="5040"/>
        </w:tabs>
        <w:ind w:right="144"/>
        <w:rPr>
          <w:rFonts w:ascii="Palatino Linotype" w:hAnsi="Palatino Linotype"/>
        </w:rPr>
      </w:pPr>
    </w:p>
    <w:p w14:paraId="2429A44B" w14:textId="77777777" w:rsidR="00CF17DE" w:rsidRPr="00FE0D15" w:rsidRDefault="00CF17DE">
      <w:pPr>
        <w:tabs>
          <w:tab w:val="left" w:pos="720"/>
          <w:tab w:val="left" w:pos="1152"/>
          <w:tab w:val="left" w:pos="1728"/>
          <w:tab w:val="left" w:pos="3168"/>
          <w:tab w:val="left" w:pos="5040"/>
        </w:tabs>
        <w:ind w:right="144"/>
        <w:rPr>
          <w:rFonts w:ascii="Palatino Linotype" w:hAnsi="Palatino Linotype"/>
        </w:rPr>
      </w:pPr>
    </w:p>
    <w:p w14:paraId="6C909654" w14:textId="77777777" w:rsidR="00CF17DE" w:rsidRPr="00FE0D15" w:rsidRDefault="00CF17DE">
      <w:pPr>
        <w:tabs>
          <w:tab w:val="left" w:pos="720"/>
          <w:tab w:val="left" w:pos="1152"/>
          <w:tab w:val="left" w:pos="1728"/>
          <w:tab w:val="left" w:pos="3168"/>
          <w:tab w:val="left" w:pos="5040"/>
        </w:tabs>
        <w:ind w:right="144"/>
        <w:rPr>
          <w:rFonts w:ascii="Palatino Linotype" w:hAnsi="Palatino Linotype"/>
        </w:rPr>
      </w:pPr>
    </w:p>
    <w:p w14:paraId="01E4007E" w14:textId="77777777" w:rsidR="00CF17DE" w:rsidRPr="00FE0D15" w:rsidRDefault="00CF17DE">
      <w:pPr>
        <w:tabs>
          <w:tab w:val="left" w:pos="720"/>
          <w:tab w:val="left" w:pos="1152"/>
          <w:tab w:val="left" w:pos="1728"/>
          <w:tab w:val="left" w:pos="3168"/>
          <w:tab w:val="left" w:pos="5040"/>
        </w:tabs>
        <w:ind w:right="144"/>
        <w:rPr>
          <w:rFonts w:ascii="Palatino Linotype" w:hAnsi="Palatino Linotype"/>
        </w:rPr>
      </w:pPr>
    </w:p>
    <w:p w14:paraId="22F38B83" w14:textId="77777777" w:rsidR="00CF17DE" w:rsidRPr="00FE0D15" w:rsidRDefault="00CF17DE">
      <w:pPr>
        <w:tabs>
          <w:tab w:val="left" w:pos="720"/>
          <w:tab w:val="left" w:pos="1152"/>
          <w:tab w:val="left" w:pos="1728"/>
          <w:tab w:val="left" w:pos="3168"/>
          <w:tab w:val="left" w:pos="5040"/>
        </w:tabs>
        <w:ind w:right="144"/>
        <w:rPr>
          <w:rFonts w:ascii="Palatino Linotype" w:hAnsi="Palatino Linotype"/>
        </w:rPr>
      </w:pPr>
      <w:r w:rsidRPr="00FE0D15">
        <w:rPr>
          <w:rFonts w:ascii="Palatino Linotype" w:hAnsi="Palatino Linotype"/>
        </w:rPr>
        <w:tab/>
      </w:r>
      <w:r w:rsidRPr="00FE0D15">
        <w:rPr>
          <w:rFonts w:ascii="Palatino Linotype" w:hAnsi="Palatino Linotype"/>
        </w:rPr>
        <w:tab/>
      </w:r>
      <w:r w:rsidRPr="00FE0D15">
        <w:rPr>
          <w:rFonts w:ascii="Palatino Linotype" w:hAnsi="Palatino Linotype"/>
        </w:rPr>
        <w:tab/>
      </w:r>
      <w:r w:rsidRPr="00FE0D15">
        <w:rPr>
          <w:rFonts w:ascii="Palatino Linotype" w:hAnsi="Palatino Linotype"/>
        </w:rPr>
        <w:tab/>
      </w:r>
      <w:r w:rsidRPr="00FE0D15">
        <w:rPr>
          <w:rFonts w:ascii="Palatino Linotype" w:hAnsi="Palatino Linotype"/>
        </w:rPr>
        <w:tab/>
      </w:r>
      <w:r w:rsidRPr="00FE0D15">
        <w:rPr>
          <w:rFonts w:ascii="Palatino Linotype" w:hAnsi="Palatino Linotype"/>
        </w:rPr>
        <w:tab/>
        <w:t>_______________</w:t>
      </w:r>
      <w:r w:rsidR="008E6797" w:rsidRPr="00FE0D15">
        <w:rPr>
          <w:rFonts w:ascii="Palatino Linotype" w:hAnsi="Palatino Linotype"/>
        </w:rPr>
        <w:t>______</w:t>
      </w:r>
    </w:p>
    <w:p w14:paraId="743BDABC" w14:textId="77777777" w:rsidR="00CF17DE" w:rsidRPr="00FE0D15" w:rsidRDefault="00CF17DE">
      <w:pPr>
        <w:rPr>
          <w:rFonts w:ascii="Palatino Linotype" w:hAnsi="Palatino Linotype"/>
        </w:rPr>
      </w:pPr>
      <w:r w:rsidRPr="00FE0D15">
        <w:rPr>
          <w:rFonts w:ascii="Palatino Linotype" w:hAnsi="Palatino Linotype"/>
        </w:rPr>
        <w:tab/>
      </w:r>
      <w:r w:rsidRPr="00FE0D15">
        <w:rPr>
          <w:rFonts w:ascii="Palatino Linotype" w:hAnsi="Palatino Linotype"/>
        </w:rPr>
        <w:tab/>
      </w:r>
      <w:r w:rsidRPr="00FE0D15">
        <w:rPr>
          <w:rFonts w:ascii="Palatino Linotype" w:hAnsi="Palatino Linotype"/>
        </w:rPr>
        <w:tab/>
      </w:r>
      <w:r w:rsidRPr="00FE0D15">
        <w:rPr>
          <w:rFonts w:ascii="Palatino Linotype" w:hAnsi="Palatino Linotype"/>
        </w:rPr>
        <w:tab/>
      </w:r>
      <w:r w:rsidRPr="00FE0D15">
        <w:rPr>
          <w:rFonts w:ascii="Palatino Linotype" w:hAnsi="Palatino Linotype"/>
        </w:rPr>
        <w:tab/>
      </w:r>
      <w:r w:rsidRPr="00FE0D15">
        <w:rPr>
          <w:rFonts w:ascii="Palatino Linotype" w:hAnsi="Palatino Linotype"/>
        </w:rPr>
        <w:tab/>
      </w:r>
      <w:r w:rsidRPr="00FE0D15">
        <w:rPr>
          <w:rFonts w:ascii="Palatino Linotype" w:hAnsi="Palatino Linotype"/>
        </w:rPr>
        <w:tab/>
      </w:r>
      <w:r w:rsidRPr="00FE0D15">
        <w:rPr>
          <w:rFonts w:ascii="Palatino Linotype" w:hAnsi="Palatino Linotype"/>
        </w:rPr>
        <w:tab/>
      </w:r>
      <w:r w:rsidR="009F0E24" w:rsidRPr="00FE0D15">
        <w:rPr>
          <w:rFonts w:ascii="Palatino Linotype" w:hAnsi="Palatino Linotype"/>
        </w:rPr>
        <w:t>ALICE STEBBINS</w:t>
      </w:r>
    </w:p>
    <w:p w14:paraId="37434D57" w14:textId="77777777" w:rsidR="00CF17DE" w:rsidRPr="00FE0D15" w:rsidRDefault="00CF17DE">
      <w:pPr>
        <w:rPr>
          <w:rFonts w:ascii="Palatino Linotype" w:hAnsi="Palatino Linotype"/>
        </w:rPr>
      </w:pPr>
      <w:r w:rsidRPr="00FE0D15">
        <w:rPr>
          <w:rFonts w:ascii="Palatino Linotype" w:hAnsi="Palatino Linotype"/>
        </w:rPr>
        <w:tab/>
      </w:r>
      <w:r w:rsidRPr="00FE0D15">
        <w:rPr>
          <w:rFonts w:ascii="Palatino Linotype" w:hAnsi="Palatino Linotype"/>
        </w:rPr>
        <w:tab/>
      </w:r>
      <w:r w:rsidRPr="00FE0D15">
        <w:rPr>
          <w:rFonts w:ascii="Palatino Linotype" w:hAnsi="Palatino Linotype"/>
        </w:rPr>
        <w:tab/>
      </w:r>
      <w:r w:rsidRPr="00FE0D15">
        <w:rPr>
          <w:rFonts w:ascii="Palatino Linotype" w:hAnsi="Palatino Linotype"/>
        </w:rPr>
        <w:tab/>
      </w:r>
      <w:r w:rsidRPr="00FE0D15">
        <w:rPr>
          <w:rFonts w:ascii="Palatino Linotype" w:hAnsi="Palatino Linotype"/>
        </w:rPr>
        <w:tab/>
      </w:r>
      <w:r w:rsidRPr="00FE0D15">
        <w:rPr>
          <w:rFonts w:ascii="Palatino Linotype" w:hAnsi="Palatino Linotype"/>
        </w:rPr>
        <w:tab/>
      </w:r>
      <w:r w:rsidRPr="00FE0D15">
        <w:rPr>
          <w:rFonts w:ascii="Palatino Linotype" w:hAnsi="Palatino Linotype"/>
        </w:rPr>
        <w:tab/>
      </w:r>
      <w:r w:rsidRPr="00FE0D15">
        <w:rPr>
          <w:rFonts w:ascii="Palatino Linotype" w:hAnsi="Palatino Linotype"/>
        </w:rPr>
        <w:tab/>
        <w:t>Executive Director</w:t>
      </w:r>
    </w:p>
    <w:sectPr w:rsidR="00CF17DE" w:rsidRPr="00FE0D15">
      <w:headerReference w:type="default" r:id="rId7"/>
      <w:footerReference w:type="default" r:id="rId8"/>
      <w:headerReference w:type="first" r:id="rId9"/>
      <w:footerReference w:type="first" r:id="rId10"/>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A5BB1" w14:textId="77777777" w:rsidR="00213735" w:rsidRDefault="00213735">
      <w:r>
        <w:separator/>
      </w:r>
    </w:p>
  </w:endnote>
  <w:endnote w:type="continuationSeparator" w:id="0">
    <w:p w14:paraId="64904348" w14:textId="77777777" w:rsidR="00213735" w:rsidRDefault="00213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2020500000000000000"/>
    <w:charset w:val="00"/>
    <w:family w:val="auto"/>
    <w:pitch w:val="variable"/>
    <w:sig w:usb0="A00002FF" w:usb1="7800205A" w:usb2="14600000" w:usb3="00000000" w:csb0="00000197" w:csb1="00000000"/>
  </w:font>
  <w:font w:name="Helvetica">
    <w:altName w:val="Arial"/>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C6018" w14:textId="5CDCE0AD" w:rsidR="00CF17DE" w:rsidRDefault="00CF17DE">
    <w:pPr>
      <w:pStyle w:val="Footer"/>
    </w:pPr>
    <w:r>
      <w:rPr>
        <w:rStyle w:val="PageNumber"/>
      </w:rPr>
      <w:fldChar w:fldCharType="begin"/>
    </w:r>
    <w:r>
      <w:rPr>
        <w:rStyle w:val="PageNumber"/>
      </w:rPr>
      <w:instrText xml:space="preserve"> PAGE </w:instrText>
    </w:r>
    <w:r>
      <w:rPr>
        <w:rStyle w:val="PageNumber"/>
      </w:rPr>
      <w:fldChar w:fldCharType="separate"/>
    </w:r>
    <w:r w:rsidR="00B22F6F">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ECF1B" w14:textId="4AD4C940" w:rsidR="00CF17DE" w:rsidRDefault="009A68AF" w:rsidP="009A68AF">
    <w:pPr>
      <w:pStyle w:val="Footer"/>
      <w:tabs>
        <w:tab w:val="clear" w:pos="4320"/>
        <w:tab w:val="center" w:pos="4680"/>
      </w:tabs>
      <w:jc w:val="left"/>
    </w:pPr>
    <w:r w:rsidRPr="009A68AF">
      <w:rPr>
        <w:rFonts w:ascii="Tahoma" w:hAnsi="Tahoma" w:cs="Tahoma"/>
        <w:sz w:val="22"/>
        <w:szCs w:val="17"/>
      </w:rPr>
      <w:t>215468870</w:t>
    </w:r>
    <w:r>
      <w:rPr>
        <w:rFonts w:ascii="Tahoma" w:hAnsi="Tahoma" w:cs="Tahoma"/>
        <w:sz w:val="17"/>
        <w:szCs w:val="17"/>
      </w:rPr>
      <w:t xml:space="preserve">                                                                    </w:t>
    </w:r>
    <w:r w:rsidR="00CF17DE">
      <w:rPr>
        <w:rStyle w:val="PageNumber"/>
      </w:rPr>
      <w:fldChar w:fldCharType="begin"/>
    </w:r>
    <w:r w:rsidR="00CF17DE">
      <w:rPr>
        <w:rStyle w:val="PageNumber"/>
      </w:rPr>
      <w:instrText xml:space="preserve"> PAGE </w:instrText>
    </w:r>
    <w:r w:rsidR="00CF17DE">
      <w:rPr>
        <w:rStyle w:val="PageNumber"/>
      </w:rPr>
      <w:fldChar w:fldCharType="separate"/>
    </w:r>
    <w:r w:rsidR="00B22F6F">
      <w:rPr>
        <w:rStyle w:val="PageNumber"/>
        <w:noProof/>
      </w:rPr>
      <w:t>1</w:t>
    </w:r>
    <w:r w:rsidR="00CF17D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2959A" w14:textId="77777777" w:rsidR="00213735" w:rsidRDefault="00213735">
      <w:r>
        <w:separator/>
      </w:r>
    </w:p>
  </w:footnote>
  <w:footnote w:type="continuationSeparator" w:id="0">
    <w:p w14:paraId="67828D5C" w14:textId="77777777" w:rsidR="00213735" w:rsidRDefault="00213735">
      <w:r>
        <w:continuationSeparator/>
      </w:r>
    </w:p>
  </w:footnote>
  <w:footnote w:type="continuationNotice" w:id="1">
    <w:p w14:paraId="432DE0E6" w14:textId="77777777" w:rsidR="00213735" w:rsidRDefault="00213735">
      <w:pPr>
        <w:rPr>
          <w:sz w:val="22"/>
        </w:rPr>
      </w:pPr>
    </w:p>
    <w:p w14:paraId="5219B477" w14:textId="77777777" w:rsidR="00213735" w:rsidRDefault="00213735">
      <w:pPr>
        <w:jc w:val="right"/>
        <w:rPr>
          <w:sz w:val="22"/>
        </w:rPr>
      </w:pPr>
      <w:r>
        <w:rPr>
          <w:i/>
          <w:sz w:val="22"/>
        </w:rPr>
        <w:t xml:space="preserve">Footnote </w:t>
      </w:r>
      <w:proofErr w:type="gramStart"/>
      <w:r>
        <w:rPr>
          <w:i/>
          <w:sz w:val="22"/>
        </w:rPr>
        <w:t>continued on</w:t>
      </w:r>
      <w:proofErr w:type="gramEnd"/>
      <w:r>
        <w:rPr>
          <w:i/>
          <w:sz w:val="22"/>
        </w:rPr>
        <w:t xml:space="preserve"> next page</w:t>
      </w:r>
    </w:p>
  </w:footnote>
  <w:footnote w:id="2">
    <w:p w14:paraId="15FFD31A" w14:textId="6D17960B" w:rsidR="00D2140A" w:rsidRPr="00D2140A" w:rsidRDefault="00D2140A" w:rsidP="00D2140A">
      <w:pPr>
        <w:pStyle w:val="FootnoteText"/>
        <w:numPr>
          <w:ilvl w:val="0"/>
          <w:numId w:val="0"/>
        </w:numPr>
        <w:ind w:left="360"/>
      </w:pPr>
      <w:r>
        <w:rPr>
          <w:rStyle w:val="FootnoteReference"/>
        </w:rPr>
        <w:footnoteRef/>
      </w:r>
      <w:r>
        <w:t xml:space="preserve"> CARB CHP Recommended Reduction Measure, from </w:t>
      </w:r>
      <w:r>
        <w:rPr>
          <w:i/>
        </w:rPr>
        <w:t>Climate Change Scoping Plan: A Framework for Change,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6A2E4" w14:textId="185844FB" w:rsidR="00CF17DE" w:rsidRDefault="00CF17DE">
    <w:pPr>
      <w:pStyle w:val="Header"/>
      <w:tabs>
        <w:tab w:val="clear" w:pos="4320"/>
        <w:tab w:val="clear" w:pos="8640"/>
        <w:tab w:val="center" w:pos="4680"/>
        <w:tab w:val="right" w:pos="9180"/>
      </w:tabs>
    </w:pPr>
    <w:r>
      <w:t xml:space="preserve">Resolution </w:t>
    </w:r>
    <w:r w:rsidR="00127A8C">
      <w:t>E-4925</w:t>
    </w:r>
    <w:r w:rsidR="003F6E5A">
      <w:tab/>
    </w:r>
    <w:r>
      <w:t>DRAFT</w:t>
    </w:r>
    <w:r>
      <w:tab/>
    </w:r>
    <w:r w:rsidR="00DC7316">
      <w:t>July 12</w:t>
    </w:r>
    <w:r w:rsidR="00BC3A59">
      <w:t>, 2018</w:t>
    </w:r>
  </w:p>
  <w:p w14:paraId="6874034E" w14:textId="77777777" w:rsidR="00CF17DE" w:rsidRDefault="00127A8C">
    <w:pPr>
      <w:pStyle w:val="Header"/>
      <w:tabs>
        <w:tab w:val="clear" w:pos="4320"/>
        <w:tab w:val="clear" w:pos="8640"/>
        <w:tab w:val="center" w:pos="4680"/>
        <w:tab w:val="right" w:pos="9180"/>
      </w:tabs>
    </w:pPr>
    <w:r>
      <w:t>SCE AL 3681-E/DM6</w:t>
    </w:r>
  </w:p>
  <w:p w14:paraId="45AFB88D" w14:textId="77777777" w:rsidR="00CF17DE" w:rsidRDefault="00CF17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68607" w14:textId="77777777" w:rsidR="00CF17DE" w:rsidRPr="008E6797" w:rsidRDefault="00CF17DE" w:rsidP="003F6E5A">
    <w:pPr>
      <w:pStyle w:val="Header"/>
      <w:jc w:val="center"/>
      <w:rPr>
        <w:rFonts w:ascii="Helvetica" w:hAnsi="Helvetica"/>
        <w:sz w:val="28"/>
      </w:rPr>
    </w:pPr>
    <w:r w:rsidRPr="008E6797">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1"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9237998"/>
    <w:multiLevelType w:val="hybridMultilevel"/>
    <w:tmpl w:val="2F229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80B1D"/>
    <w:multiLevelType w:val="multilevel"/>
    <w:tmpl w:val="88443944"/>
    <w:lvl w:ilvl="0">
      <w:start w:val="1"/>
      <w:numFmt w:val="decimal"/>
      <w:pStyle w:val="FootnoteText"/>
      <w:lvlText w:val="%1."/>
      <w:lvlJc w:val="left"/>
      <w:pPr>
        <w:tabs>
          <w:tab w:val="num" w:pos="360"/>
        </w:tabs>
        <w:ind w:left="360" w:hanging="360"/>
      </w:pPr>
      <w:rPr>
        <w:rFonts w:hint="default"/>
      </w:rPr>
    </w:lvl>
    <w:lvl w:ilvl="1">
      <w:start w:val="1"/>
      <w:numFmt w:val="decimal"/>
      <w:pStyle w:val="Heading2"/>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 w15:restartNumberingAfterBreak="0">
    <w:nsid w:val="26F8414F"/>
    <w:multiLevelType w:val="hybridMultilevel"/>
    <w:tmpl w:val="2F146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7" w15:restartNumberingAfterBreak="0">
    <w:nsid w:val="6A5472D1"/>
    <w:multiLevelType w:val="hybridMultilevel"/>
    <w:tmpl w:val="52C4A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B84711"/>
    <w:multiLevelType w:val="hybridMultilevel"/>
    <w:tmpl w:val="B0F2A0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E56713E"/>
    <w:multiLevelType w:val="hybridMultilevel"/>
    <w:tmpl w:val="45566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3"/>
  </w:num>
  <w:num w:numId="4">
    <w:abstractNumId w:val="6"/>
  </w:num>
  <w:num w:numId="5">
    <w:abstractNumId w:val="1"/>
  </w:num>
  <w:num w:numId="6">
    <w:abstractNumId w:val="4"/>
  </w:num>
  <w:num w:numId="7">
    <w:abstractNumId w:val="8"/>
  </w:num>
  <w:num w:numId="8">
    <w:abstractNumId w:val="9"/>
  </w:num>
  <w:num w:numId="9">
    <w:abstractNumId w:val="2"/>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D70"/>
    <w:rsid w:val="00005C10"/>
    <w:rsid w:val="00005E9A"/>
    <w:rsid w:val="00021F13"/>
    <w:rsid w:val="00025975"/>
    <w:rsid w:val="00042F2F"/>
    <w:rsid w:val="0007023C"/>
    <w:rsid w:val="0007631F"/>
    <w:rsid w:val="00085457"/>
    <w:rsid w:val="000A41E1"/>
    <w:rsid w:val="000B5D11"/>
    <w:rsid w:val="000D3A75"/>
    <w:rsid w:val="000D5AE2"/>
    <w:rsid w:val="000E1C4C"/>
    <w:rsid w:val="000E77B9"/>
    <w:rsid w:val="00127A8C"/>
    <w:rsid w:val="00142FB8"/>
    <w:rsid w:val="00165280"/>
    <w:rsid w:val="00183D59"/>
    <w:rsid w:val="00194595"/>
    <w:rsid w:val="0021137E"/>
    <w:rsid w:val="00213735"/>
    <w:rsid w:val="00240DF8"/>
    <w:rsid w:val="00282D87"/>
    <w:rsid w:val="002D52BD"/>
    <w:rsid w:val="002F5E65"/>
    <w:rsid w:val="00324F8E"/>
    <w:rsid w:val="003803EA"/>
    <w:rsid w:val="00394B3A"/>
    <w:rsid w:val="003A302C"/>
    <w:rsid w:val="003B0F58"/>
    <w:rsid w:val="003B1839"/>
    <w:rsid w:val="003D0A3E"/>
    <w:rsid w:val="003E0B30"/>
    <w:rsid w:val="003F6E5A"/>
    <w:rsid w:val="00400F6B"/>
    <w:rsid w:val="00401A6D"/>
    <w:rsid w:val="00440AB7"/>
    <w:rsid w:val="004453BC"/>
    <w:rsid w:val="00467956"/>
    <w:rsid w:val="00470B9B"/>
    <w:rsid w:val="00484D72"/>
    <w:rsid w:val="004905D3"/>
    <w:rsid w:val="004C6493"/>
    <w:rsid w:val="004D3212"/>
    <w:rsid w:val="00516CC6"/>
    <w:rsid w:val="00524EE8"/>
    <w:rsid w:val="00527CCD"/>
    <w:rsid w:val="00527EBC"/>
    <w:rsid w:val="005529BB"/>
    <w:rsid w:val="00593807"/>
    <w:rsid w:val="005C6433"/>
    <w:rsid w:val="005D05D4"/>
    <w:rsid w:val="005F1942"/>
    <w:rsid w:val="0060753D"/>
    <w:rsid w:val="00625DBF"/>
    <w:rsid w:val="00647D18"/>
    <w:rsid w:val="00663E56"/>
    <w:rsid w:val="00664EE2"/>
    <w:rsid w:val="00695D1F"/>
    <w:rsid w:val="0069631C"/>
    <w:rsid w:val="006B05EE"/>
    <w:rsid w:val="006B7F71"/>
    <w:rsid w:val="006D0218"/>
    <w:rsid w:val="00761FB0"/>
    <w:rsid w:val="007750E4"/>
    <w:rsid w:val="00790CAB"/>
    <w:rsid w:val="00795890"/>
    <w:rsid w:val="007A281A"/>
    <w:rsid w:val="007D578F"/>
    <w:rsid w:val="007D67CA"/>
    <w:rsid w:val="00801D70"/>
    <w:rsid w:val="00852554"/>
    <w:rsid w:val="00881D65"/>
    <w:rsid w:val="008D34BE"/>
    <w:rsid w:val="008D5584"/>
    <w:rsid w:val="008E6797"/>
    <w:rsid w:val="00900A1A"/>
    <w:rsid w:val="00904E8D"/>
    <w:rsid w:val="00966821"/>
    <w:rsid w:val="009809B1"/>
    <w:rsid w:val="009878F1"/>
    <w:rsid w:val="009A24A8"/>
    <w:rsid w:val="009A50E0"/>
    <w:rsid w:val="009A68AF"/>
    <w:rsid w:val="009B4F3E"/>
    <w:rsid w:val="009B5CA7"/>
    <w:rsid w:val="009D7160"/>
    <w:rsid w:val="009F0E24"/>
    <w:rsid w:val="009F3447"/>
    <w:rsid w:val="00A1526C"/>
    <w:rsid w:val="00A218B6"/>
    <w:rsid w:val="00A60201"/>
    <w:rsid w:val="00A93EE4"/>
    <w:rsid w:val="00AB337F"/>
    <w:rsid w:val="00AC4B33"/>
    <w:rsid w:val="00AD2A34"/>
    <w:rsid w:val="00AE664C"/>
    <w:rsid w:val="00AF1DF6"/>
    <w:rsid w:val="00B20AB3"/>
    <w:rsid w:val="00B22F6F"/>
    <w:rsid w:val="00B530DA"/>
    <w:rsid w:val="00B5511A"/>
    <w:rsid w:val="00B63882"/>
    <w:rsid w:val="00B927B5"/>
    <w:rsid w:val="00BC3A59"/>
    <w:rsid w:val="00BD2CDB"/>
    <w:rsid w:val="00C034B7"/>
    <w:rsid w:val="00C04162"/>
    <w:rsid w:val="00C16DA7"/>
    <w:rsid w:val="00C219D9"/>
    <w:rsid w:val="00C3326E"/>
    <w:rsid w:val="00C740D1"/>
    <w:rsid w:val="00C7649C"/>
    <w:rsid w:val="00CA72E7"/>
    <w:rsid w:val="00CB42C3"/>
    <w:rsid w:val="00CC4CD8"/>
    <w:rsid w:val="00CE4E6E"/>
    <w:rsid w:val="00CF17DE"/>
    <w:rsid w:val="00D0484A"/>
    <w:rsid w:val="00D137B9"/>
    <w:rsid w:val="00D20F6C"/>
    <w:rsid w:val="00D2140A"/>
    <w:rsid w:val="00D52F2C"/>
    <w:rsid w:val="00D958FD"/>
    <w:rsid w:val="00D972B8"/>
    <w:rsid w:val="00DA6472"/>
    <w:rsid w:val="00DB08CE"/>
    <w:rsid w:val="00DB6F2C"/>
    <w:rsid w:val="00DC30F6"/>
    <w:rsid w:val="00DC7316"/>
    <w:rsid w:val="00DE16E3"/>
    <w:rsid w:val="00DE63E2"/>
    <w:rsid w:val="00DF35CC"/>
    <w:rsid w:val="00E02127"/>
    <w:rsid w:val="00E070FA"/>
    <w:rsid w:val="00E106E5"/>
    <w:rsid w:val="00E56EE2"/>
    <w:rsid w:val="00E57DFB"/>
    <w:rsid w:val="00E928CF"/>
    <w:rsid w:val="00EA182E"/>
    <w:rsid w:val="00EA2F0D"/>
    <w:rsid w:val="00EA429B"/>
    <w:rsid w:val="00EB7843"/>
    <w:rsid w:val="00EE3E9E"/>
    <w:rsid w:val="00F13CBC"/>
    <w:rsid w:val="00F43DC2"/>
    <w:rsid w:val="00F51F8B"/>
    <w:rsid w:val="00F71355"/>
    <w:rsid w:val="00FD436F"/>
    <w:rsid w:val="00FE0131"/>
    <w:rsid w:val="00FE0D15"/>
    <w:rsid w:val="00FE6CAC"/>
    <w:rsid w:val="00FF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188AAE"/>
  <w15:docId w15:val="{0C613B2E-7C86-490C-99AB-DEA053DEF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04E8D"/>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3"/>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numPr>
        <w:numId w:val="3"/>
      </w:numPr>
      <w:spacing w:after="240"/>
    </w:pPr>
    <w:rPr>
      <w:sz w:val="24"/>
    </w:r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2"/>
      </w:numPr>
      <w:ind w:left="1080"/>
    </w:pPr>
  </w:style>
  <w:style w:type="character" w:styleId="FootnoteReference">
    <w:name w:val="footnote reference"/>
    <w:semiHidden/>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paragraph" w:styleId="ListParagraph">
    <w:name w:val="List Paragraph"/>
    <w:basedOn w:val="Normal"/>
    <w:uiPriority w:val="34"/>
    <w:qFormat/>
    <w:rsid w:val="003F6E5A"/>
    <w:pPr>
      <w:ind w:left="720"/>
      <w:contextualSpacing/>
    </w:pPr>
  </w:style>
  <w:style w:type="paragraph" w:customStyle="1" w:styleId="Default">
    <w:name w:val="Default"/>
    <w:rsid w:val="00D972B8"/>
    <w:pPr>
      <w:autoSpaceDE w:val="0"/>
      <w:autoSpaceDN w:val="0"/>
      <w:adjustRightInd w:val="0"/>
    </w:pPr>
    <w:rPr>
      <w:rFonts w:ascii="Book Antiqua" w:eastAsia="Calibri" w:hAnsi="Book Antiqua" w:cs="Book Antiqua"/>
      <w:color w:val="000000"/>
      <w:sz w:val="24"/>
      <w:szCs w:val="24"/>
    </w:rPr>
  </w:style>
  <w:style w:type="paragraph" w:styleId="BalloonText">
    <w:name w:val="Balloon Text"/>
    <w:basedOn w:val="Normal"/>
    <w:link w:val="BalloonTextChar"/>
    <w:semiHidden/>
    <w:unhideWhenUsed/>
    <w:rsid w:val="0007631F"/>
    <w:rPr>
      <w:rFonts w:ascii="Segoe UI" w:hAnsi="Segoe UI" w:cs="Segoe UI"/>
      <w:sz w:val="18"/>
      <w:szCs w:val="18"/>
    </w:rPr>
  </w:style>
  <w:style w:type="character" w:customStyle="1" w:styleId="BalloonTextChar">
    <w:name w:val="Balloon Text Char"/>
    <w:basedOn w:val="DefaultParagraphFont"/>
    <w:link w:val="BalloonText"/>
    <w:semiHidden/>
    <w:rsid w:val="0007631F"/>
    <w:rPr>
      <w:rFonts w:ascii="Segoe UI" w:hAnsi="Segoe UI" w:cs="Segoe UI"/>
      <w:sz w:val="18"/>
      <w:szCs w:val="18"/>
    </w:rPr>
  </w:style>
  <w:style w:type="character" w:styleId="CommentReference">
    <w:name w:val="annotation reference"/>
    <w:basedOn w:val="DefaultParagraphFont"/>
    <w:semiHidden/>
    <w:unhideWhenUsed/>
    <w:rsid w:val="00FE0131"/>
    <w:rPr>
      <w:sz w:val="16"/>
      <w:szCs w:val="16"/>
    </w:rPr>
  </w:style>
  <w:style w:type="paragraph" w:styleId="CommentText">
    <w:name w:val="annotation text"/>
    <w:basedOn w:val="Normal"/>
    <w:link w:val="CommentTextChar"/>
    <w:semiHidden/>
    <w:unhideWhenUsed/>
    <w:rsid w:val="00FE0131"/>
    <w:rPr>
      <w:sz w:val="20"/>
    </w:rPr>
  </w:style>
  <w:style w:type="character" w:customStyle="1" w:styleId="CommentTextChar">
    <w:name w:val="Comment Text Char"/>
    <w:basedOn w:val="DefaultParagraphFont"/>
    <w:link w:val="CommentText"/>
    <w:semiHidden/>
    <w:rsid w:val="00FE0131"/>
    <w:rPr>
      <w:rFonts w:ascii="Palatino" w:hAnsi="Palatino"/>
    </w:rPr>
  </w:style>
  <w:style w:type="paragraph" w:styleId="CommentSubject">
    <w:name w:val="annotation subject"/>
    <w:basedOn w:val="CommentText"/>
    <w:next w:val="CommentText"/>
    <w:link w:val="CommentSubjectChar"/>
    <w:semiHidden/>
    <w:unhideWhenUsed/>
    <w:rsid w:val="00FE0131"/>
    <w:rPr>
      <w:b/>
      <w:bCs/>
    </w:rPr>
  </w:style>
  <w:style w:type="character" w:customStyle="1" w:styleId="CommentSubjectChar">
    <w:name w:val="Comment Subject Char"/>
    <w:basedOn w:val="CommentTextChar"/>
    <w:link w:val="CommentSubject"/>
    <w:semiHidden/>
    <w:rsid w:val="00FE0131"/>
    <w:rPr>
      <w:rFonts w:ascii="Palatino" w:hAnsi="Palatino"/>
      <w:b/>
      <w:bCs/>
    </w:rPr>
  </w:style>
  <w:style w:type="paragraph" w:styleId="Revision">
    <w:name w:val="Revision"/>
    <w:hidden/>
    <w:uiPriority w:val="99"/>
    <w:semiHidden/>
    <w:rsid w:val="00A93EE4"/>
    <w:rPr>
      <w:rFonts w:ascii="Palatino" w:hAnsi="Palatino"/>
      <w:sz w:val="26"/>
    </w:rPr>
  </w:style>
  <w:style w:type="character" w:styleId="Strong">
    <w:name w:val="Strong"/>
    <w:basedOn w:val="DefaultParagraphFont"/>
    <w:qFormat/>
    <w:rsid w:val="001945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491164">
      <w:bodyDiv w:val="1"/>
      <w:marLeft w:val="0"/>
      <w:marRight w:val="0"/>
      <w:marTop w:val="0"/>
      <w:marBottom w:val="0"/>
      <w:divBdr>
        <w:top w:val="none" w:sz="0" w:space="0" w:color="auto"/>
        <w:left w:val="none" w:sz="0" w:space="0" w:color="auto"/>
        <w:bottom w:val="none" w:sz="0" w:space="0" w:color="auto"/>
        <w:right w:val="none" w:sz="0" w:space="0" w:color="auto"/>
      </w:divBdr>
    </w:div>
    <w:div w:id="992178709">
      <w:bodyDiv w:val="1"/>
      <w:marLeft w:val="0"/>
      <w:marRight w:val="0"/>
      <w:marTop w:val="0"/>
      <w:marBottom w:val="0"/>
      <w:divBdr>
        <w:top w:val="none" w:sz="0" w:space="0" w:color="auto"/>
        <w:left w:val="none" w:sz="0" w:space="0" w:color="auto"/>
        <w:bottom w:val="none" w:sz="0" w:space="0" w:color="auto"/>
        <w:right w:val="none" w:sz="0" w:space="0" w:color="auto"/>
      </w:divBdr>
    </w:div>
    <w:div w:id="1451704207">
      <w:bodyDiv w:val="1"/>
      <w:marLeft w:val="0"/>
      <w:marRight w:val="0"/>
      <w:marTop w:val="0"/>
      <w:marBottom w:val="0"/>
      <w:divBdr>
        <w:top w:val="none" w:sz="0" w:space="0" w:color="auto"/>
        <w:left w:val="none" w:sz="0" w:space="0" w:color="auto"/>
        <w:bottom w:val="none" w:sz="0" w:space="0" w:color="auto"/>
        <w:right w:val="none" w:sz="0" w:space="0" w:color="auto"/>
      </w:divBdr>
      <w:divsChild>
        <w:div w:id="164712581">
          <w:marLeft w:val="0"/>
          <w:marRight w:val="0"/>
          <w:marTop w:val="0"/>
          <w:marBottom w:val="0"/>
          <w:divBdr>
            <w:top w:val="none" w:sz="0" w:space="0" w:color="auto"/>
            <w:left w:val="none" w:sz="0" w:space="0" w:color="auto"/>
            <w:bottom w:val="none" w:sz="0" w:space="0" w:color="auto"/>
            <w:right w:val="none" w:sz="0" w:space="0" w:color="auto"/>
          </w:divBdr>
        </w:div>
        <w:div w:id="793720657">
          <w:marLeft w:val="0"/>
          <w:marRight w:val="0"/>
          <w:marTop w:val="0"/>
          <w:marBottom w:val="0"/>
          <w:divBdr>
            <w:top w:val="none" w:sz="0" w:space="0" w:color="auto"/>
            <w:left w:val="none" w:sz="0" w:space="0" w:color="auto"/>
            <w:bottom w:val="none" w:sz="0" w:space="0" w:color="auto"/>
            <w:right w:val="none" w:sz="0" w:space="0" w:color="auto"/>
          </w:divBdr>
        </w:div>
        <w:div w:id="1155490791">
          <w:marLeft w:val="0"/>
          <w:marRight w:val="0"/>
          <w:marTop w:val="0"/>
          <w:marBottom w:val="0"/>
          <w:divBdr>
            <w:top w:val="none" w:sz="0" w:space="0" w:color="auto"/>
            <w:left w:val="none" w:sz="0" w:space="0" w:color="auto"/>
            <w:bottom w:val="none" w:sz="0" w:space="0" w:color="auto"/>
            <w:right w:val="none" w:sz="0" w:space="0" w:color="auto"/>
          </w:divBdr>
        </w:div>
        <w:div w:id="1208299209">
          <w:marLeft w:val="0"/>
          <w:marRight w:val="0"/>
          <w:marTop w:val="0"/>
          <w:marBottom w:val="0"/>
          <w:divBdr>
            <w:top w:val="none" w:sz="0" w:space="0" w:color="auto"/>
            <w:left w:val="none" w:sz="0" w:space="0" w:color="auto"/>
            <w:bottom w:val="none" w:sz="0" w:space="0" w:color="auto"/>
            <w:right w:val="none" w:sz="0" w:space="0" w:color="auto"/>
          </w:divBdr>
        </w:div>
        <w:div w:id="1917980157">
          <w:marLeft w:val="0"/>
          <w:marRight w:val="0"/>
          <w:marTop w:val="0"/>
          <w:marBottom w:val="0"/>
          <w:divBdr>
            <w:top w:val="none" w:sz="0" w:space="0" w:color="auto"/>
            <w:left w:val="none" w:sz="0" w:space="0" w:color="auto"/>
            <w:bottom w:val="none" w:sz="0" w:space="0" w:color="auto"/>
            <w:right w:val="none" w:sz="0" w:space="0" w:color="auto"/>
          </w:divBdr>
        </w:div>
        <w:div w:id="861552967">
          <w:marLeft w:val="0"/>
          <w:marRight w:val="0"/>
          <w:marTop w:val="0"/>
          <w:marBottom w:val="0"/>
          <w:divBdr>
            <w:top w:val="none" w:sz="0" w:space="0" w:color="auto"/>
            <w:left w:val="none" w:sz="0" w:space="0" w:color="auto"/>
            <w:bottom w:val="none" w:sz="0" w:space="0" w:color="auto"/>
            <w:right w:val="none" w:sz="0" w:space="0" w:color="auto"/>
          </w:divBdr>
        </w:div>
        <w:div w:id="1291547941">
          <w:marLeft w:val="0"/>
          <w:marRight w:val="0"/>
          <w:marTop w:val="0"/>
          <w:marBottom w:val="0"/>
          <w:divBdr>
            <w:top w:val="none" w:sz="0" w:space="0" w:color="auto"/>
            <w:left w:val="none" w:sz="0" w:space="0" w:color="auto"/>
            <w:bottom w:val="none" w:sz="0" w:space="0" w:color="auto"/>
            <w:right w:val="none" w:sz="0" w:space="0" w:color="auto"/>
          </w:divBdr>
        </w:div>
        <w:div w:id="691078144">
          <w:marLeft w:val="0"/>
          <w:marRight w:val="0"/>
          <w:marTop w:val="0"/>
          <w:marBottom w:val="0"/>
          <w:divBdr>
            <w:top w:val="none" w:sz="0" w:space="0" w:color="auto"/>
            <w:left w:val="none" w:sz="0" w:space="0" w:color="auto"/>
            <w:bottom w:val="none" w:sz="0" w:space="0" w:color="auto"/>
            <w:right w:val="none" w:sz="0" w:space="0" w:color="auto"/>
          </w:divBdr>
        </w:div>
        <w:div w:id="1800764122">
          <w:marLeft w:val="0"/>
          <w:marRight w:val="0"/>
          <w:marTop w:val="0"/>
          <w:marBottom w:val="0"/>
          <w:divBdr>
            <w:top w:val="none" w:sz="0" w:space="0" w:color="auto"/>
            <w:left w:val="none" w:sz="0" w:space="0" w:color="auto"/>
            <w:bottom w:val="none" w:sz="0" w:space="0" w:color="auto"/>
            <w:right w:val="none" w:sz="0" w:space="0" w:color="auto"/>
          </w:divBdr>
        </w:div>
        <w:div w:id="685520920">
          <w:marLeft w:val="0"/>
          <w:marRight w:val="0"/>
          <w:marTop w:val="0"/>
          <w:marBottom w:val="0"/>
          <w:divBdr>
            <w:top w:val="none" w:sz="0" w:space="0" w:color="auto"/>
            <w:left w:val="none" w:sz="0" w:space="0" w:color="auto"/>
            <w:bottom w:val="none" w:sz="0" w:space="0" w:color="auto"/>
            <w:right w:val="none" w:sz="0" w:space="0" w:color="auto"/>
          </w:divBdr>
        </w:div>
        <w:div w:id="2116363104">
          <w:marLeft w:val="0"/>
          <w:marRight w:val="0"/>
          <w:marTop w:val="0"/>
          <w:marBottom w:val="0"/>
          <w:divBdr>
            <w:top w:val="none" w:sz="0" w:space="0" w:color="auto"/>
            <w:left w:val="none" w:sz="0" w:space="0" w:color="auto"/>
            <w:bottom w:val="none" w:sz="0" w:space="0" w:color="auto"/>
            <w:right w:val="none" w:sz="0" w:space="0" w:color="auto"/>
          </w:divBdr>
        </w:div>
        <w:div w:id="592125823">
          <w:marLeft w:val="0"/>
          <w:marRight w:val="0"/>
          <w:marTop w:val="0"/>
          <w:marBottom w:val="0"/>
          <w:divBdr>
            <w:top w:val="none" w:sz="0" w:space="0" w:color="auto"/>
            <w:left w:val="none" w:sz="0" w:space="0" w:color="auto"/>
            <w:bottom w:val="none" w:sz="0" w:space="0" w:color="auto"/>
            <w:right w:val="none" w:sz="0" w:space="0" w:color="auto"/>
          </w:divBdr>
        </w:div>
        <w:div w:id="1570774593">
          <w:marLeft w:val="0"/>
          <w:marRight w:val="0"/>
          <w:marTop w:val="0"/>
          <w:marBottom w:val="0"/>
          <w:divBdr>
            <w:top w:val="none" w:sz="0" w:space="0" w:color="auto"/>
            <w:left w:val="none" w:sz="0" w:space="0" w:color="auto"/>
            <w:bottom w:val="none" w:sz="0" w:space="0" w:color="auto"/>
            <w:right w:val="none" w:sz="0" w:space="0" w:color="auto"/>
          </w:divBdr>
        </w:div>
        <w:div w:id="801389198">
          <w:marLeft w:val="0"/>
          <w:marRight w:val="0"/>
          <w:marTop w:val="0"/>
          <w:marBottom w:val="0"/>
          <w:divBdr>
            <w:top w:val="none" w:sz="0" w:space="0" w:color="auto"/>
            <w:left w:val="none" w:sz="0" w:space="0" w:color="auto"/>
            <w:bottom w:val="none" w:sz="0" w:space="0" w:color="auto"/>
            <w:right w:val="none" w:sz="0" w:space="0" w:color="auto"/>
          </w:divBdr>
        </w:div>
        <w:div w:id="1809322666">
          <w:marLeft w:val="0"/>
          <w:marRight w:val="0"/>
          <w:marTop w:val="0"/>
          <w:marBottom w:val="0"/>
          <w:divBdr>
            <w:top w:val="none" w:sz="0" w:space="0" w:color="auto"/>
            <w:left w:val="none" w:sz="0" w:space="0" w:color="auto"/>
            <w:bottom w:val="none" w:sz="0" w:space="0" w:color="auto"/>
            <w:right w:val="none" w:sz="0" w:space="0" w:color="auto"/>
          </w:divBdr>
        </w:div>
        <w:div w:id="10030764">
          <w:marLeft w:val="0"/>
          <w:marRight w:val="0"/>
          <w:marTop w:val="0"/>
          <w:marBottom w:val="0"/>
          <w:divBdr>
            <w:top w:val="none" w:sz="0" w:space="0" w:color="auto"/>
            <w:left w:val="none" w:sz="0" w:space="0" w:color="auto"/>
            <w:bottom w:val="none" w:sz="0" w:space="0" w:color="auto"/>
            <w:right w:val="none" w:sz="0" w:space="0" w:color="auto"/>
          </w:divBdr>
        </w:div>
        <w:div w:id="1805266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jjr\Application%20Data\Microsoft\Templates\Resol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Resolution Template</Template>
  <TotalTime>15</TotalTime>
  <Pages>11</Pages>
  <Words>2764</Words>
  <Characters>15755</Characters>
  <Application>Microsoft Office Word</Application>
  <DocSecurity>0</DocSecurity>
  <Lines>131</Lines>
  <Paragraphs>36</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Resolution Template</vt:lpstr>
      <vt:lpstr>Summary</vt:lpstr>
      <vt:lpstr>Background</vt:lpstr>
      <vt:lpstr>Notice</vt:lpstr>
      <vt:lpstr>Protests</vt:lpstr>
      <vt:lpstr>Discussion</vt:lpstr>
      <vt:lpstr>Comments</vt:lpstr>
      <vt:lpstr>Findings</vt:lpstr>
      <vt:lpstr>Therefore it is ordered that:</vt:lpstr>
    </vt:vector>
  </TitlesOfParts>
  <Company>Microsoft</Company>
  <LinksUpToDate>false</LinksUpToDate>
  <CharactersWithSpaces>18483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Template</dc:title>
  <dc:subject>&amp;lt;p&amp;gt;PUBLIC UTILITIES COMMISSION OF THE STATE OF CALIFORNIA ENERGY DIVISION RESOLUTION &amp;amp;lt;E/G/O-0000&amp;amp;gt; &amp;amp;lt;DATE&amp;amp;gt; RESOLUTION Resolution &amp;amp;lt;EG-0000&amp;amp;gt;. &amp;amp;lt;utility name&amp;amp;gt; PROPOSED OUTCOME: ESTIMATED COST: By Advice Letter &amp;amp;lt;0000-E/G/O&amp;amp;gt; Filed on &amp;amp;lt;DATE&amp;amp;gt;. __________ ________________________________________________ &amp;lt;/p&amp;gt;</dc:subject>
  <dc:creator>Jennie Lee</dc:creator>
  <dc:description>&amp;lt;p&amp;gt;PUBLIC UTILITIES COMMISSION OF THE STATE OF CALIFORNIA ENERGY DIVISION RESOLUTION &amp;amp;lt;E/G/O-0000&amp;amp;gt; &amp;amp;lt;DATE&amp;amp;gt; RESOLUTION Resolution &amp;amp;lt;EG-0000&amp;amp;gt;. &amp;amp;lt;utility name&amp;amp;gt; PROPOSED OUTCOME: ESTIMATED COST: By Advice Letter &amp;amp;lt;0000-E/G/O&amp;amp;gt; Filed on &amp;amp;lt;DATE&amp;amp;gt;. __________ ________________________________________________ &amp;lt;/p&amp;gt;</dc:description>
  <cp:lastModifiedBy>Iribarne, Matthew</cp:lastModifiedBy>
  <cp:revision>5</cp:revision>
  <cp:lastPrinted>2018-05-31T20:38:00Z</cp:lastPrinted>
  <dcterms:created xsi:type="dcterms:W3CDTF">2018-05-31T20:35:00Z</dcterms:created>
  <dcterms:modified xsi:type="dcterms:W3CDTF">2018-06-01T21:18:00Z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DownloadAsset.aspx?id=3745</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&amp;lt;p&amp;gt;PUBLIC UTILITIES COMMISSION OF THE STATE OF CALIFORNIA ENERGY DIVISION RESOLUTION &amp;amp;lt;E/G/O-0000&amp;amp;gt; &amp;amp;lt;DATE&amp;amp;gt; RESOLUTION Resolution &amp;amp;lt;EG-0000&amp;amp;gt;. &amp;amp;lt;utility name&amp;amp;gt; PROPOSED OUTCOME: ESTIMATED COST: By Adv</vt:lpwstr>
  </property>
  <property fmtid="{D5CDD505-2E9C-101B-9397-08002B2CF9AE}" pid="8" name="EktExpiryType">
    <vt:i4>1</vt:i4>
  </property>
  <property fmtid="{D5CDD505-2E9C-101B-9397-08002B2CF9AE}" pid="9" name="EktDateCreated">
    <vt:filetime>2012-06-18T22:00:18Z</vt:filetime>
  </property>
  <property fmtid="{D5CDD505-2E9C-101B-9397-08002B2CF9AE}" pid="10" name="EktDateModified">
    <vt:filetime>2012-07-26T18:45:37Z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39936</vt:i4>
  </property>
  <property fmtid="{D5CDD505-2E9C-101B-9397-08002B2CF9AE}" pid="14" name="EktSearchable">
    <vt:i4>1</vt:i4>
  </property>
  <property fmtid="{D5CDD505-2E9C-101B-9397-08002B2CF9AE}" pid="15" name="EktEDescription">
    <vt:lpwstr>Summary &amp;lt;p&amp;gt;PUBLIC UTILITIES COMMISSION OF THE STATE OF CALIFORNIA ENERGY DIVISION RESOLUTION &amp;amp;lt;E/G/O-0000&amp;amp;gt; &amp;amp;lt;DATE&amp;amp;gt; RESOLUTION Resolution &amp;amp;lt;EG-0000&amp;amp;gt;. &amp;amp;lt;utility name&amp;amp;gt; PROPOSED OUTCOME: ESTIMATED COST</vt:lpwstr>
  </property>
  <property fmtid="{D5CDD505-2E9C-101B-9397-08002B2CF9AE}" pid="16" name="EktEnergy_Advice_Letter/Resolutions_Procedures">
    <vt:lpwstr>Forms and Templates</vt:lpwstr>
  </property>
  <property fmtid="{D5CDD505-2E9C-101B-9397-08002B2CF9AE}" pid="17" name="MAIL_MSG_ID1">
    <vt:lpwstr>GEAAO+/T9t20xwkYSaES7lALrVKF17OU9w5mUeuhTpJ/t2KUQcgQIdvErCA2w2d8api/hXECEKeSZcL8
Cdy//mxMeit9boJmk2FmPwqNGYMLVEkr2zInZ0KLVg3r8iBmXZoiseAURbsZ00KWhUsgHHwKmJku
MoOpnbYGf1GDzMDzq7adPOh4XIU92yhd5PDyfsvYquTNvrkE6wfyVOFqgJGWTxW7r9iiSTeyPUUf
fmZuCaNjsn4dopOp3</vt:lpwstr>
  </property>
  <property fmtid="{D5CDD505-2E9C-101B-9397-08002B2CF9AE}" pid="18" name="MAIL_MSG_ID2">
    <vt:lpwstr>tOanoKDvbps</vt:lpwstr>
  </property>
  <property fmtid="{D5CDD505-2E9C-101B-9397-08002B2CF9AE}" pid="19" name="RESPONSE_SENDER_NAME">
    <vt:lpwstr>gAAAdya76B99d4hLGUR1rQ+8TxTv0GGEPdix</vt:lpwstr>
  </property>
  <property fmtid="{D5CDD505-2E9C-101B-9397-08002B2CF9AE}" pid="20" name="EMAIL_OWNER_ADDRESS">
    <vt:lpwstr>ABAAmJ+7jnJ2eOU4R1dwxKsgPdLPL5Ce0HQW+cfUXZjgj04Df7uuaEe8k/WmjSwERZX+</vt:lpwstr>
  </property>
</Properties>
</file>