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1AC" w:rsidRPr="000D56FC" w:rsidRDefault="00D91046">
      <w:pPr>
        <w:ind w:right="432"/>
        <w:rPr>
          <w:rFonts w:ascii="Palatino Linotype" w:hAnsi="Palatino Linotype"/>
          <w:sz w:val="24"/>
          <w:szCs w:val="24"/>
        </w:rPr>
      </w:pPr>
      <w:r>
        <w:rPr>
          <w:rFonts w:ascii="Palatino Linotype" w:hAnsi="Palatino Linotype"/>
          <w:sz w:val="24"/>
          <w:szCs w:val="24"/>
        </w:rPr>
        <w:t xml:space="preserve"> </w:t>
      </w:r>
      <w:r w:rsidR="00FD384A" w:rsidRPr="000D56FC">
        <w:rPr>
          <w:rFonts w:ascii="Palatino Linotype" w:hAnsi="Palatino Linotype"/>
          <w:sz w:val="24"/>
          <w:szCs w:val="24"/>
        </w:rPr>
        <w:t xml:space="preserve">  </w:t>
      </w:r>
    </w:p>
    <w:p w:rsidR="004325E7" w:rsidRPr="000D56FC" w:rsidRDefault="004325E7">
      <w:pPr>
        <w:ind w:right="432"/>
        <w:rPr>
          <w:rFonts w:ascii="Palatino Linotype" w:hAnsi="Palatino Linotype"/>
          <w:sz w:val="24"/>
          <w:szCs w:val="24"/>
        </w:rPr>
      </w:pPr>
    </w:p>
    <w:p w:rsidR="004341AC" w:rsidRPr="000D56FC" w:rsidRDefault="004341AC">
      <w:pPr>
        <w:ind w:right="432"/>
        <w:jc w:val="center"/>
        <w:rPr>
          <w:rFonts w:ascii="Palatino Linotype" w:hAnsi="Palatino Linotype"/>
          <w:b/>
          <w:sz w:val="24"/>
        </w:rPr>
      </w:pPr>
      <w:r w:rsidRPr="000D56FC">
        <w:rPr>
          <w:rFonts w:ascii="Palatino Linotype" w:hAnsi="Palatino Linotype"/>
          <w:b/>
          <w:sz w:val="24"/>
        </w:rPr>
        <w:t>PUBLIC UTILITIES COMMISSION OF THE STATE OF CALIFORNIA</w:t>
      </w:r>
    </w:p>
    <w:p w:rsidR="004341AC" w:rsidRPr="000D56FC" w:rsidRDefault="004341AC">
      <w:pPr>
        <w:ind w:right="432"/>
        <w:rPr>
          <w:rFonts w:ascii="Palatino Linotype" w:hAnsi="Palatino Linotype"/>
          <w:b/>
          <w:sz w:val="24"/>
        </w:rPr>
      </w:pPr>
    </w:p>
    <w:p w:rsidR="004341AC" w:rsidRPr="000D56FC" w:rsidRDefault="004341AC">
      <w:pPr>
        <w:pStyle w:val="xl28"/>
        <w:spacing w:before="0" w:beforeAutospacing="0" w:after="0" w:afterAutospacing="0"/>
        <w:ind w:right="432"/>
        <w:rPr>
          <w:rFonts w:ascii="Palatino Linotype" w:eastAsia="Times New Roman" w:hAnsi="Palatino Linotype" w:cs="Times New Roman"/>
          <w:bCs w:val="0"/>
          <w:szCs w:val="20"/>
        </w:rPr>
      </w:pPr>
    </w:p>
    <w:tbl>
      <w:tblPr>
        <w:tblW w:w="0" w:type="auto"/>
        <w:tblLayout w:type="fixed"/>
        <w:tblLook w:val="0000" w:firstRow="0" w:lastRow="0" w:firstColumn="0" w:lastColumn="0" w:noHBand="0" w:noVBand="0"/>
      </w:tblPr>
      <w:tblGrid>
        <w:gridCol w:w="6408"/>
        <w:gridCol w:w="3330"/>
      </w:tblGrid>
      <w:tr w:rsidR="004341AC" w:rsidRPr="000D56FC">
        <w:tc>
          <w:tcPr>
            <w:tcW w:w="6408" w:type="dxa"/>
          </w:tcPr>
          <w:p w:rsidR="004341AC" w:rsidRPr="000D56FC" w:rsidRDefault="004341AC">
            <w:pPr>
              <w:ind w:right="432"/>
              <w:rPr>
                <w:rFonts w:ascii="Palatino Linotype" w:hAnsi="Palatino Linotype"/>
                <w:b/>
                <w:sz w:val="24"/>
              </w:rPr>
            </w:pPr>
            <w:r w:rsidRPr="000D56FC">
              <w:rPr>
                <w:rFonts w:ascii="Palatino Linotype" w:hAnsi="Palatino Linotype"/>
                <w:b/>
                <w:sz w:val="24"/>
              </w:rPr>
              <w:t>Communications Division</w:t>
            </w:r>
          </w:p>
        </w:tc>
        <w:tc>
          <w:tcPr>
            <w:tcW w:w="3330" w:type="dxa"/>
          </w:tcPr>
          <w:p w:rsidR="004341AC" w:rsidRPr="000D56FC" w:rsidRDefault="009121C1">
            <w:pPr>
              <w:pStyle w:val="xl24"/>
              <w:spacing w:before="0" w:beforeAutospacing="0" w:after="0" w:afterAutospacing="0"/>
              <w:ind w:right="-18"/>
              <w:jc w:val="left"/>
              <w:rPr>
                <w:rFonts w:ascii="Palatino Linotype" w:eastAsia="Times New Roman" w:hAnsi="Palatino Linotype" w:cs="Times New Roman"/>
                <w:bCs w:val="0"/>
                <w:szCs w:val="20"/>
              </w:rPr>
            </w:pPr>
            <w:r w:rsidRPr="000D56FC">
              <w:rPr>
                <w:rFonts w:ascii="Palatino Linotype" w:eastAsia="Times New Roman" w:hAnsi="Palatino Linotype" w:cs="Times New Roman"/>
                <w:bCs w:val="0"/>
                <w:szCs w:val="20"/>
              </w:rPr>
              <w:t xml:space="preserve">       </w:t>
            </w:r>
            <w:r w:rsidR="007F0254" w:rsidRPr="000D56FC">
              <w:rPr>
                <w:rFonts w:ascii="Palatino Linotype" w:eastAsia="Times New Roman" w:hAnsi="Palatino Linotype" w:cs="Times New Roman"/>
                <w:bCs w:val="0"/>
                <w:szCs w:val="20"/>
              </w:rPr>
              <w:t xml:space="preserve">RESOLUTION T- </w:t>
            </w:r>
            <w:r w:rsidR="003D070D">
              <w:rPr>
                <w:rFonts w:ascii="Palatino Linotype" w:eastAsia="Times New Roman" w:hAnsi="Palatino Linotype" w:cs="Times New Roman"/>
                <w:bCs w:val="0"/>
                <w:szCs w:val="20"/>
              </w:rPr>
              <w:t>17606</w:t>
            </w:r>
          </w:p>
        </w:tc>
      </w:tr>
      <w:tr w:rsidR="004341AC" w:rsidRPr="000D56FC">
        <w:tc>
          <w:tcPr>
            <w:tcW w:w="6408" w:type="dxa"/>
          </w:tcPr>
          <w:p w:rsidR="004341AC" w:rsidRPr="000D56FC" w:rsidRDefault="004341AC">
            <w:pPr>
              <w:ind w:right="432"/>
              <w:rPr>
                <w:rFonts w:ascii="Palatino Linotype" w:hAnsi="Palatino Linotype"/>
                <w:b/>
                <w:sz w:val="24"/>
                <w:szCs w:val="24"/>
              </w:rPr>
            </w:pPr>
            <w:r w:rsidRPr="000D56FC">
              <w:rPr>
                <w:rFonts w:ascii="Palatino Linotype" w:hAnsi="Palatino Linotype"/>
                <w:b/>
                <w:sz w:val="24"/>
                <w:szCs w:val="24"/>
              </w:rPr>
              <w:t>Carrier Oversight &amp; Programs Branch</w:t>
            </w:r>
          </w:p>
        </w:tc>
        <w:tc>
          <w:tcPr>
            <w:tcW w:w="3330" w:type="dxa"/>
          </w:tcPr>
          <w:p w:rsidR="004341AC" w:rsidRPr="000D56FC" w:rsidRDefault="009121C1" w:rsidP="00E3370E">
            <w:pPr>
              <w:ind w:right="-18"/>
              <w:jc w:val="right"/>
              <w:rPr>
                <w:rFonts w:ascii="Palatino Linotype" w:hAnsi="Palatino Linotype"/>
                <w:b/>
                <w:sz w:val="24"/>
              </w:rPr>
            </w:pPr>
            <w:r w:rsidRPr="000D56FC">
              <w:rPr>
                <w:rFonts w:ascii="Palatino Linotype" w:hAnsi="Palatino Linotype"/>
                <w:b/>
                <w:sz w:val="24"/>
              </w:rPr>
              <w:t xml:space="preserve">               </w:t>
            </w:r>
            <w:r w:rsidR="00512BAC" w:rsidRPr="00517F06">
              <w:rPr>
                <w:rFonts w:ascii="Palatino Linotype" w:hAnsi="Palatino Linotype"/>
                <w:b/>
                <w:sz w:val="24"/>
              </w:rPr>
              <w:t>July</w:t>
            </w:r>
            <w:r w:rsidR="003D070D" w:rsidRPr="00517F06">
              <w:rPr>
                <w:rFonts w:ascii="Palatino Linotype" w:hAnsi="Palatino Linotype"/>
                <w:b/>
                <w:sz w:val="24"/>
              </w:rPr>
              <w:t xml:space="preserve"> </w:t>
            </w:r>
            <w:r w:rsidR="00EC194C">
              <w:rPr>
                <w:rFonts w:ascii="Palatino Linotype" w:hAnsi="Palatino Linotype"/>
                <w:b/>
                <w:sz w:val="24"/>
              </w:rPr>
              <w:t>26</w:t>
            </w:r>
            <w:r w:rsidR="007F0254" w:rsidRPr="00517F06">
              <w:rPr>
                <w:rFonts w:ascii="Palatino Linotype" w:hAnsi="Palatino Linotype"/>
                <w:b/>
                <w:sz w:val="24"/>
              </w:rPr>
              <w:t>, 201</w:t>
            </w:r>
            <w:r w:rsidR="0084600C" w:rsidRPr="00517F06">
              <w:rPr>
                <w:rFonts w:ascii="Palatino Linotype" w:hAnsi="Palatino Linotype"/>
                <w:b/>
                <w:sz w:val="24"/>
              </w:rPr>
              <w:t>8</w:t>
            </w:r>
          </w:p>
        </w:tc>
      </w:tr>
    </w:tbl>
    <w:p w:rsidR="004341AC" w:rsidRPr="000D56FC" w:rsidRDefault="004341AC">
      <w:pPr>
        <w:ind w:right="432"/>
        <w:rPr>
          <w:rFonts w:ascii="Palatino Linotype" w:hAnsi="Palatino Linotype"/>
          <w:sz w:val="24"/>
        </w:rPr>
      </w:pPr>
    </w:p>
    <w:p w:rsidR="004341AC" w:rsidRPr="000D56FC" w:rsidRDefault="004341AC">
      <w:pPr>
        <w:ind w:right="432"/>
        <w:rPr>
          <w:rFonts w:ascii="Palatino Linotype" w:hAnsi="Palatino Linotype"/>
          <w:sz w:val="24"/>
        </w:rPr>
      </w:pPr>
    </w:p>
    <w:p w:rsidR="004341AC" w:rsidRDefault="004341AC">
      <w:pPr>
        <w:ind w:right="432"/>
        <w:jc w:val="center"/>
        <w:rPr>
          <w:rFonts w:ascii="Palatino Linotype" w:hAnsi="Palatino Linotype"/>
          <w:b/>
          <w:sz w:val="24"/>
          <w:u w:val="single"/>
        </w:rPr>
      </w:pPr>
      <w:r w:rsidRPr="000D56FC">
        <w:rPr>
          <w:rFonts w:ascii="Palatino Linotype" w:hAnsi="Palatino Linotype"/>
          <w:b/>
          <w:sz w:val="24"/>
          <w:u w:val="single"/>
        </w:rPr>
        <w:t>R</w:t>
      </w:r>
      <w:r w:rsidRPr="000D56FC">
        <w:rPr>
          <w:rFonts w:ascii="Palatino Linotype" w:hAnsi="Palatino Linotype"/>
          <w:sz w:val="24"/>
        </w:rPr>
        <w:t xml:space="preserve"> </w:t>
      </w:r>
      <w:r w:rsidRPr="000D56FC">
        <w:rPr>
          <w:rFonts w:ascii="Palatino Linotype" w:hAnsi="Palatino Linotype"/>
          <w:b/>
          <w:sz w:val="24"/>
          <w:u w:val="single"/>
        </w:rPr>
        <w:t>E</w:t>
      </w:r>
      <w:r w:rsidRPr="000D56FC">
        <w:rPr>
          <w:rFonts w:ascii="Palatino Linotype" w:hAnsi="Palatino Linotype"/>
          <w:sz w:val="24"/>
        </w:rPr>
        <w:t xml:space="preserve"> </w:t>
      </w:r>
      <w:r w:rsidRPr="000D56FC">
        <w:rPr>
          <w:rFonts w:ascii="Palatino Linotype" w:hAnsi="Palatino Linotype"/>
          <w:b/>
          <w:sz w:val="24"/>
          <w:u w:val="single"/>
        </w:rPr>
        <w:t>S</w:t>
      </w:r>
      <w:r w:rsidRPr="000D56FC">
        <w:rPr>
          <w:rFonts w:ascii="Palatino Linotype" w:hAnsi="Palatino Linotype"/>
          <w:sz w:val="24"/>
        </w:rPr>
        <w:t xml:space="preserve"> </w:t>
      </w:r>
      <w:r w:rsidRPr="000D56FC">
        <w:rPr>
          <w:rFonts w:ascii="Palatino Linotype" w:hAnsi="Palatino Linotype"/>
          <w:b/>
          <w:sz w:val="24"/>
          <w:u w:val="single"/>
        </w:rPr>
        <w:t>O</w:t>
      </w:r>
      <w:r w:rsidRPr="000D56FC">
        <w:rPr>
          <w:rFonts w:ascii="Palatino Linotype" w:hAnsi="Palatino Linotype"/>
          <w:sz w:val="24"/>
        </w:rPr>
        <w:t xml:space="preserve"> </w:t>
      </w:r>
      <w:r w:rsidRPr="000D56FC">
        <w:rPr>
          <w:rFonts w:ascii="Palatino Linotype" w:hAnsi="Palatino Linotype"/>
          <w:b/>
          <w:sz w:val="24"/>
          <w:u w:val="single"/>
        </w:rPr>
        <w:t>L</w:t>
      </w:r>
      <w:r w:rsidRPr="000D56FC">
        <w:rPr>
          <w:rFonts w:ascii="Palatino Linotype" w:hAnsi="Palatino Linotype"/>
          <w:sz w:val="24"/>
        </w:rPr>
        <w:t xml:space="preserve"> </w:t>
      </w:r>
      <w:r w:rsidRPr="000D56FC">
        <w:rPr>
          <w:rFonts w:ascii="Palatino Linotype" w:hAnsi="Palatino Linotype"/>
          <w:b/>
          <w:sz w:val="24"/>
          <w:u w:val="single"/>
        </w:rPr>
        <w:t>U</w:t>
      </w:r>
      <w:r w:rsidRPr="000D56FC">
        <w:rPr>
          <w:rFonts w:ascii="Palatino Linotype" w:hAnsi="Palatino Linotype"/>
          <w:sz w:val="24"/>
        </w:rPr>
        <w:t xml:space="preserve"> </w:t>
      </w:r>
      <w:r w:rsidRPr="000D56FC">
        <w:rPr>
          <w:rFonts w:ascii="Palatino Linotype" w:hAnsi="Palatino Linotype"/>
          <w:b/>
          <w:sz w:val="24"/>
          <w:u w:val="single"/>
        </w:rPr>
        <w:t>T</w:t>
      </w:r>
      <w:r w:rsidRPr="000D56FC">
        <w:rPr>
          <w:rFonts w:ascii="Palatino Linotype" w:hAnsi="Palatino Linotype"/>
          <w:sz w:val="24"/>
        </w:rPr>
        <w:t xml:space="preserve"> </w:t>
      </w:r>
      <w:r w:rsidRPr="000D56FC">
        <w:rPr>
          <w:rFonts w:ascii="Palatino Linotype" w:hAnsi="Palatino Linotype"/>
          <w:b/>
          <w:sz w:val="24"/>
          <w:u w:val="single"/>
        </w:rPr>
        <w:t>I</w:t>
      </w:r>
      <w:r w:rsidRPr="000D56FC">
        <w:rPr>
          <w:rFonts w:ascii="Palatino Linotype" w:hAnsi="Palatino Linotype"/>
          <w:sz w:val="24"/>
        </w:rPr>
        <w:t xml:space="preserve"> </w:t>
      </w:r>
      <w:r w:rsidRPr="000D56FC">
        <w:rPr>
          <w:rFonts w:ascii="Palatino Linotype" w:hAnsi="Palatino Linotype"/>
          <w:b/>
          <w:sz w:val="24"/>
          <w:u w:val="single"/>
        </w:rPr>
        <w:t>O</w:t>
      </w:r>
      <w:r w:rsidRPr="000D56FC">
        <w:rPr>
          <w:rFonts w:ascii="Palatino Linotype" w:hAnsi="Palatino Linotype"/>
          <w:sz w:val="24"/>
        </w:rPr>
        <w:t xml:space="preserve"> </w:t>
      </w:r>
      <w:r w:rsidRPr="000D56FC">
        <w:rPr>
          <w:rFonts w:ascii="Palatino Linotype" w:hAnsi="Palatino Linotype"/>
          <w:b/>
          <w:sz w:val="24"/>
          <w:u w:val="single"/>
        </w:rPr>
        <w:t>N</w:t>
      </w:r>
    </w:p>
    <w:p w:rsidR="00D25CA0" w:rsidRPr="000D56FC" w:rsidRDefault="00D25CA0">
      <w:pPr>
        <w:ind w:right="432"/>
        <w:jc w:val="center"/>
        <w:rPr>
          <w:rFonts w:ascii="Palatino Linotype" w:hAnsi="Palatino Linotype"/>
          <w:sz w:val="24"/>
        </w:rPr>
      </w:pPr>
    </w:p>
    <w:p w:rsidR="004341AC" w:rsidRPr="000D56FC" w:rsidRDefault="004341AC">
      <w:pPr>
        <w:ind w:right="432"/>
        <w:rPr>
          <w:rFonts w:ascii="Palatino Linotype" w:hAnsi="Palatino Linotype"/>
          <w:sz w:val="24"/>
        </w:rPr>
      </w:pPr>
    </w:p>
    <w:p w:rsidR="004341AC" w:rsidRPr="000D56FC" w:rsidRDefault="009121C1">
      <w:pPr>
        <w:ind w:right="432"/>
        <w:rPr>
          <w:rFonts w:ascii="Palatino Linotype" w:hAnsi="Palatino Linotype"/>
          <w:b/>
          <w:sz w:val="24"/>
        </w:rPr>
      </w:pPr>
      <w:r w:rsidRPr="000D56FC">
        <w:rPr>
          <w:rFonts w:ascii="Palatino Linotype" w:hAnsi="Palatino Linotype"/>
          <w:b/>
          <w:sz w:val="24"/>
        </w:rPr>
        <w:t>Resolution T-</w:t>
      </w:r>
      <w:r w:rsidR="003D070D" w:rsidRPr="00BD4F39">
        <w:rPr>
          <w:rFonts w:ascii="Palatino Linotype" w:hAnsi="Palatino Linotype"/>
          <w:b/>
          <w:sz w:val="24"/>
        </w:rPr>
        <w:t>17606</w:t>
      </w:r>
      <w:r w:rsidR="0050460C" w:rsidRPr="000D56FC">
        <w:rPr>
          <w:rFonts w:ascii="Palatino Linotype" w:hAnsi="Palatino Linotype"/>
          <w:b/>
          <w:sz w:val="24"/>
        </w:rPr>
        <w:t xml:space="preserve"> </w:t>
      </w:r>
      <w:r w:rsidR="004341AC" w:rsidRPr="000D56FC">
        <w:rPr>
          <w:rFonts w:ascii="Palatino Linotype" w:hAnsi="Palatino Linotype"/>
          <w:b/>
          <w:sz w:val="24"/>
        </w:rPr>
        <w:t xml:space="preserve">Approval of the California </w:t>
      </w:r>
      <w:proofErr w:type="spellStart"/>
      <w:r w:rsidRPr="000D56FC">
        <w:rPr>
          <w:rFonts w:ascii="Palatino Linotype" w:hAnsi="Palatino Linotype"/>
          <w:b/>
          <w:sz w:val="24"/>
        </w:rPr>
        <w:t>Teleconnect</w:t>
      </w:r>
      <w:proofErr w:type="spellEnd"/>
      <w:r w:rsidRPr="000D56FC">
        <w:rPr>
          <w:rFonts w:ascii="Palatino Linotype" w:hAnsi="Palatino Linotype"/>
          <w:b/>
          <w:sz w:val="24"/>
        </w:rPr>
        <w:t xml:space="preserve"> Fund P</w:t>
      </w:r>
      <w:r w:rsidR="003B70FA" w:rsidRPr="000D56FC">
        <w:rPr>
          <w:rFonts w:ascii="Palatino Linotype" w:hAnsi="Palatino Linotype"/>
          <w:b/>
          <w:sz w:val="24"/>
        </w:rPr>
        <w:t>rogram</w:t>
      </w:r>
      <w:r w:rsidR="009305C6" w:rsidRPr="000D56FC">
        <w:rPr>
          <w:rFonts w:ascii="Palatino Linotype" w:hAnsi="Palatino Linotype"/>
          <w:b/>
          <w:sz w:val="24"/>
        </w:rPr>
        <w:t xml:space="preserve"> Surcharge Rate of 0</w:t>
      </w:r>
      <w:r w:rsidR="00890F8E" w:rsidRPr="000D56FC">
        <w:rPr>
          <w:rFonts w:ascii="Palatino Linotype" w:hAnsi="Palatino Linotype"/>
          <w:b/>
          <w:sz w:val="24"/>
        </w:rPr>
        <w:t>.</w:t>
      </w:r>
      <w:r w:rsidR="001E3882">
        <w:rPr>
          <w:rFonts w:ascii="Palatino Linotype" w:hAnsi="Palatino Linotype"/>
          <w:b/>
          <w:sz w:val="24"/>
        </w:rPr>
        <w:t>78</w:t>
      </w:r>
      <w:r w:rsidR="003A0466" w:rsidRPr="000D56FC">
        <w:rPr>
          <w:rFonts w:ascii="Palatino Linotype" w:hAnsi="Palatino Linotype"/>
          <w:b/>
          <w:sz w:val="24"/>
        </w:rPr>
        <w:t xml:space="preserve">% Effective </w:t>
      </w:r>
      <w:r w:rsidR="00B1298C">
        <w:rPr>
          <w:rFonts w:ascii="Palatino Linotype" w:hAnsi="Palatino Linotype"/>
          <w:b/>
          <w:sz w:val="24"/>
        </w:rPr>
        <w:t>September</w:t>
      </w:r>
      <w:r w:rsidRPr="000D56FC">
        <w:rPr>
          <w:rFonts w:ascii="Palatino Linotype" w:hAnsi="Palatino Linotype"/>
          <w:b/>
          <w:sz w:val="24"/>
        </w:rPr>
        <w:t xml:space="preserve"> 1, 2018</w:t>
      </w:r>
      <w:r w:rsidR="004341AC" w:rsidRPr="000D56FC">
        <w:rPr>
          <w:rFonts w:ascii="Palatino Linotype" w:hAnsi="Palatino Linotype"/>
          <w:b/>
          <w:sz w:val="24"/>
        </w:rPr>
        <w:t>.</w:t>
      </w:r>
    </w:p>
    <w:p w:rsidR="004341AC" w:rsidRPr="000D56FC" w:rsidRDefault="004341AC">
      <w:pPr>
        <w:ind w:left="720" w:right="432"/>
        <w:rPr>
          <w:rFonts w:ascii="Palatino Linotype" w:hAnsi="Palatino Linotype"/>
          <w:b/>
          <w:sz w:val="24"/>
        </w:rPr>
      </w:pPr>
    </w:p>
    <w:tbl>
      <w:tblPr>
        <w:tblW w:w="0" w:type="auto"/>
        <w:tblInd w:w="108" w:type="dxa"/>
        <w:tblBorders>
          <w:top w:val="single" w:sz="4" w:space="0" w:color="auto"/>
        </w:tblBorders>
        <w:tblLook w:val="01E0" w:firstRow="1" w:lastRow="1" w:firstColumn="1" w:lastColumn="1" w:noHBand="0" w:noVBand="0"/>
      </w:tblPr>
      <w:tblGrid>
        <w:gridCol w:w="9090"/>
      </w:tblGrid>
      <w:tr w:rsidR="004341AC" w:rsidRPr="000D56FC">
        <w:tc>
          <w:tcPr>
            <w:tcW w:w="9090" w:type="dxa"/>
            <w:shd w:val="clear" w:color="auto" w:fill="auto"/>
          </w:tcPr>
          <w:p w:rsidR="004341AC" w:rsidRPr="000D56FC" w:rsidRDefault="004341AC">
            <w:pPr>
              <w:ind w:right="432"/>
              <w:rPr>
                <w:rFonts w:ascii="Palatino Linotype" w:hAnsi="Palatino Linotype"/>
                <w:sz w:val="24"/>
              </w:rPr>
            </w:pPr>
          </w:p>
        </w:tc>
      </w:tr>
    </w:tbl>
    <w:p w:rsidR="004341AC" w:rsidRPr="000D56FC" w:rsidRDefault="004341AC" w:rsidP="009312E3">
      <w:pPr>
        <w:widowControl w:val="0"/>
        <w:ind w:right="432"/>
        <w:rPr>
          <w:rFonts w:ascii="Palatino Linotype" w:hAnsi="Palatino Linotype"/>
          <w:b/>
          <w:sz w:val="26"/>
          <w:u w:val="single"/>
        </w:rPr>
      </w:pPr>
      <w:r w:rsidRPr="000D56FC">
        <w:rPr>
          <w:rFonts w:ascii="Palatino Linotype" w:hAnsi="Palatino Linotype"/>
          <w:b/>
          <w:sz w:val="26"/>
          <w:u w:val="single"/>
        </w:rPr>
        <w:t>SUMMARY</w:t>
      </w:r>
    </w:p>
    <w:p w:rsidR="004341AC" w:rsidRPr="000D56FC" w:rsidRDefault="004341AC" w:rsidP="009312E3">
      <w:pPr>
        <w:pStyle w:val="xl41"/>
        <w:widowControl w:val="0"/>
        <w:overflowPunct/>
        <w:autoSpaceDE/>
        <w:autoSpaceDN/>
        <w:adjustRightInd/>
        <w:spacing w:before="0" w:after="0"/>
        <w:ind w:right="432"/>
        <w:textAlignment w:val="auto"/>
        <w:rPr>
          <w:rFonts w:ascii="Palatino Linotype" w:eastAsia="Times New Roman" w:hAnsi="Palatino Linotype"/>
        </w:rPr>
      </w:pPr>
    </w:p>
    <w:p w:rsidR="004341AC" w:rsidRDefault="004341AC">
      <w:pPr>
        <w:pStyle w:val="BodyText"/>
        <w:tabs>
          <w:tab w:val="clear" w:pos="720"/>
        </w:tabs>
        <w:spacing w:after="0"/>
        <w:ind w:right="432"/>
        <w:rPr>
          <w:rFonts w:ascii="Palatino Linotype" w:hAnsi="Palatino Linotype"/>
        </w:rPr>
      </w:pPr>
      <w:r w:rsidRPr="000D56FC">
        <w:rPr>
          <w:rFonts w:ascii="Palatino Linotype" w:hAnsi="Palatino Linotype"/>
        </w:rPr>
        <w:t xml:space="preserve">This resolution adopts </w:t>
      </w:r>
      <w:r w:rsidR="005B0470">
        <w:rPr>
          <w:rFonts w:ascii="Palatino Linotype" w:hAnsi="Palatino Linotype"/>
        </w:rPr>
        <w:t xml:space="preserve">a </w:t>
      </w:r>
      <w:r w:rsidRPr="000D56FC">
        <w:rPr>
          <w:rFonts w:ascii="Palatino Linotype" w:hAnsi="Palatino Linotype"/>
        </w:rPr>
        <w:t xml:space="preserve">California </w:t>
      </w:r>
      <w:proofErr w:type="spellStart"/>
      <w:r w:rsidR="009121C1" w:rsidRPr="000D56FC">
        <w:rPr>
          <w:rFonts w:ascii="Palatino Linotype" w:hAnsi="Palatino Linotype"/>
        </w:rPr>
        <w:t>Teleconnect</w:t>
      </w:r>
      <w:proofErr w:type="spellEnd"/>
      <w:r w:rsidR="009121C1" w:rsidRPr="000D56FC">
        <w:rPr>
          <w:rFonts w:ascii="Palatino Linotype" w:hAnsi="Palatino Linotype"/>
        </w:rPr>
        <w:t xml:space="preserve"> Fund </w:t>
      </w:r>
      <w:r w:rsidR="0050460C" w:rsidRPr="000D56FC">
        <w:rPr>
          <w:rFonts w:ascii="Palatino Linotype" w:hAnsi="Palatino Linotype"/>
        </w:rPr>
        <w:t>p</w:t>
      </w:r>
      <w:r w:rsidRPr="000D56FC">
        <w:rPr>
          <w:rFonts w:ascii="Palatino Linotype" w:hAnsi="Palatino Linotype"/>
        </w:rPr>
        <w:t>ro</w:t>
      </w:r>
      <w:r w:rsidR="009305C6" w:rsidRPr="000D56FC">
        <w:rPr>
          <w:rFonts w:ascii="Palatino Linotype" w:hAnsi="Palatino Linotype"/>
        </w:rPr>
        <w:t xml:space="preserve">gram surcharge rate of </w:t>
      </w:r>
      <w:r w:rsidR="004E47DF" w:rsidRPr="000D56FC">
        <w:rPr>
          <w:rFonts w:ascii="Palatino Linotype" w:hAnsi="Palatino Linotype"/>
        </w:rPr>
        <w:t>0.</w:t>
      </w:r>
      <w:r w:rsidR="00CD2F35">
        <w:rPr>
          <w:rFonts w:ascii="Palatino Linotype" w:hAnsi="Palatino Linotype"/>
        </w:rPr>
        <w:t>78</w:t>
      </w:r>
      <w:r w:rsidR="00E46FDA" w:rsidRPr="000D56FC">
        <w:rPr>
          <w:rFonts w:ascii="Palatino Linotype" w:hAnsi="Palatino Linotype"/>
        </w:rPr>
        <w:t>%</w:t>
      </w:r>
      <w:r w:rsidR="006F343B" w:rsidRPr="000D56FC">
        <w:rPr>
          <w:rFonts w:ascii="Palatino Linotype" w:hAnsi="Palatino Linotype"/>
        </w:rPr>
        <w:t>,</w:t>
      </w:r>
      <w:r w:rsidR="009305C6" w:rsidRPr="000D56FC">
        <w:rPr>
          <w:rFonts w:ascii="Palatino Linotype" w:hAnsi="Palatino Linotype"/>
        </w:rPr>
        <w:t xml:space="preserve"> </w:t>
      </w:r>
      <w:r w:rsidR="00AA0267" w:rsidRPr="000D56FC">
        <w:rPr>
          <w:rFonts w:ascii="Palatino Linotype" w:hAnsi="Palatino Linotype"/>
        </w:rPr>
        <w:t xml:space="preserve">effective </w:t>
      </w:r>
      <w:r w:rsidR="00B1298C">
        <w:rPr>
          <w:rFonts w:ascii="Palatino Linotype" w:hAnsi="Palatino Linotype"/>
        </w:rPr>
        <w:t>September</w:t>
      </w:r>
      <w:r w:rsidR="00FB0E8F" w:rsidRPr="000D56FC">
        <w:rPr>
          <w:rFonts w:ascii="Palatino Linotype" w:hAnsi="Palatino Linotype"/>
        </w:rPr>
        <w:t xml:space="preserve"> 1</w:t>
      </w:r>
      <w:r w:rsidR="009121C1" w:rsidRPr="000D56FC">
        <w:rPr>
          <w:rFonts w:ascii="Palatino Linotype" w:hAnsi="Palatino Linotype"/>
        </w:rPr>
        <w:t>, 2018</w:t>
      </w:r>
      <w:r w:rsidRPr="000D56FC">
        <w:rPr>
          <w:rFonts w:ascii="Palatino Linotype" w:hAnsi="Palatino Linotype"/>
        </w:rPr>
        <w:t xml:space="preserve">, until further revised by the </w:t>
      </w:r>
      <w:r w:rsidR="00455C1C" w:rsidRPr="000D56FC">
        <w:rPr>
          <w:rFonts w:ascii="Palatino Linotype" w:hAnsi="Palatino Linotype"/>
        </w:rPr>
        <w:t>California Public Utilities Commission</w:t>
      </w:r>
      <w:r w:rsidRPr="000D56FC">
        <w:rPr>
          <w:rFonts w:ascii="Palatino Linotype" w:hAnsi="Palatino Linotype"/>
        </w:rPr>
        <w:t xml:space="preserve">.  All telecommunications carriers shall </w:t>
      </w:r>
      <w:r w:rsidR="003F75B5" w:rsidRPr="000D56FC">
        <w:rPr>
          <w:rFonts w:ascii="Palatino Linotype" w:hAnsi="Palatino Linotype"/>
        </w:rPr>
        <w:t>reduce</w:t>
      </w:r>
      <w:r w:rsidR="009121C1" w:rsidRPr="000D56FC">
        <w:rPr>
          <w:rFonts w:ascii="Palatino Linotype" w:hAnsi="Palatino Linotype"/>
        </w:rPr>
        <w:t xml:space="preserve"> the </w:t>
      </w:r>
      <w:r w:rsidR="00860C9D" w:rsidRPr="00517F06">
        <w:rPr>
          <w:rFonts w:ascii="Palatino Linotype" w:hAnsi="Palatino Linotype"/>
        </w:rPr>
        <w:t xml:space="preserve">California </w:t>
      </w:r>
      <w:proofErr w:type="spellStart"/>
      <w:r w:rsidR="00860C9D" w:rsidRPr="00517F06">
        <w:rPr>
          <w:rFonts w:ascii="Palatino Linotype" w:hAnsi="Palatino Linotype"/>
        </w:rPr>
        <w:t>Teleconnect</w:t>
      </w:r>
      <w:proofErr w:type="spellEnd"/>
      <w:r w:rsidR="00860C9D" w:rsidRPr="00517F06">
        <w:rPr>
          <w:rFonts w:ascii="Palatino Linotype" w:hAnsi="Palatino Linotype"/>
        </w:rPr>
        <w:t xml:space="preserve"> Fund </w:t>
      </w:r>
      <w:r w:rsidRPr="000D56FC">
        <w:rPr>
          <w:rFonts w:ascii="Palatino Linotype" w:hAnsi="Palatino Linotype"/>
        </w:rPr>
        <w:t xml:space="preserve">surcharge rate assessed on </w:t>
      </w:r>
      <w:r w:rsidR="003B70FA" w:rsidRPr="000D56FC">
        <w:rPr>
          <w:rFonts w:ascii="Palatino Linotype" w:hAnsi="Palatino Linotype"/>
        </w:rPr>
        <w:t xml:space="preserve">revenues collected from </w:t>
      </w:r>
      <w:r w:rsidRPr="000D56FC">
        <w:rPr>
          <w:rFonts w:ascii="Palatino Linotype" w:hAnsi="Palatino Linotype"/>
        </w:rPr>
        <w:t>end-user</w:t>
      </w:r>
      <w:r w:rsidR="003B70FA" w:rsidRPr="000D56FC">
        <w:rPr>
          <w:rFonts w:ascii="Palatino Linotype" w:hAnsi="Palatino Linotype"/>
        </w:rPr>
        <w:t>s for</w:t>
      </w:r>
      <w:r w:rsidRPr="000D56FC">
        <w:rPr>
          <w:rFonts w:ascii="Palatino Linotype" w:hAnsi="Palatino Linotype"/>
        </w:rPr>
        <w:t xml:space="preserve"> intrastate telecommuni</w:t>
      </w:r>
      <w:r w:rsidR="009305C6" w:rsidRPr="000D56FC">
        <w:rPr>
          <w:rFonts w:ascii="Palatino Linotype" w:hAnsi="Palatino Linotype"/>
        </w:rPr>
        <w:t>cations service</w:t>
      </w:r>
      <w:r w:rsidR="003B70FA" w:rsidRPr="000D56FC">
        <w:rPr>
          <w:rFonts w:ascii="Palatino Linotype" w:hAnsi="Palatino Linotype"/>
        </w:rPr>
        <w:t>s</w:t>
      </w:r>
      <w:r w:rsidR="009305C6" w:rsidRPr="000D56FC">
        <w:rPr>
          <w:rFonts w:ascii="Palatino Linotype" w:hAnsi="Palatino Linotype"/>
        </w:rPr>
        <w:t xml:space="preserve"> </w:t>
      </w:r>
      <w:r w:rsidR="003B70FA" w:rsidRPr="000D56FC">
        <w:rPr>
          <w:rFonts w:ascii="Palatino Linotype" w:hAnsi="Palatino Linotype"/>
        </w:rPr>
        <w:t>subject to surcharge</w:t>
      </w:r>
      <w:r w:rsidR="0050460C" w:rsidRPr="000D56FC">
        <w:rPr>
          <w:rFonts w:ascii="Palatino Linotype" w:hAnsi="Palatino Linotype"/>
        </w:rPr>
        <w:t xml:space="preserve"> </w:t>
      </w:r>
      <w:r w:rsidR="009121C1" w:rsidRPr="000D56FC">
        <w:rPr>
          <w:rFonts w:ascii="Palatino Linotype" w:hAnsi="Palatino Linotype"/>
        </w:rPr>
        <w:t>from 1.08</w:t>
      </w:r>
      <w:r w:rsidR="003F75B5" w:rsidRPr="000D56FC">
        <w:rPr>
          <w:rFonts w:ascii="Palatino Linotype" w:hAnsi="Palatino Linotype"/>
        </w:rPr>
        <w:t xml:space="preserve">% </w:t>
      </w:r>
      <w:r w:rsidR="009305C6" w:rsidRPr="000D56FC">
        <w:rPr>
          <w:rFonts w:ascii="Palatino Linotype" w:hAnsi="Palatino Linotype"/>
        </w:rPr>
        <w:t xml:space="preserve">to </w:t>
      </w:r>
      <w:r w:rsidR="004E47DF" w:rsidRPr="000D56FC">
        <w:rPr>
          <w:rFonts w:ascii="Palatino Linotype" w:hAnsi="Palatino Linotype"/>
        </w:rPr>
        <w:t>0.</w:t>
      </w:r>
      <w:r w:rsidR="00CD2F35">
        <w:rPr>
          <w:rFonts w:ascii="Palatino Linotype" w:hAnsi="Palatino Linotype"/>
        </w:rPr>
        <w:t>78</w:t>
      </w:r>
      <w:r w:rsidR="00E46FDA" w:rsidRPr="000D56FC">
        <w:rPr>
          <w:rFonts w:ascii="Palatino Linotype" w:hAnsi="Palatino Linotype"/>
        </w:rPr>
        <w:t>%</w:t>
      </w:r>
      <w:r w:rsidRPr="000D56FC">
        <w:rPr>
          <w:rFonts w:ascii="Palatino Linotype" w:hAnsi="Palatino Linotype"/>
        </w:rPr>
        <w:t xml:space="preserve"> </w:t>
      </w:r>
      <w:r w:rsidR="00AA0267" w:rsidRPr="000D56FC">
        <w:rPr>
          <w:rFonts w:ascii="Palatino Linotype" w:hAnsi="Palatino Linotype"/>
        </w:rPr>
        <w:t>effective</w:t>
      </w:r>
      <w:r w:rsidR="009305C6" w:rsidRPr="000D56FC">
        <w:rPr>
          <w:rFonts w:ascii="Palatino Linotype" w:hAnsi="Palatino Linotype"/>
        </w:rPr>
        <w:t xml:space="preserve"> </w:t>
      </w:r>
      <w:r w:rsidR="00B1298C">
        <w:rPr>
          <w:rFonts w:ascii="Palatino Linotype" w:hAnsi="Palatino Linotype"/>
        </w:rPr>
        <w:t>September</w:t>
      </w:r>
      <w:r w:rsidR="00062E66">
        <w:rPr>
          <w:rFonts w:ascii="Palatino Linotype" w:hAnsi="Palatino Linotype"/>
        </w:rPr>
        <w:t xml:space="preserve"> </w:t>
      </w:r>
      <w:r w:rsidR="00FB0E8F" w:rsidRPr="000D56FC">
        <w:rPr>
          <w:rFonts w:ascii="Palatino Linotype" w:hAnsi="Palatino Linotype"/>
        </w:rPr>
        <w:t>1</w:t>
      </w:r>
      <w:r w:rsidR="009121C1" w:rsidRPr="000D56FC">
        <w:rPr>
          <w:rFonts w:ascii="Palatino Linotype" w:hAnsi="Palatino Linotype"/>
        </w:rPr>
        <w:t>, 2018</w:t>
      </w:r>
      <w:r w:rsidR="00C018F3" w:rsidRPr="000D56FC">
        <w:rPr>
          <w:rFonts w:ascii="Palatino Linotype" w:hAnsi="Palatino Linotype"/>
        </w:rPr>
        <w:t>,</w:t>
      </w:r>
      <w:r w:rsidR="003B70FA" w:rsidRPr="000D56FC">
        <w:rPr>
          <w:rFonts w:ascii="Palatino Linotype" w:hAnsi="Palatino Linotype"/>
        </w:rPr>
        <w:t xml:space="preserve"> and thereafter</w:t>
      </w:r>
      <w:r w:rsidRPr="000D56FC">
        <w:rPr>
          <w:rFonts w:ascii="Palatino Linotype" w:hAnsi="Palatino Linotype"/>
        </w:rPr>
        <w:t>.</w:t>
      </w:r>
    </w:p>
    <w:p w:rsidR="00D25CA0" w:rsidRPr="000D56FC" w:rsidRDefault="00D25CA0">
      <w:pPr>
        <w:pStyle w:val="BodyText"/>
        <w:tabs>
          <w:tab w:val="clear" w:pos="720"/>
        </w:tabs>
        <w:spacing w:after="0"/>
        <w:ind w:right="432"/>
        <w:rPr>
          <w:rFonts w:ascii="Palatino Linotype" w:hAnsi="Palatino Linotype"/>
        </w:rPr>
      </w:pPr>
    </w:p>
    <w:p w:rsidR="004341AC" w:rsidRDefault="004341AC">
      <w:pPr>
        <w:pStyle w:val="BodyText"/>
        <w:tabs>
          <w:tab w:val="clear" w:pos="720"/>
        </w:tabs>
        <w:spacing w:after="0"/>
        <w:ind w:right="432"/>
      </w:pPr>
    </w:p>
    <w:p w:rsidR="004341AC" w:rsidRDefault="004341AC" w:rsidP="009312E3">
      <w:pPr>
        <w:pStyle w:val="Heading1"/>
        <w:keepNext w:val="0"/>
        <w:widowControl w:val="0"/>
        <w:ind w:right="432"/>
        <w:rPr>
          <w:sz w:val="26"/>
        </w:rPr>
      </w:pPr>
      <w:r>
        <w:rPr>
          <w:sz w:val="26"/>
        </w:rPr>
        <w:t>BACKGROUND</w:t>
      </w:r>
    </w:p>
    <w:p w:rsidR="004341AC" w:rsidRDefault="004341AC">
      <w:pPr>
        <w:ind w:right="432"/>
        <w:rPr>
          <w:rFonts w:ascii="Palatino" w:hAnsi="Palatino"/>
          <w:sz w:val="24"/>
        </w:rPr>
      </w:pPr>
    </w:p>
    <w:p w:rsidR="00547170" w:rsidRDefault="00547170" w:rsidP="00547170">
      <w:pPr>
        <w:rPr>
          <w:rFonts w:ascii="Palatino Linotype" w:hAnsi="Palatino Linotype"/>
          <w:sz w:val="24"/>
          <w:szCs w:val="24"/>
        </w:rPr>
      </w:pPr>
      <w:proofErr w:type="gramStart"/>
      <w:r>
        <w:rPr>
          <w:rFonts w:ascii="Palatino Linotype" w:hAnsi="Palatino Linotype"/>
          <w:sz w:val="24"/>
          <w:szCs w:val="24"/>
        </w:rPr>
        <w:t>In Decision (D.)</w:t>
      </w:r>
      <w:proofErr w:type="gramEnd"/>
      <w:r>
        <w:rPr>
          <w:rFonts w:ascii="Palatino Linotype" w:hAnsi="Palatino Linotype"/>
          <w:sz w:val="24"/>
          <w:szCs w:val="24"/>
        </w:rPr>
        <w:t xml:space="preserve">96-10-066, the </w:t>
      </w:r>
      <w:r w:rsidR="005B0470">
        <w:rPr>
          <w:rFonts w:ascii="Palatino Linotype" w:hAnsi="Palatino Linotype"/>
          <w:sz w:val="24"/>
          <w:szCs w:val="24"/>
        </w:rPr>
        <w:t>California Public Utilities Commission (</w:t>
      </w:r>
      <w:r>
        <w:rPr>
          <w:rFonts w:ascii="Palatino Linotype" w:hAnsi="Palatino Linotype"/>
          <w:sz w:val="24"/>
          <w:szCs w:val="24"/>
        </w:rPr>
        <w:t>Commission</w:t>
      </w:r>
      <w:r w:rsidR="005B0470">
        <w:rPr>
          <w:rFonts w:ascii="Palatino Linotype" w:hAnsi="Palatino Linotype"/>
          <w:sz w:val="24"/>
          <w:szCs w:val="24"/>
        </w:rPr>
        <w:t>)</w:t>
      </w:r>
      <w:r>
        <w:rPr>
          <w:rFonts w:ascii="Palatino Linotype" w:hAnsi="Palatino Linotype"/>
          <w:sz w:val="24"/>
          <w:szCs w:val="24"/>
        </w:rPr>
        <w:t xml:space="preserve"> created the </w:t>
      </w:r>
      <w:r w:rsidR="00860C9D" w:rsidRPr="00517F06">
        <w:rPr>
          <w:rFonts w:ascii="Palatino Linotype" w:hAnsi="Palatino Linotype"/>
          <w:sz w:val="24"/>
          <w:szCs w:val="24"/>
        </w:rPr>
        <w:t xml:space="preserve">California </w:t>
      </w:r>
      <w:proofErr w:type="spellStart"/>
      <w:r w:rsidR="00860C9D" w:rsidRPr="00517F06">
        <w:rPr>
          <w:rFonts w:ascii="Palatino Linotype" w:hAnsi="Palatino Linotype"/>
          <w:sz w:val="24"/>
          <w:szCs w:val="24"/>
        </w:rPr>
        <w:t>Teleconnect</w:t>
      </w:r>
      <w:proofErr w:type="spellEnd"/>
      <w:r w:rsidR="00860C9D" w:rsidRPr="00517F06">
        <w:rPr>
          <w:rFonts w:ascii="Palatino Linotype" w:hAnsi="Palatino Linotype"/>
          <w:sz w:val="24"/>
          <w:szCs w:val="24"/>
        </w:rPr>
        <w:t xml:space="preserve"> Fund (</w:t>
      </w:r>
      <w:r w:rsidRPr="00517F06">
        <w:rPr>
          <w:rFonts w:ascii="Palatino Linotype" w:hAnsi="Palatino Linotype"/>
          <w:sz w:val="24"/>
          <w:szCs w:val="24"/>
        </w:rPr>
        <w:t>CTF</w:t>
      </w:r>
      <w:r w:rsidR="00860C9D" w:rsidRPr="00517F06">
        <w:rPr>
          <w:rFonts w:ascii="Palatino Linotype" w:hAnsi="Palatino Linotype"/>
          <w:sz w:val="24"/>
          <w:szCs w:val="24"/>
        </w:rPr>
        <w:t>)</w:t>
      </w:r>
      <w:r w:rsidR="00517F06">
        <w:rPr>
          <w:rFonts w:ascii="Palatino Linotype" w:hAnsi="Palatino Linotype"/>
          <w:sz w:val="24"/>
          <w:szCs w:val="24"/>
        </w:rPr>
        <w:t xml:space="preserve"> </w:t>
      </w:r>
      <w:r>
        <w:rPr>
          <w:rFonts w:ascii="Palatino Linotype" w:hAnsi="Palatino Linotype"/>
          <w:sz w:val="24"/>
          <w:szCs w:val="24"/>
        </w:rPr>
        <w:t xml:space="preserve">program, effective October 25, 1996, to provide discounted rates for advanced telecommunications services for qualifying schools, libraries, government-owned health care providers, and community based organizations (CBO).  </w:t>
      </w:r>
    </w:p>
    <w:p w:rsidR="00547170" w:rsidRDefault="00547170" w:rsidP="00547170">
      <w:pPr>
        <w:rPr>
          <w:rFonts w:ascii="Palatino Linotype" w:hAnsi="Palatino Linotype"/>
          <w:sz w:val="24"/>
          <w:szCs w:val="24"/>
        </w:rPr>
      </w:pPr>
    </w:p>
    <w:p w:rsidR="00547170" w:rsidRDefault="00547170" w:rsidP="00E81034">
      <w:pPr>
        <w:tabs>
          <w:tab w:val="left" w:pos="1548"/>
        </w:tabs>
        <w:rPr>
          <w:rFonts w:ascii="Palatino Linotype" w:hAnsi="Palatino Linotype"/>
        </w:rPr>
      </w:pPr>
      <w:r>
        <w:rPr>
          <w:rFonts w:ascii="Palatino Linotype" w:hAnsi="Palatino Linotype"/>
          <w:sz w:val="24"/>
          <w:szCs w:val="24"/>
        </w:rPr>
        <w:t xml:space="preserve">The CTF program is funded by a surcharge assessed on revenues collected from end-users for intrastate telecommunications services subject to surcharge. On March 26, 2015, the Commission adopted Resolution T-17471, which increased the CTF surcharge rate from 0.93% to 01.08% effective June 1, 2015 to meet forecasted CTF budget requirements.  </w:t>
      </w:r>
      <w:r w:rsidR="00AB7BAE">
        <w:rPr>
          <w:rFonts w:ascii="Palatino Linotype" w:hAnsi="Palatino Linotype"/>
          <w:sz w:val="24"/>
          <w:szCs w:val="24"/>
        </w:rPr>
        <w:t xml:space="preserve">The surcharge has not been adjusted since then.  </w:t>
      </w:r>
      <w:r>
        <w:rPr>
          <w:rFonts w:ascii="Palatino Linotype" w:hAnsi="Palatino Linotype"/>
          <w:sz w:val="24"/>
          <w:szCs w:val="24"/>
        </w:rPr>
        <w:t xml:space="preserve">Historical CTF surcharge rates are available online at </w:t>
      </w:r>
      <w:hyperlink r:id="rId8" w:history="1">
        <w:r w:rsidR="00DA26B9" w:rsidRPr="00DA26B9">
          <w:rPr>
            <w:rStyle w:val="Hyperlink"/>
          </w:rPr>
          <w:t>http://www.cpuc.ca.gov/</w:t>
        </w:r>
      </w:hyperlink>
      <w:r w:rsidR="00C97760">
        <w:rPr>
          <w:rStyle w:val="Hyperlink"/>
          <w:rFonts w:ascii="Palatino Linotype" w:hAnsi="Palatino Linotype"/>
          <w:sz w:val="24"/>
          <w:szCs w:val="24"/>
        </w:rPr>
        <w:t xml:space="preserve"> </w:t>
      </w:r>
      <w:r>
        <w:rPr>
          <w:rFonts w:ascii="Palatino Linotype" w:hAnsi="Palatino Linotype"/>
          <w:sz w:val="24"/>
          <w:szCs w:val="24"/>
        </w:rPr>
        <w:t>.</w:t>
      </w:r>
    </w:p>
    <w:p w:rsidR="00D83421" w:rsidRDefault="00D83421">
      <w:pPr>
        <w:ind w:right="432"/>
        <w:rPr>
          <w:rFonts w:ascii="Palatino" w:hAnsi="Palatino"/>
          <w:b/>
          <w:sz w:val="26"/>
        </w:rPr>
      </w:pPr>
    </w:p>
    <w:p w:rsidR="00D25CA0" w:rsidRDefault="00D25CA0">
      <w:pPr>
        <w:ind w:right="432"/>
        <w:rPr>
          <w:rFonts w:ascii="Palatino" w:hAnsi="Palatino"/>
          <w:b/>
          <w:sz w:val="26"/>
          <w:u w:val="single"/>
        </w:rPr>
      </w:pPr>
    </w:p>
    <w:p w:rsidR="004341AC" w:rsidRDefault="004341AC">
      <w:pPr>
        <w:ind w:right="432"/>
        <w:rPr>
          <w:rFonts w:ascii="Palatino" w:hAnsi="Palatino"/>
          <w:sz w:val="26"/>
          <w:u w:val="single"/>
        </w:rPr>
      </w:pPr>
      <w:r>
        <w:rPr>
          <w:rFonts w:ascii="Palatino" w:hAnsi="Palatino"/>
          <w:b/>
          <w:sz w:val="26"/>
          <w:u w:val="single"/>
        </w:rPr>
        <w:t>DISCUSSION</w:t>
      </w:r>
    </w:p>
    <w:p w:rsidR="004341AC" w:rsidRDefault="004341AC">
      <w:pPr>
        <w:ind w:right="432"/>
        <w:rPr>
          <w:rFonts w:ascii="Palatino" w:hAnsi="Palatino"/>
          <w:sz w:val="24"/>
        </w:rPr>
      </w:pPr>
    </w:p>
    <w:p w:rsidR="00003ADF" w:rsidRDefault="00C271A3" w:rsidP="004A0B0D">
      <w:pPr>
        <w:pStyle w:val="Heading3"/>
      </w:pPr>
      <w:r>
        <w:rPr>
          <w:rFonts w:ascii="Palatino Linotype" w:hAnsi="Palatino Linotype"/>
        </w:rPr>
        <w:t>T</w:t>
      </w:r>
      <w:r w:rsidR="004341AC" w:rsidRPr="000C29B2">
        <w:rPr>
          <w:rFonts w:ascii="Palatino Linotype" w:hAnsi="Palatino Linotype"/>
        </w:rPr>
        <w:t>his Resolution</w:t>
      </w:r>
      <w:r w:rsidR="00024B7E" w:rsidRPr="000C29B2">
        <w:rPr>
          <w:rFonts w:ascii="Palatino Linotype" w:hAnsi="Palatino Linotype"/>
        </w:rPr>
        <w:t xml:space="preserve"> </w:t>
      </w:r>
      <w:r>
        <w:rPr>
          <w:rFonts w:ascii="Palatino Linotype" w:hAnsi="Palatino Linotype"/>
        </w:rPr>
        <w:t xml:space="preserve">proposes </w:t>
      </w:r>
      <w:r w:rsidR="00024B7E" w:rsidRPr="000C29B2">
        <w:rPr>
          <w:rFonts w:ascii="Palatino Linotype" w:hAnsi="Palatino Linotype"/>
        </w:rPr>
        <w:t>a CTF</w:t>
      </w:r>
      <w:r w:rsidR="009305C6" w:rsidRPr="000C29B2">
        <w:rPr>
          <w:rFonts w:ascii="Palatino Linotype" w:hAnsi="Palatino Linotype"/>
        </w:rPr>
        <w:t xml:space="preserve"> surcharge rate of </w:t>
      </w:r>
      <w:r w:rsidR="009C0530" w:rsidRPr="000C29B2">
        <w:rPr>
          <w:rFonts w:ascii="Palatino Linotype" w:hAnsi="Palatino Linotype"/>
        </w:rPr>
        <w:t>0.</w:t>
      </w:r>
      <w:r w:rsidR="00CD2F35">
        <w:rPr>
          <w:rFonts w:ascii="Palatino Linotype" w:hAnsi="Palatino Linotype"/>
        </w:rPr>
        <w:t>78</w:t>
      </w:r>
      <w:r w:rsidR="00E46FDA" w:rsidRPr="000C29B2">
        <w:rPr>
          <w:rFonts w:ascii="Palatino Linotype" w:hAnsi="Palatino Linotype"/>
        </w:rPr>
        <w:t>%</w:t>
      </w:r>
      <w:r>
        <w:rPr>
          <w:rFonts w:ascii="Palatino Linotype" w:hAnsi="Palatino Linotype"/>
        </w:rPr>
        <w:t xml:space="preserve"> to be</w:t>
      </w:r>
      <w:r w:rsidR="009305C6" w:rsidRPr="000C29B2">
        <w:rPr>
          <w:rFonts w:ascii="Palatino Linotype" w:hAnsi="Palatino Linotype"/>
        </w:rPr>
        <w:t xml:space="preserve"> </w:t>
      </w:r>
      <w:r w:rsidR="00AA0267" w:rsidRPr="000C29B2">
        <w:rPr>
          <w:rFonts w:ascii="Palatino Linotype" w:hAnsi="Palatino Linotype"/>
        </w:rPr>
        <w:t>effective</w:t>
      </w:r>
      <w:r w:rsidR="00E57597" w:rsidRPr="000C29B2">
        <w:rPr>
          <w:rFonts w:ascii="Palatino Linotype" w:hAnsi="Palatino Linotype"/>
        </w:rPr>
        <w:t xml:space="preserve"> </w:t>
      </w:r>
      <w:r w:rsidR="00B1298C">
        <w:rPr>
          <w:rFonts w:ascii="Palatino Linotype" w:hAnsi="Palatino Linotype"/>
        </w:rPr>
        <w:t>September</w:t>
      </w:r>
      <w:r w:rsidR="007E537E" w:rsidRPr="000C29B2">
        <w:rPr>
          <w:rFonts w:ascii="Palatino Linotype" w:hAnsi="Palatino Linotype"/>
        </w:rPr>
        <w:t xml:space="preserve"> </w:t>
      </w:r>
      <w:r w:rsidR="00024B7E" w:rsidRPr="000C29B2">
        <w:rPr>
          <w:rFonts w:ascii="Palatino Linotype" w:hAnsi="Palatino Linotype"/>
        </w:rPr>
        <w:t>1, 2018</w:t>
      </w:r>
      <w:r w:rsidR="004341AC" w:rsidRPr="000C29B2">
        <w:rPr>
          <w:rFonts w:ascii="Palatino Linotype" w:hAnsi="Palatino Linotype"/>
        </w:rPr>
        <w:t>, until further revised by the Commission</w:t>
      </w:r>
      <w:r w:rsidR="00DD40D4">
        <w:rPr>
          <w:rFonts w:ascii="Palatino Linotype" w:hAnsi="Palatino Linotype"/>
        </w:rPr>
        <w:t xml:space="preserve"> in order to better align the surcharge with ongoing funding needs</w:t>
      </w:r>
      <w:r w:rsidR="004341AC" w:rsidRPr="000C29B2">
        <w:rPr>
          <w:rFonts w:ascii="Palatino Linotype" w:hAnsi="Palatino Linotype"/>
        </w:rPr>
        <w:t>.</w:t>
      </w:r>
      <w:r w:rsidR="000C6667" w:rsidRPr="000C29B2">
        <w:rPr>
          <w:rFonts w:ascii="Palatino Linotype" w:hAnsi="Palatino Linotype"/>
        </w:rPr>
        <w:t xml:space="preserve">  </w:t>
      </w:r>
      <w:r w:rsidR="00AD502A">
        <w:rPr>
          <w:rFonts w:ascii="Palatino Linotype" w:hAnsi="Palatino Linotype"/>
        </w:rPr>
        <w:t xml:space="preserve">This surcharge amount is sufficient </w:t>
      </w:r>
      <w:r w:rsidR="009C475F" w:rsidRPr="000C29B2">
        <w:rPr>
          <w:rFonts w:ascii="Palatino Linotype" w:hAnsi="Palatino Linotype"/>
        </w:rPr>
        <w:t xml:space="preserve">to maintain a program fund level with a reserve covering approximately </w:t>
      </w:r>
      <w:r w:rsidR="00024B7E" w:rsidRPr="000C29B2">
        <w:rPr>
          <w:rFonts w:ascii="Palatino Linotype" w:hAnsi="Palatino Linotype"/>
        </w:rPr>
        <w:t>three</w:t>
      </w:r>
      <w:r w:rsidR="009C475F" w:rsidRPr="000C29B2">
        <w:rPr>
          <w:rFonts w:ascii="Palatino Linotype" w:hAnsi="Palatino Linotype"/>
        </w:rPr>
        <w:t>-months of monthly expenditures</w:t>
      </w:r>
      <w:r w:rsidR="007C30D3" w:rsidRPr="000C29B2">
        <w:rPr>
          <w:rFonts w:ascii="Palatino Linotype" w:hAnsi="Palatino Linotype"/>
        </w:rPr>
        <w:t xml:space="preserve"> which </w:t>
      </w:r>
      <w:r w:rsidR="00305E29" w:rsidRPr="000C29B2">
        <w:rPr>
          <w:rFonts w:ascii="Palatino Linotype" w:hAnsi="Palatino Linotype"/>
        </w:rPr>
        <w:t xml:space="preserve">currently </w:t>
      </w:r>
      <w:r w:rsidR="007C30D3" w:rsidRPr="000C29B2">
        <w:rPr>
          <w:rFonts w:ascii="Palatino Linotype" w:hAnsi="Palatino Linotype"/>
        </w:rPr>
        <w:t xml:space="preserve">average approximately </w:t>
      </w:r>
      <w:r w:rsidR="007C30D3" w:rsidRPr="00BD726D">
        <w:rPr>
          <w:rFonts w:ascii="Palatino Linotype" w:hAnsi="Palatino Linotype"/>
        </w:rPr>
        <w:t>$</w:t>
      </w:r>
      <w:r w:rsidR="00CD2F35" w:rsidRPr="004A0B0D">
        <w:rPr>
          <w:rStyle w:val="Emphasis"/>
          <w:i w:val="0"/>
        </w:rPr>
        <w:t>8</w:t>
      </w:r>
      <w:r w:rsidR="007C30D3" w:rsidRPr="000C29B2">
        <w:rPr>
          <w:rFonts w:ascii="Palatino Linotype" w:hAnsi="Palatino Linotype"/>
        </w:rPr>
        <w:t xml:space="preserve"> million per month. </w:t>
      </w:r>
      <w:r w:rsidR="009C475F" w:rsidRPr="000C29B2">
        <w:rPr>
          <w:rFonts w:ascii="Palatino Linotype" w:hAnsi="Palatino Linotype"/>
        </w:rPr>
        <w:t xml:space="preserve">This reserve strikes a </w:t>
      </w:r>
      <w:r w:rsidR="00913995" w:rsidRPr="000C29B2">
        <w:rPr>
          <w:rFonts w:ascii="Palatino Linotype" w:hAnsi="Palatino Linotype"/>
        </w:rPr>
        <w:t xml:space="preserve">reasonable </w:t>
      </w:r>
      <w:r w:rsidR="009C475F" w:rsidRPr="000C29B2">
        <w:rPr>
          <w:rFonts w:ascii="Palatino Linotype" w:hAnsi="Palatino Linotype"/>
        </w:rPr>
        <w:t xml:space="preserve">balance between the need to have sufficient liquidity in the fund to cover program </w:t>
      </w:r>
      <w:r w:rsidR="002A7B97" w:rsidRPr="000C29B2">
        <w:rPr>
          <w:rFonts w:ascii="Palatino Linotype" w:hAnsi="Palatino Linotype"/>
        </w:rPr>
        <w:t>expenditures</w:t>
      </w:r>
      <w:r w:rsidR="009C475F" w:rsidRPr="000C29B2">
        <w:rPr>
          <w:rFonts w:ascii="Palatino Linotype" w:hAnsi="Palatino Linotype"/>
        </w:rPr>
        <w:t xml:space="preserve"> and the desire to not overburden ratepayers by </w:t>
      </w:r>
      <w:r w:rsidR="007C30D3" w:rsidRPr="000C29B2">
        <w:rPr>
          <w:rFonts w:ascii="Palatino Linotype" w:hAnsi="Palatino Linotype"/>
        </w:rPr>
        <w:t>over-</w:t>
      </w:r>
      <w:r w:rsidR="009C475F" w:rsidRPr="000C29B2">
        <w:rPr>
          <w:rFonts w:ascii="Palatino Linotype" w:hAnsi="Palatino Linotype"/>
        </w:rPr>
        <w:t>collecting program surcharges</w:t>
      </w:r>
      <w:r w:rsidR="009C475F" w:rsidRPr="00B1298C">
        <w:rPr>
          <w:rFonts w:ascii="Palatino Linotype" w:hAnsi="Palatino Linotype"/>
        </w:rPr>
        <w:t>.</w:t>
      </w:r>
      <w:r w:rsidR="0002280A" w:rsidRPr="00B1298C">
        <w:rPr>
          <w:rFonts w:ascii="Palatino Linotype" w:hAnsi="Palatino Linotype"/>
        </w:rPr>
        <w:t xml:space="preserve">  </w:t>
      </w:r>
    </w:p>
    <w:p w:rsidR="004C59A8" w:rsidRDefault="004C59A8"/>
    <w:p w:rsidR="004C59A8" w:rsidRPr="004A0B0D" w:rsidRDefault="004C59A8">
      <w:pPr>
        <w:rPr>
          <w:rFonts w:ascii="Palatino Linotype" w:hAnsi="Palatino Linotype"/>
          <w:b/>
          <w:sz w:val="24"/>
          <w:u w:val="single"/>
        </w:rPr>
      </w:pPr>
      <w:r w:rsidRPr="004A0B0D">
        <w:rPr>
          <w:rFonts w:ascii="Palatino Linotype" w:hAnsi="Palatino Linotype"/>
          <w:b/>
          <w:sz w:val="24"/>
          <w:u w:val="single"/>
        </w:rPr>
        <w:t>Prior Year’s Budget</w:t>
      </w:r>
    </w:p>
    <w:p w:rsidR="00003ADF" w:rsidRPr="00003ADF" w:rsidRDefault="00003ADF" w:rsidP="00003ADF">
      <w:pPr>
        <w:rPr>
          <w:rFonts w:ascii="Palatino Linotype" w:hAnsi="Palatino Linotype"/>
          <w:sz w:val="24"/>
          <w:szCs w:val="24"/>
        </w:rPr>
      </w:pPr>
    </w:p>
    <w:p w:rsidR="00003ADF" w:rsidRDefault="004642E0" w:rsidP="00003ADF">
      <w:pPr>
        <w:rPr>
          <w:rFonts w:ascii="Palatino Linotype" w:hAnsi="Palatino Linotype"/>
          <w:sz w:val="24"/>
          <w:szCs w:val="24"/>
        </w:rPr>
      </w:pPr>
      <w:r>
        <w:rPr>
          <w:rFonts w:ascii="Palatino Linotype" w:hAnsi="Palatino Linotype"/>
          <w:sz w:val="24"/>
          <w:szCs w:val="24"/>
        </w:rPr>
        <w:t xml:space="preserve">For </w:t>
      </w:r>
      <w:r w:rsidR="005B0470">
        <w:rPr>
          <w:rFonts w:ascii="Palatino Linotype" w:hAnsi="Palatino Linotype"/>
          <w:sz w:val="24"/>
          <w:szCs w:val="24"/>
        </w:rPr>
        <w:t>fiscal year (</w:t>
      </w:r>
      <w:r>
        <w:rPr>
          <w:rFonts w:ascii="Palatino Linotype" w:hAnsi="Palatino Linotype"/>
          <w:sz w:val="24"/>
          <w:szCs w:val="24"/>
        </w:rPr>
        <w:t>FY</w:t>
      </w:r>
      <w:r w:rsidR="005B0470">
        <w:rPr>
          <w:rFonts w:ascii="Palatino Linotype" w:hAnsi="Palatino Linotype"/>
          <w:sz w:val="24"/>
          <w:szCs w:val="24"/>
        </w:rPr>
        <w:t>)</w:t>
      </w:r>
      <w:r>
        <w:rPr>
          <w:rFonts w:ascii="Palatino Linotype" w:hAnsi="Palatino Linotype"/>
          <w:sz w:val="24"/>
          <w:szCs w:val="24"/>
        </w:rPr>
        <w:t xml:space="preserve"> 17</w:t>
      </w:r>
      <w:r w:rsidR="001E3882">
        <w:rPr>
          <w:rFonts w:ascii="Palatino Linotype" w:hAnsi="Palatino Linotype"/>
          <w:sz w:val="24"/>
          <w:szCs w:val="24"/>
        </w:rPr>
        <w:t>-</w:t>
      </w:r>
      <w:r>
        <w:rPr>
          <w:rFonts w:ascii="Palatino Linotype" w:hAnsi="Palatino Linotype"/>
          <w:sz w:val="24"/>
          <w:szCs w:val="24"/>
        </w:rPr>
        <w:t>18 the</w:t>
      </w:r>
      <w:r w:rsidR="00D11B64">
        <w:rPr>
          <w:rFonts w:ascii="Palatino Linotype" w:hAnsi="Palatino Linotype"/>
          <w:sz w:val="24"/>
          <w:szCs w:val="24"/>
        </w:rPr>
        <w:t xml:space="preserve"> </w:t>
      </w:r>
      <w:r w:rsidR="00AD502A">
        <w:rPr>
          <w:rFonts w:ascii="Palatino Linotype" w:hAnsi="Palatino Linotype"/>
          <w:sz w:val="24"/>
          <w:szCs w:val="24"/>
        </w:rPr>
        <w:t>budget</w:t>
      </w:r>
      <w:r>
        <w:rPr>
          <w:rFonts w:ascii="Palatino Linotype" w:hAnsi="Palatino Linotype"/>
          <w:sz w:val="24"/>
          <w:szCs w:val="24"/>
        </w:rPr>
        <w:t xml:space="preserve"> appropriation of $</w:t>
      </w:r>
      <w:r w:rsidR="004C59A8">
        <w:rPr>
          <w:rFonts w:ascii="Palatino Linotype" w:hAnsi="Palatino Linotype"/>
          <w:sz w:val="24"/>
          <w:szCs w:val="24"/>
        </w:rPr>
        <w:t xml:space="preserve">145 </w:t>
      </w:r>
      <w:r w:rsidR="00DC7594">
        <w:rPr>
          <w:rFonts w:ascii="Palatino Linotype" w:hAnsi="Palatino Linotype"/>
          <w:sz w:val="24"/>
          <w:szCs w:val="24"/>
        </w:rPr>
        <w:t xml:space="preserve">million </w:t>
      </w:r>
      <w:r w:rsidR="002F0DB0">
        <w:rPr>
          <w:rFonts w:ascii="Palatino Linotype" w:hAnsi="Palatino Linotype"/>
          <w:sz w:val="24"/>
          <w:szCs w:val="24"/>
        </w:rPr>
        <w:t xml:space="preserve">was </w:t>
      </w:r>
      <w:r w:rsidR="00AD502A">
        <w:rPr>
          <w:rFonts w:ascii="Palatino Linotype" w:hAnsi="Palatino Linotype"/>
          <w:sz w:val="24"/>
          <w:szCs w:val="24"/>
        </w:rPr>
        <w:t xml:space="preserve">set for </w:t>
      </w:r>
      <w:r>
        <w:rPr>
          <w:rFonts w:ascii="Palatino Linotype" w:hAnsi="Palatino Linotype"/>
          <w:sz w:val="24"/>
          <w:szCs w:val="24"/>
        </w:rPr>
        <w:t>the CTF</w:t>
      </w:r>
      <w:r w:rsidR="004C59A8">
        <w:rPr>
          <w:rFonts w:ascii="Palatino Linotype" w:hAnsi="Palatino Linotype"/>
          <w:sz w:val="24"/>
          <w:szCs w:val="24"/>
        </w:rPr>
        <w:t>’s local assistance p</w:t>
      </w:r>
      <w:r>
        <w:rPr>
          <w:rFonts w:ascii="Palatino Linotype" w:hAnsi="Palatino Linotype"/>
          <w:sz w:val="24"/>
          <w:szCs w:val="24"/>
        </w:rPr>
        <w:t>rogram</w:t>
      </w:r>
      <w:r w:rsidR="002F0DB0">
        <w:rPr>
          <w:rFonts w:ascii="Palatino Linotype" w:hAnsi="Palatino Linotype"/>
          <w:sz w:val="24"/>
          <w:szCs w:val="24"/>
        </w:rPr>
        <w:t xml:space="preserve">.  </w:t>
      </w:r>
      <w:r w:rsidR="00305E29">
        <w:rPr>
          <w:rFonts w:ascii="Palatino Linotype" w:hAnsi="Palatino Linotype"/>
          <w:sz w:val="24"/>
          <w:szCs w:val="24"/>
        </w:rPr>
        <w:t>Th</w:t>
      </w:r>
      <w:r w:rsidR="001E3882">
        <w:rPr>
          <w:rFonts w:ascii="Palatino Linotype" w:hAnsi="Palatino Linotype"/>
          <w:sz w:val="24"/>
          <w:szCs w:val="24"/>
        </w:rPr>
        <w:t>is</w:t>
      </w:r>
      <w:r w:rsidR="004C59A8">
        <w:rPr>
          <w:rFonts w:ascii="Palatino Linotype" w:hAnsi="Palatino Linotype"/>
          <w:sz w:val="24"/>
          <w:szCs w:val="24"/>
        </w:rPr>
        <w:t xml:space="preserve"> </w:t>
      </w:r>
      <w:r w:rsidR="001E3882">
        <w:rPr>
          <w:rFonts w:ascii="Palatino Linotype" w:hAnsi="Palatino Linotype"/>
          <w:sz w:val="24"/>
          <w:szCs w:val="24"/>
        </w:rPr>
        <w:t xml:space="preserve">budget </w:t>
      </w:r>
      <w:r>
        <w:rPr>
          <w:rFonts w:ascii="Palatino Linotype" w:hAnsi="Palatino Linotype"/>
          <w:sz w:val="24"/>
          <w:szCs w:val="24"/>
        </w:rPr>
        <w:t xml:space="preserve">appropriation </w:t>
      </w:r>
      <w:r w:rsidR="004C59A8">
        <w:rPr>
          <w:rFonts w:ascii="Palatino Linotype" w:hAnsi="Palatino Linotype"/>
          <w:sz w:val="24"/>
          <w:szCs w:val="24"/>
        </w:rPr>
        <w:t>wa</w:t>
      </w:r>
      <w:r w:rsidR="00305E29">
        <w:rPr>
          <w:rFonts w:ascii="Palatino Linotype" w:hAnsi="Palatino Linotype"/>
          <w:sz w:val="24"/>
          <w:szCs w:val="24"/>
        </w:rPr>
        <w:t xml:space="preserve">s </w:t>
      </w:r>
      <w:r>
        <w:rPr>
          <w:rFonts w:ascii="Palatino Linotype" w:hAnsi="Palatino Linotype"/>
          <w:sz w:val="24"/>
          <w:szCs w:val="24"/>
        </w:rPr>
        <w:t>similar to the prior year’s appropriation</w:t>
      </w:r>
      <w:r w:rsidR="003A1920">
        <w:rPr>
          <w:rFonts w:ascii="Palatino Linotype" w:hAnsi="Palatino Linotype"/>
          <w:sz w:val="24"/>
          <w:szCs w:val="24"/>
        </w:rPr>
        <w:t>s</w:t>
      </w:r>
      <w:r w:rsidR="00AD502A">
        <w:rPr>
          <w:rFonts w:ascii="Palatino Linotype" w:hAnsi="Palatino Linotype"/>
          <w:sz w:val="24"/>
          <w:szCs w:val="24"/>
        </w:rPr>
        <w:t>.</w:t>
      </w:r>
      <w:r>
        <w:rPr>
          <w:rFonts w:ascii="Palatino Linotype" w:hAnsi="Palatino Linotype"/>
          <w:sz w:val="24"/>
          <w:szCs w:val="24"/>
        </w:rPr>
        <w:t xml:space="preserve"> </w:t>
      </w:r>
      <w:r w:rsidR="00492F61">
        <w:rPr>
          <w:rFonts w:ascii="Palatino Linotype" w:hAnsi="Palatino Linotype"/>
          <w:sz w:val="24"/>
          <w:szCs w:val="24"/>
        </w:rPr>
        <w:t>I</w:t>
      </w:r>
      <w:r w:rsidR="00AD502A">
        <w:rPr>
          <w:rFonts w:ascii="Palatino Linotype" w:hAnsi="Palatino Linotype"/>
          <w:sz w:val="24"/>
          <w:szCs w:val="24"/>
        </w:rPr>
        <w:t xml:space="preserve">n Decision (D).15-07-007 </w:t>
      </w:r>
      <w:r w:rsidR="00492F61">
        <w:rPr>
          <w:rFonts w:ascii="Palatino Linotype" w:hAnsi="Palatino Linotype"/>
          <w:sz w:val="24"/>
          <w:szCs w:val="24"/>
        </w:rPr>
        <w:t xml:space="preserve">the Commission adopted program rule changes and as a result it has become apparent that claim expenditures have been reduced.  </w:t>
      </w:r>
      <w:r w:rsidR="00530776">
        <w:rPr>
          <w:rFonts w:ascii="Palatino Linotype" w:hAnsi="Palatino Linotype"/>
          <w:sz w:val="24"/>
          <w:szCs w:val="24"/>
        </w:rPr>
        <w:t xml:space="preserve">  In particular the reduction of the voice discount from 50% to 25% and </w:t>
      </w:r>
      <w:r w:rsidR="003A1920">
        <w:rPr>
          <w:rFonts w:ascii="Palatino Linotype" w:hAnsi="Palatino Linotype"/>
          <w:sz w:val="24"/>
          <w:szCs w:val="24"/>
        </w:rPr>
        <w:t>the current status of wireless services as in</w:t>
      </w:r>
      <w:r w:rsidR="00530776">
        <w:rPr>
          <w:rFonts w:ascii="Palatino Linotype" w:hAnsi="Palatino Linotype"/>
          <w:sz w:val="24"/>
          <w:szCs w:val="24"/>
        </w:rPr>
        <w:t>eligible for the program result</w:t>
      </w:r>
      <w:r w:rsidR="001E3882">
        <w:rPr>
          <w:rFonts w:ascii="Palatino Linotype" w:hAnsi="Palatino Linotype"/>
          <w:sz w:val="24"/>
          <w:szCs w:val="24"/>
        </w:rPr>
        <w:t>s</w:t>
      </w:r>
      <w:r w:rsidR="00530776">
        <w:rPr>
          <w:rFonts w:ascii="Palatino Linotype" w:hAnsi="Palatino Linotype"/>
          <w:sz w:val="24"/>
          <w:szCs w:val="24"/>
        </w:rPr>
        <w:t xml:space="preserve"> in a lower overall claim draw</w:t>
      </w:r>
      <w:r w:rsidR="00706FA8" w:rsidRPr="00706FA8">
        <w:rPr>
          <w:rFonts w:ascii="Palatino Linotype" w:hAnsi="Palatino Linotype"/>
          <w:sz w:val="24"/>
          <w:szCs w:val="24"/>
        </w:rPr>
        <w:t xml:space="preserve">. </w:t>
      </w:r>
      <w:r w:rsidR="003A1920">
        <w:rPr>
          <w:rFonts w:ascii="Palatino Linotype" w:hAnsi="Palatino Linotype"/>
          <w:sz w:val="24"/>
          <w:szCs w:val="24"/>
        </w:rPr>
        <w:t xml:space="preserve"> For these reasons the FY 18</w:t>
      </w:r>
      <w:r w:rsidR="001E3882">
        <w:rPr>
          <w:rFonts w:ascii="Palatino Linotype" w:hAnsi="Palatino Linotype"/>
          <w:sz w:val="24"/>
          <w:szCs w:val="24"/>
        </w:rPr>
        <w:t>-</w:t>
      </w:r>
      <w:r w:rsidR="003A1920">
        <w:rPr>
          <w:rFonts w:ascii="Palatino Linotype" w:hAnsi="Palatino Linotype"/>
          <w:sz w:val="24"/>
          <w:szCs w:val="24"/>
        </w:rPr>
        <w:t>19 local assistance budget was reduced by $20 million dollars to $125 million as depicted in the table below.</w:t>
      </w:r>
      <w:r w:rsidR="001E3882">
        <w:rPr>
          <w:rFonts w:ascii="Palatino Linotype" w:hAnsi="Palatino Linotype"/>
          <w:sz w:val="24"/>
          <w:szCs w:val="24"/>
        </w:rPr>
        <w:t xml:space="preserve">  Current analysis projects lower than approp</w:t>
      </w:r>
      <w:r w:rsidR="002144B4">
        <w:rPr>
          <w:rFonts w:ascii="Palatino Linotype" w:hAnsi="Palatino Linotype"/>
          <w:sz w:val="24"/>
          <w:szCs w:val="24"/>
        </w:rPr>
        <w:t xml:space="preserve">riated claim expenses again by the end of </w:t>
      </w:r>
      <w:r w:rsidR="001E3882">
        <w:rPr>
          <w:rFonts w:ascii="Palatino Linotype" w:hAnsi="Palatino Linotype"/>
          <w:sz w:val="24"/>
          <w:szCs w:val="24"/>
        </w:rPr>
        <w:t>FY 18-19.</w:t>
      </w:r>
    </w:p>
    <w:p w:rsidR="00D25CA0" w:rsidRDefault="00D25CA0" w:rsidP="00003ADF">
      <w:pPr>
        <w:rPr>
          <w:rFonts w:ascii="Palatino Linotype" w:hAnsi="Palatino Linotype"/>
          <w:sz w:val="24"/>
          <w:szCs w:val="24"/>
        </w:rPr>
      </w:pPr>
    </w:p>
    <w:p w:rsidR="00F001B3" w:rsidRDefault="00F001B3" w:rsidP="00003ADF">
      <w:pPr>
        <w:rPr>
          <w:rFonts w:ascii="Palatino Linotype" w:hAnsi="Palatino Linotype"/>
          <w:sz w:val="24"/>
          <w:szCs w:val="24"/>
        </w:rPr>
      </w:pPr>
      <w:r w:rsidRPr="00F001B3">
        <w:rPr>
          <w:noProof/>
          <w:lang w:eastAsia="zh-TW"/>
        </w:rPr>
        <w:drawing>
          <wp:inline distT="0" distB="0" distL="0" distR="0" wp14:anchorId="3083D785" wp14:editId="4CEFD033">
            <wp:extent cx="6217920" cy="77889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7920" cy="778890"/>
                    </a:xfrm>
                    <a:prstGeom prst="rect">
                      <a:avLst/>
                    </a:prstGeom>
                    <a:noFill/>
                    <a:ln>
                      <a:noFill/>
                    </a:ln>
                  </pic:spPr>
                </pic:pic>
              </a:graphicData>
            </a:graphic>
          </wp:inline>
        </w:drawing>
      </w:r>
    </w:p>
    <w:p w:rsidR="004C59A8" w:rsidRDefault="004C59A8" w:rsidP="00003ADF">
      <w:pPr>
        <w:rPr>
          <w:rFonts w:ascii="Palatino Linotype" w:hAnsi="Palatino Linotype"/>
          <w:sz w:val="24"/>
          <w:szCs w:val="24"/>
        </w:rPr>
      </w:pPr>
    </w:p>
    <w:p w:rsidR="00BD726D" w:rsidRPr="004A0B0D" w:rsidRDefault="00BD726D" w:rsidP="003A1920">
      <w:pPr>
        <w:rPr>
          <w:rFonts w:ascii="Palatino Linotype" w:hAnsi="Palatino Linotype"/>
          <w:b/>
          <w:sz w:val="24"/>
          <w:szCs w:val="24"/>
          <w:u w:val="single"/>
        </w:rPr>
      </w:pPr>
      <w:r w:rsidRPr="004A0B0D">
        <w:rPr>
          <w:rFonts w:ascii="Palatino Linotype" w:hAnsi="Palatino Linotype"/>
          <w:b/>
          <w:sz w:val="24"/>
          <w:szCs w:val="24"/>
          <w:u w:val="single"/>
        </w:rPr>
        <w:t>Resulting Excess Cash Balance</w:t>
      </w:r>
    </w:p>
    <w:p w:rsidR="00BD726D" w:rsidRDefault="00BD726D" w:rsidP="003A1920">
      <w:pPr>
        <w:rPr>
          <w:rFonts w:ascii="Palatino Linotype" w:hAnsi="Palatino Linotype"/>
          <w:sz w:val="24"/>
          <w:szCs w:val="24"/>
        </w:rPr>
      </w:pPr>
    </w:p>
    <w:p w:rsidR="001E3882" w:rsidRDefault="003A1920" w:rsidP="00003ADF">
      <w:pPr>
        <w:rPr>
          <w:rFonts w:ascii="Palatino Linotype" w:hAnsi="Palatino Linotype"/>
          <w:sz w:val="24"/>
          <w:szCs w:val="24"/>
        </w:rPr>
      </w:pPr>
      <w:r>
        <w:rPr>
          <w:rFonts w:ascii="Palatino Linotype" w:hAnsi="Palatino Linotype"/>
          <w:sz w:val="24"/>
          <w:szCs w:val="24"/>
        </w:rPr>
        <w:t xml:space="preserve">The unanticipated result of the </w:t>
      </w:r>
      <w:r w:rsidR="00E0250F">
        <w:rPr>
          <w:rFonts w:ascii="Palatino Linotype" w:hAnsi="Palatino Linotype"/>
          <w:sz w:val="24"/>
          <w:szCs w:val="24"/>
        </w:rPr>
        <w:t xml:space="preserve">D.15-07-007 </w:t>
      </w:r>
      <w:r>
        <w:rPr>
          <w:rFonts w:ascii="Palatino Linotype" w:hAnsi="Palatino Linotype"/>
          <w:sz w:val="24"/>
          <w:szCs w:val="24"/>
        </w:rPr>
        <w:t>program changes</w:t>
      </w:r>
      <w:r w:rsidR="00432033">
        <w:rPr>
          <w:rFonts w:ascii="Palatino Linotype" w:hAnsi="Palatino Linotype"/>
          <w:sz w:val="24"/>
          <w:szCs w:val="24"/>
        </w:rPr>
        <w:t xml:space="preserve"> and a static local assistance</w:t>
      </w:r>
      <w:r w:rsidR="007B2A3E">
        <w:rPr>
          <w:rFonts w:ascii="Palatino Linotype" w:hAnsi="Palatino Linotype"/>
          <w:sz w:val="24"/>
          <w:szCs w:val="24"/>
        </w:rPr>
        <w:t xml:space="preserve"> budget</w:t>
      </w:r>
      <w:r w:rsidR="00432033">
        <w:rPr>
          <w:rFonts w:ascii="Palatino Linotype" w:hAnsi="Palatino Linotype"/>
          <w:sz w:val="24"/>
          <w:szCs w:val="24"/>
        </w:rPr>
        <w:t xml:space="preserve"> allocation for the past three fiscal years</w:t>
      </w:r>
      <w:r>
        <w:rPr>
          <w:rFonts w:ascii="Palatino Linotype" w:hAnsi="Palatino Linotype"/>
          <w:sz w:val="24"/>
          <w:szCs w:val="24"/>
        </w:rPr>
        <w:t xml:space="preserve"> </w:t>
      </w:r>
      <w:r w:rsidR="005B0470">
        <w:rPr>
          <w:rFonts w:ascii="Palatino Linotype" w:hAnsi="Palatino Linotype"/>
          <w:sz w:val="24"/>
          <w:szCs w:val="24"/>
        </w:rPr>
        <w:t>has resulted in</w:t>
      </w:r>
      <w:r>
        <w:rPr>
          <w:rFonts w:ascii="Palatino Linotype" w:hAnsi="Palatino Linotype"/>
          <w:sz w:val="24"/>
          <w:szCs w:val="24"/>
        </w:rPr>
        <w:t xml:space="preserve"> a high cash balance.  </w:t>
      </w:r>
      <w:r w:rsidR="00432033">
        <w:rPr>
          <w:rFonts w:ascii="Palatino Linotype" w:hAnsi="Palatino Linotype"/>
          <w:sz w:val="24"/>
          <w:szCs w:val="24"/>
        </w:rPr>
        <w:t>As shown in the table below</w:t>
      </w:r>
      <w:r w:rsidR="002F75A3">
        <w:rPr>
          <w:rFonts w:ascii="Palatino Linotype" w:hAnsi="Palatino Linotype"/>
          <w:sz w:val="24"/>
          <w:szCs w:val="24"/>
        </w:rPr>
        <w:t xml:space="preserve">, </w:t>
      </w:r>
      <w:r w:rsidR="00432033">
        <w:rPr>
          <w:rFonts w:ascii="Palatino Linotype" w:hAnsi="Palatino Linotype"/>
          <w:sz w:val="24"/>
          <w:szCs w:val="24"/>
        </w:rPr>
        <w:t>e</w:t>
      </w:r>
      <w:r w:rsidR="00B9245A">
        <w:rPr>
          <w:rFonts w:ascii="Palatino Linotype" w:hAnsi="Palatino Linotype"/>
          <w:sz w:val="24"/>
          <w:szCs w:val="24"/>
        </w:rPr>
        <w:t xml:space="preserve">ven with </w:t>
      </w:r>
      <w:r w:rsidR="001E3882">
        <w:rPr>
          <w:rFonts w:ascii="Palatino Linotype" w:hAnsi="Palatino Linotype"/>
          <w:sz w:val="24"/>
          <w:szCs w:val="24"/>
        </w:rPr>
        <w:t>the reduction of the budget to</w:t>
      </w:r>
      <w:r w:rsidR="00432033">
        <w:rPr>
          <w:rFonts w:ascii="Palatino Linotype" w:hAnsi="Palatino Linotype"/>
          <w:sz w:val="24"/>
          <w:szCs w:val="24"/>
        </w:rPr>
        <w:t xml:space="preserve"> $125 million, the excess cash balance will continue to grow</w:t>
      </w:r>
      <w:r w:rsidR="007B2A3E">
        <w:rPr>
          <w:rFonts w:ascii="Palatino Linotype" w:hAnsi="Palatino Linotype"/>
          <w:sz w:val="24"/>
          <w:szCs w:val="24"/>
        </w:rPr>
        <w:t xml:space="preserve">. </w:t>
      </w:r>
      <w:r w:rsidR="00432033">
        <w:rPr>
          <w:rFonts w:ascii="Palatino Linotype" w:hAnsi="Palatino Linotype"/>
          <w:sz w:val="24"/>
          <w:szCs w:val="24"/>
        </w:rPr>
        <w:t xml:space="preserve"> </w:t>
      </w:r>
      <w:r w:rsidR="00B1298C">
        <w:rPr>
          <w:rFonts w:ascii="Palatino Linotype" w:hAnsi="Palatino Linotype"/>
          <w:sz w:val="24"/>
          <w:szCs w:val="24"/>
        </w:rPr>
        <w:t>C</w:t>
      </w:r>
      <w:r w:rsidR="00432033">
        <w:rPr>
          <w:rFonts w:ascii="Palatino Linotype" w:hAnsi="Palatino Linotype"/>
          <w:sz w:val="24"/>
          <w:szCs w:val="24"/>
        </w:rPr>
        <w:t xml:space="preserve">urrent analysis </w:t>
      </w:r>
      <w:r w:rsidR="00B1298C">
        <w:rPr>
          <w:rFonts w:ascii="Palatino Linotype" w:hAnsi="Palatino Linotype"/>
          <w:sz w:val="24"/>
          <w:szCs w:val="24"/>
        </w:rPr>
        <w:t xml:space="preserve">suggests that </w:t>
      </w:r>
      <w:r w:rsidR="001E3882">
        <w:rPr>
          <w:rFonts w:ascii="Palatino Linotype" w:hAnsi="Palatino Linotype"/>
          <w:sz w:val="24"/>
          <w:szCs w:val="24"/>
        </w:rPr>
        <w:t>projected claim expenses and maintaining the existing surcharge rate of 1.08%</w:t>
      </w:r>
      <w:r w:rsidR="007B2A3E">
        <w:rPr>
          <w:rFonts w:ascii="Palatino Linotype" w:hAnsi="Palatino Linotype"/>
          <w:sz w:val="24"/>
          <w:szCs w:val="24"/>
        </w:rPr>
        <w:t xml:space="preserve"> will</w:t>
      </w:r>
      <w:r w:rsidR="001E3882">
        <w:rPr>
          <w:rFonts w:ascii="Palatino Linotype" w:hAnsi="Palatino Linotype"/>
          <w:sz w:val="24"/>
          <w:szCs w:val="24"/>
        </w:rPr>
        <w:t xml:space="preserve"> result in an excess cash reserve of $</w:t>
      </w:r>
      <w:r w:rsidR="00850199">
        <w:rPr>
          <w:rFonts w:ascii="Palatino Linotype" w:hAnsi="Palatino Linotype"/>
          <w:sz w:val="24"/>
          <w:szCs w:val="24"/>
        </w:rPr>
        <w:t>108</w:t>
      </w:r>
      <w:r w:rsidR="002F75A3">
        <w:rPr>
          <w:rFonts w:ascii="Palatino Linotype" w:hAnsi="Palatino Linotype"/>
          <w:sz w:val="24"/>
          <w:szCs w:val="24"/>
        </w:rPr>
        <w:t>.76</w:t>
      </w:r>
      <w:r w:rsidR="001E3882">
        <w:rPr>
          <w:rFonts w:ascii="Palatino Linotype" w:hAnsi="Palatino Linotype"/>
          <w:sz w:val="24"/>
          <w:szCs w:val="24"/>
        </w:rPr>
        <w:t xml:space="preserve"> million by the end of FY 20-21</w:t>
      </w:r>
    </w:p>
    <w:p w:rsidR="00DD40D4" w:rsidRDefault="00DD40D4" w:rsidP="00003ADF">
      <w:pPr>
        <w:rPr>
          <w:rFonts w:ascii="Palatino Linotype" w:hAnsi="Palatino Linotype"/>
          <w:sz w:val="24"/>
          <w:szCs w:val="24"/>
        </w:rPr>
      </w:pPr>
      <w:r w:rsidRPr="00DD40D4">
        <w:rPr>
          <w:noProof/>
          <w:lang w:eastAsia="zh-TW"/>
        </w:rPr>
        <w:lastRenderedPageBreak/>
        <w:drawing>
          <wp:inline distT="0" distB="0" distL="0" distR="0" wp14:anchorId="271307ED" wp14:editId="2023C8F2">
            <wp:extent cx="6217920" cy="115751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7920" cy="1157513"/>
                    </a:xfrm>
                    <a:prstGeom prst="rect">
                      <a:avLst/>
                    </a:prstGeom>
                    <a:noFill/>
                    <a:ln>
                      <a:noFill/>
                    </a:ln>
                  </pic:spPr>
                </pic:pic>
              </a:graphicData>
            </a:graphic>
          </wp:inline>
        </w:drawing>
      </w:r>
    </w:p>
    <w:p w:rsidR="00D25CA0" w:rsidRPr="00D25CA0" w:rsidRDefault="00D25CA0" w:rsidP="00D25CA0">
      <w:pPr>
        <w:rPr>
          <w:rFonts w:ascii="Calibri" w:hAnsi="Calibri"/>
          <w:b/>
          <w:bCs/>
          <w:i/>
          <w:iCs/>
          <w:color w:val="000000"/>
          <w:sz w:val="18"/>
          <w:szCs w:val="18"/>
        </w:rPr>
      </w:pPr>
      <w:r w:rsidRPr="00D25CA0">
        <w:rPr>
          <w:rFonts w:ascii="Calibri" w:hAnsi="Calibri"/>
          <w:b/>
          <w:bCs/>
          <w:i/>
          <w:iCs/>
          <w:color w:val="000000"/>
          <w:sz w:val="18"/>
          <w:szCs w:val="18"/>
        </w:rPr>
        <w:t xml:space="preserve">* Claims: FY 15-16, FY 16-17, and FY 17-18 thru April </w:t>
      </w:r>
      <w:proofErr w:type="gramStart"/>
      <w:r w:rsidRPr="00D25CA0">
        <w:rPr>
          <w:rFonts w:ascii="Calibri" w:hAnsi="Calibri"/>
          <w:b/>
          <w:bCs/>
          <w:i/>
          <w:iCs/>
          <w:color w:val="000000"/>
          <w:sz w:val="18"/>
          <w:szCs w:val="18"/>
        </w:rPr>
        <w:t>reflects</w:t>
      </w:r>
      <w:proofErr w:type="gramEnd"/>
      <w:r w:rsidRPr="00D25CA0">
        <w:rPr>
          <w:rFonts w:ascii="Calibri" w:hAnsi="Calibri"/>
          <w:b/>
          <w:bCs/>
          <w:i/>
          <w:iCs/>
          <w:color w:val="000000"/>
          <w:sz w:val="18"/>
          <w:szCs w:val="18"/>
        </w:rPr>
        <w:t xml:space="preserve"> </w:t>
      </w:r>
      <w:r>
        <w:rPr>
          <w:rFonts w:ascii="Calibri" w:hAnsi="Calibri"/>
          <w:b/>
          <w:bCs/>
          <w:i/>
          <w:iCs/>
          <w:color w:val="000000"/>
          <w:sz w:val="18"/>
          <w:szCs w:val="18"/>
        </w:rPr>
        <w:t xml:space="preserve">the </w:t>
      </w:r>
      <w:r w:rsidRPr="00D25CA0">
        <w:rPr>
          <w:rFonts w:ascii="Calibri" w:hAnsi="Calibri"/>
          <w:b/>
          <w:bCs/>
          <w:i/>
          <w:iCs/>
          <w:color w:val="000000"/>
          <w:sz w:val="18"/>
          <w:szCs w:val="18"/>
        </w:rPr>
        <w:t xml:space="preserve">CTF Master Database. FY 17-18 May onward reflects Estimate. </w:t>
      </w:r>
    </w:p>
    <w:p w:rsidR="00D25CA0" w:rsidRDefault="00D25CA0" w:rsidP="00003ADF">
      <w:pPr>
        <w:rPr>
          <w:rFonts w:ascii="Palatino Linotype" w:hAnsi="Palatino Linotype"/>
          <w:sz w:val="24"/>
          <w:szCs w:val="24"/>
        </w:rPr>
      </w:pPr>
    </w:p>
    <w:p w:rsidR="00D20301" w:rsidRDefault="00C774CB" w:rsidP="00003ADF">
      <w:pPr>
        <w:rPr>
          <w:rFonts w:ascii="Palatino Linotype" w:hAnsi="Palatino Linotype"/>
          <w:sz w:val="24"/>
          <w:szCs w:val="24"/>
        </w:rPr>
      </w:pPr>
      <w:r>
        <w:rPr>
          <w:rFonts w:ascii="Palatino Linotype" w:hAnsi="Palatino Linotype"/>
          <w:sz w:val="24"/>
          <w:szCs w:val="24"/>
        </w:rPr>
        <w:t>As describe</w:t>
      </w:r>
      <w:r w:rsidR="002F75A3">
        <w:rPr>
          <w:rFonts w:ascii="Palatino Linotype" w:hAnsi="Palatino Linotype"/>
          <w:sz w:val="24"/>
          <w:szCs w:val="24"/>
        </w:rPr>
        <w:t>d</w:t>
      </w:r>
      <w:r>
        <w:rPr>
          <w:rFonts w:ascii="Palatino Linotype" w:hAnsi="Palatino Linotype"/>
          <w:sz w:val="24"/>
          <w:szCs w:val="24"/>
        </w:rPr>
        <w:t xml:space="preserve"> above, i</w:t>
      </w:r>
      <w:r w:rsidR="00B9245A">
        <w:rPr>
          <w:rFonts w:ascii="Palatino Linotype" w:hAnsi="Palatino Linotype"/>
          <w:sz w:val="24"/>
          <w:szCs w:val="24"/>
        </w:rPr>
        <w:t xml:space="preserve">n managing public purpose program fund balances, </w:t>
      </w:r>
      <w:r w:rsidR="00144532">
        <w:rPr>
          <w:rFonts w:ascii="Palatino Linotype" w:hAnsi="Palatino Linotype"/>
          <w:sz w:val="24"/>
          <w:szCs w:val="24"/>
        </w:rPr>
        <w:t>Communication Division Staff (Staff)</w:t>
      </w:r>
      <w:r w:rsidR="00B9245A">
        <w:rPr>
          <w:rFonts w:ascii="Palatino Linotype" w:hAnsi="Palatino Linotype"/>
          <w:sz w:val="24"/>
          <w:szCs w:val="24"/>
        </w:rPr>
        <w:t xml:space="preserve"> aims to have a </w:t>
      </w:r>
      <w:r w:rsidR="00447BAA">
        <w:rPr>
          <w:rFonts w:ascii="Palatino Linotype" w:hAnsi="Palatino Linotype"/>
          <w:sz w:val="24"/>
          <w:szCs w:val="24"/>
        </w:rPr>
        <w:t xml:space="preserve">program cash reserve </w:t>
      </w:r>
      <w:r w:rsidR="00B9245A">
        <w:rPr>
          <w:rFonts w:ascii="Palatino Linotype" w:hAnsi="Palatino Linotype"/>
          <w:sz w:val="24"/>
          <w:szCs w:val="24"/>
        </w:rPr>
        <w:t xml:space="preserve">equal to </w:t>
      </w:r>
      <w:r w:rsidR="00042020">
        <w:rPr>
          <w:rFonts w:ascii="Palatino Linotype" w:hAnsi="Palatino Linotype"/>
          <w:sz w:val="24"/>
          <w:szCs w:val="24"/>
        </w:rPr>
        <w:t xml:space="preserve">three </w:t>
      </w:r>
      <w:r w:rsidR="00A831AA">
        <w:rPr>
          <w:rFonts w:ascii="Palatino Linotype" w:hAnsi="Palatino Linotype"/>
          <w:sz w:val="24"/>
          <w:szCs w:val="24"/>
        </w:rPr>
        <w:t>months</w:t>
      </w:r>
      <w:r w:rsidR="00C172FA">
        <w:rPr>
          <w:rFonts w:ascii="Palatino Linotype" w:hAnsi="Palatino Linotype"/>
          <w:sz w:val="24"/>
          <w:szCs w:val="24"/>
        </w:rPr>
        <w:t xml:space="preserve"> </w:t>
      </w:r>
      <w:r w:rsidR="00042020">
        <w:rPr>
          <w:rFonts w:ascii="Palatino Linotype" w:hAnsi="Palatino Linotype"/>
          <w:sz w:val="24"/>
          <w:szCs w:val="24"/>
        </w:rPr>
        <w:t xml:space="preserve">of </w:t>
      </w:r>
      <w:r w:rsidR="002F75A3">
        <w:rPr>
          <w:rFonts w:ascii="Palatino Linotype" w:hAnsi="Palatino Linotype"/>
          <w:sz w:val="24"/>
          <w:szCs w:val="24"/>
        </w:rPr>
        <w:t xml:space="preserve">average claim </w:t>
      </w:r>
      <w:r w:rsidR="00042020">
        <w:rPr>
          <w:rFonts w:ascii="Palatino Linotype" w:hAnsi="Palatino Linotype"/>
          <w:sz w:val="24"/>
          <w:szCs w:val="24"/>
        </w:rPr>
        <w:t>expenses</w:t>
      </w:r>
      <w:r w:rsidR="008A0095">
        <w:rPr>
          <w:rFonts w:ascii="Palatino Linotype" w:hAnsi="Palatino Linotype"/>
          <w:sz w:val="24"/>
          <w:szCs w:val="24"/>
        </w:rPr>
        <w:t>, or</w:t>
      </w:r>
      <w:r w:rsidR="00C172FA">
        <w:rPr>
          <w:rFonts w:ascii="Palatino Linotype" w:hAnsi="Palatino Linotype"/>
          <w:sz w:val="24"/>
          <w:szCs w:val="24"/>
        </w:rPr>
        <w:t xml:space="preserve"> </w:t>
      </w:r>
      <w:r w:rsidR="00C271A3">
        <w:rPr>
          <w:rFonts w:ascii="Palatino Linotype" w:hAnsi="Palatino Linotype"/>
          <w:sz w:val="24"/>
          <w:szCs w:val="24"/>
        </w:rPr>
        <w:t xml:space="preserve">about </w:t>
      </w:r>
      <w:r w:rsidR="00C172FA">
        <w:rPr>
          <w:rFonts w:ascii="Palatino Linotype" w:hAnsi="Palatino Linotype"/>
          <w:sz w:val="24"/>
          <w:szCs w:val="24"/>
        </w:rPr>
        <w:t>$2</w:t>
      </w:r>
      <w:r w:rsidR="002F75A3">
        <w:rPr>
          <w:rFonts w:ascii="Palatino Linotype" w:hAnsi="Palatino Linotype"/>
          <w:sz w:val="24"/>
          <w:szCs w:val="24"/>
        </w:rPr>
        <w:t>4</w:t>
      </w:r>
      <w:r w:rsidR="00C172FA">
        <w:rPr>
          <w:rFonts w:ascii="Palatino Linotype" w:hAnsi="Palatino Linotype"/>
          <w:sz w:val="24"/>
          <w:szCs w:val="24"/>
        </w:rPr>
        <w:t xml:space="preserve"> million</w:t>
      </w:r>
      <w:r w:rsidR="00F97740">
        <w:rPr>
          <w:rFonts w:ascii="Palatino Linotype" w:hAnsi="Palatino Linotype"/>
          <w:sz w:val="24"/>
          <w:szCs w:val="24"/>
        </w:rPr>
        <w:t xml:space="preserve"> </w:t>
      </w:r>
      <w:r w:rsidR="00B9245A">
        <w:rPr>
          <w:rFonts w:ascii="Palatino Linotype" w:hAnsi="Palatino Linotype"/>
          <w:sz w:val="24"/>
          <w:szCs w:val="24"/>
        </w:rPr>
        <w:t>for the CTF program</w:t>
      </w:r>
      <w:r w:rsidR="00042020">
        <w:rPr>
          <w:rFonts w:ascii="Palatino Linotype" w:hAnsi="Palatino Linotype"/>
          <w:sz w:val="24"/>
          <w:szCs w:val="24"/>
        </w:rPr>
        <w:t xml:space="preserve">.  </w:t>
      </w:r>
      <w:r w:rsidR="00C172FA">
        <w:rPr>
          <w:rFonts w:ascii="Palatino Linotype" w:hAnsi="Palatino Linotype"/>
          <w:sz w:val="24"/>
          <w:szCs w:val="24"/>
        </w:rPr>
        <w:t>The</w:t>
      </w:r>
      <w:r w:rsidR="002F75A3">
        <w:rPr>
          <w:rFonts w:ascii="Palatino Linotype" w:hAnsi="Palatino Linotype"/>
          <w:sz w:val="24"/>
          <w:szCs w:val="24"/>
        </w:rPr>
        <w:t xml:space="preserve"> projected</w:t>
      </w:r>
      <w:r w:rsidR="00C172FA">
        <w:rPr>
          <w:rFonts w:ascii="Palatino Linotype" w:hAnsi="Palatino Linotype"/>
          <w:sz w:val="24"/>
          <w:szCs w:val="24"/>
        </w:rPr>
        <w:t xml:space="preserve"> ending</w:t>
      </w:r>
      <w:r w:rsidR="002F75A3">
        <w:rPr>
          <w:rFonts w:ascii="Palatino Linotype" w:hAnsi="Palatino Linotype"/>
          <w:sz w:val="24"/>
          <w:szCs w:val="24"/>
        </w:rPr>
        <w:t xml:space="preserve"> cash</w:t>
      </w:r>
      <w:r w:rsidR="00C172FA">
        <w:rPr>
          <w:rFonts w:ascii="Palatino Linotype" w:hAnsi="Palatino Linotype"/>
          <w:sz w:val="24"/>
          <w:szCs w:val="24"/>
        </w:rPr>
        <w:t xml:space="preserve"> balance for FY </w:t>
      </w:r>
      <w:r w:rsidR="00BF2CB1">
        <w:rPr>
          <w:rFonts w:ascii="Palatino Linotype" w:hAnsi="Palatino Linotype"/>
          <w:sz w:val="24"/>
          <w:szCs w:val="24"/>
        </w:rPr>
        <w:t xml:space="preserve">20-21 </w:t>
      </w:r>
      <w:r w:rsidR="002F75A3">
        <w:rPr>
          <w:rFonts w:ascii="Palatino Linotype" w:hAnsi="Palatino Linotype"/>
          <w:sz w:val="24"/>
          <w:szCs w:val="24"/>
        </w:rPr>
        <w:t>of $</w:t>
      </w:r>
      <w:r w:rsidR="00850199">
        <w:rPr>
          <w:rFonts w:ascii="Palatino Linotype" w:hAnsi="Palatino Linotype"/>
          <w:sz w:val="24"/>
          <w:szCs w:val="24"/>
        </w:rPr>
        <w:t>108.76</w:t>
      </w:r>
      <w:r w:rsidR="00062E66">
        <w:rPr>
          <w:rFonts w:ascii="Palatino Linotype" w:hAnsi="Palatino Linotype"/>
          <w:sz w:val="24"/>
          <w:szCs w:val="24"/>
        </w:rPr>
        <w:t xml:space="preserve"> </w:t>
      </w:r>
      <w:r w:rsidR="00C172FA">
        <w:rPr>
          <w:rFonts w:ascii="Palatino Linotype" w:hAnsi="Palatino Linotype"/>
          <w:sz w:val="24"/>
          <w:szCs w:val="24"/>
        </w:rPr>
        <w:t>is</w:t>
      </w:r>
      <w:r w:rsidR="002F75A3">
        <w:rPr>
          <w:rFonts w:ascii="Palatino Linotype" w:hAnsi="Palatino Linotype"/>
          <w:sz w:val="24"/>
          <w:szCs w:val="24"/>
        </w:rPr>
        <w:t xml:space="preserve"> </w:t>
      </w:r>
      <w:r w:rsidR="00850199">
        <w:rPr>
          <w:rFonts w:ascii="Palatino Linotype" w:hAnsi="Palatino Linotype"/>
          <w:sz w:val="24"/>
          <w:szCs w:val="24"/>
        </w:rPr>
        <w:t>more than four</w:t>
      </w:r>
      <w:r w:rsidR="002F75A3">
        <w:rPr>
          <w:rFonts w:ascii="Palatino Linotype" w:hAnsi="Palatino Linotype"/>
          <w:sz w:val="24"/>
          <w:szCs w:val="24"/>
        </w:rPr>
        <w:t xml:space="preserve"> times the targeted cash reserve. </w:t>
      </w:r>
      <w:r w:rsidR="00C172FA">
        <w:rPr>
          <w:rFonts w:ascii="Palatino Linotype" w:hAnsi="Palatino Linotype"/>
          <w:sz w:val="24"/>
          <w:szCs w:val="24"/>
        </w:rPr>
        <w:t xml:space="preserve"> </w:t>
      </w:r>
      <w:r w:rsidR="00D20301">
        <w:rPr>
          <w:rFonts w:ascii="Palatino Linotype" w:hAnsi="Palatino Linotype"/>
          <w:sz w:val="24"/>
          <w:szCs w:val="24"/>
        </w:rPr>
        <w:t>For this reason</w:t>
      </w:r>
      <w:r w:rsidR="00144532">
        <w:rPr>
          <w:rFonts w:ascii="Palatino Linotype" w:hAnsi="Palatino Linotype"/>
          <w:sz w:val="24"/>
          <w:szCs w:val="24"/>
        </w:rPr>
        <w:t>,</w:t>
      </w:r>
      <w:r w:rsidR="00D20301">
        <w:rPr>
          <w:rFonts w:ascii="Palatino Linotype" w:hAnsi="Palatino Linotype"/>
          <w:sz w:val="24"/>
          <w:szCs w:val="24"/>
        </w:rPr>
        <w:t xml:space="preserve"> this resolution reduces the surcharge</w:t>
      </w:r>
      <w:r w:rsidR="00F96EB0">
        <w:rPr>
          <w:rFonts w:ascii="Palatino Linotype" w:hAnsi="Palatino Linotype"/>
          <w:sz w:val="24"/>
          <w:szCs w:val="24"/>
        </w:rPr>
        <w:t xml:space="preserve"> rate</w:t>
      </w:r>
      <w:r w:rsidR="00D20301">
        <w:rPr>
          <w:rFonts w:ascii="Palatino Linotype" w:hAnsi="Palatino Linotype"/>
          <w:sz w:val="24"/>
          <w:szCs w:val="24"/>
        </w:rPr>
        <w:t xml:space="preserve"> from 1.08% to 0.78% beginning </w:t>
      </w:r>
      <w:r w:rsidR="00B1298C">
        <w:rPr>
          <w:rFonts w:ascii="Palatino Linotype" w:hAnsi="Palatino Linotype"/>
          <w:sz w:val="24"/>
          <w:szCs w:val="24"/>
        </w:rPr>
        <w:t>September</w:t>
      </w:r>
      <w:r w:rsidR="00D20301">
        <w:rPr>
          <w:rFonts w:ascii="Palatino Linotype" w:hAnsi="Palatino Linotype"/>
          <w:sz w:val="24"/>
          <w:szCs w:val="24"/>
        </w:rPr>
        <w:t xml:space="preserve"> 1, 2018.  The table below shows a projection of how much the cash reserve will be reduced based on anticipated claim expenses and revenue generated with the reduced surcharge</w:t>
      </w:r>
      <w:r w:rsidR="00144532">
        <w:rPr>
          <w:rFonts w:ascii="Palatino Linotype" w:hAnsi="Palatino Linotype"/>
          <w:sz w:val="24"/>
          <w:szCs w:val="24"/>
        </w:rPr>
        <w:t xml:space="preserve">.  Staff </w:t>
      </w:r>
      <w:proofErr w:type="gramStart"/>
      <w:r w:rsidR="00144532">
        <w:rPr>
          <w:rFonts w:ascii="Palatino Linotype" w:hAnsi="Palatino Linotype"/>
          <w:sz w:val="24"/>
          <w:szCs w:val="24"/>
        </w:rPr>
        <w:t xml:space="preserve">projects </w:t>
      </w:r>
      <w:r w:rsidR="00B466D4">
        <w:rPr>
          <w:rFonts w:ascii="Palatino Linotype" w:hAnsi="Palatino Linotype"/>
          <w:sz w:val="24"/>
          <w:szCs w:val="24"/>
        </w:rPr>
        <w:t xml:space="preserve"> a</w:t>
      </w:r>
      <w:proofErr w:type="gramEnd"/>
      <w:r w:rsidR="00B466D4">
        <w:rPr>
          <w:rFonts w:ascii="Palatino Linotype" w:hAnsi="Palatino Linotype"/>
          <w:sz w:val="24"/>
          <w:szCs w:val="24"/>
        </w:rPr>
        <w:t xml:space="preserve"> cash reserve of $25 million</w:t>
      </w:r>
      <w:r w:rsidR="00F96EB0">
        <w:rPr>
          <w:rFonts w:ascii="Palatino Linotype" w:hAnsi="Palatino Linotype"/>
          <w:sz w:val="24"/>
          <w:szCs w:val="24"/>
        </w:rPr>
        <w:t xml:space="preserve"> by the end of FY 20-21</w:t>
      </w:r>
      <w:r w:rsidR="00B1298C">
        <w:rPr>
          <w:rFonts w:ascii="Palatino Linotype" w:hAnsi="Palatino Linotype"/>
          <w:sz w:val="24"/>
          <w:szCs w:val="24"/>
        </w:rPr>
        <w:t>. This amount</w:t>
      </w:r>
      <w:r w:rsidR="00F96EB0">
        <w:rPr>
          <w:rFonts w:ascii="Palatino Linotype" w:hAnsi="Palatino Linotype"/>
          <w:sz w:val="24"/>
          <w:szCs w:val="24"/>
        </w:rPr>
        <w:t xml:space="preserve"> is </w:t>
      </w:r>
      <w:r w:rsidR="004C203F">
        <w:rPr>
          <w:rFonts w:ascii="Palatino Linotype" w:hAnsi="Palatino Linotype"/>
          <w:sz w:val="24"/>
          <w:szCs w:val="24"/>
        </w:rPr>
        <w:t>in line</w:t>
      </w:r>
      <w:r w:rsidR="00F96EB0">
        <w:rPr>
          <w:rFonts w:ascii="Palatino Linotype" w:hAnsi="Palatino Linotype"/>
          <w:sz w:val="24"/>
          <w:szCs w:val="24"/>
        </w:rPr>
        <w:t xml:space="preserve"> </w:t>
      </w:r>
      <w:r w:rsidR="00B1298C">
        <w:rPr>
          <w:rFonts w:ascii="Palatino Linotype" w:hAnsi="Palatino Linotype"/>
          <w:sz w:val="24"/>
          <w:szCs w:val="24"/>
        </w:rPr>
        <w:t>with</w:t>
      </w:r>
      <w:r w:rsidR="00F96EB0">
        <w:rPr>
          <w:rFonts w:ascii="Palatino Linotype" w:hAnsi="Palatino Linotype"/>
          <w:sz w:val="24"/>
          <w:szCs w:val="24"/>
        </w:rPr>
        <w:t xml:space="preserve"> the target </w:t>
      </w:r>
      <w:r w:rsidR="00B1298C">
        <w:rPr>
          <w:rFonts w:ascii="Palatino Linotype" w:hAnsi="Palatino Linotype"/>
          <w:sz w:val="24"/>
          <w:szCs w:val="24"/>
        </w:rPr>
        <w:t xml:space="preserve">cash reserve </w:t>
      </w:r>
      <w:r w:rsidR="00F96EB0">
        <w:rPr>
          <w:rFonts w:ascii="Palatino Linotype" w:hAnsi="Palatino Linotype"/>
          <w:sz w:val="24"/>
          <w:szCs w:val="24"/>
        </w:rPr>
        <w:t>of $24 million</w:t>
      </w:r>
      <w:r w:rsidR="00D20301">
        <w:rPr>
          <w:rFonts w:ascii="Palatino Linotype" w:hAnsi="Palatino Linotype"/>
          <w:sz w:val="24"/>
          <w:szCs w:val="24"/>
        </w:rPr>
        <w:t>.</w:t>
      </w:r>
    </w:p>
    <w:p w:rsidR="00DD40D4" w:rsidRDefault="00F001B3" w:rsidP="00003ADF">
      <w:pPr>
        <w:rPr>
          <w:rFonts w:ascii="Palatino Linotype" w:hAnsi="Palatino Linotype"/>
          <w:sz w:val="24"/>
          <w:szCs w:val="24"/>
        </w:rPr>
      </w:pPr>
      <w:r>
        <w:rPr>
          <w:rFonts w:ascii="Palatino Linotype" w:hAnsi="Palatino Linotype"/>
          <w:sz w:val="24"/>
          <w:szCs w:val="24"/>
        </w:rPr>
        <w:t xml:space="preserve">  </w:t>
      </w:r>
    </w:p>
    <w:p w:rsidR="00DD40D4" w:rsidRDefault="00DD40D4" w:rsidP="00003ADF">
      <w:pPr>
        <w:rPr>
          <w:rFonts w:ascii="Palatino Linotype" w:hAnsi="Palatino Linotype"/>
          <w:sz w:val="24"/>
          <w:szCs w:val="24"/>
        </w:rPr>
      </w:pPr>
      <w:r w:rsidRPr="00DD40D4">
        <w:rPr>
          <w:noProof/>
          <w:lang w:eastAsia="zh-TW"/>
        </w:rPr>
        <w:drawing>
          <wp:inline distT="0" distB="0" distL="0" distR="0" wp14:anchorId="17E0A816" wp14:editId="209D0200">
            <wp:extent cx="6217920" cy="115751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7920" cy="1157513"/>
                    </a:xfrm>
                    <a:prstGeom prst="rect">
                      <a:avLst/>
                    </a:prstGeom>
                    <a:noFill/>
                    <a:ln>
                      <a:noFill/>
                    </a:ln>
                  </pic:spPr>
                </pic:pic>
              </a:graphicData>
            </a:graphic>
          </wp:inline>
        </w:drawing>
      </w:r>
    </w:p>
    <w:p w:rsidR="00D25CA0" w:rsidRPr="00D25CA0" w:rsidRDefault="00D25CA0" w:rsidP="00D25CA0">
      <w:pPr>
        <w:rPr>
          <w:rFonts w:ascii="Calibri" w:hAnsi="Calibri"/>
          <w:b/>
          <w:bCs/>
          <w:i/>
          <w:iCs/>
          <w:color w:val="000000"/>
          <w:sz w:val="18"/>
          <w:szCs w:val="22"/>
        </w:rPr>
      </w:pPr>
      <w:r w:rsidRPr="00D25CA0">
        <w:rPr>
          <w:rFonts w:ascii="Calibri" w:hAnsi="Calibri"/>
          <w:b/>
          <w:bCs/>
          <w:i/>
          <w:iCs/>
          <w:color w:val="000000"/>
          <w:sz w:val="18"/>
          <w:szCs w:val="22"/>
        </w:rPr>
        <w:t xml:space="preserve">* Claims: FY 15-16, FY 16-17, and FY 17-18 thru April </w:t>
      </w:r>
      <w:proofErr w:type="gramStart"/>
      <w:r w:rsidRPr="00D25CA0">
        <w:rPr>
          <w:rFonts w:ascii="Calibri" w:hAnsi="Calibri"/>
          <w:b/>
          <w:bCs/>
          <w:i/>
          <w:iCs/>
          <w:color w:val="000000"/>
          <w:sz w:val="18"/>
          <w:szCs w:val="22"/>
        </w:rPr>
        <w:t>reflects</w:t>
      </w:r>
      <w:proofErr w:type="gramEnd"/>
      <w:r w:rsidRPr="00D25CA0">
        <w:rPr>
          <w:rFonts w:ascii="Calibri" w:hAnsi="Calibri"/>
          <w:b/>
          <w:bCs/>
          <w:i/>
          <w:iCs/>
          <w:color w:val="000000"/>
          <w:sz w:val="18"/>
          <w:szCs w:val="22"/>
        </w:rPr>
        <w:t xml:space="preserve"> </w:t>
      </w:r>
      <w:r>
        <w:rPr>
          <w:rFonts w:ascii="Calibri" w:hAnsi="Calibri"/>
          <w:b/>
          <w:bCs/>
          <w:i/>
          <w:iCs/>
          <w:color w:val="000000"/>
          <w:sz w:val="18"/>
          <w:szCs w:val="22"/>
        </w:rPr>
        <w:t xml:space="preserve">the </w:t>
      </w:r>
      <w:r w:rsidRPr="00D25CA0">
        <w:rPr>
          <w:rFonts w:ascii="Calibri" w:hAnsi="Calibri"/>
          <w:b/>
          <w:bCs/>
          <w:i/>
          <w:iCs/>
          <w:color w:val="000000"/>
          <w:sz w:val="18"/>
          <w:szCs w:val="22"/>
        </w:rPr>
        <w:t xml:space="preserve">CTF Master Database. FY 17-18 May onward reflects Estimate. </w:t>
      </w:r>
    </w:p>
    <w:p w:rsidR="00D25CA0" w:rsidRDefault="00D25CA0" w:rsidP="00003ADF">
      <w:pPr>
        <w:rPr>
          <w:rFonts w:ascii="Palatino Linotype" w:hAnsi="Palatino Linotype"/>
          <w:sz w:val="24"/>
          <w:szCs w:val="24"/>
        </w:rPr>
      </w:pPr>
    </w:p>
    <w:p w:rsidR="006C19AD" w:rsidRPr="000C29B2" w:rsidRDefault="00BF2CB1" w:rsidP="004A0B0D">
      <w:pPr>
        <w:rPr>
          <w:rFonts w:ascii="Palatino Linotype" w:hAnsi="Palatino Linotype"/>
          <w:sz w:val="24"/>
          <w:szCs w:val="24"/>
        </w:rPr>
      </w:pPr>
      <w:r>
        <w:rPr>
          <w:rFonts w:ascii="Palatino Linotype" w:hAnsi="Palatino Linotype"/>
          <w:sz w:val="24"/>
          <w:szCs w:val="24"/>
        </w:rPr>
        <w:t xml:space="preserve">With the approval of the surcharge rate </w:t>
      </w:r>
      <w:r w:rsidR="00B1298C">
        <w:rPr>
          <w:rFonts w:ascii="Palatino Linotype" w:hAnsi="Palatino Linotype"/>
          <w:sz w:val="24"/>
          <w:szCs w:val="24"/>
        </w:rPr>
        <w:t>reduction,</w:t>
      </w:r>
      <w:r w:rsidR="006B01AD">
        <w:rPr>
          <w:rFonts w:ascii="Palatino Linotype" w:hAnsi="Palatino Linotype"/>
          <w:sz w:val="24"/>
          <w:szCs w:val="24"/>
        </w:rPr>
        <w:t xml:space="preserve"> </w:t>
      </w:r>
      <w:r w:rsidR="00144532">
        <w:rPr>
          <w:rFonts w:ascii="Palatino Linotype" w:hAnsi="Palatino Linotype"/>
          <w:sz w:val="24"/>
          <w:szCs w:val="24"/>
        </w:rPr>
        <w:t xml:space="preserve">Staff does </w:t>
      </w:r>
      <w:r w:rsidR="006B01AD">
        <w:rPr>
          <w:rFonts w:ascii="Palatino Linotype" w:hAnsi="Palatino Linotype"/>
          <w:sz w:val="24"/>
          <w:szCs w:val="24"/>
        </w:rPr>
        <w:t>not anticipate needing to increase the surcharge again until FY 21</w:t>
      </w:r>
      <w:r w:rsidR="00A13FC2">
        <w:rPr>
          <w:rFonts w:ascii="Palatino Linotype" w:hAnsi="Palatino Linotype"/>
          <w:sz w:val="24"/>
          <w:szCs w:val="24"/>
        </w:rPr>
        <w:t>-22</w:t>
      </w:r>
      <w:r w:rsidR="006B01AD">
        <w:rPr>
          <w:rFonts w:ascii="Palatino Linotype" w:hAnsi="Palatino Linotype"/>
          <w:sz w:val="24"/>
          <w:szCs w:val="24"/>
        </w:rPr>
        <w:t xml:space="preserve">. </w:t>
      </w:r>
      <w:r w:rsidR="006C19AD" w:rsidRPr="000C29B2">
        <w:rPr>
          <w:rFonts w:ascii="Palatino Linotype" w:hAnsi="Palatino Linotype"/>
          <w:sz w:val="24"/>
          <w:szCs w:val="24"/>
        </w:rPr>
        <w:t>We note</w:t>
      </w:r>
      <w:r w:rsidR="00A13FC2">
        <w:rPr>
          <w:rFonts w:ascii="Palatino Linotype" w:hAnsi="Palatino Linotype"/>
          <w:sz w:val="24"/>
          <w:szCs w:val="24"/>
        </w:rPr>
        <w:t>, however,</w:t>
      </w:r>
      <w:r w:rsidR="006C19AD" w:rsidRPr="000C29B2">
        <w:rPr>
          <w:rFonts w:ascii="Palatino Linotype" w:hAnsi="Palatino Linotype"/>
          <w:sz w:val="24"/>
          <w:szCs w:val="24"/>
        </w:rPr>
        <w:t xml:space="preserve"> that the Commission currently has an open rulemaking (R. 13-01-010) performing a comprehensive review of the CTF program.  If the Rulemaking results in a significant change to the forecasted level of CTF funding, a resolution will be issued to change the CTF surcharge rate as needed.</w:t>
      </w:r>
    </w:p>
    <w:p w:rsidR="008061D4" w:rsidRDefault="008061D4" w:rsidP="006C19AD">
      <w:pPr>
        <w:ind w:right="432"/>
        <w:rPr>
          <w:rFonts w:ascii="Palatino" w:hAnsi="Palatino"/>
          <w:sz w:val="24"/>
          <w:szCs w:val="24"/>
        </w:rPr>
      </w:pPr>
    </w:p>
    <w:p w:rsidR="00FA46FD" w:rsidRPr="000C29B2" w:rsidRDefault="00FA46FD" w:rsidP="00FA46FD">
      <w:pPr>
        <w:rPr>
          <w:rFonts w:ascii="Palatino Linotype" w:hAnsi="Palatino Linotype"/>
          <w:sz w:val="24"/>
        </w:rPr>
      </w:pPr>
      <w:r w:rsidRPr="000C29B2">
        <w:rPr>
          <w:rFonts w:ascii="Palatino Linotype" w:hAnsi="Palatino Linotype"/>
          <w:sz w:val="24"/>
        </w:rPr>
        <w:t>All telecommunications carriers shall as</w:t>
      </w:r>
      <w:r w:rsidR="007E537E" w:rsidRPr="000C29B2">
        <w:rPr>
          <w:rFonts w:ascii="Palatino Linotype" w:hAnsi="Palatino Linotype"/>
          <w:sz w:val="24"/>
        </w:rPr>
        <w:t>sess a CTF surcharge rate of 0.</w:t>
      </w:r>
      <w:r w:rsidR="00B1298C">
        <w:rPr>
          <w:rFonts w:ascii="Palatino Linotype" w:hAnsi="Palatino Linotype"/>
          <w:sz w:val="24"/>
        </w:rPr>
        <w:t>78</w:t>
      </w:r>
      <w:r w:rsidRPr="000C29B2">
        <w:rPr>
          <w:rFonts w:ascii="Palatino Linotype" w:hAnsi="Palatino Linotype"/>
          <w:sz w:val="24"/>
        </w:rPr>
        <w:t xml:space="preserve">% on their revenues collected from end-users for intrastate telecommunications services subject to surcharge </w:t>
      </w:r>
      <w:r w:rsidR="007E537E" w:rsidRPr="000C29B2">
        <w:rPr>
          <w:rFonts w:ascii="Palatino Linotype" w:hAnsi="Palatino Linotype"/>
          <w:sz w:val="24"/>
        </w:rPr>
        <w:t xml:space="preserve">effective  </w:t>
      </w:r>
      <w:r w:rsidR="00B1298C">
        <w:rPr>
          <w:rFonts w:ascii="Palatino Linotype" w:hAnsi="Palatino Linotype"/>
          <w:sz w:val="24"/>
        </w:rPr>
        <w:t xml:space="preserve">September </w:t>
      </w:r>
      <w:r w:rsidRPr="000C29B2">
        <w:rPr>
          <w:rFonts w:ascii="Palatino Linotype" w:hAnsi="Palatino Linotype"/>
          <w:sz w:val="24"/>
        </w:rPr>
        <w:t>1</w:t>
      </w:r>
      <w:r w:rsidRPr="000C29B2">
        <w:rPr>
          <w:rFonts w:ascii="Palatino Linotype" w:hAnsi="Palatino Linotype"/>
          <w:sz w:val="24"/>
          <w:szCs w:val="24"/>
        </w:rPr>
        <w:t>, 2018, until otherwise directed by the Commission.</w:t>
      </w:r>
    </w:p>
    <w:p w:rsidR="00003ADF" w:rsidRPr="00003ADF" w:rsidRDefault="00003ADF" w:rsidP="00003ADF">
      <w:pPr>
        <w:rPr>
          <w:rFonts w:ascii="Palatino Linotype" w:hAnsi="Palatino Linotype"/>
          <w:sz w:val="22"/>
          <w:szCs w:val="22"/>
        </w:rPr>
      </w:pPr>
    </w:p>
    <w:p w:rsidR="004341AC" w:rsidRDefault="004341AC" w:rsidP="009312E3">
      <w:pPr>
        <w:widowControl w:val="0"/>
        <w:ind w:right="432"/>
        <w:rPr>
          <w:rFonts w:ascii="Palatino" w:hAnsi="Palatino"/>
          <w:b/>
          <w:bCs/>
          <w:sz w:val="26"/>
          <w:u w:val="single"/>
        </w:rPr>
      </w:pPr>
      <w:r w:rsidRPr="004552E0">
        <w:rPr>
          <w:rFonts w:ascii="Palatino" w:hAnsi="Palatino"/>
          <w:b/>
          <w:bCs/>
          <w:sz w:val="26"/>
          <w:u w:val="single"/>
        </w:rPr>
        <w:t>Advice Letter Filing</w:t>
      </w:r>
      <w:r w:rsidR="005C6FFF">
        <w:rPr>
          <w:rFonts w:ascii="Palatino" w:hAnsi="Palatino"/>
          <w:b/>
          <w:bCs/>
          <w:sz w:val="26"/>
          <w:u w:val="single"/>
        </w:rPr>
        <w:t xml:space="preserve"> </w:t>
      </w:r>
    </w:p>
    <w:p w:rsidR="00D25CA0" w:rsidRPr="004552E0" w:rsidRDefault="00D25CA0" w:rsidP="009312E3">
      <w:pPr>
        <w:widowControl w:val="0"/>
        <w:ind w:right="432"/>
        <w:rPr>
          <w:rFonts w:ascii="Palatino" w:hAnsi="Palatino"/>
          <w:b/>
          <w:bCs/>
          <w:sz w:val="26"/>
          <w:u w:val="single"/>
        </w:rPr>
      </w:pPr>
    </w:p>
    <w:p w:rsidR="00B9146B" w:rsidRDefault="00890B24" w:rsidP="00890B24">
      <w:pPr>
        <w:widowControl w:val="0"/>
        <w:ind w:right="432"/>
        <w:rPr>
          <w:rFonts w:ascii="Palatino Linotype" w:hAnsi="Palatino Linotype"/>
          <w:sz w:val="24"/>
          <w:szCs w:val="24"/>
        </w:rPr>
      </w:pPr>
      <w:r>
        <w:rPr>
          <w:rFonts w:ascii="Palatino Linotype" w:hAnsi="Palatino Linotype"/>
          <w:sz w:val="24"/>
          <w:szCs w:val="24"/>
        </w:rPr>
        <w:t xml:space="preserve">In Resolution T-16901, issued December 2, 2004, the Commission modified the tariff process for revising telecommunications Public Programs surcharge rates.  The revised process requires all certificated carriers filing tariffs with the Commission to file a generic tariff reference to AT&amp;T California (formerly SBC California) tariffs for the list </w:t>
      </w:r>
      <w:r>
        <w:rPr>
          <w:rFonts w:ascii="Palatino Linotype" w:hAnsi="Palatino Linotype"/>
          <w:sz w:val="24"/>
          <w:szCs w:val="24"/>
        </w:rPr>
        <w:lastRenderedPageBreak/>
        <w:t>of Public Program surcharge rates and the Reimbursement Fee.  This process change is effective with surcharge rates and reimbursement fees implemented on January 1, 2005 and thereafter, until revised by the Commission.</w:t>
      </w:r>
    </w:p>
    <w:p w:rsidR="00B9146B" w:rsidRDefault="00B9146B" w:rsidP="00890B24">
      <w:pPr>
        <w:widowControl w:val="0"/>
        <w:ind w:right="432"/>
        <w:rPr>
          <w:rFonts w:ascii="Palatino Linotype" w:hAnsi="Palatino Linotype"/>
          <w:sz w:val="24"/>
          <w:szCs w:val="24"/>
        </w:rPr>
      </w:pPr>
    </w:p>
    <w:p w:rsidR="00890B24" w:rsidRDefault="00890B24" w:rsidP="00890B24">
      <w:pPr>
        <w:widowControl w:val="0"/>
        <w:ind w:right="432"/>
        <w:rPr>
          <w:rFonts w:ascii="Palatino" w:hAnsi="Palatino"/>
          <w:bCs/>
          <w:sz w:val="24"/>
          <w:szCs w:val="24"/>
        </w:rPr>
      </w:pPr>
      <w:r>
        <w:rPr>
          <w:rFonts w:ascii="Palatino Linotype" w:hAnsi="Palatino Linotype"/>
          <w:sz w:val="24"/>
          <w:szCs w:val="24"/>
        </w:rPr>
        <w:t xml:space="preserve">In order to comply with the modified tariff process, </w:t>
      </w:r>
      <w:r w:rsidRPr="00AC2113">
        <w:rPr>
          <w:rFonts w:ascii="Palatino Linotype" w:hAnsi="Palatino Linotype"/>
          <w:sz w:val="24"/>
          <w:szCs w:val="24"/>
        </w:rPr>
        <w:t xml:space="preserve">AT&amp;T California should file an Advice Letter on or before </w:t>
      </w:r>
      <w:r w:rsidR="004C25E8" w:rsidRPr="00AC2113">
        <w:rPr>
          <w:rFonts w:ascii="Palatino Linotype" w:hAnsi="Palatino Linotype"/>
          <w:sz w:val="24"/>
          <w:szCs w:val="24"/>
        </w:rPr>
        <w:t>August</w:t>
      </w:r>
      <w:r w:rsidRPr="00AC2113">
        <w:rPr>
          <w:rFonts w:ascii="Palatino Linotype" w:hAnsi="Palatino Linotype"/>
          <w:sz w:val="24"/>
          <w:szCs w:val="24"/>
        </w:rPr>
        <w:t xml:space="preserve"> 1, 2018, to modify the CTF</w:t>
      </w:r>
      <w:r w:rsidR="007E537E" w:rsidRPr="00AC2113">
        <w:rPr>
          <w:rFonts w:ascii="Palatino Linotype" w:hAnsi="Palatino Linotype"/>
          <w:sz w:val="24"/>
          <w:szCs w:val="24"/>
        </w:rPr>
        <w:t xml:space="preserve"> surcharge rate from 1.08% to </w:t>
      </w:r>
      <w:r w:rsidR="00B1298C" w:rsidRPr="00AC2113">
        <w:rPr>
          <w:rFonts w:ascii="Palatino Linotype" w:hAnsi="Palatino Linotype"/>
          <w:sz w:val="24"/>
          <w:szCs w:val="24"/>
        </w:rPr>
        <w:t>0</w:t>
      </w:r>
      <w:r w:rsidR="00763716" w:rsidRPr="00AC2113">
        <w:rPr>
          <w:rFonts w:ascii="Palatino Linotype" w:hAnsi="Palatino Linotype"/>
          <w:sz w:val="24"/>
          <w:szCs w:val="24"/>
        </w:rPr>
        <w:t>.7</w:t>
      </w:r>
      <w:r w:rsidR="00B1298C" w:rsidRPr="00AC2113">
        <w:rPr>
          <w:rFonts w:ascii="Palatino Linotype" w:hAnsi="Palatino Linotype"/>
          <w:sz w:val="24"/>
          <w:szCs w:val="24"/>
        </w:rPr>
        <w:t>8</w:t>
      </w:r>
      <w:r w:rsidRPr="00AC2113">
        <w:rPr>
          <w:rFonts w:ascii="Palatino Linotype" w:hAnsi="Palatino Linotype"/>
          <w:sz w:val="24"/>
          <w:szCs w:val="24"/>
        </w:rPr>
        <w:t xml:space="preserve">%, effective </w:t>
      </w:r>
      <w:r w:rsidR="004C25E8" w:rsidRPr="00AC2113">
        <w:rPr>
          <w:rFonts w:ascii="Palatino Linotype" w:hAnsi="Palatino Linotype"/>
          <w:sz w:val="24"/>
          <w:szCs w:val="24"/>
        </w:rPr>
        <w:t>September</w:t>
      </w:r>
      <w:r w:rsidRPr="00AC2113">
        <w:rPr>
          <w:rFonts w:ascii="Palatino Linotype" w:hAnsi="Palatino Linotype"/>
          <w:sz w:val="24"/>
          <w:szCs w:val="24"/>
        </w:rPr>
        <w:t xml:space="preserve"> 1, 2018</w:t>
      </w:r>
      <w:r>
        <w:rPr>
          <w:rFonts w:ascii="Palatino Linotype" w:hAnsi="Palatino Linotype"/>
          <w:sz w:val="24"/>
          <w:szCs w:val="24"/>
        </w:rPr>
        <w:t xml:space="preserve"> and thereafter, until further revised by the Commission.  Pursuant to Ordering Paragraph 1 of Resolution T-16901, all other carriers with Commission-filed scheduled tariffs should be cross-referenced to AT&amp;T California’s tariff for all future changes in the Public Program surcharges, including the CTF.   Therefore, these carriers are not required to file an Advice Letter reflecting this change.  These concurring carriers, however, are required to implement </w:t>
      </w:r>
      <w:r w:rsidR="007E537E">
        <w:rPr>
          <w:rFonts w:ascii="Palatino Linotype" w:hAnsi="Palatino Linotype"/>
          <w:sz w:val="24"/>
          <w:szCs w:val="24"/>
        </w:rPr>
        <w:t xml:space="preserve">the new CTF surcharge rate of </w:t>
      </w:r>
      <w:r w:rsidR="00B1298C">
        <w:rPr>
          <w:rFonts w:ascii="Palatino Linotype" w:hAnsi="Palatino Linotype"/>
          <w:sz w:val="24"/>
          <w:szCs w:val="24"/>
        </w:rPr>
        <w:t>0</w:t>
      </w:r>
      <w:r w:rsidR="007E537E">
        <w:rPr>
          <w:rFonts w:ascii="Palatino Linotype" w:hAnsi="Palatino Linotype"/>
          <w:sz w:val="24"/>
          <w:szCs w:val="24"/>
        </w:rPr>
        <w:t>.</w:t>
      </w:r>
      <w:r w:rsidR="00B1298C">
        <w:rPr>
          <w:rFonts w:ascii="Palatino Linotype" w:hAnsi="Palatino Linotype"/>
          <w:sz w:val="24"/>
          <w:szCs w:val="24"/>
        </w:rPr>
        <w:t>78</w:t>
      </w:r>
      <w:r w:rsidR="007E537E">
        <w:rPr>
          <w:rFonts w:ascii="Palatino Linotype" w:hAnsi="Palatino Linotype"/>
          <w:sz w:val="24"/>
          <w:szCs w:val="24"/>
        </w:rPr>
        <w:t xml:space="preserve">% effective </w:t>
      </w:r>
      <w:r w:rsidR="00B1298C">
        <w:rPr>
          <w:rFonts w:ascii="Palatino Linotype" w:hAnsi="Palatino Linotype"/>
          <w:sz w:val="24"/>
          <w:szCs w:val="24"/>
        </w:rPr>
        <w:t>September</w:t>
      </w:r>
      <w:r>
        <w:rPr>
          <w:rFonts w:ascii="Palatino Linotype" w:hAnsi="Palatino Linotype"/>
          <w:sz w:val="24"/>
          <w:szCs w:val="24"/>
        </w:rPr>
        <w:t xml:space="preserve"> 1, 2018, similar to AT&amp;T.</w:t>
      </w:r>
    </w:p>
    <w:p w:rsidR="00A067F2" w:rsidRDefault="00A067F2" w:rsidP="009312E3">
      <w:pPr>
        <w:widowControl w:val="0"/>
        <w:ind w:right="432"/>
        <w:rPr>
          <w:rFonts w:ascii="Palatino" w:hAnsi="Palatino"/>
          <w:b/>
          <w:bCs/>
          <w:sz w:val="24"/>
          <w:szCs w:val="24"/>
        </w:rPr>
      </w:pPr>
    </w:p>
    <w:p w:rsidR="005E2BB8" w:rsidRDefault="005E2BB8" w:rsidP="009312E3">
      <w:pPr>
        <w:pStyle w:val="Heading9"/>
        <w:keepNext w:val="0"/>
        <w:widowControl w:val="0"/>
        <w:ind w:right="432"/>
        <w:rPr>
          <w:bCs/>
          <w:szCs w:val="24"/>
        </w:rPr>
      </w:pPr>
      <w:r w:rsidRPr="009312E3">
        <w:rPr>
          <w:sz w:val="26"/>
          <w:u w:val="single"/>
        </w:rPr>
        <w:t>SAFETY ISSUES</w:t>
      </w:r>
    </w:p>
    <w:p w:rsidR="005E2BB8" w:rsidRPr="003A0D32" w:rsidRDefault="005E2BB8" w:rsidP="009312E3">
      <w:pPr>
        <w:rPr>
          <w:bCs/>
          <w:szCs w:val="24"/>
        </w:rPr>
      </w:pPr>
    </w:p>
    <w:p w:rsidR="00890B24" w:rsidRDefault="00890B24" w:rsidP="00890B24">
      <w:pPr>
        <w:rPr>
          <w:rFonts w:ascii="Palatino Linotype" w:hAnsi="Palatino Linotype"/>
          <w:sz w:val="24"/>
          <w:szCs w:val="24"/>
        </w:rPr>
      </w:pPr>
      <w:r>
        <w:rPr>
          <w:rFonts w:ascii="Palatino Linotype" w:hAnsi="Palatino Linotype"/>
          <w:sz w:val="24"/>
          <w:szCs w:val="24"/>
        </w:rPr>
        <w:t>This Resolution ensures that there is adequate funding, at an appropriate level, to support the CTF program budgetary expenditures. The CTF program helps to promote universal service by subsidizing advanced communications services of qualified anchor institutions that continues to enhance the safety of these entities.</w:t>
      </w:r>
    </w:p>
    <w:p w:rsidR="005E2BB8" w:rsidRPr="004552E0" w:rsidRDefault="003C7DB6" w:rsidP="009312E3">
      <w:pPr>
        <w:rPr>
          <w:rFonts w:ascii="Palatino" w:hAnsi="Palatino"/>
          <w:bCs/>
          <w:sz w:val="24"/>
          <w:szCs w:val="24"/>
        </w:rPr>
      </w:pPr>
      <w:r>
        <w:rPr>
          <w:rFonts w:ascii="Palatino" w:hAnsi="Palatino"/>
          <w:bCs/>
          <w:sz w:val="24"/>
          <w:szCs w:val="24"/>
        </w:rPr>
        <w:t xml:space="preserve">  </w:t>
      </w:r>
    </w:p>
    <w:p w:rsidR="004341AC" w:rsidRDefault="004341AC" w:rsidP="009312E3">
      <w:pPr>
        <w:pStyle w:val="Heading9"/>
        <w:keepNext w:val="0"/>
        <w:widowControl w:val="0"/>
        <w:ind w:right="432"/>
        <w:rPr>
          <w:sz w:val="26"/>
          <w:u w:val="single"/>
        </w:rPr>
      </w:pPr>
      <w:r>
        <w:rPr>
          <w:sz w:val="26"/>
          <w:u w:val="single"/>
        </w:rPr>
        <w:t>COMMENTS</w:t>
      </w:r>
    </w:p>
    <w:p w:rsidR="004341AC" w:rsidRPr="004552E0" w:rsidRDefault="004341AC">
      <w:pPr>
        <w:ind w:right="432"/>
        <w:rPr>
          <w:rFonts w:ascii="Palatino" w:hAnsi="Palatino"/>
          <w:bCs/>
          <w:sz w:val="24"/>
          <w:szCs w:val="24"/>
        </w:rPr>
      </w:pPr>
    </w:p>
    <w:p w:rsidR="004341AC" w:rsidRPr="000C29B2" w:rsidRDefault="004341AC">
      <w:pPr>
        <w:pStyle w:val="BodyText"/>
        <w:tabs>
          <w:tab w:val="clear" w:pos="720"/>
        </w:tabs>
        <w:spacing w:after="0"/>
        <w:ind w:right="432"/>
        <w:rPr>
          <w:rFonts w:ascii="Palatino Linotype" w:hAnsi="Palatino Linotype"/>
        </w:rPr>
      </w:pPr>
      <w:r w:rsidRPr="000C29B2">
        <w:rPr>
          <w:rFonts w:ascii="Palatino Linotype" w:hAnsi="Palatino Linotype"/>
          <w:bCs/>
          <w:szCs w:val="24"/>
        </w:rPr>
        <w:t>In compliance with PU Code § 311(g), a notice lett</w:t>
      </w:r>
      <w:r w:rsidR="00A91DF5" w:rsidRPr="000C29B2">
        <w:rPr>
          <w:rFonts w:ascii="Palatino Linotype" w:hAnsi="Palatino Linotype"/>
          <w:bCs/>
          <w:szCs w:val="24"/>
        </w:rPr>
        <w:t>er was emailed</w:t>
      </w:r>
      <w:r w:rsidR="006136E4" w:rsidRPr="000C29B2">
        <w:rPr>
          <w:rFonts w:ascii="Palatino Linotype" w:hAnsi="Palatino Linotype"/>
          <w:bCs/>
          <w:szCs w:val="24"/>
        </w:rPr>
        <w:t xml:space="preserve"> on </w:t>
      </w:r>
      <w:r w:rsidR="004C25E8" w:rsidRPr="00517F06">
        <w:rPr>
          <w:rFonts w:ascii="Palatino Linotype" w:hAnsi="Palatino Linotype"/>
          <w:bCs/>
          <w:szCs w:val="24"/>
        </w:rPr>
        <w:t>June</w:t>
      </w:r>
      <w:r w:rsidR="00A91DF5" w:rsidRPr="00517F06">
        <w:rPr>
          <w:rFonts w:ascii="Palatino Linotype" w:hAnsi="Palatino Linotype"/>
          <w:bCs/>
          <w:szCs w:val="24"/>
        </w:rPr>
        <w:t xml:space="preserve"> </w:t>
      </w:r>
      <w:r w:rsidR="00AD502A">
        <w:rPr>
          <w:rFonts w:ascii="Palatino Linotype" w:hAnsi="Palatino Linotype"/>
          <w:bCs/>
          <w:szCs w:val="24"/>
        </w:rPr>
        <w:t>2</w:t>
      </w:r>
      <w:r w:rsidR="004C25E8" w:rsidRPr="00517F06">
        <w:rPr>
          <w:rFonts w:ascii="Palatino Linotype" w:hAnsi="Palatino Linotype"/>
          <w:bCs/>
          <w:szCs w:val="24"/>
        </w:rPr>
        <w:t>2</w:t>
      </w:r>
      <w:r w:rsidR="006136E4" w:rsidRPr="00517F06">
        <w:rPr>
          <w:rFonts w:ascii="Palatino Linotype" w:hAnsi="Palatino Linotype"/>
          <w:bCs/>
          <w:szCs w:val="24"/>
        </w:rPr>
        <w:t>, 2018</w:t>
      </w:r>
      <w:r w:rsidRPr="000C29B2">
        <w:rPr>
          <w:rFonts w:ascii="Palatino Linotype" w:hAnsi="Palatino Linotype"/>
          <w:bCs/>
          <w:szCs w:val="24"/>
        </w:rPr>
        <w:t xml:space="preserve">, to all telecommunications carriers, the </w:t>
      </w:r>
      <w:r w:rsidR="005C6FFF" w:rsidRPr="000C29B2">
        <w:rPr>
          <w:rFonts w:ascii="Palatino Linotype" w:hAnsi="Palatino Linotype"/>
          <w:bCs/>
          <w:szCs w:val="24"/>
        </w:rPr>
        <w:t xml:space="preserve">CTF </w:t>
      </w:r>
      <w:r w:rsidR="005B0470">
        <w:rPr>
          <w:rFonts w:ascii="Palatino Linotype" w:hAnsi="Palatino Linotype"/>
          <w:bCs/>
          <w:szCs w:val="24"/>
        </w:rPr>
        <w:t>Administrative Committee (AC)</w:t>
      </w:r>
      <w:r w:rsidR="005C6FFF" w:rsidRPr="000C29B2">
        <w:rPr>
          <w:rFonts w:ascii="Palatino Linotype" w:hAnsi="Palatino Linotype"/>
          <w:bCs/>
          <w:szCs w:val="24"/>
        </w:rPr>
        <w:t xml:space="preserve"> </w:t>
      </w:r>
      <w:r w:rsidRPr="000C29B2">
        <w:rPr>
          <w:rFonts w:ascii="Palatino Linotype" w:hAnsi="Palatino Linotype"/>
          <w:bCs/>
          <w:szCs w:val="24"/>
        </w:rPr>
        <w:t xml:space="preserve">and the parties of record in </w:t>
      </w:r>
      <w:r w:rsidR="006E1C61" w:rsidRPr="000C29B2">
        <w:rPr>
          <w:rFonts w:ascii="Palatino Linotype" w:hAnsi="Palatino Linotype"/>
          <w:bCs/>
          <w:szCs w:val="24"/>
        </w:rPr>
        <w:t>Rulemaking 13-01-010</w:t>
      </w:r>
      <w:r w:rsidR="008918CC" w:rsidRPr="000C29B2">
        <w:rPr>
          <w:rFonts w:ascii="Palatino Linotype" w:hAnsi="Palatino Linotype"/>
          <w:bCs/>
          <w:szCs w:val="24"/>
        </w:rPr>
        <w:t xml:space="preserve">, </w:t>
      </w:r>
      <w:r w:rsidRPr="000C29B2">
        <w:rPr>
          <w:rFonts w:ascii="Palatino Linotype" w:hAnsi="Palatino Linotype"/>
          <w:bCs/>
          <w:szCs w:val="24"/>
        </w:rPr>
        <w:t>informing these parties of the availability of the draft of this Resolution</w:t>
      </w:r>
      <w:r w:rsidR="006136E4" w:rsidRPr="000C29B2">
        <w:rPr>
          <w:rFonts w:ascii="Palatino Linotype" w:hAnsi="Palatino Linotype"/>
        </w:rPr>
        <w:t xml:space="preserve"> for public comment</w:t>
      </w:r>
      <w:r w:rsidRPr="000C29B2">
        <w:rPr>
          <w:rFonts w:ascii="Palatino Linotype" w:hAnsi="Palatino Linotype"/>
        </w:rPr>
        <w:t xml:space="preserve"> at the Commission's website </w:t>
      </w:r>
      <w:hyperlink r:id="rId12" w:history="1">
        <w:r w:rsidR="006136E4" w:rsidRPr="000C29B2">
          <w:rPr>
            <w:rStyle w:val="Hyperlink"/>
            <w:rFonts w:ascii="Palatino Linotype" w:hAnsi="Palatino Linotype"/>
          </w:rPr>
          <w:t>http://www.cpuc.ca.gov</w:t>
        </w:r>
      </w:hyperlink>
      <w:r w:rsidR="006136E4" w:rsidRPr="000C29B2">
        <w:rPr>
          <w:rFonts w:ascii="Palatino Linotype" w:hAnsi="Palatino Linotype"/>
        </w:rPr>
        <w:t xml:space="preserve">. </w:t>
      </w:r>
      <w:r w:rsidRPr="000C29B2">
        <w:rPr>
          <w:rFonts w:ascii="Palatino Linotype" w:hAnsi="Palatino Linotype"/>
        </w:rPr>
        <w:t>This letter also informed parties that the final Resolution, adopted by the Commission, will be available at the same website.</w:t>
      </w:r>
    </w:p>
    <w:p w:rsidR="00E56F6D" w:rsidRDefault="00E56F6D">
      <w:pPr>
        <w:pStyle w:val="BodyText"/>
        <w:tabs>
          <w:tab w:val="clear" w:pos="720"/>
        </w:tabs>
        <w:spacing w:after="0"/>
        <w:ind w:right="432"/>
      </w:pPr>
    </w:p>
    <w:p w:rsidR="004341AC" w:rsidRDefault="004341AC" w:rsidP="009312E3">
      <w:pPr>
        <w:widowControl w:val="0"/>
        <w:ind w:right="432"/>
        <w:rPr>
          <w:rFonts w:ascii="Palatino" w:hAnsi="Palatino"/>
          <w:b/>
          <w:bCs/>
          <w:sz w:val="26"/>
          <w:u w:val="single"/>
        </w:rPr>
      </w:pPr>
      <w:r>
        <w:rPr>
          <w:rFonts w:ascii="Palatino" w:hAnsi="Palatino"/>
          <w:b/>
          <w:bCs/>
          <w:sz w:val="26"/>
          <w:u w:val="single"/>
        </w:rPr>
        <w:t>FINDINGS</w:t>
      </w:r>
      <w:r w:rsidR="007A41BD">
        <w:rPr>
          <w:rFonts w:ascii="Palatino" w:hAnsi="Palatino"/>
          <w:b/>
          <w:bCs/>
          <w:sz w:val="26"/>
          <w:u w:val="single"/>
        </w:rPr>
        <w:t xml:space="preserve"> AND CONCLUSIONS</w:t>
      </w:r>
    </w:p>
    <w:p w:rsidR="004341AC" w:rsidRDefault="004341AC" w:rsidP="009312E3">
      <w:pPr>
        <w:widowControl w:val="0"/>
        <w:ind w:right="432"/>
        <w:rPr>
          <w:rFonts w:ascii="Palatino" w:hAnsi="Palatino"/>
          <w:sz w:val="24"/>
        </w:rPr>
      </w:pPr>
    </w:p>
    <w:p w:rsidR="00834B27" w:rsidRPr="00834B27" w:rsidRDefault="00834B27" w:rsidP="00E36C61">
      <w:pPr>
        <w:numPr>
          <w:ilvl w:val="0"/>
          <w:numId w:val="24"/>
        </w:numPr>
        <w:contextualSpacing/>
        <w:rPr>
          <w:rFonts w:ascii="Palatino Linotype" w:hAnsi="Palatino Linotype"/>
          <w:sz w:val="24"/>
          <w:szCs w:val="24"/>
        </w:rPr>
      </w:pPr>
      <w:r w:rsidRPr="00834B27">
        <w:rPr>
          <w:rFonts w:ascii="Palatino Linotype" w:hAnsi="Palatino Linotype"/>
          <w:sz w:val="24"/>
          <w:szCs w:val="24"/>
        </w:rPr>
        <w:t xml:space="preserve">The California </w:t>
      </w:r>
      <w:proofErr w:type="spellStart"/>
      <w:r w:rsidRPr="00834B27">
        <w:rPr>
          <w:rFonts w:ascii="Palatino Linotype" w:hAnsi="Palatino Linotype"/>
          <w:sz w:val="24"/>
          <w:szCs w:val="24"/>
        </w:rPr>
        <w:t>Teleconnect</w:t>
      </w:r>
      <w:proofErr w:type="spellEnd"/>
      <w:r w:rsidRPr="00834B27">
        <w:rPr>
          <w:rFonts w:ascii="Palatino Linotype" w:hAnsi="Palatino Linotype"/>
          <w:sz w:val="24"/>
          <w:szCs w:val="24"/>
        </w:rPr>
        <w:t xml:space="preserve"> Fund (CTF) was adopted in Decision 96-10-066, effective October 25, 1996, to provide discounted rates for advanced telecommunications services for qualifying schools, libraries, government-owned health care providers, and community based organizations.</w:t>
      </w:r>
    </w:p>
    <w:p w:rsidR="00834B27" w:rsidRPr="00834B27" w:rsidRDefault="00834B27" w:rsidP="00E36C61">
      <w:pPr>
        <w:ind w:left="720"/>
        <w:contextualSpacing/>
        <w:rPr>
          <w:rFonts w:ascii="Palatino Linotype" w:hAnsi="Palatino Linotype"/>
          <w:sz w:val="24"/>
          <w:szCs w:val="24"/>
        </w:rPr>
      </w:pPr>
    </w:p>
    <w:p w:rsidR="00834B27" w:rsidRPr="00834B27" w:rsidRDefault="00834B27" w:rsidP="00E36C61">
      <w:pPr>
        <w:numPr>
          <w:ilvl w:val="0"/>
          <w:numId w:val="24"/>
        </w:numPr>
        <w:contextualSpacing/>
        <w:rPr>
          <w:rFonts w:ascii="Palatino Linotype" w:hAnsi="Palatino Linotype"/>
          <w:sz w:val="24"/>
          <w:szCs w:val="24"/>
        </w:rPr>
      </w:pPr>
      <w:r w:rsidRPr="00834B27">
        <w:rPr>
          <w:rFonts w:ascii="Palatino Linotype" w:hAnsi="Palatino Linotype"/>
          <w:sz w:val="24"/>
          <w:szCs w:val="24"/>
        </w:rPr>
        <w:t>Public Utilities Code Section 280(d) requires that the money appropriated from the CTF funds be used only for the purpose of the program.</w:t>
      </w:r>
    </w:p>
    <w:p w:rsidR="00834B27" w:rsidRPr="00834B27" w:rsidRDefault="00834B27" w:rsidP="00E36C61">
      <w:pPr>
        <w:rPr>
          <w:rFonts w:ascii="Palatino Linotype" w:hAnsi="Palatino Linotype"/>
          <w:sz w:val="24"/>
          <w:szCs w:val="24"/>
        </w:rPr>
      </w:pPr>
    </w:p>
    <w:p w:rsidR="00834B27" w:rsidRPr="00834B27" w:rsidRDefault="00834B27" w:rsidP="00E36C61">
      <w:pPr>
        <w:numPr>
          <w:ilvl w:val="0"/>
          <w:numId w:val="24"/>
        </w:numPr>
        <w:contextualSpacing/>
        <w:rPr>
          <w:rFonts w:ascii="Palatino Linotype" w:hAnsi="Palatino Linotype"/>
          <w:sz w:val="24"/>
          <w:szCs w:val="24"/>
        </w:rPr>
      </w:pPr>
      <w:r w:rsidRPr="00834B27">
        <w:rPr>
          <w:rFonts w:ascii="Palatino Linotype" w:hAnsi="Palatino Linotype"/>
          <w:sz w:val="24"/>
          <w:szCs w:val="24"/>
        </w:rPr>
        <w:lastRenderedPageBreak/>
        <w:t xml:space="preserve">Rulemaking 13-01-010 will review program goals, participant eligibility, eligible services, service provider eligibility, and budget and administrative rules.  </w:t>
      </w:r>
    </w:p>
    <w:p w:rsidR="00834B27" w:rsidRPr="00834B27" w:rsidRDefault="00834B27" w:rsidP="00E36C61">
      <w:pPr>
        <w:ind w:left="720"/>
        <w:contextualSpacing/>
        <w:rPr>
          <w:rFonts w:ascii="Palatino Linotype" w:hAnsi="Palatino Linotype"/>
          <w:sz w:val="24"/>
          <w:szCs w:val="24"/>
        </w:rPr>
      </w:pPr>
    </w:p>
    <w:p w:rsidR="00834B27" w:rsidRPr="00834B27" w:rsidRDefault="003C7DB6" w:rsidP="00E36C61">
      <w:pPr>
        <w:numPr>
          <w:ilvl w:val="0"/>
          <w:numId w:val="24"/>
        </w:numPr>
        <w:contextualSpacing/>
        <w:rPr>
          <w:rFonts w:ascii="Palatino Linotype" w:hAnsi="Palatino Linotype"/>
          <w:sz w:val="24"/>
          <w:szCs w:val="24"/>
        </w:rPr>
      </w:pPr>
      <w:r w:rsidRPr="003C7DB6">
        <w:rPr>
          <w:rFonts w:ascii="Palatino Linotype" w:hAnsi="Palatino Linotype"/>
          <w:sz w:val="24"/>
          <w:szCs w:val="24"/>
        </w:rPr>
        <w:t>On March 26, 2015</w:t>
      </w:r>
      <w:r w:rsidR="00834B27" w:rsidRPr="00834B27">
        <w:rPr>
          <w:rFonts w:ascii="Palatino Linotype" w:hAnsi="Palatino Linotype"/>
          <w:sz w:val="24"/>
          <w:szCs w:val="24"/>
        </w:rPr>
        <w:t>, the C</w:t>
      </w:r>
      <w:r w:rsidR="005B0470">
        <w:rPr>
          <w:rFonts w:ascii="Palatino Linotype" w:hAnsi="Palatino Linotype"/>
          <w:sz w:val="24"/>
          <w:szCs w:val="24"/>
        </w:rPr>
        <w:t>alifornia Public Utilities C</w:t>
      </w:r>
      <w:r w:rsidR="00834B27" w:rsidRPr="00834B27">
        <w:rPr>
          <w:rFonts w:ascii="Palatino Linotype" w:hAnsi="Palatino Linotype"/>
          <w:sz w:val="24"/>
          <w:szCs w:val="24"/>
        </w:rPr>
        <w:t xml:space="preserve">ommission </w:t>
      </w:r>
      <w:r w:rsidR="005B0470">
        <w:rPr>
          <w:rFonts w:ascii="Palatino Linotype" w:hAnsi="Palatino Linotype"/>
          <w:sz w:val="24"/>
          <w:szCs w:val="24"/>
        </w:rPr>
        <w:t xml:space="preserve">(Commission) </w:t>
      </w:r>
      <w:r w:rsidR="00834B27" w:rsidRPr="00834B27">
        <w:rPr>
          <w:rFonts w:ascii="Palatino Linotype" w:hAnsi="Palatino Linotype"/>
          <w:sz w:val="24"/>
          <w:szCs w:val="24"/>
        </w:rPr>
        <w:t>adopted</w:t>
      </w:r>
      <w:r w:rsidRPr="003C7DB6">
        <w:rPr>
          <w:rFonts w:ascii="Palatino Linotype" w:hAnsi="Palatino Linotype"/>
          <w:sz w:val="24"/>
          <w:szCs w:val="24"/>
        </w:rPr>
        <w:t xml:space="preserve"> resolution T-17471</w:t>
      </w:r>
      <w:r w:rsidR="00834B27" w:rsidRPr="00834B27">
        <w:rPr>
          <w:rFonts w:ascii="Palatino Linotype" w:hAnsi="Palatino Linotype"/>
          <w:sz w:val="24"/>
          <w:szCs w:val="24"/>
        </w:rPr>
        <w:t>, which increased t</w:t>
      </w:r>
      <w:r w:rsidRPr="003C7DB6">
        <w:rPr>
          <w:rFonts w:ascii="Palatino Linotype" w:hAnsi="Palatino Linotype"/>
          <w:sz w:val="24"/>
          <w:szCs w:val="24"/>
        </w:rPr>
        <w:t>he CTF surcharge rate from 0.93% to 1.08%, effective June 1, 2015</w:t>
      </w:r>
      <w:r w:rsidR="00834B27" w:rsidRPr="00834B27">
        <w:rPr>
          <w:rFonts w:ascii="Palatino Linotype" w:hAnsi="Palatino Linotype"/>
          <w:sz w:val="24"/>
          <w:szCs w:val="24"/>
        </w:rPr>
        <w:t xml:space="preserve"> until further revised by the Commission.</w:t>
      </w:r>
    </w:p>
    <w:p w:rsidR="00834B27" w:rsidRPr="00834B27" w:rsidRDefault="00834B27" w:rsidP="00E36C61">
      <w:pPr>
        <w:ind w:left="720"/>
        <w:contextualSpacing/>
        <w:rPr>
          <w:rFonts w:ascii="Palatino Linotype" w:hAnsi="Palatino Linotype"/>
          <w:sz w:val="24"/>
          <w:szCs w:val="24"/>
          <w:highlight w:val="yellow"/>
        </w:rPr>
      </w:pPr>
    </w:p>
    <w:p w:rsidR="002F0DB0" w:rsidRDefault="00DF783B" w:rsidP="002F0DB0">
      <w:pPr>
        <w:numPr>
          <w:ilvl w:val="0"/>
          <w:numId w:val="24"/>
        </w:numPr>
        <w:contextualSpacing/>
        <w:rPr>
          <w:rFonts w:ascii="Palatino Linotype" w:hAnsi="Palatino Linotype"/>
          <w:sz w:val="24"/>
          <w:szCs w:val="24"/>
        </w:rPr>
      </w:pPr>
      <w:r>
        <w:rPr>
          <w:rFonts w:ascii="Palatino Linotype" w:hAnsi="Palatino Linotype"/>
          <w:sz w:val="24"/>
          <w:szCs w:val="24"/>
        </w:rPr>
        <w:t xml:space="preserve">The California State Budget for </w:t>
      </w:r>
      <w:r w:rsidR="005B0470">
        <w:rPr>
          <w:rFonts w:ascii="Palatino Linotype" w:hAnsi="Palatino Linotype"/>
          <w:sz w:val="24"/>
          <w:szCs w:val="24"/>
        </w:rPr>
        <w:t>Fiscal Year (</w:t>
      </w:r>
      <w:r w:rsidR="00484FBF" w:rsidRPr="00484FBF">
        <w:rPr>
          <w:rFonts w:ascii="Palatino Linotype" w:hAnsi="Palatino Linotype"/>
          <w:sz w:val="24"/>
          <w:szCs w:val="24"/>
        </w:rPr>
        <w:t>FY</w:t>
      </w:r>
      <w:r w:rsidR="005B0470">
        <w:rPr>
          <w:rFonts w:ascii="Palatino Linotype" w:hAnsi="Palatino Linotype"/>
          <w:sz w:val="24"/>
          <w:szCs w:val="24"/>
        </w:rPr>
        <w:t xml:space="preserve">) </w:t>
      </w:r>
      <w:r w:rsidR="00484FBF" w:rsidRPr="00484FBF">
        <w:rPr>
          <w:rFonts w:ascii="Palatino Linotype" w:hAnsi="Palatino Linotype"/>
          <w:sz w:val="24"/>
          <w:szCs w:val="24"/>
        </w:rPr>
        <w:t>17</w:t>
      </w:r>
      <w:r w:rsidR="004C25E8">
        <w:rPr>
          <w:rFonts w:ascii="Palatino Linotype" w:hAnsi="Palatino Linotype"/>
          <w:sz w:val="24"/>
          <w:szCs w:val="24"/>
        </w:rPr>
        <w:t>-</w:t>
      </w:r>
      <w:r w:rsidR="00484FBF" w:rsidRPr="00484FBF">
        <w:rPr>
          <w:rFonts w:ascii="Palatino Linotype" w:hAnsi="Palatino Linotype"/>
          <w:sz w:val="24"/>
          <w:szCs w:val="24"/>
        </w:rPr>
        <w:t xml:space="preserve">18 </w:t>
      </w:r>
      <w:r>
        <w:rPr>
          <w:rFonts w:ascii="Palatino Linotype" w:hAnsi="Palatino Linotype"/>
          <w:sz w:val="24"/>
          <w:szCs w:val="24"/>
        </w:rPr>
        <w:t>adopted a $1</w:t>
      </w:r>
      <w:r w:rsidR="00B1298C">
        <w:rPr>
          <w:rFonts w:ascii="Palatino Linotype" w:hAnsi="Palatino Linotype"/>
          <w:sz w:val="24"/>
          <w:szCs w:val="24"/>
        </w:rPr>
        <w:t>45.07</w:t>
      </w:r>
      <w:r>
        <w:rPr>
          <w:rFonts w:ascii="Palatino Linotype" w:hAnsi="Palatino Linotype"/>
          <w:sz w:val="24"/>
          <w:szCs w:val="24"/>
        </w:rPr>
        <w:t xml:space="preserve"> </w:t>
      </w:r>
      <w:r w:rsidR="008061D4">
        <w:rPr>
          <w:rFonts w:ascii="Palatino Linotype" w:hAnsi="Palatino Linotype"/>
          <w:sz w:val="24"/>
          <w:szCs w:val="24"/>
        </w:rPr>
        <w:t>m</w:t>
      </w:r>
      <w:r>
        <w:rPr>
          <w:rFonts w:ascii="Palatino Linotype" w:hAnsi="Palatino Linotype"/>
          <w:sz w:val="24"/>
          <w:szCs w:val="24"/>
        </w:rPr>
        <w:t>illion approp</w:t>
      </w:r>
      <w:r w:rsidR="006B01AD">
        <w:rPr>
          <w:rFonts w:ascii="Palatino Linotype" w:hAnsi="Palatino Linotype"/>
          <w:sz w:val="24"/>
          <w:szCs w:val="24"/>
        </w:rPr>
        <w:t>ria</w:t>
      </w:r>
      <w:r>
        <w:rPr>
          <w:rFonts w:ascii="Palatino Linotype" w:hAnsi="Palatino Linotype"/>
          <w:sz w:val="24"/>
          <w:szCs w:val="24"/>
        </w:rPr>
        <w:t xml:space="preserve">tion for </w:t>
      </w:r>
      <w:r w:rsidR="00484FBF" w:rsidRPr="00484FBF">
        <w:rPr>
          <w:rFonts w:ascii="Palatino Linotype" w:hAnsi="Palatino Linotype"/>
          <w:sz w:val="24"/>
          <w:szCs w:val="24"/>
        </w:rPr>
        <w:t>the CTF program</w:t>
      </w:r>
      <w:r w:rsidR="00B1298C">
        <w:rPr>
          <w:rFonts w:ascii="Palatino Linotype" w:hAnsi="Palatino Linotype"/>
          <w:sz w:val="24"/>
          <w:szCs w:val="24"/>
        </w:rPr>
        <w:t>’s local assistance budget</w:t>
      </w:r>
      <w:r>
        <w:rPr>
          <w:rFonts w:ascii="Palatino Linotype" w:hAnsi="Palatino Linotype"/>
          <w:sz w:val="24"/>
          <w:szCs w:val="24"/>
        </w:rPr>
        <w:t>.</w:t>
      </w:r>
    </w:p>
    <w:p w:rsidR="00484FBF" w:rsidRDefault="00484FBF" w:rsidP="00484FBF">
      <w:pPr>
        <w:pStyle w:val="ListParagraph"/>
        <w:rPr>
          <w:rFonts w:ascii="Palatino Linotype" w:hAnsi="Palatino Linotype"/>
          <w:sz w:val="24"/>
          <w:szCs w:val="24"/>
        </w:rPr>
      </w:pPr>
    </w:p>
    <w:p w:rsidR="00834B27" w:rsidRPr="00834B27" w:rsidRDefault="003C7DB6" w:rsidP="00E36C61">
      <w:pPr>
        <w:numPr>
          <w:ilvl w:val="0"/>
          <w:numId w:val="24"/>
        </w:numPr>
        <w:contextualSpacing/>
        <w:rPr>
          <w:rFonts w:ascii="Palatino Linotype" w:hAnsi="Palatino Linotype"/>
          <w:sz w:val="24"/>
          <w:szCs w:val="24"/>
        </w:rPr>
      </w:pPr>
      <w:r w:rsidRPr="003C7DB6">
        <w:rPr>
          <w:rFonts w:ascii="Palatino Linotype" w:hAnsi="Palatino Linotype"/>
          <w:sz w:val="24"/>
          <w:szCs w:val="24"/>
        </w:rPr>
        <w:t>A reduction of the CTF surcharge rate from 1.08% to</w:t>
      </w:r>
      <w:r w:rsidR="00834B27" w:rsidRPr="00834B27">
        <w:rPr>
          <w:rFonts w:ascii="Palatino Linotype" w:hAnsi="Palatino Linotype"/>
          <w:sz w:val="24"/>
          <w:szCs w:val="24"/>
        </w:rPr>
        <w:t xml:space="preserve"> </w:t>
      </w:r>
      <w:r w:rsidR="00B1298C">
        <w:rPr>
          <w:rFonts w:ascii="Palatino Linotype" w:hAnsi="Palatino Linotype"/>
          <w:sz w:val="24"/>
          <w:szCs w:val="24"/>
        </w:rPr>
        <w:t>0</w:t>
      </w:r>
      <w:r w:rsidRPr="003C7DB6">
        <w:rPr>
          <w:rFonts w:ascii="Palatino Linotype" w:hAnsi="Palatino Linotype"/>
          <w:sz w:val="24"/>
          <w:szCs w:val="24"/>
        </w:rPr>
        <w:t>.</w:t>
      </w:r>
      <w:r w:rsidR="00B1298C">
        <w:rPr>
          <w:rFonts w:ascii="Palatino Linotype" w:hAnsi="Palatino Linotype"/>
          <w:sz w:val="24"/>
          <w:szCs w:val="24"/>
        </w:rPr>
        <w:t>78</w:t>
      </w:r>
      <w:r w:rsidR="00834B27" w:rsidRPr="00834B27">
        <w:rPr>
          <w:rFonts w:ascii="Palatino Linotype" w:hAnsi="Palatino Linotype"/>
          <w:sz w:val="24"/>
          <w:szCs w:val="24"/>
        </w:rPr>
        <w:t xml:space="preserve">%, effective </w:t>
      </w:r>
      <w:r w:rsidR="00B1298C">
        <w:rPr>
          <w:rFonts w:ascii="Palatino Linotype" w:hAnsi="Palatino Linotype"/>
          <w:sz w:val="24"/>
          <w:szCs w:val="24"/>
        </w:rPr>
        <w:t>September</w:t>
      </w:r>
      <w:r w:rsidR="00834B27" w:rsidRPr="00834B27">
        <w:rPr>
          <w:rFonts w:ascii="Palatino Linotype" w:hAnsi="Palatino Linotype"/>
          <w:sz w:val="24"/>
          <w:szCs w:val="24"/>
        </w:rPr>
        <w:t xml:space="preserve"> 1,</w:t>
      </w:r>
      <w:r w:rsidRPr="003C7DB6">
        <w:rPr>
          <w:rFonts w:ascii="Palatino Linotype" w:hAnsi="Palatino Linotype"/>
          <w:sz w:val="24"/>
          <w:szCs w:val="24"/>
        </w:rPr>
        <w:t xml:space="preserve"> 2018</w:t>
      </w:r>
      <w:r w:rsidR="00834B27" w:rsidRPr="00834B27">
        <w:rPr>
          <w:rFonts w:ascii="Palatino Linotype" w:hAnsi="Palatino Linotype"/>
          <w:sz w:val="24"/>
          <w:szCs w:val="24"/>
        </w:rPr>
        <w:t xml:space="preserve">, is needed to </w:t>
      </w:r>
      <w:r w:rsidR="006B01AD">
        <w:rPr>
          <w:rFonts w:ascii="Palatino Linotype" w:hAnsi="Palatino Linotype"/>
          <w:sz w:val="24"/>
          <w:szCs w:val="24"/>
        </w:rPr>
        <w:t xml:space="preserve">reduce </w:t>
      </w:r>
      <w:proofErr w:type="gramStart"/>
      <w:r w:rsidR="006B01AD">
        <w:rPr>
          <w:rFonts w:ascii="Palatino Linotype" w:hAnsi="Palatino Linotype"/>
          <w:sz w:val="24"/>
          <w:szCs w:val="24"/>
        </w:rPr>
        <w:t>a</w:t>
      </w:r>
      <w:proofErr w:type="gramEnd"/>
      <w:r w:rsidR="006B01AD">
        <w:rPr>
          <w:rFonts w:ascii="Palatino Linotype" w:hAnsi="Palatino Linotype"/>
          <w:sz w:val="24"/>
          <w:szCs w:val="24"/>
        </w:rPr>
        <w:t xml:space="preserve"> unreasonably high cash </w:t>
      </w:r>
      <w:r w:rsidR="00DF783B">
        <w:rPr>
          <w:rFonts w:ascii="Palatino Linotype" w:hAnsi="Palatino Linotype"/>
          <w:sz w:val="24"/>
          <w:szCs w:val="24"/>
        </w:rPr>
        <w:t>balance for the program</w:t>
      </w:r>
      <w:r w:rsidR="00834B27" w:rsidRPr="00834B27">
        <w:rPr>
          <w:rFonts w:ascii="Palatino Linotype" w:hAnsi="Palatino Linotype"/>
          <w:sz w:val="24"/>
          <w:szCs w:val="24"/>
        </w:rPr>
        <w:t xml:space="preserve">.  </w:t>
      </w:r>
    </w:p>
    <w:p w:rsidR="00834B27" w:rsidRPr="00834B27" w:rsidRDefault="00834B27" w:rsidP="00E36C61">
      <w:pPr>
        <w:contextualSpacing/>
        <w:rPr>
          <w:rFonts w:ascii="Palatino Linotype" w:hAnsi="Palatino Linotype"/>
          <w:sz w:val="24"/>
          <w:szCs w:val="24"/>
          <w:highlight w:val="yellow"/>
        </w:rPr>
      </w:pPr>
    </w:p>
    <w:p w:rsidR="00834B27" w:rsidRPr="00834B27" w:rsidRDefault="00834B27" w:rsidP="00E36C61">
      <w:pPr>
        <w:numPr>
          <w:ilvl w:val="0"/>
          <w:numId w:val="24"/>
        </w:numPr>
        <w:contextualSpacing/>
        <w:rPr>
          <w:rFonts w:ascii="Palatino Linotype" w:hAnsi="Palatino Linotype"/>
          <w:sz w:val="24"/>
          <w:szCs w:val="24"/>
        </w:rPr>
      </w:pPr>
      <w:r w:rsidRPr="00834B27">
        <w:rPr>
          <w:rFonts w:ascii="Palatino Linotype" w:hAnsi="Palatino Linotype"/>
          <w:sz w:val="24"/>
          <w:szCs w:val="24"/>
        </w:rPr>
        <w:t>C</w:t>
      </w:r>
      <w:r w:rsidR="005B0470">
        <w:rPr>
          <w:rFonts w:ascii="Palatino Linotype" w:hAnsi="Palatino Linotype"/>
          <w:sz w:val="24"/>
          <w:szCs w:val="24"/>
        </w:rPr>
        <w:t xml:space="preserve">ommunication </w:t>
      </w:r>
      <w:r w:rsidRPr="00834B27">
        <w:rPr>
          <w:rFonts w:ascii="Palatino Linotype" w:hAnsi="Palatino Linotype"/>
          <w:sz w:val="24"/>
          <w:szCs w:val="24"/>
        </w:rPr>
        <w:t>D</w:t>
      </w:r>
      <w:r w:rsidR="005B0470">
        <w:rPr>
          <w:rFonts w:ascii="Palatino Linotype" w:hAnsi="Palatino Linotype"/>
          <w:sz w:val="24"/>
          <w:szCs w:val="24"/>
        </w:rPr>
        <w:t>ivision</w:t>
      </w:r>
      <w:r w:rsidRPr="00834B27">
        <w:rPr>
          <w:rFonts w:ascii="Palatino Linotype" w:hAnsi="Palatino Linotype"/>
          <w:sz w:val="24"/>
          <w:szCs w:val="24"/>
        </w:rPr>
        <w:t xml:space="preserve">’s proposal </w:t>
      </w:r>
      <w:r w:rsidR="003C7DB6" w:rsidRPr="003C7DB6">
        <w:rPr>
          <w:rFonts w:ascii="Palatino Linotype" w:hAnsi="Palatino Linotype"/>
          <w:sz w:val="24"/>
          <w:szCs w:val="24"/>
        </w:rPr>
        <w:t>of de</w:t>
      </w:r>
      <w:r w:rsidRPr="00834B27">
        <w:rPr>
          <w:rFonts w:ascii="Palatino Linotype" w:hAnsi="Palatino Linotype"/>
          <w:sz w:val="24"/>
          <w:szCs w:val="24"/>
        </w:rPr>
        <w:t>creasi</w:t>
      </w:r>
      <w:r w:rsidR="003C7DB6" w:rsidRPr="003C7DB6">
        <w:rPr>
          <w:rFonts w:ascii="Palatino Linotype" w:hAnsi="Palatino Linotype"/>
          <w:sz w:val="24"/>
          <w:szCs w:val="24"/>
        </w:rPr>
        <w:t xml:space="preserve">ng the CTF surcharge rate to </w:t>
      </w:r>
      <w:r w:rsidR="00B1298C">
        <w:rPr>
          <w:rFonts w:ascii="Palatino Linotype" w:hAnsi="Palatino Linotype"/>
          <w:sz w:val="24"/>
          <w:szCs w:val="24"/>
        </w:rPr>
        <w:t>0</w:t>
      </w:r>
      <w:r w:rsidR="003C7DB6" w:rsidRPr="003C7DB6">
        <w:rPr>
          <w:rFonts w:ascii="Palatino Linotype" w:hAnsi="Palatino Linotype"/>
          <w:sz w:val="24"/>
          <w:szCs w:val="24"/>
        </w:rPr>
        <w:t>.</w:t>
      </w:r>
      <w:r w:rsidR="00B1298C">
        <w:rPr>
          <w:rFonts w:ascii="Palatino Linotype" w:hAnsi="Palatino Linotype"/>
          <w:sz w:val="24"/>
          <w:szCs w:val="24"/>
        </w:rPr>
        <w:t>78</w:t>
      </w:r>
      <w:r w:rsidRPr="00834B27">
        <w:rPr>
          <w:rFonts w:ascii="Palatino Linotype" w:hAnsi="Palatino Linotype"/>
          <w:sz w:val="24"/>
          <w:szCs w:val="24"/>
        </w:rPr>
        <w:t xml:space="preserve">% effective </w:t>
      </w:r>
      <w:r w:rsidR="00B1298C">
        <w:rPr>
          <w:rFonts w:ascii="Palatino Linotype" w:hAnsi="Palatino Linotype"/>
          <w:sz w:val="24"/>
          <w:szCs w:val="24"/>
        </w:rPr>
        <w:t>September</w:t>
      </w:r>
      <w:r w:rsidRPr="00834B27">
        <w:rPr>
          <w:rFonts w:ascii="Palatino Linotype" w:hAnsi="Palatino Linotype"/>
          <w:sz w:val="24"/>
          <w:szCs w:val="24"/>
        </w:rPr>
        <w:t xml:space="preserve"> 1, 20</w:t>
      </w:r>
      <w:r w:rsidR="003C7DB6" w:rsidRPr="003C7DB6">
        <w:rPr>
          <w:rFonts w:ascii="Palatino Linotype" w:hAnsi="Palatino Linotype"/>
          <w:sz w:val="24"/>
          <w:szCs w:val="24"/>
        </w:rPr>
        <w:t>18</w:t>
      </w:r>
      <w:r w:rsidRPr="00834B27">
        <w:rPr>
          <w:rFonts w:ascii="Palatino Linotype" w:hAnsi="Palatino Linotype"/>
          <w:sz w:val="24"/>
          <w:szCs w:val="24"/>
        </w:rPr>
        <w:t xml:space="preserve"> is reasonable and should be adopted.</w:t>
      </w:r>
    </w:p>
    <w:p w:rsidR="00834B27" w:rsidRPr="00834B27" w:rsidRDefault="00834B27" w:rsidP="00E36C61">
      <w:pPr>
        <w:rPr>
          <w:rFonts w:ascii="Palatino Linotype" w:hAnsi="Palatino Linotype"/>
          <w:sz w:val="24"/>
          <w:szCs w:val="24"/>
          <w:highlight w:val="yellow"/>
        </w:rPr>
      </w:pPr>
    </w:p>
    <w:p w:rsidR="00834B27" w:rsidRPr="00834B27" w:rsidRDefault="00834B27" w:rsidP="00E36C61">
      <w:pPr>
        <w:numPr>
          <w:ilvl w:val="0"/>
          <w:numId w:val="24"/>
        </w:numPr>
        <w:contextualSpacing/>
        <w:rPr>
          <w:rFonts w:ascii="Palatino Linotype" w:hAnsi="Palatino Linotype"/>
          <w:sz w:val="24"/>
          <w:szCs w:val="24"/>
        </w:rPr>
      </w:pPr>
      <w:r w:rsidRPr="00834B27">
        <w:rPr>
          <w:rFonts w:ascii="Palatino Linotype" w:hAnsi="Palatino Linotype"/>
          <w:sz w:val="24"/>
          <w:szCs w:val="24"/>
        </w:rPr>
        <w:t xml:space="preserve">All telecommunications carriers and interconnected VoIP service providers should revise the CTF surcharge rate assessed on end-user intrastate telecommunications service revenues to </w:t>
      </w:r>
      <w:r w:rsidR="00484FBF">
        <w:rPr>
          <w:rFonts w:ascii="Palatino Linotype" w:hAnsi="Palatino Linotype"/>
          <w:sz w:val="24"/>
          <w:szCs w:val="24"/>
        </w:rPr>
        <w:t>0</w:t>
      </w:r>
      <w:r w:rsidR="00F86082" w:rsidRPr="00F86082">
        <w:rPr>
          <w:rFonts w:ascii="Palatino Linotype" w:hAnsi="Palatino Linotype"/>
          <w:sz w:val="24"/>
          <w:szCs w:val="24"/>
        </w:rPr>
        <w:t>.</w:t>
      </w:r>
      <w:r w:rsidR="003D3A20">
        <w:rPr>
          <w:rFonts w:ascii="Palatino Linotype" w:hAnsi="Palatino Linotype"/>
          <w:sz w:val="24"/>
          <w:szCs w:val="24"/>
        </w:rPr>
        <w:t>78</w:t>
      </w:r>
      <w:r w:rsidRPr="00834B27">
        <w:rPr>
          <w:rFonts w:ascii="Palatino Linotype" w:hAnsi="Palatino Linotype"/>
          <w:sz w:val="24"/>
          <w:szCs w:val="24"/>
        </w:rPr>
        <w:t xml:space="preserve">% beginning on </w:t>
      </w:r>
      <w:r w:rsidR="003D3A20">
        <w:rPr>
          <w:rFonts w:ascii="Palatino Linotype" w:hAnsi="Palatino Linotype"/>
          <w:sz w:val="24"/>
          <w:szCs w:val="24"/>
        </w:rPr>
        <w:t>September</w:t>
      </w:r>
      <w:r w:rsidRPr="00834B27">
        <w:rPr>
          <w:rFonts w:ascii="Palatino Linotype" w:hAnsi="Palatino Linotype"/>
          <w:sz w:val="24"/>
          <w:szCs w:val="24"/>
        </w:rPr>
        <w:t xml:space="preserve"> 1</w:t>
      </w:r>
      <w:r w:rsidR="00F86082" w:rsidRPr="00F86082">
        <w:rPr>
          <w:rFonts w:ascii="Palatino Linotype" w:hAnsi="Palatino Linotype"/>
          <w:sz w:val="24"/>
          <w:szCs w:val="24"/>
        </w:rPr>
        <w:t>, 2018</w:t>
      </w:r>
      <w:r w:rsidRPr="00834B27">
        <w:rPr>
          <w:rFonts w:ascii="Palatino Linotype" w:hAnsi="Palatino Linotype"/>
          <w:sz w:val="24"/>
          <w:szCs w:val="24"/>
        </w:rPr>
        <w:t>, and thereafter, or until otherwise directed by the Commission.</w:t>
      </w:r>
    </w:p>
    <w:p w:rsidR="00834B27" w:rsidRPr="00834B27" w:rsidRDefault="00834B27" w:rsidP="00E36C61">
      <w:pPr>
        <w:contextualSpacing/>
        <w:rPr>
          <w:rFonts w:ascii="Palatino Linotype" w:hAnsi="Palatino Linotype"/>
          <w:sz w:val="24"/>
          <w:szCs w:val="24"/>
          <w:highlight w:val="yellow"/>
        </w:rPr>
      </w:pPr>
    </w:p>
    <w:p w:rsidR="00834B27" w:rsidRPr="00834B27" w:rsidRDefault="00834B27" w:rsidP="00E36C61">
      <w:pPr>
        <w:numPr>
          <w:ilvl w:val="0"/>
          <w:numId w:val="24"/>
        </w:numPr>
        <w:contextualSpacing/>
        <w:rPr>
          <w:rFonts w:ascii="Palatino Linotype" w:hAnsi="Palatino Linotype"/>
          <w:sz w:val="24"/>
          <w:szCs w:val="24"/>
        </w:rPr>
      </w:pPr>
      <w:r w:rsidRPr="00834B27">
        <w:rPr>
          <w:rFonts w:ascii="Palatino Linotype" w:hAnsi="Palatino Linotype"/>
          <w:sz w:val="24"/>
          <w:szCs w:val="24"/>
        </w:rPr>
        <w:t xml:space="preserve">In accordance with Resolution T-16901, dated December 2, 2004, AT&amp;T should file an advice letter by </w:t>
      </w:r>
      <w:r w:rsidR="004C25E8" w:rsidRPr="00517F06">
        <w:rPr>
          <w:rFonts w:ascii="Palatino Linotype" w:hAnsi="Palatino Linotype"/>
          <w:sz w:val="24"/>
          <w:szCs w:val="24"/>
        </w:rPr>
        <w:t>August</w:t>
      </w:r>
      <w:r w:rsidR="00F86082" w:rsidRPr="00517F06">
        <w:rPr>
          <w:rFonts w:ascii="Palatino Linotype" w:hAnsi="Palatino Linotype"/>
          <w:sz w:val="24"/>
          <w:szCs w:val="24"/>
        </w:rPr>
        <w:t xml:space="preserve"> 1, 2018</w:t>
      </w:r>
      <w:r w:rsidRPr="00834B27">
        <w:rPr>
          <w:rFonts w:ascii="Palatino Linotype" w:hAnsi="Palatino Linotype"/>
          <w:sz w:val="24"/>
          <w:szCs w:val="24"/>
        </w:rPr>
        <w:t xml:space="preserve">, modifying </w:t>
      </w:r>
      <w:r w:rsidR="00F86082" w:rsidRPr="00F86082">
        <w:rPr>
          <w:rFonts w:ascii="Palatino Linotype" w:hAnsi="Palatino Linotype"/>
          <w:sz w:val="24"/>
          <w:szCs w:val="24"/>
        </w:rPr>
        <w:t>the CTF surcharge rate from 1.08</w:t>
      </w:r>
      <w:r w:rsidRPr="00834B27">
        <w:rPr>
          <w:rFonts w:ascii="Palatino Linotype" w:hAnsi="Palatino Linotype"/>
          <w:sz w:val="24"/>
          <w:szCs w:val="24"/>
        </w:rPr>
        <w:t xml:space="preserve">% to </w:t>
      </w:r>
      <w:r w:rsidR="00484FBF">
        <w:rPr>
          <w:rFonts w:ascii="Palatino Linotype" w:hAnsi="Palatino Linotype"/>
          <w:sz w:val="24"/>
          <w:szCs w:val="24"/>
        </w:rPr>
        <w:t>0</w:t>
      </w:r>
      <w:r w:rsidR="00F86082" w:rsidRPr="00F86082">
        <w:rPr>
          <w:rFonts w:ascii="Palatino Linotype" w:hAnsi="Palatino Linotype"/>
          <w:sz w:val="24"/>
          <w:szCs w:val="24"/>
        </w:rPr>
        <w:t>.</w:t>
      </w:r>
      <w:r w:rsidR="003D3A20">
        <w:rPr>
          <w:rFonts w:ascii="Palatino Linotype" w:hAnsi="Palatino Linotype"/>
          <w:sz w:val="24"/>
          <w:szCs w:val="24"/>
        </w:rPr>
        <w:t>78</w:t>
      </w:r>
      <w:r w:rsidRPr="00834B27">
        <w:rPr>
          <w:rFonts w:ascii="Palatino Linotype" w:hAnsi="Palatino Linotype"/>
          <w:sz w:val="24"/>
          <w:szCs w:val="24"/>
        </w:rPr>
        <w:t>%, until further revised by the Commission.</w:t>
      </w:r>
    </w:p>
    <w:p w:rsidR="00834B27" w:rsidRPr="00834B27" w:rsidRDefault="00834B27" w:rsidP="00E36C61">
      <w:pPr>
        <w:ind w:left="720"/>
        <w:contextualSpacing/>
        <w:rPr>
          <w:rFonts w:ascii="Palatino Linotype" w:hAnsi="Palatino Linotype"/>
          <w:sz w:val="24"/>
          <w:szCs w:val="24"/>
        </w:rPr>
      </w:pPr>
    </w:p>
    <w:p w:rsidR="00834B27" w:rsidRPr="00834B27" w:rsidRDefault="00834B27" w:rsidP="00E36C61">
      <w:pPr>
        <w:numPr>
          <w:ilvl w:val="0"/>
          <w:numId w:val="24"/>
        </w:numPr>
        <w:contextualSpacing/>
        <w:rPr>
          <w:rFonts w:ascii="Palatino Linotype" w:hAnsi="Palatino Linotype"/>
          <w:sz w:val="24"/>
          <w:szCs w:val="24"/>
        </w:rPr>
      </w:pPr>
      <w:r w:rsidRPr="00834B27">
        <w:rPr>
          <w:rFonts w:ascii="Palatino Linotype" w:hAnsi="Palatino Linotype"/>
          <w:sz w:val="24"/>
          <w:szCs w:val="24"/>
        </w:rPr>
        <w:t xml:space="preserve"> In compliance with P</w:t>
      </w:r>
      <w:r w:rsidR="005B0470">
        <w:rPr>
          <w:rFonts w:ascii="Palatino Linotype" w:hAnsi="Palatino Linotype"/>
          <w:sz w:val="24"/>
          <w:szCs w:val="24"/>
        </w:rPr>
        <w:t xml:space="preserve">ublic </w:t>
      </w:r>
      <w:r w:rsidRPr="00834B27">
        <w:rPr>
          <w:rFonts w:ascii="Palatino Linotype" w:hAnsi="Palatino Linotype"/>
          <w:sz w:val="24"/>
          <w:szCs w:val="24"/>
        </w:rPr>
        <w:t>U</w:t>
      </w:r>
      <w:r w:rsidR="005B0470">
        <w:rPr>
          <w:rFonts w:ascii="Palatino Linotype" w:hAnsi="Palatino Linotype"/>
          <w:sz w:val="24"/>
          <w:szCs w:val="24"/>
        </w:rPr>
        <w:t>tility</w:t>
      </w:r>
      <w:r w:rsidRPr="00834B27">
        <w:rPr>
          <w:rFonts w:ascii="Palatino Linotype" w:hAnsi="Palatino Linotype"/>
          <w:sz w:val="24"/>
          <w:szCs w:val="24"/>
        </w:rPr>
        <w:t xml:space="preserve"> Code § 311 (g), the Commission e-mailed on</w:t>
      </w:r>
      <w:r w:rsidR="003D070D">
        <w:rPr>
          <w:rFonts w:ascii="Palatino Linotype" w:hAnsi="Palatino Linotype"/>
          <w:sz w:val="24"/>
          <w:szCs w:val="24"/>
        </w:rPr>
        <w:t xml:space="preserve"> </w:t>
      </w:r>
      <w:r w:rsidR="004C25E8" w:rsidRPr="00517F06">
        <w:rPr>
          <w:rFonts w:ascii="Palatino Linotype" w:hAnsi="Palatino Linotype"/>
          <w:sz w:val="24"/>
          <w:szCs w:val="24"/>
        </w:rPr>
        <w:t>June</w:t>
      </w:r>
      <w:r w:rsidR="003D070D" w:rsidRPr="00517F06">
        <w:rPr>
          <w:rFonts w:ascii="Palatino Linotype" w:hAnsi="Palatino Linotype"/>
          <w:sz w:val="24"/>
          <w:szCs w:val="24"/>
        </w:rPr>
        <w:t xml:space="preserve"> </w:t>
      </w:r>
      <w:r w:rsidR="00063111">
        <w:rPr>
          <w:rFonts w:ascii="Palatino Linotype" w:hAnsi="Palatino Linotype"/>
          <w:sz w:val="24"/>
          <w:szCs w:val="24"/>
        </w:rPr>
        <w:t>2</w:t>
      </w:r>
      <w:r w:rsidR="004C25E8" w:rsidRPr="00517F06">
        <w:rPr>
          <w:rFonts w:ascii="Palatino Linotype" w:hAnsi="Palatino Linotype"/>
          <w:sz w:val="24"/>
          <w:szCs w:val="24"/>
        </w:rPr>
        <w:t>2</w:t>
      </w:r>
      <w:r w:rsidR="00A868F5" w:rsidRPr="00517F06">
        <w:rPr>
          <w:rFonts w:ascii="Palatino Linotype" w:hAnsi="Palatino Linotype"/>
          <w:sz w:val="24"/>
          <w:szCs w:val="24"/>
        </w:rPr>
        <w:t>, 2018</w:t>
      </w:r>
      <w:r w:rsidRPr="00834B27">
        <w:rPr>
          <w:rFonts w:ascii="Palatino Linotype" w:hAnsi="Palatino Linotype"/>
          <w:sz w:val="24"/>
          <w:szCs w:val="24"/>
        </w:rPr>
        <w:t>, a notice letter informing all telecommunications carriers, members of the CTF</w:t>
      </w:r>
      <w:r w:rsidR="005B0470">
        <w:rPr>
          <w:rFonts w:ascii="Palatino Linotype" w:hAnsi="Palatino Linotype"/>
          <w:sz w:val="24"/>
          <w:szCs w:val="24"/>
        </w:rPr>
        <w:t xml:space="preserve"> </w:t>
      </w:r>
      <w:r w:rsidRPr="00834B27">
        <w:rPr>
          <w:rFonts w:ascii="Palatino Linotype" w:hAnsi="Palatino Linotype"/>
          <w:sz w:val="24"/>
          <w:szCs w:val="24"/>
        </w:rPr>
        <w:t>A</w:t>
      </w:r>
      <w:r w:rsidR="005B0470">
        <w:rPr>
          <w:rFonts w:ascii="Palatino Linotype" w:hAnsi="Palatino Linotype"/>
          <w:sz w:val="24"/>
          <w:szCs w:val="24"/>
        </w:rPr>
        <w:t xml:space="preserve">dministrative </w:t>
      </w:r>
      <w:r w:rsidRPr="00834B27">
        <w:rPr>
          <w:rFonts w:ascii="Palatino Linotype" w:hAnsi="Palatino Linotype"/>
          <w:sz w:val="24"/>
          <w:szCs w:val="24"/>
        </w:rPr>
        <w:t>C</w:t>
      </w:r>
      <w:r w:rsidR="005B0470">
        <w:rPr>
          <w:rFonts w:ascii="Palatino Linotype" w:hAnsi="Palatino Linotype"/>
          <w:sz w:val="24"/>
          <w:szCs w:val="24"/>
        </w:rPr>
        <w:t>ommittee</w:t>
      </w:r>
      <w:r w:rsidRPr="00834B27">
        <w:rPr>
          <w:rFonts w:ascii="Palatino Linotype" w:hAnsi="Palatino Linotype"/>
          <w:sz w:val="24"/>
          <w:szCs w:val="24"/>
        </w:rPr>
        <w:t>, and the parties of record in R</w:t>
      </w:r>
      <w:r w:rsidR="00DD40D4">
        <w:rPr>
          <w:rFonts w:ascii="Palatino Linotype" w:hAnsi="Palatino Linotype"/>
          <w:sz w:val="24"/>
          <w:szCs w:val="24"/>
        </w:rPr>
        <w:t xml:space="preserve">ulemaking </w:t>
      </w:r>
      <w:r w:rsidRPr="00834B27">
        <w:rPr>
          <w:rFonts w:ascii="Palatino Linotype" w:hAnsi="Palatino Linotype"/>
          <w:sz w:val="24"/>
          <w:szCs w:val="24"/>
        </w:rPr>
        <w:t>13-01-010 of the availability of this draft resolution for comment, as well as the availability of th</w:t>
      </w:r>
      <w:r w:rsidR="00063111">
        <w:rPr>
          <w:rFonts w:ascii="Palatino Linotype" w:hAnsi="Palatino Linotype"/>
          <w:sz w:val="24"/>
          <w:szCs w:val="24"/>
        </w:rPr>
        <w:t>is draft</w:t>
      </w:r>
      <w:r w:rsidRPr="00834B27">
        <w:rPr>
          <w:rFonts w:ascii="Palatino Linotype" w:hAnsi="Palatino Linotype"/>
          <w:sz w:val="24"/>
          <w:szCs w:val="24"/>
        </w:rPr>
        <w:t xml:space="preserve"> resolution on the Commission website at </w:t>
      </w:r>
      <w:hyperlink r:id="rId13" w:history="1">
        <w:r w:rsidRPr="00834B27">
          <w:rPr>
            <w:rFonts w:ascii="Palatino Linotype" w:hAnsi="Palatino Linotype"/>
            <w:color w:val="0000FF" w:themeColor="hyperlink"/>
            <w:sz w:val="24"/>
            <w:szCs w:val="24"/>
            <w:u w:val="single"/>
          </w:rPr>
          <w:t>www.cpuc.ca.gov</w:t>
        </w:r>
      </w:hyperlink>
      <w:r w:rsidRPr="00834B27">
        <w:rPr>
          <w:rFonts w:ascii="Palatino Linotype" w:hAnsi="Palatino Linotype"/>
          <w:sz w:val="24"/>
          <w:szCs w:val="24"/>
        </w:rPr>
        <w:t xml:space="preserve">. </w:t>
      </w:r>
    </w:p>
    <w:p w:rsidR="00834B27" w:rsidRPr="00834B27" w:rsidRDefault="00834B27" w:rsidP="00E36C61">
      <w:pPr>
        <w:ind w:left="720"/>
        <w:contextualSpacing/>
        <w:rPr>
          <w:rFonts w:ascii="Palatino Linotype" w:hAnsi="Palatino Linotype"/>
          <w:sz w:val="24"/>
          <w:szCs w:val="24"/>
        </w:rPr>
      </w:pPr>
    </w:p>
    <w:p w:rsidR="00834B27" w:rsidRPr="00834B27" w:rsidRDefault="0084600C" w:rsidP="00E36C61">
      <w:pPr>
        <w:numPr>
          <w:ilvl w:val="0"/>
          <w:numId w:val="24"/>
        </w:numPr>
        <w:contextualSpacing/>
        <w:rPr>
          <w:rFonts w:ascii="Palatino Linotype" w:hAnsi="Palatino Linotype"/>
          <w:sz w:val="24"/>
          <w:szCs w:val="24"/>
        </w:rPr>
      </w:pPr>
      <w:r>
        <w:rPr>
          <w:rFonts w:ascii="Palatino Linotype" w:hAnsi="Palatino Linotype"/>
          <w:sz w:val="24"/>
          <w:szCs w:val="24"/>
        </w:rPr>
        <w:t xml:space="preserve">Comments are due </w:t>
      </w:r>
      <w:r w:rsidR="00063111">
        <w:rPr>
          <w:rFonts w:ascii="Palatino Linotype" w:hAnsi="Palatino Linotype"/>
          <w:sz w:val="24"/>
          <w:szCs w:val="24"/>
        </w:rPr>
        <w:t xml:space="preserve">on or before </w:t>
      </w:r>
      <w:r w:rsidR="004C25E8" w:rsidRPr="00517F06">
        <w:rPr>
          <w:rFonts w:ascii="Palatino Linotype" w:hAnsi="Palatino Linotype"/>
          <w:sz w:val="24"/>
          <w:szCs w:val="24"/>
        </w:rPr>
        <w:t>July</w:t>
      </w:r>
      <w:r w:rsidRPr="00517F06">
        <w:rPr>
          <w:rFonts w:ascii="Palatino Linotype" w:hAnsi="Palatino Linotype"/>
          <w:sz w:val="24"/>
          <w:szCs w:val="24"/>
        </w:rPr>
        <w:t xml:space="preserve"> </w:t>
      </w:r>
      <w:r w:rsidR="00063111">
        <w:rPr>
          <w:rFonts w:ascii="Palatino Linotype" w:hAnsi="Palatino Linotype"/>
          <w:sz w:val="24"/>
          <w:szCs w:val="24"/>
        </w:rPr>
        <w:t>23</w:t>
      </w:r>
      <w:r w:rsidRPr="00517F06">
        <w:rPr>
          <w:rFonts w:ascii="Palatino Linotype" w:hAnsi="Palatino Linotype"/>
          <w:sz w:val="24"/>
          <w:szCs w:val="24"/>
        </w:rPr>
        <w:t>, 2018</w:t>
      </w:r>
      <w:r w:rsidR="00834B27" w:rsidRPr="00834B27">
        <w:rPr>
          <w:rFonts w:ascii="Palatino Linotype" w:hAnsi="Palatino Linotype"/>
          <w:sz w:val="24"/>
          <w:szCs w:val="24"/>
        </w:rPr>
        <w:t>.</w:t>
      </w:r>
    </w:p>
    <w:p w:rsidR="00834B27" w:rsidRPr="00834B27" w:rsidRDefault="00834B27" w:rsidP="00E36C61">
      <w:pPr>
        <w:ind w:left="720"/>
        <w:contextualSpacing/>
        <w:rPr>
          <w:rFonts w:ascii="Palatino Linotype" w:hAnsi="Palatino Linotype"/>
        </w:rPr>
      </w:pPr>
    </w:p>
    <w:p w:rsidR="00834B27" w:rsidRPr="00834B27" w:rsidRDefault="00834B27" w:rsidP="00E36C61">
      <w:pPr>
        <w:rPr>
          <w:rFonts w:ascii="Palatino Linotype" w:hAnsi="Palatino Linotype"/>
          <w:sz w:val="24"/>
          <w:szCs w:val="24"/>
        </w:rPr>
      </w:pPr>
    </w:p>
    <w:p w:rsidR="00834B27" w:rsidRPr="00834B27" w:rsidRDefault="00834B27" w:rsidP="00E36C61">
      <w:pPr>
        <w:rPr>
          <w:rFonts w:ascii="Palatino Linotype" w:hAnsi="Palatino Linotype"/>
          <w:sz w:val="24"/>
          <w:szCs w:val="24"/>
        </w:rPr>
      </w:pPr>
      <w:r w:rsidRPr="00834B27">
        <w:rPr>
          <w:rFonts w:ascii="Palatino Linotype" w:hAnsi="Palatino Linotype"/>
          <w:sz w:val="24"/>
          <w:szCs w:val="24"/>
        </w:rPr>
        <w:t>THEREFORE, IT IS ORDERED that:</w:t>
      </w:r>
    </w:p>
    <w:p w:rsidR="00834B27" w:rsidRPr="00834B27" w:rsidRDefault="00834B27" w:rsidP="00E36C61">
      <w:pPr>
        <w:rPr>
          <w:rFonts w:ascii="Palatino Linotype" w:hAnsi="Palatino Linotype"/>
        </w:rPr>
      </w:pPr>
    </w:p>
    <w:p w:rsidR="00834B27" w:rsidRPr="00834B27" w:rsidRDefault="00834B27" w:rsidP="00E36C61">
      <w:pPr>
        <w:numPr>
          <w:ilvl w:val="0"/>
          <w:numId w:val="25"/>
        </w:numPr>
        <w:contextualSpacing/>
        <w:rPr>
          <w:rFonts w:ascii="Palatino Linotype" w:hAnsi="Palatino Linotype"/>
          <w:sz w:val="24"/>
          <w:szCs w:val="24"/>
        </w:rPr>
      </w:pPr>
      <w:r w:rsidRPr="00834B27">
        <w:rPr>
          <w:rFonts w:ascii="Palatino Linotype" w:hAnsi="Palatino Linotype"/>
          <w:sz w:val="24"/>
          <w:szCs w:val="24"/>
        </w:rPr>
        <w:t xml:space="preserve">The California </w:t>
      </w:r>
      <w:proofErr w:type="spellStart"/>
      <w:r w:rsidRPr="00834B27">
        <w:rPr>
          <w:rFonts w:ascii="Palatino Linotype" w:hAnsi="Palatino Linotype"/>
          <w:sz w:val="24"/>
          <w:szCs w:val="24"/>
        </w:rPr>
        <w:t>Teleconnect</w:t>
      </w:r>
      <w:proofErr w:type="spellEnd"/>
      <w:r w:rsidRPr="00834B27">
        <w:rPr>
          <w:rFonts w:ascii="Palatino Linotype" w:hAnsi="Palatino Linotype"/>
          <w:sz w:val="24"/>
          <w:szCs w:val="24"/>
        </w:rPr>
        <w:t xml:space="preserve"> Fund surcharge rate of </w:t>
      </w:r>
      <w:r w:rsidR="00484FBF">
        <w:rPr>
          <w:rFonts w:ascii="Palatino Linotype" w:hAnsi="Palatino Linotype"/>
          <w:sz w:val="24"/>
          <w:szCs w:val="24"/>
        </w:rPr>
        <w:t>0</w:t>
      </w:r>
      <w:r w:rsidR="00F86082">
        <w:rPr>
          <w:rFonts w:ascii="Palatino Linotype" w:hAnsi="Palatino Linotype"/>
          <w:sz w:val="24"/>
          <w:szCs w:val="24"/>
        </w:rPr>
        <w:t>.</w:t>
      </w:r>
      <w:r w:rsidR="003D3A20">
        <w:rPr>
          <w:rFonts w:ascii="Palatino Linotype" w:hAnsi="Palatino Linotype"/>
          <w:sz w:val="24"/>
          <w:szCs w:val="24"/>
        </w:rPr>
        <w:t>78</w:t>
      </w:r>
      <w:r w:rsidRPr="00834B27">
        <w:rPr>
          <w:rFonts w:ascii="Palatino Linotype" w:hAnsi="Palatino Linotype"/>
          <w:sz w:val="24"/>
          <w:szCs w:val="24"/>
        </w:rPr>
        <w:t xml:space="preserve">%, effective </w:t>
      </w:r>
      <w:r w:rsidR="003D3A20">
        <w:rPr>
          <w:rFonts w:ascii="Palatino Linotype" w:hAnsi="Palatino Linotype"/>
          <w:sz w:val="24"/>
          <w:szCs w:val="24"/>
        </w:rPr>
        <w:t>September</w:t>
      </w:r>
      <w:r w:rsidRPr="00834B27">
        <w:rPr>
          <w:rFonts w:ascii="Palatino Linotype" w:hAnsi="Palatino Linotype"/>
          <w:sz w:val="24"/>
          <w:szCs w:val="24"/>
        </w:rPr>
        <w:t xml:space="preserve"> 1</w:t>
      </w:r>
      <w:r w:rsidR="00F86082">
        <w:rPr>
          <w:rFonts w:ascii="Palatino Linotype" w:hAnsi="Palatino Linotype"/>
          <w:sz w:val="24"/>
          <w:szCs w:val="24"/>
        </w:rPr>
        <w:t>, 2018</w:t>
      </w:r>
      <w:r w:rsidRPr="00834B27">
        <w:rPr>
          <w:rFonts w:ascii="Palatino Linotype" w:hAnsi="Palatino Linotype"/>
          <w:sz w:val="24"/>
          <w:szCs w:val="24"/>
        </w:rPr>
        <w:t xml:space="preserve"> and thereafter, until further revised by the </w:t>
      </w:r>
      <w:r w:rsidR="005B0470">
        <w:rPr>
          <w:rFonts w:ascii="Palatino Linotype" w:hAnsi="Palatino Linotype"/>
          <w:sz w:val="24"/>
          <w:szCs w:val="24"/>
        </w:rPr>
        <w:t xml:space="preserve">California Public Utilities </w:t>
      </w:r>
      <w:r w:rsidRPr="00834B27">
        <w:rPr>
          <w:rFonts w:ascii="Palatino Linotype" w:hAnsi="Palatino Linotype"/>
          <w:sz w:val="24"/>
          <w:szCs w:val="24"/>
        </w:rPr>
        <w:t>Commission, is adopted.</w:t>
      </w:r>
    </w:p>
    <w:p w:rsidR="00834B27" w:rsidRPr="00834B27" w:rsidRDefault="00834B27" w:rsidP="00E36C61">
      <w:pPr>
        <w:ind w:left="720"/>
        <w:contextualSpacing/>
        <w:rPr>
          <w:rFonts w:ascii="Palatino Linotype" w:hAnsi="Palatino Linotype"/>
          <w:sz w:val="24"/>
          <w:szCs w:val="24"/>
        </w:rPr>
      </w:pPr>
    </w:p>
    <w:p w:rsidR="00834B27" w:rsidRPr="00834B27" w:rsidRDefault="00834B27" w:rsidP="00E36C61">
      <w:pPr>
        <w:numPr>
          <w:ilvl w:val="0"/>
          <w:numId w:val="25"/>
        </w:numPr>
        <w:contextualSpacing/>
        <w:rPr>
          <w:rFonts w:ascii="Palatino Linotype" w:hAnsi="Palatino Linotype"/>
          <w:sz w:val="24"/>
          <w:szCs w:val="24"/>
        </w:rPr>
      </w:pPr>
      <w:r w:rsidRPr="00834B27">
        <w:rPr>
          <w:rFonts w:ascii="Palatino Linotype" w:hAnsi="Palatino Linotype"/>
          <w:sz w:val="24"/>
          <w:szCs w:val="24"/>
        </w:rPr>
        <w:lastRenderedPageBreak/>
        <w:t xml:space="preserve">AT&amp;T shall file an Advice Letter on or </w:t>
      </w:r>
      <w:r w:rsidRPr="00517F06">
        <w:rPr>
          <w:rFonts w:ascii="Palatino Linotype" w:hAnsi="Palatino Linotype"/>
          <w:sz w:val="24"/>
          <w:szCs w:val="24"/>
        </w:rPr>
        <w:t xml:space="preserve">before </w:t>
      </w:r>
      <w:r w:rsidR="009D3D46" w:rsidRPr="00517F06">
        <w:rPr>
          <w:rFonts w:ascii="Palatino Linotype" w:hAnsi="Palatino Linotype"/>
          <w:sz w:val="24"/>
          <w:szCs w:val="24"/>
        </w:rPr>
        <w:t>August</w:t>
      </w:r>
      <w:r w:rsidR="00F86082" w:rsidRPr="00517F06">
        <w:rPr>
          <w:rFonts w:ascii="Palatino Linotype" w:hAnsi="Palatino Linotype"/>
          <w:sz w:val="24"/>
          <w:szCs w:val="24"/>
        </w:rPr>
        <w:t xml:space="preserve"> </w:t>
      </w:r>
      <w:r w:rsidR="00FA66F6" w:rsidRPr="00517F06">
        <w:rPr>
          <w:rFonts w:ascii="Palatino Linotype" w:hAnsi="Palatino Linotype"/>
          <w:sz w:val="24"/>
          <w:szCs w:val="24"/>
        </w:rPr>
        <w:t>1</w:t>
      </w:r>
      <w:r w:rsidR="00F86082" w:rsidRPr="00517F06">
        <w:rPr>
          <w:rFonts w:ascii="Palatino Linotype" w:hAnsi="Palatino Linotype"/>
          <w:sz w:val="24"/>
          <w:szCs w:val="24"/>
        </w:rPr>
        <w:t>, 2018</w:t>
      </w:r>
      <w:r w:rsidRPr="00834B27">
        <w:rPr>
          <w:rFonts w:ascii="Palatino Linotype" w:hAnsi="Palatino Linotype"/>
          <w:sz w:val="24"/>
          <w:szCs w:val="24"/>
        </w:rPr>
        <w:t xml:space="preserve">, modifying the surcharge rate for the </w:t>
      </w:r>
      <w:r w:rsidR="00DD40D4">
        <w:rPr>
          <w:rFonts w:ascii="Palatino Linotype" w:hAnsi="Palatino Linotype"/>
          <w:sz w:val="24"/>
          <w:szCs w:val="24"/>
        </w:rPr>
        <w:t xml:space="preserve">California </w:t>
      </w:r>
      <w:proofErr w:type="spellStart"/>
      <w:r w:rsidR="00DD40D4">
        <w:rPr>
          <w:rFonts w:ascii="Palatino Linotype" w:hAnsi="Palatino Linotype"/>
          <w:sz w:val="24"/>
          <w:szCs w:val="24"/>
        </w:rPr>
        <w:t>Teleconnet</w:t>
      </w:r>
      <w:proofErr w:type="spellEnd"/>
      <w:r w:rsidR="00DD40D4">
        <w:rPr>
          <w:rFonts w:ascii="Palatino Linotype" w:hAnsi="Palatino Linotype"/>
          <w:sz w:val="24"/>
          <w:szCs w:val="24"/>
        </w:rPr>
        <w:t xml:space="preserve"> Fund </w:t>
      </w:r>
      <w:r w:rsidRPr="00834B27">
        <w:rPr>
          <w:rFonts w:ascii="Palatino Linotype" w:hAnsi="Palatino Linotype"/>
          <w:sz w:val="24"/>
          <w:szCs w:val="24"/>
        </w:rPr>
        <w:t>fr</w:t>
      </w:r>
      <w:r w:rsidR="00F86082">
        <w:rPr>
          <w:rFonts w:ascii="Palatino Linotype" w:hAnsi="Palatino Linotype"/>
          <w:sz w:val="24"/>
          <w:szCs w:val="24"/>
        </w:rPr>
        <w:t>om 1.08</w:t>
      </w:r>
      <w:r w:rsidRPr="00834B27">
        <w:rPr>
          <w:rFonts w:ascii="Palatino Linotype" w:hAnsi="Palatino Linotype"/>
          <w:sz w:val="24"/>
          <w:szCs w:val="24"/>
        </w:rPr>
        <w:t xml:space="preserve">% to </w:t>
      </w:r>
      <w:r w:rsidR="00484FBF">
        <w:rPr>
          <w:rFonts w:ascii="Palatino Linotype" w:hAnsi="Palatino Linotype"/>
          <w:sz w:val="24"/>
          <w:szCs w:val="24"/>
        </w:rPr>
        <w:t>0</w:t>
      </w:r>
      <w:r w:rsidR="00F86082">
        <w:rPr>
          <w:rFonts w:ascii="Palatino Linotype" w:hAnsi="Palatino Linotype"/>
          <w:sz w:val="24"/>
          <w:szCs w:val="24"/>
        </w:rPr>
        <w:t>.</w:t>
      </w:r>
      <w:r w:rsidR="003D3A20">
        <w:rPr>
          <w:rFonts w:ascii="Palatino Linotype" w:hAnsi="Palatino Linotype"/>
          <w:sz w:val="24"/>
          <w:szCs w:val="24"/>
        </w:rPr>
        <w:t>78</w:t>
      </w:r>
      <w:r w:rsidRPr="00834B27">
        <w:rPr>
          <w:rFonts w:ascii="Palatino Linotype" w:hAnsi="Palatino Linotype"/>
          <w:sz w:val="24"/>
          <w:szCs w:val="24"/>
        </w:rPr>
        <w:t xml:space="preserve">%, effective, </w:t>
      </w:r>
      <w:r w:rsidR="003D3A20">
        <w:rPr>
          <w:rFonts w:ascii="Palatino Linotype" w:hAnsi="Palatino Linotype"/>
          <w:sz w:val="24"/>
          <w:szCs w:val="24"/>
        </w:rPr>
        <w:t>September</w:t>
      </w:r>
      <w:r w:rsidRPr="00834B27">
        <w:rPr>
          <w:rFonts w:ascii="Palatino Linotype" w:hAnsi="Palatino Linotype"/>
          <w:sz w:val="24"/>
          <w:szCs w:val="24"/>
        </w:rPr>
        <w:t xml:space="preserve"> 1, </w:t>
      </w:r>
      <w:r w:rsidR="00F86082">
        <w:rPr>
          <w:rFonts w:ascii="Palatino Linotype" w:hAnsi="Palatino Linotype"/>
          <w:sz w:val="24"/>
          <w:szCs w:val="24"/>
        </w:rPr>
        <w:t>2018</w:t>
      </w:r>
      <w:r w:rsidRPr="00834B27">
        <w:rPr>
          <w:rFonts w:ascii="Palatino Linotype" w:hAnsi="Palatino Linotype"/>
          <w:sz w:val="24"/>
          <w:szCs w:val="24"/>
        </w:rPr>
        <w:t xml:space="preserve">, and thereafter, until further revised by the </w:t>
      </w:r>
      <w:r w:rsidR="00E0250F">
        <w:rPr>
          <w:rFonts w:ascii="Palatino Linotype" w:hAnsi="Palatino Linotype"/>
          <w:sz w:val="24"/>
          <w:szCs w:val="24"/>
        </w:rPr>
        <w:t xml:space="preserve">California Public Utilities </w:t>
      </w:r>
      <w:r w:rsidRPr="00834B27">
        <w:rPr>
          <w:rFonts w:ascii="Palatino Linotype" w:hAnsi="Palatino Linotype"/>
          <w:sz w:val="24"/>
          <w:szCs w:val="24"/>
        </w:rPr>
        <w:t>Commission.</w:t>
      </w:r>
    </w:p>
    <w:p w:rsidR="00834B27" w:rsidRPr="00834B27" w:rsidRDefault="00834B27" w:rsidP="00E36C61">
      <w:pPr>
        <w:ind w:left="720"/>
        <w:contextualSpacing/>
        <w:rPr>
          <w:rFonts w:ascii="Palatino Linotype" w:hAnsi="Palatino Linotype"/>
          <w:sz w:val="24"/>
          <w:szCs w:val="24"/>
        </w:rPr>
      </w:pPr>
    </w:p>
    <w:p w:rsidR="00834B27" w:rsidRPr="00834B27" w:rsidRDefault="00834B27" w:rsidP="00E36C61">
      <w:pPr>
        <w:numPr>
          <w:ilvl w:val="0"/>
          <w:numId w:val="25"/>
        </w:numPr>
        <w:contextualSpacing/>
        <w:rPr>
          <w:rFonts w:ascii="Palatino Linotype" w:hAnsi="Palatino Linotype"/>
          <w:sz w:val="24"/>
          <w:szCs w:val="24"/>
        </w:rPr>
      </w:pPr>
      <w:r w:rsidRPr="00834B27">
        <w:rPr>
          <w:rFonts w:ascii="Palatino Linotype" w:hAnsi="Palatino Linotype"/>
          <w:sz w:val="24"/>
          <w:szCs w:val="24"/>
        </w:rPr>
        <w:t xml:space="preserve">All telecommunication carriers and interconnected </w:t>
      </w:r>
      <w:r w:rsidR="005B0470">
        <w:rPr>
          <w:rFonts w:ascii="Palatino Linotype" w:hAnsi="Palatino Linotype"/>
          <w:sz w:val="24"/>
          <w:szCs w:val="24"/>
        </w:rPr>
        <w:t xml:space="preserve">Voice </w:t>
      </w:r>
      <w:proofErr w:type="gramStart"/>
      <w:r w:rsidR="005B0470">
        <w:rPr>
          <w:rFonts w:ascii="Palatino Linotype" w:hAnsi="Palatino Linotype"/>
          <w:sz w:val="24"/>
          <w:szCs w:val="24"/>
        </w:rPr>
        <w:t>Over</w:t>
      </w:r>
      <w:proofErr w:type="gramEnd"/>
      <w:r w:rsidR="005B0470">
        <w:rPr>
          <w:rFonts w:ascii="Palatino Linotype" w:hAnsi="Palatino Linotype"/>
          <w:sz w:val="24"/>
          <w:szCs w:val="24"/>
        </w:rPr>
        <w:t xml:space="preserve"> Internet Protocol (</w:t>
      </w:r>
      <w:r w:rsidRPr="00834B27">
        <w:rPr>
          <w:rFonts w:ascii="Palatino Linotype" w:hAnsi="Palatino Linotype"/>
          <w:sz w:val="24"/>
          <w:szCs w:val="24"/>
        </w:rPr>
        <w:t>VoIP</w:t>
      </w:r>
      <w:r w:rsidR="005B0470">
        <w:rPr>
          <w:rFonts w:ascii="Palatino Linotype" w:hAnsi="Palatino Linotype"/>
          <w:sz w:val="24"/>
          <w:szCs w:val="24"/>
        </w:rPr>
        <w:t>)</w:t>
      </w:r>
      <w:r w:rsidRPr="00834B27">
        <w:rPr>
          <w:rFonts w:ascii="Palatino Linotype" w:hAnsi="Palatino Linotype"/>
          <w:sz w:val="24"/>
          <w:szCs w:val="24"/>
        </w:rPr>
        <w:t xml:space="preserve"> service providers shall assess a C</w:t>
      </w:r>
      <w:r w:rsidR="00DD40D4">
        <w:rPr>
          <w:rFonts w:ascii="Palatino Linotype" w:hAnsi="Palatino Linotype"/>
          <w:sz w:val="24"/>
          <w:szCs w:val="24"/>
        </w:rPr>
        <w:t xml:space="preserve">alifornia </w:t>
      </w:r>
      <w:proofErr w:type="spellStart"/>
      <w:r w:rsidR="00DD40D4">
        <w:rPr>
          <w:rFonts w:ascii="Palatino Linotype" w:hAnsi="Palatino Linotype"/>
          <w:sz w:val="24"/>
          <w:szCs w:val="24"/>
        </w:rPr>
        <w:t>Teleconnect</w:t>
      </w:r>
      <w:proofErr w:type="spellEnd"/>
      <w:r w:rsidR="00DD40D4">
        <w:rPr>
          <w:rFonts w:ascii="Palatino Linotype" w:hAnsi="Palatino Linotype"/>
          <w:sz w:val="24"/>
          <w:szCs w:val="24"/>
        </w:rPr>
        <w:t xml:space="preserve"> Fund</w:t>
      </w:r>
      <w:r w:rsidRPr="00834B27">
        <w:rPr>
          <w:rFonts w:ascii="Palatino Linotype" w:hAnsi="Palatino Linotype"/>
          <w:sz w:val="24"/>
          <w:szCs w:val="24"/>
        </w:rPr>
        <w:t xml:space="preserve"> surcharge rate of </w:t>
      </w:r>
      <w:r w:rsidR="00484FBF">
        <w:rPr>
          <w:rFonts w:ascii="Palatino Linotype" w:hAnsi="Palatino Linotype"/>
          <w:sz w:val="24"/>
          <w:szCs w:val="24"/>
        </w:rPr>
        <w:t>0</w:t>
      </w:r>
      <w:r w:rsidR="00F86082">
        <w:rPr>
          <w:rFonts w:ascii="Palatino Linotype" w:hAnsi="Palatino Linotype"/>
          <w:sz w:val="24"/>
          <w:szCs w:val="24"/>
        </w:rPr>
        <w:t>.</w:t>
      </w:r>
      <w:r w:rsidR="003D3A20">
        <w:rPr>
          <w:rFonts w:ascii="Palatino Linotype" w:hAnsi="Palatino Linotype"/>
          <w:sz w:val="24"/>
          <w:szCs w:val="24"/>
        </w:rPr>
        <w:t>78</w:t>
      </w:r>
      <w:r w:rsidRPr="00834B27">
        <w:rPr>
          <w:rFonts w:ascii="Palatino Linotype" w:hAnsi="Palatino Linotype"/>
          <w:sz w:val="24"/>
          <w:szCs w:val="24"/>
        </w:rPr>
        <w:t xml:space="preserve">% on revenues collected from end users for intrastate telecommunications services subject to surcharge on </w:t>
      </w:r>
      <w:r w:rsidR="003D3A20">
        <w:rPr>
          <w:rFonts w:ascii="Palatino Linotype" w:hAnsi="Palatino Linotype"/>
          <w:sz w:val="24"/>
          <w:szCs w:val="24"/>
        </w:rPr>
        <w:t>September</w:t>
      </w:r>
      <w:r w:rsidRPr="00834B27">
        <w:rPr>
          <w:rFonts w:ascii="Palatino Linotype" w:hAnsi="Palatino Linotype"/>
          <w:sz w:val="24"/>
          <w:szCs w:val="24"/>
        </w:rPr>
        <w:t xml:space="preserve"> 1,</w:t>
      </w:r>
      <w:r w:rsidR="00F86082">
        <w:rPr>
          <w:rFonts w:ascii="Palatino Linotype" w:hAnsi="Palatino Linotype"/>
          <w:sz w:val="24"/>
          <w:szCs w:val="24"/>
        </w:rPr>
        <w:t xml:space="preserve"> 2018</w:t>
      </w:r>
      <w:r w:rsidRPr="00834B27">
        <w:rPr>
          <w:rFonts w:ascii="Palatino Linotype" w:hAnsi="Palatino Linotype"/>
          <w:sz w:val="24"/>
          <w:szCs w:val="24"/>
        </w:rPr>
        <w:t xml:space="preserve">, and thereafter, until further ordered by the </w:t>
      </w:r>
      <w:r w:rsidR="00E0250F">
        <w:rPr>
          <w:rFonts w:ascii="Palatino Linotype" w:hAnsi="Palatino Linotype"/>
          <w:sz w:val="24"/>
          <w:szCs w:val="24"/>
        </w:rPr>
        <w:t>California Public Utilities</w:t>
      </w:r>
      <w:r w:rsidR="00E0250F" w:rsidRPr="00834B27">
        <w:rPr>
          <w:rFonts w:ascii="Palatino Linotype" w:hAnsi="Palatino Linotype"/>
          <w:sz w:val="24"/>
          <w:szCs w:val="24"/>
        </w:rPr>
        <w:t xml:space="preserve"> </w:t>
      </w:r>
      <w:r w:rsidRPr="00834B27">
        <w:rPr>
          <w:rFonts w:ascii="Palatino Linotype" w:hAnsi="Palatino Linotype"/>
          <w:sz w:val="24"/>
          <w:szCs w:val="24"/>
        </w:rPr>
        <w:t>Commission.</w:t>
      </w:r>
    </w:p>
    <w:p w:rsidR="00834B27" w:rsidRPr="000C29B2" w:rsidRDefault="00F8668F" w:rsidP="00E36C61">
      <w:pPr>
        <w:ind w:right="432"/>
        <w:rPr>
          <w:rFonts w:ascii="Palatino Linotype" w:hAnsi="Palatino Linotype"/>
          <w:sz w:val="24"/>
        </w:rPr>
      </w:pPr>
      <w:r w:rsidRPr="000C29B2">
        <w:rPr>
          <w:rFonts w:ascii="Palatino Linotype" w:hAnsi="Palatino Linotype"/>
          <w:sz w:val="24"/>
        </w:rPr>
        <w:t xml:space="preserve">  </w:t>
      </w:r>
    </w:p>
    <w:p w:rsidR="004341AC" w:rsidRPr="000C29B2" w:rsidRDefault="0058342A" w:rsidP="00E36C61">
      <w:pPr>
        <w:ind w:right="432"/>
        <w:rPr>
          <w:rFonts w:ascii="Palatino Linotype" w:hAnsi="Palatino Linotype"/>
          <w:sz w:val="24"/>
        </w:rPr>
      </w:pPr>
      <w:r w:rsidRPr="000C29B2">
        <w:rPr>
          <w:rFonts w:ascii="Palatino Linotype" w:hAnsi="Palatino Linotype"/>
          <w:sz w:val="24"/>
        </w:rPr>
        <w:t>T</w:t>
      </w:r>
      <w:r w:rsidR="004341AC" w:rsidRPr="000C29B2">
        <w:rPr>
          <w:rFonts w:ascii="Palatino Linotype" w:hAnsi="Palatino Linotype"/>
          <w:sz w:val="24"/>
        </w:rPr>
        <w:t>his Resolution is effective today.</w:t>
      </w:r>
    </w:p>
    <w:p w:rsidR="004341AC" w:rsidRPr="000C29B2" w:rsidRDefault="004341AC" w:rsidP="00E36C61">
      <w:pPr>
        <w:pStyle w:val="xl41"/>
        <w:overflowPunct/>
        <w:autoSpaceDE/>
        <w:autoSpaceDN/>
        <w:adjustRightInd/>
        <w:spacing w:before="0" w:after="0"/>
        <w:ind w:right="432"/>
        <w:textAlignment w:val="auto"/>
        <w:rPr>
          <w:rFonts w:ascii="Palatino Linotype" w:eastAsia="Times New Roman" w:hAnsi="Palatino Linotype"/>
        </w:rPr>
      </w:pPr>
    </w:p>
    <w:p w:rsidR="004341AC" w:rsidRPr="000C29B2" w:rsidRDefault="004341AC" w:rsidP="00E36C61">
      <w:pPr>
        <w:ind w:right="432"/>
        <w:rPr>
          <w:rFonts w:ascii="Palatino Linotype" w:hAnsi="Palatino Linotype"/>
          <w:sz w:val="24"/>
        </w:rPr>
      </w:pPr>
      <w:r w:rsidRPr="000C29B2">
        <w:rPr>
          <w:rFonts w:ascii="Palatino Linotype" w:hAnsi="Palatino Linotype"/>
          <w:sz w:val="24"/>
        </w:rPr>
        <w:t xml:space="preserve">I hereby certify that this Resolution was adopted by the Public Utilities Commission </w:t>
      </w:r>
      <w:r w:rsidR="00F86082" w:rsidRPr="000C29B2">
        <w:rPr>
          <w:rFonts w:ascii="Palatino Linotype" w:hAnsi="Palatino Linotype"/>
          <w:sz w:val="24"/>
        </w:rPr>
        <w:t xml:space="preserve">at its regular meeting </w:t>
      </w:r>
      <w:r w:rsidR="00F86082" w:rsidRPr="00517F06">
        <w:rPr>
          <w:rFonts w:ascii="Palatino Linotype" w:hAnsi="Palatino Linotype"/>
          <w:sz w:val="24"/>
        </w:rPr>
        <w:t xml:space="preserve">on </w:t>
      </w:r>
      <w:r w:rsidR="009D3D46" w:rsidRPr="00517F06">
        <w:rPr>
          <w:rFonts w:ascii="Palatino Linotype" w:hAnsi="Palatino Linotype"/>
          <w:sz w:val="24"/>
        </w:rPr>
        <w:t>July</w:t>
      </w:r>
      <w:r w:rsidR="00FA66F6" w:rsidRPr="00517F06">
        <w:rPr>
          <w:rFonts w:ascii="Palatino Linotype" w:hAnsi="Palatino Linotype"/>
          <w:sz w:val="24"/>
        </w:rPr>
        <w:t xml:space="preserve"> </w:t>
      </w:r>
      <w:r w:rsidR="00063111">
        <w:rPr>
          <w:rFonts w:ascii="Palatino Linotype" w:hAnsi="Palatino Linotype"/>
          <w:sz w:val="24"/>
        </w:rPr>
        <w:t>26</w:t>
      </w:r>
      <w:r w:rsidR="00F86082" w:rsidRPr="00517F06">
        <w:rPr>
          <w:rFonts w:ascii="Palatino Linotype" w:hAnsi="Palatino Linotype"/>
          <w:sz w:val="24"/>
        </w:rPr>
        <w:t>, 2018</w:t>
      </w:r>
      <w:r w:rsidRPr="000C29B2">
        <w:rPr>
          <w:rFonts w:ascii="Palatino Linotype" w:hAnsi="Palatino Linotype"/>
          <w:sz w:val="24"/>
        </w:rPr>
        <w:t>.  The following Commissioners approved it:</w:t>
      </w:r>
    </w:p>
    <w:p w:rsidR="004341AC" w:rsidRDefault="004341AC" w:rsidP="00E36C61">
      <w:pPr>
        <w:ind w:right="432"/>
        <w:rPr>
          <w:rFonts w:ascii="Palatino" w:hAnsi="Palatino"/>
          <w:sz w:val="24"/>
        </w:rPr>
      </w:pPr>
    </w:p>
    <w:p w:rsidR="004341AC" w:rsidRDefault="004341AC">
      <w:pPr>
        <w:ind w:right="432"/>
        <w:rPr>
          <w:rFonts w:ascii="Palatino" w:hAnsi="Palatino"/>
          <w:sz w:val="24"/>
        </w:rPr>
      </w:pPr>
    </w:p>
    <w:p w:rsidR="004341AC" w:rsidRDefault="004341AC">
      <w:pPr>
        <w:ind w:right="432"/>
        <w:rPr>
          <w:rFonts w:ascii="Palatino" w:hAnsi="Palatino"/>
          <w:sz w:val="24"/>
        </w:rPr>
      </w:pPr>
    </w:p>
    <w:tbl>
      <w:tblPr>
        <w:tblW w:w="0" w:type="auto"/>
        <w:tblInd w:w="4788" w:type="dxa"/>
        <w:tblLayout w:type="fixed"/>
        <w:tblLook w:val="0000" w:firstRow="0" w:lastRow="0" w:firstColumn="0" w:lastColumn="0" w:noHBand="0" w:noVBand="0"/>
      </w:tblPr>
      <w:tblGrid>
        <w:gridCol w:w="3870"/>
      </w:tblGrid>
      <w:tr w:rsidR="004341AC" w:rsidRPr="000C29B2">
        <w:tc>
          <w:tcPr>
            <w:tcW w:w="3870" w:type="dxa"/>
            <w:tcBorders>
              <w:bottom w:val="single" w:sz="6" w:space="0" w:color="auto"/>
            </w:tcBorders>
          </w:tcPr>
          <w:p w:rsidR="004341AC" w:rsidRPr="000C29B2" w:rsidRDefault="004341AC" w:rsidP="00D30760">
            <w:pPr>
              <w:ind w:right="432"/>
              <w:rPr>
                <w:rFonts w:ascii="Palatino Linotype" w:hAnsi="Palatino Linotype"/>
                <w:sz w:val="24"/>
              </w:rPr>
            </w:pPr>
            <w:r w:rsidRPr="000C29B2">
              <w:rPr>
                <w:rFonts w:ascii="Palatino Linotype" w:hAnsi="Palatino Linotype"/>
                <w:sz w:val="24"/>
              </w:rPr>
              <w:t xml:space="preserve">      </w:t>
            </w:r>
          </w:p>
        </w:tc>
      </w:tr>
      <w:tr w:rsidR="004341AC" w:rsidRPr="000C29B2">
        <w:tc>
          <w:tcPr>
            <w:tcW w:w="3870" w:type="dxa"/>
          </w:tcPr>
          <w:p w:rsidR="009D3D46" w:rsidRDefault="009D3D46">
            <w:pPr>
              <w:pStyle w:val="Heading6"/>
              <w:spacing w:before="0"/>
              <w:ind w:right="432"/>
              <w:jc w:val="center"/>
              <w:rPr>
                <w:rFonts w:ascii="Palatino Linotype" w:hAnsi="Palatino Linotype"/>
              </w:rPr>
            </w:pPr>
            <w:r w:rsidRPr="009D3D46">
              <w:rPr>
                <w:rFonts w:ascii="Palatino Linotype" w:hAnsi="Palatino Linotype"/>
              </w:rPr>
              <w:t>Alice Stebbins</w:t>
            </w:r>
          </w:p>
          <w:p w:rsidR="004341AC" w:rsidRPr="000C29B2" w:rsidRDefault="004341AC">
            <w:pPr>
              <w:pStyle w:val="Heading6"/>
              <w:spacing w:before="0"/>
              <w:ind w:right="432"/>
              <w:jc w:val="center"/>
              <w:rPr>
                <w:rFonts w:ascii="Palatino Linotype" w:hAnsi="Palatino Linotype"/>
              </w:rPr>
            </w:pPr>
            <w:r w:rsidRPr="000C29B2">
              <w:rPr>
                <w:rFonts w:ascii="Palatino Linotype" w:hAnsi="Palatino Linotype"/>
              </w:rPr>
              <w:t>Executive Director</w:t>
            </w:r>
          </w:p>
        </w:tc>
      </w:tr>
    </w:tbl>
    <w:p w:rsidR="004341AC" w:rsidRDefault="004341AC">
      <w:pPr>
        <w:ind w:right="432"/>
        <w:rPr>
          <w:rFonts w:ascii="Palatino" w:hAnsi="Palatino"/>
          <w:sz w:val="24"/>
        </w:rPr>
      </w:pPr>
    </w:p>
    <w:p w:rsidR="001B5FBF" w:rsidRDefault="004341AC">
      <w:pPr>
        <w:ind w:right="432"/>
      </w:pPr>
      <w:r>
        <w:tab/>
      </w:r>
    </w:p>
    <w:p w:rsidR="001B5FBF" w:rsidRDefault="001B5FBF" w:rsidP="001B5FBF"/>
    <w:p w:rsidR="00780842" w:rsidRPr="001B5FBF" w:rsidRDefault="001B5FBF" w:rsidP="00780842">
      <w:pPr>
        <w:tabs>
          <w:tab w:val="left" w:pos="6071"/>
        </w:tabs>
      </w:pPr>
      <w:r>
        <w:t xml:space="preserve">                    </w:t>
      </w:r>
    </w:p>
    <w:p w:rsidR="004341AC" w:rsidRPr="00780842" w:rsidRDefault="004341AC" w:rsidP="00780842">
      <w:pPr>
        <w:tabs>
          <w:tab w:val="left" w:pos="6071"/>
        </w:tabs>
        <w:rPr>
          <w:sz w:val="22"/>
          <w:szCs w:val="22"/>
        </w:rPr>
      </w:pPr>
    </w:p>
    <w:sectPr w:rsidR="004341AC" w:rsidRPr="00780842">
      <w:headerReference w:type="even" r:id="rId14"/>
      <w:headerReference w:type="default" r:id="rId15"/>
      <w:footerReference w:type="even" r:id="rId16"/>
      <w:footerReference w:type="default" r:id="rId17"/>
      <w:headerReference w:type="first" r:id="rId18"/>
      <w:footerReference w:type="first" r:id="rId19"/>
      <w:pgSz w:w="12240" w:h="15840" w:code="1"/>
      <w:pgMar w:top="1614" w:right="1008" w:bottom="1008" w:left="1440" w:header="630" w:footer="475"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18B" w:rsidRDefault="00FD118B">
      <w:r>
        <w:separator/>
      </w:r>
    </w:p>
  </w:endnote>
  <w:endnote w:type="continuationSeparator" w:id="0">
    <w:p w:rsidR="00FD118B" w:rsidRDefault="00FD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20205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90" w:rsidRDefault="006D7B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E0" w:rsidRDefault="00B031E0">
    <w:pPr>
      <w:pStyle w:val="Footer"/>
      <w:tabs>
        <w:tab w:val="clear" w:pos="4320"/>
        <w:tab w:val="center" w:pos="4680"/>
      </w:tabs>
      <w:rPr>
        <w:rFonts w:ascii="Palatino Linotype" w:hAnsi="Palatino Linotype"/>
      </w:rPr>
    </w:pPr>
    <w:r>
      <w:rPr>
        <w:rStyle w:val="PageNumber"/>
        <w:rFonts w:ascii="Palatino Linotype" w:hAnsi="Palatino Linotype"/>
      </w:rPr>
      <w:tab/>
    </w:r>
    <w:r>
      <w:rPr>
        <w:rStyle w:val="PageNumber"/>
        <w:rFonts w:ascii="Palatino Linotype" w:hAnsi="Palatino Linotype"/>
      </w:rPr>
      <w:fldChar w:fldCharType="begin"/>
    </w:r>
    <w:r>
      <w:rPr>
        <w:rStyle w:val="PageNumber"/>
        <w:rFonts w:ascii="Palatino Linotype" w:hAnsi="Palatino Linotype"/>
      </w:rPr>
      <w:instrText xml:space="preserve"> PAGE </w:instrText>
    </w:r>
    <w:r>
      <w:rPr>
        <w:rStyle w:val="PageNumber"/>
        <w:rFonts w:ascii="Palatino Linotype" w:hAnsi="Palatino Linotype"/>
      </w:rPr>
      <w:fldChar w:fldCharType="separate"/>
    </w:r>
    <w:r w:rsidR="00BE45A5">
      <w:rPr>
        <w:rStyle w:val="PageNumber"/>
        <w:rFonts w:ascii="Palatino Linotype" w:hAnsi="Palatino Linotype"/>
        <w:noProof/>
      </w:rPr>
      <w:t>6</w:t>
    </w:r>
    <w:r>
      <w:rPr>
        <w:rStyle w:val="PageNumber"/>
        <w:rFonts w:ascii="Palatino Linotype" w:hAnsi="Palatino Linotyp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90" w:rsidRDefault="006D7B90">
    <w:pPr>
      <w:pStyle w:val="Footer"/>
    </w:pPr>
    <w:r>
      <w:rPr>
        <w:rFonts w:ascii="Tahoma" w:hAnsi="Tahoma" w:cs="Tahoma"/>
        <w:sz w:val="17"/>
        <w:szCs w:val="17"/>
      </w:rPr>
      <w:t>216744001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18B" w:rsidRDefault="00FD118B">
      <w:r>
        <w:separator/>
      </w:r>
    </w:p>
  </w:footnote>
  <w:footnote w:type="continuationSeparator" w:id="0">
    <w:p w:rsidR="00FD118B" w:rsidRDefault="00FD1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B90" w:rsidRDefault="006D7B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E0" w:rsidRDefault="00B031E0">
    <w:pPr>
      <w:tabs>
        <w:tab w:val="left" w:pos="4590"/>
      </w:tabs>
      <w:rPr>
        <w:rFonts w:ascii="Palatino" w:hAnsi="Palatino"/>
        <w:sz w:val="24"/>
      </w:rPr>
    </w:pPr>
    <w:r>
      <w:rPr>
        <w:rFonts w:ascii="Palatino" w:hAnsi="Palatino"/>
        <w:sz w:val="24"/>
      </w:rPr>
      <w:t>Resolution T-17606</w:t>
    </w:r>
  </w:p>
  <w:p w:rsidR="00B031E0" w:rsidRDefault="00B031E0">
    <w:pPr>
      <w:pStyle w:val="Header"/>
      <w:tabs>
        <w:tab w:val="clear" w:pos="4320"/>
        <w:tab w:val="clear" w:pos="8640"/>
        <w:tab w:val="right" w:pos="9630"/>
      </w:tabs>
      <w:rPr>
        <w:rFonts w:ascii="Palatino" w:hAnsi="Palatino"/>
        <w:b/>
        <w:sz w:val="24"/>
      </w:rPr>
    </w:pPr>
    <w:r>
      <w:rPr>
        <w:rFonts w:ascii="Palatino" w:hAnsi="Palatino"/>
        <w:sz w:val="24"/>
      </w:rPr>
      <w:t>CD\LP1</w:t>
    </w:r>
    <w:r w:rsidR="002C62F6">
      <w:rPr>
        <w:rFonts w:ascii="Palatino" w:hAnsi="Palatino"/>
        <w:sz w:val="24"/>
      </w:rPr>
      <w:t xml:space="preserve">                                                     DRAFT</w:t>
    </w:r>
    <w:r>
      <w:rPr>
        <w:rFonts w:ascii="Palatino" w:hAnsi="Palatino"/>
        <w:sz w:val="24"/>
      </w:rPr>
      <w:tab/>
    </w:r>
    <w:r w:rsidR="002C62F6">
      <w:rPr>
        <w:rFonts w:ascii="Palatino" w:hAnsi="Palatino"/>
        <w:sz w:val="24"/>
      </w:rPr>
      <w:t>July 26,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1E0" w:rsidRDefault="00B031E0">
    <w:pPr>
      <w:tabs>
        <w:tab w:val="left" w:pos="4590"/>
      </w:tabs>
      <w:rPr>
        <w:rFonts w:ascii="Palatino" w:hAnsi="Palatino"/>
        <w:sz w:val="24"/>
      </w:rPr>
    </w:pPr>
    <w:r>
      <w:rPr>
        <w:rFonts w:ascii="Palatino" w:hAnsi="Palatino"/>
        <w:sz w:val="24"/>
      </w:rPr>
      <w:t>Resolution T-17606</w:t>
    </w:r>
    <w:r>
      <w:rPr>
        <w:rFonts w:ascii="Palatino" w:hAnsi="Palatino"/>
        <w:sz w:val="24"/>
      </w:rPr>
      <w:tab/>
    </w:r>
    <w:r>
      <w:rPr>
        <w:rFonts w:ascii="Palatino" w:hAnsi="Palatino"/>
        <w:sz w:val="24"/>
      </w:rPr>
      <w:tab/>
      <w:t xml:space="preserve"> </w:t>
    </w:r>
    <w:r>
      <w:rPr>
        <w:rFonts w:ascii="Palatino" w:hAnsi="Palatino"/>
        <w:sz w:val="24"/>
      </w:rPr>
      <w:tab/>
    </w:r>
    <w:r>
      <w:rPr>
        <w:rFonts w:ascii="Palatino" w:hAnsi="Palatino"/>
        <w:sz w:val="24"/>
      </w:rPr>
      <w:tab/>
    </w:r>
    <w:r w:rsidR="00BE45A5">
      <w:rPr>
        <w:rFonts w:ascii="Palatino" w:hAnsi="Palatino"/>
        <w:sz w:val="24"/>
      </w:rPr>
      <w:t xml:space="preserve">                  </w:t>
    </w:r>
    <w:r w:rsidR="002C62F6">
      <w:rPr>
        <w:rFonts w:ascii="Palatino" w:hAnsi="Palatino"/>
        <w:sz w:val="24"/>
      </w:rPr>
      <w:t>Agenda ID #</w:t>
    </w:r>
    <w:r>
      <w:rPr>
        <w:rFonts w:ascii="Palatino" w:hAnsi="Palatino"/>
        <w:sz w:val="24"/>
      </w:rPr>
      <w:t xml:space="preserve"> </w:t>
    </w:r>
    <w:bookmarkStart w:id="0" w:name="_GoBack"/>
    <w:bookmarkEnd w:id="0"/>
    <w:r w:rsidR="00BE45A5">
      <w:rPr>
        <w:rFonts w:ascii="Palatino" w:hAnsi="Palatino"/>
        <w:sz w:val="24"/>
      </w:rPr>
      <w:t>16618</w:t>
    </w:r>
  </w:p>
  <w:p w:rsidR="00B031E0" w:rsidRDefault="002C62F6">
    <w:pPr>
      <w:tabs>
        <w:tab w:val="left" w:pos="4590"/>
      </w:tabs>
      <w:rPr>
        <w:rFonts w:ascii="Palatino" w:hAnsi="Palatino"/>
        <w:sz w:val="24"/>
      </w:rPr>
    </w:pPr>
    <w:r>
      <w:rPr>
        <w:rFonts w:ascii="Palatino" w:hAnsi="Palatino"/>
        <w:sz w:val="24"/>
      </w:rPr>
      <w:t xml:space="preserve">CD\LP1                                                     </w:t>
    </w:r>
    <w:r w:rsidR="00BE45A5">
      <w:rPr>
        <w:rFonts w:ascii="Palatino" w:hAnsi="Palatino"/>
        <w:sz w:val="24"/>
      </w:rPr>
      <w:t xml:space="preserve">    </w:t>
    </w:r>
    <w:r>
      <w:rPr>
        <w:rFonts w:ascii="Palatino" w:hAnsi="Palatino"/>
        <w:sz w:val="24"/>
      </w:rPr>
      <w:t>DRAFT</w:t>
    </w:r>
    <w:r w:rsidR="00B031E0">
      <w:rPr>
        <w:rFonts w:ascii="Palatino" w:hAnsi="Palatino"/>
        <w:sz w:val="24"/>
      </w:rPr>
      <w:tab/>
    </w:r>
    <w:r w:rsidR="00B031E0">
      <w:rPr>
        <w:rFonts w:ascii="Palatino" w:hAnsi="Palatino"/>
        <w:sz w:val="24"/>
      </w:rPr>
      <w:tab/>
    </w:r>
    <w:r w:rsidR="00B031E0">
      <w:rPr>
        <w:rFonts w:ascii="Palatino" w:hAnsi="Palatino"/>
        <w:sz w:val="24"/>
      </w:rPr>
      <w:tab/>
      <w:t xml:space="preserve">       </w:t>
    </w:r>
  </w:p>
  <w:p w:rsidR="00B031E0" w:rsidRDefault="00B031E0">
    <w:pPr>
      <w:tabs>
        <w:tab w:val="left" w:pos="4590"/>
      </w:tabs>
      <w:rPr>
        <w:rFonts w:ascii="Palatino" w:hAnsi="Palatino"/>
        <w:sz w:val="24"/>
      </w:rPr>
    </w:pPr>
    <w:r>
      <w:rPr>
        <w:rFonts w:ascii="Palatino" w:hAnsi="Palatino"/>
        <w:sz w:val="24"/>
      </w:rPr>
      <w:tab/>
    </w:r>
    <w:r>
      <w:rPr>
        <w:rFonts w:ascii="Palatino" w:hAnsi="Palatino"/>
        <w:sz w:val="24"/>
      </w:rPr>
      <w:tab/>
    </w:r>
    <w:r>
      <w:rPr>
        <w:rFonts w:ascii="Palatino" w:hAnsi="Palatino"/>
        <w:sz w:val="24"/>
      </w:rPr>
      <w:tab/>
    </w:r>
    <w:r>
      <w:rPr>
        <w:rFonts w:ascii="Palatino" w:hAnsi="Palatino"/>
        <w:sz w:val="24"/>
      </w:rPr>
      <w:tab/>
      <w:t xml:space="preserve">         </w:t>
    </w:r>
    <w:r>
      <w:rPr>
        <w:rFonts w:ascii="Palatino" w:hAnsi="Palatino"/>
        <w:sz w:val="24"/>
      </w:rPr>
      <w:tab/>
    </w:r>
    <w:r>
      <w:rPr>
        <w:rFonts w:ascii="Palatino" w:hAnsi="Palatino"/>
        <w:sz w:val="24"/>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74E"/>
    <w:multiLevelType w:val="singleLevel"/>
    <w:tmpl w:val="F990C7A8"/>
    <w:lvl w:ilvl="0">
      <w:start w:val="1"/>
      <w:numFmt w:val="decimal"/>
      <w:lvlText w:val="%1."/>
      <w:legacy w:legacy="1" w:legacySpace="0" w:legacyIndent="360"/>
      <w:lvlJc w:val="left"/>
      <w:pPr>
        <w:ind w:left="360" w:hanging="360"/>
      </w:pPr>
    </w:lvl>
  </w:abstractNum>
  <w:abstractNum w:abstractNumId="1">
    <w:nsid w:val="0A85514A"/>
    <w:multiLevelType w:val="hybridMultilevel"/>
    <w:tmpl w:val="71089C5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87574E"/>
    <w:multiLevelType w:val="hybridMultilevel"/>
    <w:tmpl w:val="24A418D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D5D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78F6B25"/>
    <w:multiLevelType w:val="hybridMultilevel"/>
    <w:tmpl w:val="2102C744"/>
    <w:lvl w:ilvl="0" w:tplc="8CDAE96A">
      <w:start w:val="2003"/>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A96B97"/>
    <w:multiLevelType w:val="hybridMultilevel"/>
    <w:tmpl w:val="A0EE41E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954896"/>
    <w:multiLevelType w:val="hybridMultilevel"/>
    <w:tmpl w:val="E160DA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CA6C53"/>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8">
    <w:nsid w:val="2B226A42"/>
    <w:multiLevelType w:val="hybridMultilevel"/>
    <w:tmpl w:val="584A9332"/>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9">
    <w:nsid w:val="2D5250BD"/>
    <w:multiLevelType w:val="singleLevel"/>
    <w:tmpl w:val="0409000F"/>
    <w:lvl w:ilvl="0">
      <w:start w:val="1"/>
      <w:numFmt w:val="decimal"/>
      <w:lvlText w:val="%1."/>
      <w:lvlJc w:val="left"/>
      <w:pPr>
        <w:tabs>
          <w:tab w:val="num" w:pos="360"/>
        </w:tabs>
        <w:ind w:left="360" w:hanging="360"/>
      </w:pPr>
    </w:lvl>
  </w:abstractNum>
  <w:abstractNum w:abstractNumId="10">
    <w:nsid w:val="3DA76080"/>
    <w:multiLevelType w:val="singleLevel"/>
    <w:tmpl w:val="0409000F"/>
    <w:lvl w:ilvl="0">
      <w:start w:val="1"/>
      <w:numFmt w:val="decimal"/>
      <w:lvlText w:val="%1."/>
      <w:lvlJc w:val="left"/>
      <w:pPr>
        <w:tabs>
          <w:tab w:val="num" w:pos="360"/>
        </w:tabs>
        <w:ind w:left="360" w:hanging="360"/>
      </w:pPr>
    </w:lvl>
  </w:abstractNum>
  <w:abstractNum w:abstractNumId="11">
    <w:nsid w:val="460D1A7D"/>
    <w:multiLevelType w:val="hybridMultilevel"/>
    <w:tmpl w:val="1570BE18"/>
    <w:lvl w:ilvl="0" w:tplc="96EEAA48">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nsid w:val="4C0A5A24"/>
    <w:multiLevelType w:val="hybridMultilevel"/>
    <w:tmpl w:val="2AAEA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B11F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553382"/>
    <w:multiLevelType w:val="hybridMultilevel"/>
    <w:tmpl w:val="87D6C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FB276F"/>
    <w:multiLevelType w:val="hybridMultilevel"/>
    <w:tmpl w:val="87A8AF92"/>
    <w:lvl w:ilvl="0" w:tplc="F950398A">
      <w:start w:val="1"/>
      <w:numFmt w:val="lowerLetter"/>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63328E"/>
    <w:multiLevelType w:val="singleLevel"/>
    <w:tmpl w:val="0409000F"/>
    <w:lvl w:ilvl="0">
      <w:start w:val="1"/>
      <w:numFmt w:val="decimal"/>
      <w:lvlText w:val="%1."/>
      <w:lvlJc w:val="left"/>
      <w:pPr>
        <w:tabs>
          <w:tab w:val="num" w:pos="360"/>
        </w:tabs>
        <w:ind w:left="360" w:hanging="360"/>
      </w:pPr>
    </w:lvl>
  </w:abstractNum>
  <w:abstractNum w:abstractNumId="17">
    <w:nsid w:val="66157003"/>
    <w:multiLevelType w:val="hybridMultilevel"/>
    <w:tmpl w:val="C7687442"/>
    <w:lvl w:ilvl="0" w:tplc="0888C75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D534E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EE93650"/>
    <w:multiLevelType w:val="hybridMultilevel"/>
    <w:tmpl w:val="40A08A06"/>
    <w:lvl w:ilvl="0" w:tplc="FFFFFFFF">
      <w:start w:val="4"/>
      <w:numFmt w:val="upperLetter"/>
      <w:lvlText w:val="%1."/>
      <w:lvlJc w:val="left"/>
      <w:pPr>
        <w:tabs>
          <w:tab w:val="num" w:pos="1140"/>
        </w:tabs>
        <w:ind w:left="1140" w:hanging="4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nsid w:val="73500BBE"/>
    <w:multiLevelType w:val="hybridMultilevel"/>
    <w:tmpl w:val="69EC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4C61A7"/>
    <w:multiLevelType w:val="singleLevel"/>
    <w:tmpl w:val="383CBABE"/>
    <w:lvl w:ilvl="0">
      <w:start w:val="1"/>
      <w:numFmt w:val="decimal"/>
      <w:lvlText w:val="%1."/>
      <w:legacy w:legacy="1" w:legacySpace="0" w:legacyIndent="360"/>
      <w:lvlJc w:val="left"/>
      <w:pPr>
        <w:ind w:left="360" w:hanging="360"/>
      </w:pPr>
    </w:lvl>
  </w:abstractNum>
  <w:abstractNum w:abstractNumId="22">
    <w:nsid w:val="7C5C3100"/>
    <w:multiLevelType w:val="hybridMultilevel"/>
    <w:tmpl w:val="FACAE20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9"/>
  </w:num>
  <w:num w:numId="4">
    <w:abstractNumId w:val="8"/>
  </w:num>
  <w:num w:numId="5">
    <w:abstractNumId w:val="18"/>
  </w:num>
  <w:num w:numId="6">
    <w:abstractNumId w:val="3"/>
  </w:num>
  <w:num w:numId="7">
    <w:abstractNumId w:val="13"/>
  </w:num>
  <w:num w:numId="8">
    <w:abstractNumId w:val="19"/>
  </w:num>
  <w:num w:numId="9">
    <w:abstractNumId w:val="0"/>
  </w:num>
  <w:num w:numId="10">
    <w:abstractNumId w:val="0"/>
    <w:lvlOverride w:ilvl="0">
      <w:lvl w:ilvl="0">
        <w:start w:val="1"/>
        <w:numFmt w:val="decimal"/>
        <w:lvlText w:val="%1."/>
        <w:legacy w:legacy="1" w:legacySpace="0" w:legacyIndent="360"/>
        <w:lvlJc w:val="left"/>
        <w:pPr>
          <w:ind w:left="360" w:hanging="360"/>
        </w:pPr>
        <w:rPr>
          <w:b w:val="0"/>
        </w:rPr>
      </w:lvl>
    </w:lvlOverride>
  </w:num>
  <w:num w:numId="11">
    <w:abstractNumId w:val="21"/>
  </w:num>
  <w:num w:numId="12">
    <w:abstractNumId w:val="21"/>
    <w:lvlOverride w:ilvl="0">
      <w:lvl w:ilvl="0">
        <w:start w:val="1"/>
        <w:numFmt w:val="decimal"/>
        <w:lvlText w:val="%1."/>
        <w:legacy w:legacy="1" w:legacySpace="0" w:legacyIndent="360"/>
        <w:lvlJc w:val="left"/>
        <w:pPr>
          <w:ind w:left="360" w:hanging="360"/>
        </w:pPr>
      </w:lvl>
    </w:lvlOverride>
  </w:num>
  <w:num w:numId="13">
    <w:abstractNumId w:val="17"/>
  </w:num>
  <w:num w:numId="14">
    <w:abstractNumId w:val="5"/>
  </w:num>
  <w:num w:numId="15">
    <w:abstractNumId w:val="6"/>
  </w:num>
  <w:num w:numId="16">
    <w:abstractNumId w:val="4"/>
  </w:num>
  <w:num w:numId="17">
    <w:abstractNumId w:val="7"/>
  </w:num>
  <w:num w:numId="18">
    <w:abstractNumId w:val="11"/>
  </w:num>
  <w:num w:numId="19">
    <w:abstractNumId w:val="15"/>
  </w:num>
  <w:num w:numId="20">
    <w:abstractNumId w:val="14"/>
  </w:num>
  <w:num w:numId="21">
    <w:abstractNumId w:val="1"/>
  </w:num>
  <w:num w:numId="22">
    <w:abstractNumId w:val="2"/>
  </w:num>
  <w:num w:numId="23">
    <w:abstractNumId w:val="22"/>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760"/>
    <w:rsid w:val="00003ADF"/>
    <w:rsid w:val="00007C48"/>
    <w:rsid w:val="000158ED"/>
    <w:rsid w:val="0002178D"/>
    <w:rsid w:val="0002280A"/>
    <w:rsid w:val="000241D2"/>
    <w:rsid w:val="00024B7E"/>
    <w:rsid w:val="000326E0"/>
    <w:rsid w:val="000341F6"/>
    <w:rsid w:val="00035D08"/>
    <w:rsid w:val="00040685"/>
    <w:rsid w:val="00041217"/>
    <w:rsid w:val="00042020"/>
    <w:rsid w:val="0005709F"/>
    <w:rsid w:val="00062E66"/>
    <w:rsid w:val="00063111"/>
    <w:rsid w:val="00067B86"/>
    <w:rsid w:val="00076CDF"/>
    <w:rsid w:val="00081AAC"/>
    <w:rsid w:val="00085EAF"/>
    <w:rsid w:val="000925E0"/>
    <w:rsid w:val="00092D0C"/>
    <w:rsid w:val="00095D67"/>
    <w:rsid w:val="000A0CD7"/>
    <w:rsid w:val="000B0F57"/>
    <w:rsid w:val="000C1FC4"/>
    <w:rsid w:val="000C29B2"/>
    <w:rsid w:val="000C2B75"/>
    <w:rsid w:val="000C3698"/>
    <w:rsid w:val="000C4946"/>
    <w:rsid w:val="000C6667"/>
    <w:rsid w:val="000D56FC"/>
    <w:rsid w:val="000E347A"/>
    <w:rsid w:val="00114D80"/>
    <w:rsid w:val="00121EF2"/>
    <w:rsid w:val="00124452"/>
    <w:rsid w:val="0014092C"/>
    <w:rsid w:val="00144532"/>
    <w:rsid w:val="001450AB"/>
    <w:rsid w:val="001506FE"/>
    <w:rsid w:val="001562A3"/>
    <w:rsid w:val="00167E38"/>
    <w:rsid w:val="00181107"/>
    <w:rsid w:val="0018519B"/>
    <w:rsid w:val="0019184D"/>
    <w:rsid w:val="00194A77"/>
    <w:rsid w:val="0019644C"/>
    <w:rsid w:val="00196801"/>
    <w:rsid w:val="001B282F"/>
    <w:rsid w:val="001B5770"/>
    <w:rsid w:val="001B5FBF"/>
    <w:rsid w:val="001C216D"/>
    <w:rsid w:val="001C3769"/>
    <w:rsid w:val="001C6262"/>
    <w:rsid w:val="001E3882"/>
    <w:rsid w:val="001F7140"/>
    <w:rsid w:val="002007A1"/>
    <w:rsid w:val="00210CC4"/>
    <w:rsid w:val="002144B4"/>
    <w:rsid w:val="00227475"/>
    <w:rsid w:val="00234A31"/>
    <w:rsid w:val="00243C38"/>
    <w:rsid w:val="00245E55"/>
    <w:rsid w:val="00247951"/>
    <w:rsid w:val="00263A44"/>
    <w:rsid w:val="002709B7"/>
    <w:rsid w:val="00271CD1"/>
    <w:rsid w:val="002856FA"/>
    <w:rsid w:val="00292D12"/>
    <w:rsid w:val="002A0FE8"/>
    <w:rsid w:val="002A7B97"/>
    <w:rsid w:val="002C022F"/>
    <w:rsid w:val="002C62F6"/>
    <w:rsid w:val="002E080A"/>
    <w:rsid w:val="002E17AB"/>
    <w:rsid w:val="002F0DB0"/>
    <w:rsid w:val="002F13B3"/>
    <w:rsid w:val="002F4210"/>
    <w:rsid w:val="002F746F"/>
    <w:rsid w:val="002F75A3"/>
    <w:rsid w:val="003010C8"/>
    <w:rsid w:val="00305E29"/>
    <w:rsid w:val="003447FE"/>
    <w:rsid w:val="00344AFA"/>
    <w:rsid w:val="00353F34"/>
    <w:rsid w:val="00356C65"/>
    <w:rsid w:val="00361E92"/>
    <w:rsid w:val="0036373D"/>
    <w:rsid w:val="00363BE7"/>
    <w:rsid w:val="00371A72"/>
    <w:rsid w:val="00377680"/>
    <w:rsid w:val="00383714"/>
    <w:rsid w:val="00387A40"/>
    <w:rsid w:val="003A0466"/>
    <w:rsid w:val="003A0D32"/>
    <w:rsid w:val="003A1920"/>
    <w:rsid w:val="003A63DB"/>
    <w:rsid w:val="003B4801"/>
    <w:rsid w:val="003B70FA"/>
    <w:rsid w:val="003B75BC"/>
    <w:rsid w:val="003C7DB6"/>
    <w:rsid w:val="003D070D"/>
    <w:rsid w:val="003D3A20"/>
    <w:rsid w:val="003D7ECA"/>
    <w:rsid w:val="003E3034"/>
    <w:rsid w:val="003E404E"/>
    <w:rsid w:val="003F37AD"/>
    <w:rsid w:val="003F75B5"/>
    <w:rsid w:val="00401F9D"/>
    <w:rsid w:val="004108A3"/>
    <w:rsid w:val="00410C56"/>
    <w:rsid w:val="00432033"/>
    <w:rsid w:val="004325E7"/>
    <w:rsid w:val="004341AC"/>
    <w:rsid w:val="004427D3"/>
    <w:rsid w:val="00446CB4"/>
    <w:rsid w:val="00447BAA"/>
    <w:rsid w:val="00451D9E"/>
    <w:rsid w:val="004552E0"/>
    <w:rsid w:val="004553FB"/>
    <w:rsid w:val="00455C1C"/>
    <w:rsid w:val="00462107"/>
    <w:rsid w:val="004642E0"/>
    <w:rsid w:val="00470677"/>
    <w:rsid w:val="00474260"/>
    <w:rsid w:val="004767BC"/>
    <w:rsid w:val="004811AE"/>
    <w:rsid w:val="00481325"/>
    <w:rsid w:val="00481D7D"/>
    <w:rsid w:val="00482385"/>
    <w:rsid w:val="00484FBF"/>
    <w:rsid w:val="00491C92"/>
    <w:rsid w:val="004922C0"/>
    <w:rsid w:val="00492F61"/>
    <w:rsid w:val="004A0B0D"/>
    <w:rsid w:val="004A47C6"/>
    <w:rsid w:val="004B491F"/>
    <w:rsid w:val="004B4E72"/>
    <w:rsid w:val="004C12F8"/>
    <w:rsid w:val="004C203F"/>
    <w:rsid w:val="004C25E8"/>
    <w:rsid w:val="004C59A8"/>
    <w:rsid w:val="004D3F24"/>
    <w:rsid w:val="004D5F32"/>
    <w:rsid w:val="004E23C5"/>
    <w:rsid w:val="004E47DF"/>
    <w:rsid w:val="0050460C"/>
    <w:rsid w:val="00512BAC"/>
    <w:rsid w:val="005159F1"/>
    <w:rsid w:val="00517F06"/>
    <w:rsid w:val="005215E3"/>
    <w:rsid w:val="00521EBF"/>
    <w:rsid w:val="0052225C"/>
    <w:rsid w:val="0052641A"/>
    <w:rsid w:val="00530776"/>
    <w:rsid w:val="00531573"/>
    <w:rsid w:val="00534B1E"/>
    <w:rsid w:val="00534FC5"/>
    <w:rsid w:val="005410B0"/>
    <w:rsid w:val="0054537A"/>
    <w:rsid w:val="00547170"/>
    <w:rsid w:val="005719A5"/>
    <w:rsid w:val="00576691"/>
    <w:rsid w:val="00581912"/>
    <w:rsid w:val="0058342A"/>
    <w:rsid w:val="00583836"/>
    <w:rsid w:val="00583A2F"/>
    <w:rsid w:val="0059584E"/>
    <w:rsid w:val="00595D3D"/>
    <w:rsid w:val="005B0470"/>
    <w:rsid w:val="005C44B9"/>
    <w:rsid w:val="005C6F67"/>
    <w:rsid w:val="005C6FFF"/>
    <w:rsid w:val="005D18D2"/>
    <w:rsid w:val="005D1AA6"/>
    <w:rsid w:val="005D1FF3"/>
    <w:rsid w:val="005D2B96"/>
    <w:rsid w:val="005E2BB8"/>
    <w:rsid w:val="005E4589"/>
    <w:rsid w:val="005E56A0"/>
    <w:rsid w:val="005F4CF0"/>
    <w:rsid w:val="006136E4"/>
    <w:rsid w:val="00630655"/>
    <w:rsid w:val="006403CA"/>
    <w:rsid w:val="006447CC"/>
    <w:rsid w:val="00644A6F"/>
    <w:rsid w:val="00652877"/>
    <w:rsid w:val="00654572"/>
    <w:rsid w:val="00692792"/>
    <w:rsid w:val="006B01AD"/>
    <w:rsid w:val="006B0224"/>
    <w:rsid w:val="006B77AB"/>
    <w:rsid w:val="006C19AD"/>
    <w:rsid w:val="006D7B90"/>
    <w:rsid w:val="006E1260"/>
    <w:rsid w:val="006E1C61"/>
    <w:rsid w:val="006E42EF"/>
    <w:rsid w:val="006F12B7"/>
    <w:rsid w:val="006F343B"/>
    <w:rsid w:val="007003B7"/>
    <w:rsid w:val="0070069F"/>
    <w:rsid w:val="00706C58"/>
    <w:rsid w:val="00706E42"/>
    <w:rsid w:val="00706FA8"/>
    <w:rsid w:val="00707F11"/>
    <w:rsid w:val="00720C73"/>
    <w:rsid w:val="007245C9"/>
    <w:rsid w:val="0072688F"/>
    <w:rsid w:val="007311A3"/>
    <w:rsid w:val="00733259"/>
    <w:rsid w:val="0073493B"/>
    <w:rsid w:val="00744453"/>
    <w:rsid w:val="007514E1"/>
    <w:rsid w:val="0075367C"/>
    <w:rsid w:val="00763081"/>
    <w:rsid w:val="00763716"/>
    <w:rsid w:val="00763F6C"/>
    <w:rsid w:val="00766D93"/>
    <w:rsid w:val="00767A8C"/>
    <w:rsid w:val="0077446A"/>
    <w:rsid w:val="00777A96"/>
    <w:rsid w:val="00780842"/>
    <w:rsid w:val="00783396"/>
    <w:rsid w:val="0079055A"/>
    <w:rsid w:val="00791BB3"/>
    <w:rsid w:val="00792AF1"/>
    <w:rsid w:val="00793F8E"/>
    <w:rsid w:val="007965CB"/>
    <w:rsid w:val="00796D05"/>
    <w:rsid w:val="0079742E"/>
    <w:rsid w:val="007A41BD"/>
    <w:rsid w:val="007B1AB0"/>
    <w:rsid w:val="007B2A3E"/>
    <w:rsid w:val="007B3AAA"/>
    <w:rsid w:val="007B5BF1"/>
    <w:rsid w:val="007C30D3"/>
    <w:rsid w:val="007D6670"/>
    <w:rsid w:val="007E537E"/>
    <w:rsid w:val="007F0254"/>
    <w:rsid w:val="007F0DE1"/>
    <w:rsid w:val="007F4A5B"/>
    <w:rsid w:val="0080341B"/>
    <w:rsid w:val="008061D4"/>
    <w:rsid w:val="00806215"/>
    <w:rsid w:val="00816448"/>
    <w:rsid w:val="008209AF"/>
    <w:rsid w:val="0082312A"/>
    <w:rsid w:val="00831D53"/>
    <w:rsid w:val="00832FA8"/>
    <w:rsid w:val="00834B27"/>
    <w:rsid w:val="00834E8E"/>
    <w:rsid w:val="00845539"/>
    <w:rsid w:val="0084600C"/>
    <w:rsid w:val="00850199"/>
    <w:rsid w:val="00850CD9"/>
    <w:rsid w:val="00854FED"/>
    <w:rsid w:val="00857057"/>
    <w:rsid w:val="00860C9D"/>
    <w:rsid w:val="00862790"/>
    <w:rsid w:val="008652EA"/>
    <w:rsid w:val="00890B24"/>
    <w:rsid w:val="00890F8E"/>
    <w:rsid w:val="008918CC"/>
    <w:rsid w:val="00894784"/>
    <w:rsid w:val="008A0095"/>
    <w:rsid w:val="008A0932"/>
    <w:rsid w:val="008B7420"/>
    <w:rsid w:val="008C0F29"/>
    <w:rsid w:val="008C2862"/>
    <w:rsid w:val="008C33FC"/>
    <w:rsid w:val="008C74D9"/>
    <w:rsid w:val="008D7E96"/>
    <w:rsid w:val="00903AC2"/>
    <w:rsid w:val="0090473F"/>
    <w:rsid w:val="00904D3E"/>
    <w:rsid w:val="00911899"/>
    <w:rsid w:val="009121C1"/>
    <w:rsid w:val="00913995"/>
    <w:rsid w:val="00915803"/>
    <w:rsid w:val="009305C6"/>
    <w:rsid w:val="009312E3"/>
    <w:rsid w:val="0093500E"/>
    <w:rsid w:val="00952A76"/>
    <w:rsid w:val="00960CF9"/>
    <w:rsid w:val="009807A1"/>
    <w:rsid w:val="00987AA6"/>
    <w:rsid w:val="0099024F"/>
    <w:rsid w:val="009A7C8F"/>
    <w:rsid w:val="009C0530"/>
    <w:rsid w:val="009C475F"/>
    <w:rsid w:val="009C6DC0"/>
    <w:rsid w:val="009D3D46"/>
    <w:rsid w:val="009D4659"/>
    <w:rsid w:val="009D4796"/>
    <w:rsid w:val="009E1BEC"/>
    <w:rsid w:val="009E799B"/>
    <w:rsid w:val="009F584D"/>
    <w:rsid w:val="009F6AB5"/>
    <w:rsid w:val="00A067F2"/>
    <w:rsid w:val="00A1139E"/>
    <w:rsid w:val="00A11869"/>
    <w:rsid w:val="00A13FC2"/>
    <w:rsid w:val="00A2497D"/>
    <w:rsid w:val="00A24C5E"/>
    <w:rsid w:val="00A266C3"/>
    <w:rsid w:val="00A32B85"/>
    <w:rsid w:val="00A4228D"/>
    <w:rsid w:val="00A620BC"/>
    <w:rsid w:val="00A76D99"/>
    <w:rsid w:val="00A831AA"/>
    <w:rsid w:val="00A83886"/>
    <w:rsid w:val="00A85185"/>
    <w:rsid w:val="00A868F5"/>
    <w:rsid w:val="00A87AB3"/>
    <w:rsid w:val="00A90108"/>
    <w:rsid w:val="00A91DF5"/>
    <w:rsid w:val="00A9686A"/>
    <w:rsid w:val="00A96BB2"/>
    <w:rsid w:val="00AA0267"/>
    <w:rsid w:val="00AA5B30"/>
    <w:rsid w:val="00AA5B81"/>
    <w:rsid w:val="00AB0E80"/>
    <w:rsid w:val="00AB5A61"/>
    <w:rsid w:val="00AB5EC0"/>
    <w:rsid w:val="00AB7BAE"/>
    <w:rsid w:val="00AC2113"/>
    <w:rsid w:val="00AC5E0F"/>
    <w:rsid w:val="00AD310D"/>
    <w:rsid w:val="00AD502A"/>
    <w:rsid w:val="00AE2308"/>
    <w:rsid w:val="00AE2E12"/>
    <w:rsid w:val="00AE4AB5"/>
    <w:rsid w:val="00B031E0"/>
    <w:rsid w:val="00B1298C"/>
    <w:rsid w:val="00B20F47"/>
    <w:rsid w:val="00B32073"/>
    <w:rsid w:val="00B466D4"/>
    <w:rsid w:val="00B536EB"/>
    <w:rsid w:val="00B54287"/>
    <w:rsid w:val="00B55371"/>
    <w:rsid w:val="00B60BFA"/>
    <w:rsid w:val="00B67C64"/>
    <w:rsid w:val="00B7285A"/>
    <w:rsid w:val="00B76E52"/>
    <w:rsid w:val="00B86BC2"/>
    <w:rsid w:val="00B9146B"/>
    <w:rsid w:val="00B9245A"/>
    <w:rsid w:val="00B92816"/>
    <w:rsid w:val="00B94473"/>
    <w:rsid w:val="00BA0DF6"/>
    <w:rsid w:val="00BA6A7D"/>
    <w:rsid w:val="00BA6A87"/>
    <w:rsid w:val="00BB1398"/>
    <w:rsid w:val="00BB26A6"/>
    <w:rsid w:val="00BB5AC2"/>
    <w:rsid w:val="00BB7C7D"/>
    <w:rsid w:val="00BC2499"/>
    <w:rsid w:val="00BD4F39"/>
    <w:rsid w:val="00BD726D"/>
    <w:rsid w:val="00BE1C45"/>
    <w:rsid w:val="00BE3B4C"/>
    <w:rsid w:val="00BE3B65"/>
    <w:rsid w:val="00BE45A5"/>
    <w:rsid w:val="00BF2CB1"/>
    <w:rsid w:val="00BF60FC"/>
    <w:rsid w:val="00C0095A"/>
    <w:rsid w:val="00C018F3"/>
    <w:rsid w:val="00C01EC8"/>
    <w:rsid w:val="00C07725"/>
    <w:rsid w:val="00C172FA"/>
    <w:rsid w:val="00C271A3"/>
    <w:rsid w:val="00C4312C"/>
    <w:rsid w:val="00C434E4"/>
    <w:rsid w:val="00C5104D"/>
    <w:rsid w:val="00C5446E"/>
    <w:rsid w:val="00C56371"/>
    <w:rsid w:val="00C57E06"/>
    <w:rsid w:val="00C60BA4"/>
    <w:rsid w:val="00C64693"/>
    <w:rsid w:val="00C774CB"/>
    <w:rsid w:val="00C97760"/>
    <w:rsid w:val="00CA17C5"/>
    <w:rsid w:val="00CA7CFD"/>
    <w:rsid w:val="00CC5C0B"/>
    <w:rsid w:val="00CD2146"/>
    <w:rsid w:val="00CD2F35"/>
    <w:rsid w:val="00CE56C7"/>
    <w:rsid w:val="00CF7A74"/>
    <w:rsid w:val="00D02D03"/>
    <w:rsid w:val="00D07445"/>
    <w:rsid w:val="00D11B64"/>
    <w:rsid w:val="00D20301"/>
    <w:rsid w:val="00D2395A"/>
    <w:rsid w:val="00D25CA0"/>
    <w:rsid w:val="00D264DF"/>
    <w:rsid w:val="00D30760"/>
    <w:rsid w:val="00D327AD"/>
    <w:rsid w:val="00D344E5"/>
    <w:rsid w:val="00D43CD7"/>
    <w:rsid w:val="00D62270"/>
    <w:rsid w:val="00D6384D"/>
    <w:rsid w:val="00D7075E"/>
    <w:rsid w:val="00D73804"/>
    <w:rsid w:val="00D765D4"/>
    <w:rsid w:val="00D80480"/>
    <w:rsid w:val="00D83421"/>
    <w:rsid w:val="00D85DF1"/>
    <w:rsid w:val="00D91046"/>
    <w:rsid w:val="00D91AF5"/>
    <w:rsid w:val="00D94469"/>
    <w:rsid w:val="00D96D80"/>
    <w:rsid w:val="00DA26B9"/>
    <w:rsid w:val="00DB0BAD"/>
    <w:rsid w:val="00DC4B49"/>
    <w:rsid w:val="00DC4EF5"/>
    <w:rsid w:val="00DC5128"/>
    <w:rsid w:val="00DC7594"/>
    <w:rsid w:val="00DD2507"/>
    <w:rsid w:val="00DD2582"/>
    <w:rsid w:val="00DD40D4"/>
    <w:rsid w:val="00DE65F7"/>
    <w:rsid w:val="00DF783B"/>
    <w:rsid w:val="00E01200"/>
    <w:rsid w:val="00E024AC"/>
    <w:rsid w:val="00E0250F"/>
    <w:rsid w:val="00E10D15"/>
    <w:rsid w:val="00E12D58"/>
    <w:rsid w:val="00E1740E"/>
    <w:rsid w:val="00E20AB1"/>
    <w:rsid w:val="00E21132"/>
    <w:rsid w:val="00E23E03"/>
    <w:rsid w:val="00E27FBC"/>
    <w:rsid w:val="00E3370E"/>
    <w:rsid w:val="00E3385C"/>
    <w:rsid w:val="00E36C61"/>
    <w:rsid w:val="00E37704"/>
    <w:rsid w:val="00E37D60"/>
    <w:rsid w:val="00E459AA"/>
    <w:rsid w:val="00E46FDA"/>
    <w:rsid w:val="00E56F6D"/>
    <w:rsid w:val="00E57597"/>
    <w:rsid w:val="00E61D19"/>
    <w:rsid w:val="00E6215B"/>
    <w:rsid w:val="00E71CBF"/>
    <w:rsid w:val="00E81034"/>
    <w:rsid w:val="00EB7F6A"/>
    <w:rsid w:val="00EC1372"/>
    <w:rsid w:val="00EC194C"/>
    <w:rsid w:val="00EC6B4E"/>
    <w:rsid w:val="00ED0607"/>
    <w:rsid w:val="00EF272C"/>
    <w:rsid w:val="00EF607A"/>
    <w:rsid w:val="00EF7710"/>
    <w:rsid w:val="00EF7765"/>
    <w:rsid w:val="00F001B3"/>
    <w:rsid w:val="00F005D3"/>
    <w:rsid w:val="00F005E5"/>
    <w:rsid w:val="00F113B4"/>
    <w:rsid w:val="00F168F7"/>
    <w:rsid w:val="00F20578"/>
    <w:rsid w:val="00F46752"/>
    <w:rsid w:val="00F529E2"/>
    <w:rsid w:val="00F654CC"/>
    <w:rsid w:val="00F7343C"/>
    <w:rsid w:val="00F83C8D"/>
    <w:rsid w:val="00F84610"/>
    <w:rsid w:val="00F86082"/>
    <w:rsid w:val="00F8668F"/>
    <w:rsid w:val="00F93147"/>
    <w:rsid w:val="00F96EB0"/>
    <w:rsid w:val="00F97740"/>
    <w:rsid w:val="00FA46FD"/>
    <w:rsid w:val="00FA667A"/>
    <w:rsid w:val="00FA66F6"/>
    <w:rsid w:val="00FB0E8F"/>
    <w:rsid w:val="00FD118B"/>
    <w:rsid w:val="00FD384A"/>
    <w:rsid w:val="00FD3C99"/>
    <w:rsid w:val="00FE6E51"/>
    <w:rsid w:val="00FE7627"/>
    <w:rsid w:val="00FF0D3C"/>
    <w:rsid w:val="00FF432D"/>
    <w:rsid w:val="00FF594B"/>
    <w:rsid w:val="00FF5BD3"/>
    <w:rsid w:val="00FF6F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Palatino" w:hAnsi="Palatino"/>
      <w:b/>
      <w:sz w:val="24"/>
      <w:u w:val="single"/>
    </w:rPr>
  </w:style>
  <w:style w:type="paragraph" w:styleId="Heading2">
    <w:name w:val="heading 2"/>
    <w:basedOn w:val="Normal"/>
    <w:next w:val="Normal"/>
    <w:qFormat/>
    <w:pPr>
      <w:keepNext/>
      <w:tabs>
        <w:tab w:val="left" w:pos="720"/>
      </w:tabs>
      <w:spacing w:after="120"/>
      <w:ind w:left="720"/>
      <w:outlineLvl w:val="1"/>
    </w:pPr>
    <w:rPr>
      <w:rFonts w:ascii="Palatino" w:hAnsi="Palatino"/>
      <w:b/>
      <w:sz w:val="24"/>
    </w:rPr>
  </w:style>
  <w:style w:type="paragraph" w:styleId="Heading3">
    <w:name w:val="heading 3"/>
    <w:basedOn w:val="Normal"/>
    <w:next w:val="Normal"/>
    <w:qFormat/>
    <w:pPr>
      <w:keepNext/>
      <w:outlineLvl w:val="2"/>
    </w:pPr>
    <w:rPr>
      <w:rFonts w:ascii="Palatino" w:hAnsi="Palatino"/>
      <w:sz w:val="24"/>
    </w:rPr>
  </w:style>
  <w:style w:type="paragraph" w:styleId="Heading4">
    <w:name w:val="heading 4"/>
    <w:basedOn w:val="Normal"/>
    <w:next w:val="Normal"/>
    <w:qFormat/>
    <w:pPr>
      <w:keepNext/>
      <w:spacing w:after="120"/>
      <w:ind w:left="720"/>
      <w:outlineLvl w:val="3"/>
    </w:pPr>
    <w:rPr>
      <w:rFonts w:ascii="Palatino" w:hAnsi="Palatino"/>
      <w:b/>
      <w:sz w:val="24"/>
      <w:u w:val="single"/>
    </w:rPr>
  </w:style>
  <w:style w:type="paragraph" w:styleId="Heading5">
    <w:name w:val="heading 5"/>
    <w:basedOn w:val="Normal"/>
    <w:next w:val="Normal"/>
    <w:qFormat/>
    <w:pPr>
      <w:keepNext/>
      <w:ind w:left="720" w:right="1440"/>
      <w:outlineLvl w:val="4"/>
    </w:pPr>
    <w:rPr>
      <w:rFonts w:ascii="Palatino" w:hAnsi="Palatino"/>
      <w:b/>
      <w:bCs/>
      <w:sz w:val="24"/>
    </w:rPr>
  </w:style>
  <w:style w:type="paragraph" w:styleId="Heading6">
    <w:name w:val="heading 6"/>
    <w:basedOn w:val="Normal"/>
    <w:next w:val="Normal"/>
    <w:qFormat/>
    <w:pPr>
      <w:keepNext/>
      <w:spacing w:before="120"/>
      <w:jc w:val="right"/>
      <w:outlineLvl w:val="5"/>
    </w:pPr>
    <w:rPr>
      <w:sz w:val="24"/>
    </w:rPr>
  </w:style>
  <w:style w:type="paragraph" w:styleId="Heading7">
    <w:name w:val="heading 7"/>
    <w:basedOn w:val="Normal"/>
    <w:next w:val="Normal"/>
    <w:qFormat/>
    <w:pPr>
      <w:keepNext/>
      <w:spacing w:after="120"/>
      <w:ind w:right="-720" w:firstLine="720"/>
      <w:outlineLvl w:val="6"/>
    </w:pPr>
    <w:rPr>
      <w:rFonts w:ascii="Palatino" w:hAnsi="Palatino"/>
      <w:b/>
      <w:sz w:val="24"/>
      <w:u w:val="single"/>
    </w:rPr>
  </w:style>
  <w:style w:type="paragraph" w:styleId="Heading8">
    <w:name w:val="heading 8"/>
    <w:basedOn w:val="Normal"/>
    <w:next w:val="Normal"/>
    <w:qFormat/>
    <w:pPr>
      <w:keepNext/>
      <w:spacing w:after="120"/>
      <w:ind w:firstLine="720"/>
      <w:outlineLvl w:val="7"/>
    </w:pPr>
    <w:rPr>
      <w:b/>
      <w:sz w:val="24"/>
      <w:u w:val="single"/>
    </w:rPr>
  </w:style>
  <w:style w:type="paragraph" w:styleId="Heading9">
    <w:name w:val="heading 9"/>
    <w:basedOn w:val="Normal"/>
    <w:next w:val="Normal"/>
    <w:qFormat/>
    <w:pPr>
      <w:keepNext/>
      <w:outlineLvl w:val="8"/>
    </w:pPr>
    <w:rPr>
      <w:rFonts w:ascii="Palatino" w:hAnsi="Palatino"/>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lockText">
    <w:name w:val="Block Text"/>
    <w:basedOn w:val="Normal"/>
    <w:pPr>
      <w:ind w:left="720" w:right="720"/>
      <w:jc w:val="both"/>
    </w:pPr>
    <w:rPr>
      <w:rFonts w:ascii="Palatino" w:hAnsi="Palatino"/>
      <w:sz w:val="24"/>
    </w:rPr>
  </w:style>
  <w:style w:type="paragraph" w:styleId="BodyText">
    <w:name w:val="Body Text"/>
    <w:basedOn w:val="Normal"/>
    <w:pPr>
      <w:tabs>
        <w:tab w:val="left" w:pos="720"/>
      </w:tabs>
      <w:spacing w:after="120"/>
    </w:pPr>
    <w:rPr>
      <w:rFonts w:ascii="Palatino" w:hAnsi="Palatino"/>
      <w:sz w:val="24"/>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odyText2">
    <w:name w:val="Body Text 2"/>
    <w:basedOn w:val="Normal"/>
    <w:pPr>
      <w:spacing w:after="120"/>
      <w:ind w:right="-720"/>
    </w:pPr>
    <w:rPr>
      <w:sz w:val="24"/>
    </w:rPr>
  </w:style>
  <w:style w:type="character" w:styleId="Hyperlink">
    <w:name w:val="Hyperlink"/>
    <w:rPr>
      <w:color w:val="0000FF"/>
      <w:u w:val="single"/>
    </w:rPr>
  </w:style>
  <w:style w:type="paragraph" w:customStyle="1" w:styleId="xl41">
    <w:name w:val="xl41"/>
    <w:basedOn w:val="Normal"/>
    <w:pPr>
      <w:overflowPunct w:val="0"/>
      <w:autoSpaceDE w:val="0"/>
      <w:autoSpaceDN w:val="0"/>
      <w:adjustRightInd w:val="0"/>
      <w:spacing w:before="100" w:after="100"/>
      <w:textAlignment w:val="baseline"/>
    </w:pPr>
    <w:rPr>
      <w:rFonts w:ascii="Arial Unicode MS" w:eastAsia="Arial Unicode MS"/>
      <w:sz w:val="24"/>
    </w:rPr>
  </w:style>
  <w:style w:type="character" w:styleId="FollowedHyperlink">
    <w:name w:val="FollowedHyperlink"/>
    <w:rPr>
      <w:color w:val="800080"/>
      <w:u w:val="single"/>
    </w:rPr>
  </w:style>
  <w:style w:type="paragraph" w:styleId="BodyTextIndent">
    <w:name w:val="Body Text Indent"/>
    <w:basedOn w:val="Normal"/>
    <w:pPr>
      <w:tabs>
        <w:tab w:val="left" w:pos="360"/>
      </w:tabs>
      <w:ind w:left="360" w:hanging="360"/>
    </w:pPr>
    <w:rPr>
      <w:rFonts w:ascii="Palatino" w:hAnsi="Palatino"/>
      <w:sz w:val="24"/>
    </w:rPr>
  </w:style>
  <w:style w:type="paragraph" w:styleId="BodyTextIndent2">
    <w:name w:val="Body Text Indent 2"/>
    <w:basedOn w:val="Normal"/>
    <w:pPr>
      <w:ind w:left="60"/>
    </w:pPr>
    <w:rPr>
      <w:rFonts w:ascii="Palatino" w:hAnsi="Palatino"/>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Indent3">
    <w:name w:val="Body Text Indent 3"/>
    <w:basedOn w:val="Normal"/>
    <w:pPr>
      <w:tabs>
        <w:tab w:val="left" w:pos="360"/>
        <w:tab w:val="left" w:pos="9540"/>
      </w:tabs>
      <w:spacing w:after="120"/>
      <w:ind w:left="360"/>
    </w:pPr>
    <w:rPr>
      <w:rFonts w:ascii="Palatino" w:hAnsi="Palatino"/>
      <w:sz w:val="24"/>
    </w:rPr>
  </w:style>
  <w:style w:type="paragraph" w:customStyle="1" w:styleId="font0">
    <w:name w:val="font0"/>
    <w:basedOn w:val="Normal"/>
    <w:pPr>
      <w:spacing w:before="100" w:beforeAutospacing="1" w:after="100" w:afterAutospacing="1"/>
    </w:pPr>
    <w:rPr>
      <w:rFonts w:ascii="Arial" w:eastAsia="Arial Unicode MS" w:hAnsi="Arial" w:cs="Arial"/>
    </w:rPr>
  </w:style>
  <w:style w:type="paragraph" w:customStyle="1" w:styleId="font5">
    <w:name w:val="font5"/>
    <w:basedOn w:val="Normal"/>
    <w:pPr>
      <w:spacing w:before="100" w:beforeAutospacing="1" w:after="100" w:afterAutospacing="1"/>
    </w:pPr>
    <w:rPr>
      <w:rFonts w:ascii="Arial" w:eastAsia="Arial Unicode MS" w:hAnsi="Arial" w:cs="Arial"/>
      <w:sz w:val="16"/>
      <w:szCs w:val="16"/>
    </w:rPr>
  </w:style>
  <w:style w:type="paragraph" w:customStyle="1" w:styleId="xl24">
    <w:name w:val="xl24"/>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25">
    <w:name w:val="xl25"/>
    <w:basedOn w:val="Normal"/>
    <w:pPr>
      <w:spacing w:before="100" w:beforeAutospacing="1" w:after="100" w:afterAutospacing="1"/>
      <w:jc w:val="right"/>
    </w:pPr>
    <w:rPr>
      <w:rFonts w:ascii="Arial" w:eastAsia="Arial Unicode MS" w:hAnsi="Arial" w:cs="Arial"/>
      <w:b/>
      <w:bCs/>
      <w:sz w:val="24"/>
      <w:szCs w:val="24"/>
      <w:u w:val="single"/>
    </w:rPr>
  </w:style>
  <w:style w:type="paragraph" w:customStyle="1" w:styleId="xl27">
    <w:name w:val="xl27"/>
    <w:basedOn w:val="Normal"/>
    <w:pPr>
      <w:spacing w:before="100" w:beforeAutospacing="1" w:after="100" w:afterAutospacing="1"/>
    </w:pPr>
    <w:rPr>
      <w:rFonts w:ascii="Arial" w:eastAsia="Arial Unicode MS" w:hAnsi="Arial" w:cs="Arial"/>
      <w:sz w:val="24"/>
      <w:szCs w:val="24"/>
    </w:rPr>
  </w:style>
  <w:style w:type="paragraph" w:customStyle="1" w:styleId="xl28">
    <w:name w:val="xl28"/>
    <w:basedOn w:val="Normal"/>
    <w:pPr>
      <w:spacing w:before="100" w:beforeAutospacing="1" w:after="100" w:afterAutospacing="1"/>
    </w:pPr>
    <w:rPr>
      <w:rFonts w:ascii="Arial" w:eastAsia="Arial Unicode MS" w:hAnsi="Arial" w:cs="Arial"/>
      <w:b/>
      <w:bCs/>
      <w:sz w:val="24"/>
      <w:szCs w:val="24"/>
    </w:rPr>
  </w:style>
  <w:style w:type="paragraph" w:customStyle="1" w:styleId="xl30">
    <w:name w:val="xl30"/>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xl31">
    <w:name w:val="xl31"/>
    <w:basedOn w:val="Normal"/>
    <w:pPr>
      <w:spacing w:before="100" w:beforeAutospacing="1" w:after="100" w:afterAutospacing="1"/>
    </w:pPr>
    <w:rPr>
      <w:rFonts w:ascii="Arial" w:eastAsia="Arial Unicode MS" w:hAnsi="Arial" w:cs="Arial"/>
      <w:b/>
      <w:bCs/>
      <w:sz w:val="24"/>
      <w:szCs w:val="24"/>
    </w:rPr>
  </w:style>
  <w:style w:type="paragraph" w:customStyle="1" w:styleId="xl32">
    <w:name w:val="xl32"/>
    <w:basedOn w:val="Normal"/>
    <w:pPr>
      <w:spacing w:before="100" w:beforeAutospacing="1" w:after="100" w:afterAutospacing="1"/>
    </w:pPr>
    <w:rPr>
      <w:rFonts w:ascii="Arial" w:eastAsia="Arial Unicode MS" w:hAnsi="Arial" w:cs="Arial"/>
      <w:sz w:val="16"/>
      <w:szCs w:val="16"/>
    </w:rPr>
  </w:style>
  <w:style w:type="paragraph" w:customStyle="1" w:styleId="xl33">
    <w:name w:val="xl33"/>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34">
    <w:name w:val="xl34"/>
    <w:basedOn w:val="Normal"/>
    <w:pPr>
      <w:spacing w:before="100" w:beforeAutospacing="1" w:after="100" w:afterAutospacing="1"/>
      <w:jc w:val="right"/>
    </w:pPr>
    <w:rPr>
      <w:rFonts w:ascii="Arial" w:eastAsia="Arial Unicode MS" w:hAnsi="Arial" w:cs="Arial"/>
      <w:b/>
      <w:bCs/>
      <w:sz w:val="24"/>
      <w:szCs w:val="24"/>
      <w:u w:val="single"/>
    </w:rPr>
  </w:style>
  <w:style w:type="paragraph" w:customStyle="1" w:styleId="xl35">
    <w:name w:val="xl35"/>
    <w:basedOn w:val="Normal"/>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6">
    <w:name w:val="xl36"/>
    <w:basedOn w:val="Normal"/>
    <w:pPr>
      <w:spacing w:before="100" w:beforeAutospacing="1" w:after="100" w:afterAutospacing="1"/>
      <w:jc w:val="right"/>
    </w:pPr>
    <w:rPr>
      <w:rFonts w:ascii="Arial" w:eastAsia="Arial Unicode MS" w:hAnsi="Arial" w:cs="Arial"/>
      <w:sz w:val="24"/>
      <w:szCs w:val="24"/>
    </w:rPr>
  </w:style>
  <w:style w:type="paragraph" w:customStyle="1" w:styleId="xl37">
    <w:name w:val="xl37"/>
    <w:basedOn w:val="Normal"/>
    <w:pPr>
      <w:spacing w:before="100" w:beforeAutospacing="1" w:after="100" w:afterAutospacing="1"/>
      <w:jc w:val="right"/>
    </w:pPr>
    <w:rPr>
      <w:rFonts w:ascii="Arial" w:eastAsia="Arial Unicode MS" w:hAnsi="Arial" w:cs="Arial"/>
      <w:b/>
      <w:bCs/>
      <w:sz w:val="24"/>
      <w:szCs w:val="24"/>
    </w:rPr>
  </w:style>
  <w:style w:type="paragraph" w:customStyle="1" w:styleId="xl38">
    <w:name w:val="xl38"/>
    <w:basedOn w:val="Normal"/>
    <w:pPr>
      <w:spacing w:before="100" w:beforeAutospacing="1" w:after="100" w:afterAutospacing="1"/>
    </w:pPr>
    <w:rPr>
      <w:rFonts w:ascii="Arial" w:eastAsia="Arial Unicode MS" w:hAnsi="Arial" w:cs="Arial"/>
      <w:b/>
      <w:bCs/>
      <w:sz w:val="24"/>
      <w:szCs w:val="24"/>
    </w:rPr>
  </w:style>
  <w:style w:type="paragraph" w:customStyle="1" w:styleId="xl39">
    <w:name w:val="xl39"/>
    <w:basedOn w:val="Normal"/>
    <w:pPr>
      <w:spacing w:before="100" w:beforeAutospacing="1" w:after="100" w:afterAutospacing="1"/>
      <w:textAlignment w:val="top"/>
    </w:pPr>
    <w:rPr>
      <w:rFonts w:ascii="Arial" w:eastAsia="Arial Unicode MS" w:hAnsi="Arial" w:cs="Arial"/>
      <w:b/>
      <w:bCs/>
      <w:sz w:val="24"/>
      <w:szCs w:val="24"/>
    </w:rPr>
  </w:style>
  <w:style w:type="paragraph" w:customStyle="1" w:styleId="xl40">
    <w:name w:val="xl40"/>
    <w:basedOn w:val="Normal"/>
    <w:pPr>
      <w:spacing w:before="100" w:beforeAutospacing="1" w:after="100" w:afterAutospacing="1"/>
      <w:textAlignment w:val="top"/>
    </w:pPr>
    <w:rPr>
      <w:rFonts w:ascii="Arial" w:eastAsia="Arial Unicode MS" w:hAnsi="Arial" w:cs="Arial"/>
      <w:sz w:val="24"/>
      <w:szCs w:val="24"/>
    </w:rPr>
  </w:style>
  <w:style w:type="paragraph" w:customStyle="1" w:styleId="xl42">
    <w:name w:val="xl42"/>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43">
    <w:name w:val="xl43"/>
    <w:basedOn w:val="Normal"/>
    <w:pPr>
      <w:spacing w:before="100" w:beforeAutospacing="1" w:after="100" w:afterAutospacing="1"/>
      <w:textAlignment w:val="top"/>
    </w:pPr>
    <w:rPr>
      <w:rFonts w:ascii="Arial" w:eastAsia="Arial Unicode MS" w:hAnsi="Arial" w:cs="Arial"/>
      <w:sz w:val="16"/>
      <w:szCs w:val="16"/>
    </w:rPr>
  </w:style>
  <w:style w:type="paragraph" w:customStyle="1" w:styleId="xl44">
    <w:name w:val="xl44"/>
    <w:basedOn w:val="Normal"/>
    <w:pPr>
      <w:spacing w:before="100" w:beforeAutospacing="1" w:after="100" w:afterAutospacing="1"/>
    </w:pPr>
    <w:rPr>
      <w:rFonts w:ascii="Arial" w:eastAsia="Arial Unicode MS" w:hAnsi="Arial" w:cs="Arial"/>
      <w:sz w:val="24"/>
      <w:szCs w:val="24"/>
      <w:u w:val="single"/>
    </w:rPr>
  </w:style>
  <w:style w:type="paragraph" w:customStyle="1" w:styleId="xl45">
    <w:name w:val="xl45"/>
    <w:basedOn w:val="Normal"/>
    <w:pPr>
      <w:spacing w:before="100" w:beforeAutospacing="1" w:after="100" w:afterAutospacing="1"/>
    </w:pPr>
    <w:rPr>
      <w:rFonts w:ascii="Arial" w:eastAsia="Arial Unicode MS" w:hAnsi="Arial" w:cs="Arial"/>
      <w:color w:val="000000"/>
      <w:sz w:val="24"/>
      <w:szCs w:val="24"/>
    </w:rPr>
  </w:style>
  <w:style w:type="paragraph" w:customStyle="1" w:styleId="xl46">
    <w:name w:val="xl46"/>
    <w:basedOn w:val="Normal"/>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47">
    <w:name w:val="xl47"/>
    <w:basedOn w:val="Normal"/>
    <w:pP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8">
    <w:name w:val="xl48"/>
    <w:basedOn w:val="Normal"/>
    <w:pP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9">
    <w:name w:val="xl49"/>
    <w:basedOn w:val="Normal"/>
    <w:pPr>
      <w:spacing w:before="100" w:beforeAutospacing="1" w:after="100" w:afterAutospacing="1"/>
    </w:pPr>
    <w:rPr>
      <w:rFonts w:ascii="Arial" w:eastAsia="Arial Unicode MS" w:hAnsi="Arial" w:cs="Arial"/>
      <w:b/>
      <w:bCs/>
      <w:sz w:val="24"/>
      <w:szCs w:val="24"/>
    </w:rPr>
  </w:style>
  <w:style w:type="paragraph" w:customStyle="1" w:styleId="xl51">
    <w:name w:val="xl51"/>
    <w:basedOn w:val="Normal"/>
    <w:pPr>
      <w:spacing w:before="100" w:beforeAutospacing="1" w:after="100" w:afterAutospacing="1"/>
      <w:jc w:val="center"/>
    </w:pPr>
    <w:rPr>
      <w:rFonts w:ascii="Arial" w:eastAsia="Arial Unicode MS" w:hAnsi="Arial" w:cs="Arial"/>
      <w:b/>
      <w:bCs/>
      <w:sz w:val="24"/>
      <w:szCs w:val="24"/>
      <w:u w:val="single"/>
    </w:rPr>
  </w:style>
  <w:style w:type="paragraph" w:customStyle="1" w:styleId="xl52">
    <w:name w:val="xl52"/>
    <w:basedOn w:val="Normal"/>
    <w:pP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53">
    <w:name w:val="xl53"/>
    <w:basedOn w:val="Normal"/>
    <w:pPr>
      <w:spacing w:before="100" w:beforeAutospacing="1" w:after="100" w:afterAutospacing="1"/>
    </w:pPr>
    <w:rPr>
      <w:rFonts w:ascii="Arial" w:eastAsia="Arial Unicode MS" w:hAnsi="Arial" w:cs="Arial"/>
      <w:color w:val="000000"/>
      <w:sz w:val="24"/>
      <w:szCs w:val="24"/>
    </w:rPr>
  </w:style>
  <w:style w:type="paragraph" w:customStyle="1" w:styleId="xl56">
    <w:name w:val="xl56"/>
    <w:basedOn w:val="Normal"/>
    <w:pPr>
      <w:spacing w:before="100" w:beforeAutospacing="1" w:after="100" w:afterAutospacing="1"/>
    </w:pPr>
    <w:rPr>
      <w:rFonts w:ascii="Arial" w:eastAsia="Arial Unicode MS" w:hAnsi="Arial" w:cs="Arial"/>
      <w:color w:val="000000"/>
      <w:sz w:val="24"/>
      <w:szCs w:val="24"/>
    </w:rPr>
  </w:style>
  <w:style w:type="paragraph" w:customStyle="1" w:styleId="xl57">
    <w:name w:val="xl57"/>
    <w:basedOn w:val="Normal"/>
    <w:pPr>
      <w:spacing w:before="100" w:beforeAutospacing="1" w:after="100" w:afterAutospacing="1"/>
      <w:textAlignment w:val="top"/>
    </w:pPr>
    <w:rPr>
      <w:rFonts w:ascii="Arial" w:eastAsia="Arial Unicode MS" w:hAnsi="Arial" w:cs="Arial"/>
      <w:b/>
      <w:bCs/>
      <w:sz w:val="24"/>
      <w:szCs w:val="24"/>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pPr>
      <w:keepNext/>
      <w:spacing w:after="120"/>
      <w:ind w:right="90"/>
    </w:pPr>
    <w:rPr>
      <w:rFonts w:ascii="Palatino" w:hAnsi="Palatino"/>
      <w:bCs/>
      <w:sz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A41BD"/>
    <w:rPr>
      <w:sz w:val="16"/>
      <w:szCs w:val="16"/>
    </w:rPr>
  </w:style>
  <w:style w:type="paragraph" w:styleId="CommentText">
    <w:name w:val="annotation text"/>
    <w:basedOn w:val="Normal"/>
    <w:link w:val="CommentTextChar"/>
    <w:rsid w:val="007A41BD"/>
  </w:style>
  <w:style w:type="character" w:customStyle="1" w:styleId="CommentTextChar">
    <w:name w:val="Comment Text Char"/>
    <w:basedOn w:val="DefaultParagraphFont"/>
    <w:link w:val="CommentText"/>
    <w:rsid w:val="007A41BD"/>
  </w:style>
  <w:style w:type="paragraph" w:styleId="CommentSubject">
    <w:name w:val="annotation subject"/>
    <w:basedOn w:val="CommentText"/>
    <w:next w:val="CommentText"/>
    <w:link w:val="CommentSubjectChar"/>
    <w:rsid w:val="007A41BD"/>
    <w:rPr>
      <w:b/>
      <w:bCs/>
    </w:rPr>
  </w:style>
  <w:style w:type="character" w:customStyle="1" w:styleId="CommentSubjectChar">
    <w:name w:val="Comment Subject Char"/>
    <w:basedOn w:val="CommentTextChar"/>
    <w:link w:val="CommentSubject"/>
    <w:rsid w:val="007A41BD"/>
    <w:rPr>
      <w:b/>
      <w:bCs/>
    </w:rPr>
  </w:style>
  <w:style w:type="paragraph" w:styleId="ListParagraph">
    <w:name w:val="List Paragraph"/>
    <w:basedOn w:val="Normal"/>
    <w:uiPriority w:val="34"/>
    <w:qFormat/>
    <w:rsid w:val="007A41BD"/>
    <w:pPr>
      <w:ind w:left="720"/>
      <w:contextualSpacing/>
    </w:pPr>
  </w:style>
  <w:style w:type="character" w:customStyle="1" w:styleId="FootnoteTextChar">
    <w:name w:val="Footnote Text Char"/>
    <w:basedOn w:val="DefaultParagraphFont"/>
    <w:link w:val="FootnoteText"/>
    <w:semiHidden/>
    <w:rsid w:val="00547170"/>
  </w:style>
  <w:style w:type="paragraph" w:styleId="Revision">
    <w:name w:val="Revision"/>
    <w:hidden/>
    <w:uiPriority w:val="99"/>
    <w:semiHidden/>
    <w:rsid w:val="003D070D"/>
  </w:style>
  <w:style w:type="character" w:styleId="Emphasis">
    <w:name w:val="Emphasis"/>
    <w:basedOn w:val="DefaultParagraphFont"/>
    <w:qFormat/>
    <w:rsid w:val="0002280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Palatino" w:hAnsi="Palatino"/>
      <w:b/>
      <w:sz w:val="24"/>
      <w:u w:val="single"/>
    </w:rPr>
  </w:style>
  <w:style w:type="paragraph" w:styleId="Heading2">
    <w:name w:val="heading 2"/>
    <w:basedOn w:val="Normal"/>
    <w:next w:val="Normal"/>
    <w:qFormat/>
    <w:pPr>
      <w:keepNext/>
      <w:tabs>
        <w:tab w:val="left" w:pos="720"/>
      </w:tabs>
      <w:spacing w:after="120"/>
      <w:ind w:left="720"/>
      <w:outlineLvl w:val="1"/>
    </w:pPr>
    <w:rPr>
      <w:rFonts w:ascii="Palatino" w:hAnsi="Palatino"/>
      <w:b/>
      <w:sz w:val="24"/>
    </w:rPr>
  </w:style>
  <w:style w:type="paragraph" w:styleId="Heading3">
    <w:name w:val="heading 3"/>
    <w:basedOn w:val="Normal"/>
    <w:next w:val="Normal"/>
    <w:qFormat/>
    <w:pPr>
      <w:keepNext/>
      <w:outlineLvl w:val="2"/>
    </w:pPr>
    <w:rPr>
      <w:rFonts w:ascii="Palatino" w:hAnsi="Palatino"/>
      <w:sz w:val="24"/>
    </w:rPr>
  </w:style>
  <w:style w:type="paragraph" w:styleId="Heading4">
    <w:name w:val="heading 4"/>
    <w:basedOn w:val="Normal"/>
    <w:next w:val="Normal"/>
    <w:qFormat/>
    <w:pPr>
      <w:keepNext/>
      <w:spacing w:after="120"/>
      <w:ind w:left="720"/>
      <w:outlineLvl w:val="3"/>
    </w:pPr>
    <w:rPr>
      <w:rFonts w:ascii="Palatino" w:hAnsi="Palatino"/>
      <w:b/>
      <w:sz w:val="24"/>
      <w:u w:val="single"/>
    </w:rPr>
  </w:style>
  <w:style w:type="paragraph" w:styleId="Heading5">
    <w:name w:val="heading 5"/>
    <w:basedOn w:val="Normal"/>
    <w:next w:val="Normal"/>
    <w:qFormat/>
    <w:pPr>
      <w:keepNext/>
      <w:ind w:left="720" w:right="1440"/>
      <w:outlineLvl w:val="4"/>
    </w:pPr>
    <w:rPr>
      <w:rFonts w:ascii="Palatino" w:hAnsi="Palatino"/>
      <w:b/>
      <w:bCs/>
      <w:sz w:val="24"/>
    </w:rPr>
  </w:style>
  <w:style w:type="paragraph" w:styleId="Heading6">
    <w:name w:val="heading 6"/>
    <w:basedOn w:val="Normal"/>
    <w:next w:val="Normal"/>
    <w:qFormat/>
    <w:pPr>
      <w:keepNext/>
      <w:spacing w:before="120"/>
      <w:jc w:val="right"/>
      <w:outlineLvl w:val="5"/>
    </w:pPr>
    <w:rPr>
      <w:sz w:val="24"/>
    </w:rPr>
  </w:style>
  <w:style w:type="paragraph" w:styleId="Heading7">
    <w:name w:val="heading 7"/>
    <w:basedOn w:val="Normal"/>
    <w:next w:val="Normal"/>
    <w:qFormat/>
    <w:pPr>
      <w:keepNext/>
      <w:spacing w:after="120"/>
      <w:ind w:right="-720" w:firstLine="720"/>
      <w:outlineLvl w:val="6"/>
    </w:pPr>
    <w:rPr>
      <w:rFonts w:ascii="Palatino" w:hAnsi="Palatino"/>
      <w:b/>
      <w:sz w:val="24"/>
      <w:u w:val="single"/>
    </w:rPr>
  </w:style>
  <w:style w:type="paragraph" w:styleId="Heading8">
    <w:name w:val="heading 8"/>
    <w:basedOn w:val="Normal"/>
    <w:next w:val="Normal"/>
    <w:qFormat/>
    <w:pPr>
      <w:keepNext/>
      <w:spacing w:after="120"/>
      <w:ind w:firstLine="720"/>
      <w:outlineLvl w:val="7"/>
    </w:pPr>
    <w:rPr>
      <w:b/>
      <w:sz w:val="24"/>
      <w:u w:val="single"/>
    </w:rPr>
  </w:style>
  <w:style w:type="paragraph" w:styleId="Heading9">
    <w:name w:val="heading 9"/>
    <w:basedOn w:val="Normal"/>
    <w:next w:val="Normal"/>
    <w:qFormat/>
    <w:pPr>
      <w:keepNext/>
      <w:outlineLvl w:val="8"/>
    </w:pPr>
    <w:rPr>
      <w:rFonts w:ascii="Palatino" w:hAnsi="Palatino"/>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sz w:val="24"/>
    </w:rPr>
  </w:style>
  <w:style w:type="paragraph" w:styleId="BlockText">
    <w:name w:val="Block Text"/>
    <w:basedOn w:val="Normal"/>
    <w:pPr>
      <w:ind w:left="720" w:right="720"/>
      <w:jc w:val="both"/>
    </w:pPr>
    <w:rPr>
      <w:rFonts w:ascii="Palatino" w:hAnsi="Palatino"/>
      <w:sz w:val="24"/>
    </w:rPr>
  </w:style>
  <w:style w:type="paragraph" w:styleId="BodyText">
    <w:name w:val="Body Text"/>
    <w:basedOn w:val="Normal"/>
    <w:pPr>
      <w:tabs>
        <w:tab w:val="left" w:pos="720"/>
      </w:tabs>
      <w:spacing w:after="120"/>
    </w:pPr>
    <w:rPr>
      <w:rFonts w:ascii="Palatino" w:hAnsi="Palatino"/>
      <w:sz w:val="24"/>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odyText2">
    <w:name w:val="Body Text 2"/>
    <w:basedOn w:val="Normal"/>
    <w:pPr>
      <w:spacing w:after="120"/>
      <w:ind w:right="-720"/>
    </w:pPr>
    <w:rPr>
      <w:sz w:val="24"/>
    </w:rPr>
  </w:style>
  <w:style w:type="character" w:styleId="Hyperlink">
    <w:name w:val="Hyperlink"/>
    <w:rPr>
      <w:color w:val="0000FF"/>
      <w:u w:val="single"/>
    </w:rPr>
  </w:style>
  <w:style w:type="paragraph" w:customStyle="1" w:styleId="xl41">
    <w:name w:val="xl41"/>
    <w:basedOn w:val="Normal"/>
    <w:pPr>
      <w:overflowPunct w:val="0"/>
      <w:autoSpaceDE w:val="0"/>
      <w:autoSpaceDN w:val="0"/>
      <w:adjustRightInd w:val="0"/>
      <w:spacing w:before="100" w:after="100"/>
      <w:textAlignment w:val="baseline"/>
    </w:pPr>
    <w:rPr>
      <w:rFonts w:ascii="Arial Unicode MS" w:eastAsia="Arial Unicode MS"/>
      <w:sz w:val="24"/>
    </w:rPr>
  </w:style>
  <w:style w:type="character" w:styleId="FollowedHyperlink">
    <w:name w:val="FollowedHyperlink"/>
    <w:rPr>
      <w:color w:val="800080"/>
      <w:u w:val="single"/>
    </w:rPr>
  </w:style>
  <w:style w:type="paragraph" w:styleId="BodyTextIndent">
    <w:name w:val="Body Text Indent"/>
    <w:basedOn w:val="Normal"/>
    <w:pPr>
      <w:tabs>
        <w:tab w:val="left" w:pos="360"/>
      </w:tabs>
      <w:ind w:left="360" w:hanging="360"/>
    </w:pPr>
    <w:rPr>
      <w:rFonts w:ascii="Palatino" w:hAnsi="Palatino"/>
      <w:sz w:val="24"/>
    </w:rPr>
  </w:style>
  <w:style w:type="paragraph" w:styleId="BodyTextIndent2">
    <w:name w:val="Body Text Indent 2"/>
    <w:basedOn w:val="Normal"/>
    <w:pPr>
      <w:ind w:left="60"/>
    </w:pPr>
    <w:rPr>
      <w:rFonts w:ascii="Palatino" w:hAnsi="Palatino"/>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BodyTextIndent3">
    <w:name w:val="Body Text Indent 3"/>
    <w:basedOn w:val="Normal"/>
    <w:pPr>
      <w:tabs>
        <w:tab w:val="left" w:pos="360"/>
        <w:tab w:val="left" w:pos="9540"/>
      </w:tabs>
      <w:spacing w:after="120"/>
      <w:ind w:left="360"/>
    </w:pPr>
    <w:rPr>
      <w:rFonts w:ascii="Palatino" w:hAnsi="Palatino"/>
      <w:sz w:val="24"/>
    </w:rPr>
  </w:style>
  <w:style w:type="paragraph" w:customStyle="1" w:styleId="font0">
    <w:name w:val="font0"/>
    <w:basedOn w:val="Normal"/>
    <w:pPr>
      <w:spacing w:before="100" w:beforeAutospacing="1" w:after="100" w:afterAutospacing="1"/>
    </w:pPr>
    <w:rPr>
      <w:rFonts w:ascii="Arial" w:eastAsia="Arial Unicode MS" w:hAnsi="Arial" w:cs="Arial"/>
    </w:rPr>
  </w:style>
  <w:style w:type="paragraph" w:customStyle="1" w:styleId="font5">
    <w:name w:val="font5"/>
    <w:basedOn w:val="Normal"/>
    <w:pPr>
      <w:spacing w:before="100" w:beforeAutospacing="1" w:after="100" w:afterAutospacing="1"/>
    </w:pPr>
    <w:rPr>
      <w:rFonts w:ascii="Arial" w:eastAsia="Arial Unicode MS" w:hAnsi="Arial" w:cs="Arial"/>
      <w:sz w:val="16"/>
      <w:szCs w:val="16"/>
    </w:rPr>
  </w:style>
  <w:style w:type="paragraph" w:customStyle="1" w:styleId="xl24">
    <w:name w:val="xl24"/>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25">
    <w:name w:val="xl25"/>
    <w:basedOn w:val="Normal"/>
    <w:pPr>
      <w:spacing w:before="100" w:beforeAutospacing="1" w:after="100" w:afterAutospacing="1"/>
      <w:jc w:val="right"/>
    </w:pPr>
    <w:rPr>
      <w:rFonts w:ascii="Arial" w:eastAsia="Arial Unicode MS" w:hAnsi="Arial" w:cs="Arial"/>
      <w:b/>
      <w:bCs/>
      <w:sz w:val="24"/>
      <w:szCs w:val="24"/>
      <w:u w:val="single"/>
    </w:rPr>
  </w:style>
  <w:style w:type="paragraph" w:customStyle="1" w:styleId="xl27">
    <w:name w:val="xl27"/>
    <w:basedOn w:val="Normal"/>
    <w:pPr>
      <w:spacing w:before="100" w:beforeAutospacing="1" w:after="100" w:afterAutospacing="1"/>
    </w:pPr>
    <w:rPr>
      <w:rFonts w:ascii="Arial" w:eastAsia="Arial Unicode MS" w:hAnsi="Arial" w:cs="Arial"/>
      <w:sz w:val="24"/>
      <w:szCs w:val="24"/>
    </w:rPr>
  </w:style>
  <w:style w:type="paragraph" w:customStyle="1" w:styleId="xl28">
    <w:name w:val="xl28"/>
    <w:basedOn w:val="Normal"/>
    <w:pPr>
      <w:spacing w:before="100" w:beforeAutospacing="1" w:after="100" w:afterAutospacing="1"/>
    </w:pPr>
    <w:rPr>
      <w:rFonts w:ascii="Arial" w:eastAsia="Arial Unicode MS" w:hAnsi="Arial" w:cs="Arial"/>
      <w:b/>
      <w:bCs/>
      <w:sz w:val="24"/>
      <w:szCs w:val="24"/>
    </w:rPr>
  </w:style>
  <w:style w:type="paragraph" w:customStyle="1" w:styleId="xl30">
    <w:name w:val="xl30"/>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xl31">
    <w:name w:val="xl31"/>
    <w:basedOn w:val="Normal"/>
    <w:pPr>
      <w:spacing w:before="100" w:beforeAutospacing="1" w:after="100" w:afterAutospacing="1"/>
    </w:pPr>
    <w:rPr>
      <w:rFonts w:ascii="Arial" w:eastAsia="Arial Unicode MS" w:hAnsi="Arial" w:cs="Arial"/>
      <w:b/>
      <w:bCs/>
      <w:sz w:val="24"/>
      <w:szCs w:val="24"/>
    </w:rPr>
  </w:style>
  <w:style w:type="paragraph" w:customStyle="1" w:styleId="xl32">
    <w:name w:val="xl32"/>
    <w:basedOn w:val="Normal"/>
    <w:pPr>
      <w:spacing w:before="100" w:beforeAutospacing="1" w:after="100" w:afterAutospacing="1"/>
    </w:pPr>
    <w:rPr>
      <w:rFonts w:ascii="Arial" w:eastAsia="Arial Unicode MS" w:hAnsi="Arial" w:cs="Arial"/>
      <w:sz w:val="16"/>
      <w:szCs w:val="16"/>
    </w:rPr>
  </w:style>
  <w:style w:type="paragraph" w:customStyle="1" w:styleId="xl33">
    <w:name w:val="xl33"/>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34">
    <w:name w:val="xl34"/>
    <w:basedOn w:val="Normal"/>
    <w:pPr>
      <w:spacing w:before="100" w:beforeAutospacing="1" w:after="100" w:afterAutospacing="1"/>
      <w:jc w:val="right"/>
    </w:pPr>
    <w:rPr>
      <w:rFonts w:ascii="Arial" w:eastAsia="Arial Unicode MS" w:hAnsi="Arial" w:cs="Arial"/>
      <w:b/>
      <w:bCs/>
      <w:sz w:val="24"/>
      <w:szCs w:val="24"/>
      <w:u w:val="single"/>
    </w:rPr>
  </w:style>
  <w:style w:type="paragraph" w:customStyle="1" w:styleId="xl35">
    <w:name w:val="xl35"/>
    <w:basedOn w:val="Normal"/>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6">
    <w:name w:val="xl36"/>
    <w:basedOn w:val="Normal"/>
    <w:pPr>
      <w:spacing w:before="100" w:beforeAutospacing="1" w:after="100" w:afterAutospacing="1"/>
      <w:jc w:val="right"/>
    </w:pPr>
    <w:rPr>
      <w:rFonts w:ascii="Arial" w:eastAsia="Arial Unicode MS" w:hAnsi="Arial" w:cs="Arial"/>
      <w:sz w:val="24"/>
      <w:szCs w:val="24"/>
    </w:rPr>
  </w:style>
  <w:style w:type="paragraph" w:customStyle="1" w:styleId="xl37">
    <w:name w:val="xl37"/>
    <w:basedOn w:val="Normal"/>
    <w:pPr>
      <w:spacing w:before="100" w:beforeAutospacing="1" w:after="100" w:afterAutospacing="1"/>
      <w:jc w:val="right"/>
    </w:pPr>
    <w:rPr>
      <w:rFonts w:ascii="Arial" w:eastAsia="Arial Unicode MS" w:hAnsi="Arial" w:cs="Arial"/>
      <w:b/>
      <w:bCs/>
      <w:sz w:val="24"/>
      <w:szCs w:val="24"/>
    </w:rPr>
  </w:style>
  <w:style w:type="paragraph" w:customStyle="1" w:styleId="xl38">
    <w:name w:val="xl38"/>
    <w:basedOn w:val="Normal"/>
    <w:pPr>
      <w:spacing w:before="100" w:beforeAutospacing="1" w:after="100" w:afterAutospacing="1"/>
    </w:pPr>
    <w:rPr>
      <w:rFonts w:ascii="Arial" w:eastAsia="Arial Unicode MS" w:hAnsi="Arial" w:cs="Arial"/>
      <w:b/>
      <w:bCs/>
      <w:sz w:val="24"/>
      <w:szCs w:val="24"/>
    </w:rPr>
  </w:style>
  <w:style w:type="paragraph" w:customStyle="1" w:styleId="xl39">
    <w:name w:val="xl39"/>
    <w:basedOn w:val="Normal"/>
    <w:pPr>
      <w:spacing w:before="100" w:beforeAutospacing="1" w:after="100" w:afterAutospacing="1"/>
      <w:textAlignment w:val="top"/>
    </w:pPr>
    <w:rPr>
      <w:rFonts w:ascii="Arial" w:eastAsia="Arial Unicode MS" w:hAnsi="Arial" w:cs="Arial"/>
      <w:b/>
      <w:bCs/>
      <w:sz w:val="24"/>
      <w:szCs w:val="24"/>
    </w:rPr>
  </w:style>
  <w:style w:type="paragraph" w:customStyle="1" w:styleId="xl40">
    <w:name w:val="xl40"/>
    <w:basedOn w:val="Normal"/>
    <w:pPr>
      <w:spacing w:before="100" w:beforeAutospacing="1" w:after="100" w:afterAutospacing="1"/>
      <w:textAlignment w:val="top"/>
    </w:pPr>
    <w:rPr>
      <w:rFonts w:ascii="Arial" w:eastAsia="Arial Unicode MS" w:hAnsi="Arial" w:cs="Arial"/>
      <w:sz w:val="24"/>
      <w:szCs w:val="24"/>
    </w:rPr>
  </w:style>
  <w:style w:type="paragraph" w:customStyle="1" w:styleId="xl42">
    <w:name w:val="xl42"/>
    <w:basedOn w:val="Normal"/>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43">
    <w:name w:val="xl43"/>
    <w:basedOn w:val="Normal"/>
    <w:pPr>
      <w:spacing w:before="100" w:beforeAutospacing="1" w:after="100" w:afterAutospacing="1"/>
      <w:textAlignment w:val="top"/>
    </w:pPr>
    <w:rPr>
      <w:rFonts w:ascii="Arial" w:eastAsia="Arial Unicode MS" w:hAnsi="Arial" w:cs="Arial"/>
      <w:sz w:val="16"/>
      <w:szCs w:val="16"/>
    </w:rPr>
  </w:style>
  <w:style w:type="paragraph" w:customStyle="1" w:styleId="xl44">
    <w:name w:val="xl44"/>
    <w:basedOn w:val="Normal"/>
    <w:pPr>
      <w:spacing w:before="100" w:beforeAutospacing="1" w:after="100" w:afterAutospacing="1"/>
    </w:pPr>
    <w:rPr>
      <w:rFonts w:ascii="Arial" w:eastAsia="Arial Unicode MS" w:hAnsi="Arial" w:cs="Arial"/>
      <w:sz w:val="24"/>
      <w:szCs w:val="24"/>
      <w:u w:val="single"/>
    </w:rPr>
  </w:style>
  <w:style w:type="paragraph" w:customStyle="1" w:styleId="xl45">
    <w:name w:val="xl45"/>
    <w:basedOn w:val="Normal"/>
    <w:pPr>
      <w:spacing w:before="100" w:beforeAutospacing="1" w:after="100" w:afterAutospacing="1"/>
    </w:pPr>
    <w:rPr>
      <w:rFonts w:ascii="Arial" w:eastAsia="Arial Unicode MS" w:hAnsi="Arial" w:cs="Arial"/>
      <w:color w:val="000000"/>
      <w:sz w:val="24"/>
      <w:szCs w:val="24"/>
    </w:rPr>
  </w:style>
  <w:style w:type="paragraph" w:customStyle="1" w:styleId="xl46">
    <w:name w:val="xl46"/>
    <w:basedOn w:val="Normal"/>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47">
    <w:name w:val="xl47"/>
    <w:basedOn w:val="Normal"/>
    <w:pP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8">
    <w:name w:val="xl48"/>
    <w:basedOn w:val="Normal"/>
    <w:pP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9">
    <w:name w:val="xl49"/>
    <w:basedOn w:val="Normal"/>
    <w:pPr>
      <w:spacing w:before="100" w:beforeAutospacing="1" w:after="100" w:afterAutospacing="1"/>
    </w:pPr>
    <w:rPr>
      <w:rFonts w:ascii="Arial" w:eastAsia="Arial Unicode MS" w:hAnsi="Arial" w:cs="Arial"/>
      <w:b/>
      <w:bCs/>
      <w:sz w:val="24"/>
      <w:szCs w:val="24"/>
    </w:rPr>
  </w:style>
  <w:style w:type="paragraph" w:customStyle="1" w:styleId="xl51">
    <w:name w:val="xl51"/>
    <w:basedOn w:val="Normal"/>
    <w:pPr>
      <w:spacing w:before="100" w:beforeAutospacing="1" w:after="100" w:afterAutospacing="1"/>
      <w:jc w:val="center"/>
    </w:pPr>
    <w:rPr>
      <w:rFonts w:ascii="Arial" w:eastAsia="Arial Unicode MS" w:hAnsi="Arial" w:cs="Arial"/>
      <w:b/>
      <w:bCs/>
      <w:sz w:val="24"/>
      <w:szCs w:val="24"/>
      <w:u w:val="single"/>
    </w:rPr>
  </w:style>
  <w:style w:type="paragraph" w:customStyle="1" w:styleId="xl52">
    <w:name w:val="xl52"/>
    <w:basedOn w:val="Normal"/>
    <w:pP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53">
    <w:name w:val="xl53"/>
    <w:basedOn w:val="Normal"/>
    <w:pPr>
      <w:spacing w:before="100" w:beforeAutospacing="1" w:after="100" w:afterAutospacing="1"/>
    </w:pPr>
    <w:rPr>
      <w:rFonts w:ascii="Arial" w:eastAsia="Arial Unicode MS" w:hAnsi="Arial" w:cs="Arial"/>
      <w:color w:val="000000"/>
      <w:sz w:val="24"/>
      <w:szCs w:val="24"/>
    </w:rPr>
  </w:style>
  <w:style w:type="paragraph" w:customStyle="1" w:styleId="xl56">
    <w:name w:val="xl56"/>
    <w:basedOn w:val="Normal"/>
    <w:pPr>
      <w:spacing w:before="100" w:beforeAutospacing="1" w:after="100" w:afterAutospacing="1"/>
    </w:pPr>
    <w:rPr>
      <w:rFonts w:ascii="Arial" w:eastAsia="Arial Unicode MS" w:hAnsi="Arial" w:cs="Arial"/>
      <w:color w:val="000000"/>
      <w:sz w:val="24"/>
      <w:szCs w:val="24"/>
    </w:rPr>
  </w:style>
  <w:style w:type="paragraph" w:customStyle="1" w:styleId="xl57">
    <w:name w:val="xl57"/>
    <w:basedOn w:val="Normal"/>
    <w:pPr>
      <w:spacing w:before="100" w:beforeAutospacing="1" w:after="100" w:afterAutospacing="1"/>
      <w:textAlignment w:val="top"/>
    </w:pPr>
    <w:rPr>
      <w:rFonts w:ascii="Arial" w:eastAsia="Arial Unicode MS" w:hAnsi="Arial" w:cs="Arial"/>
      <w:b/>
      <w:bCs/>
      <w:sz w:val="24"/>
      <w:szCs w:val="24"/>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pPr>
      <w:keepNext/>
      <w:spacing w:after="120"/>
      <w:ind w:right="90"/>
    </w:pPr>
    <w:rPr>
      <w:rFonts w:ascii="Palatino" w:hAnsi="Palatino"/>
      <w:bCs/>
      <w:sz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A41BD"/>
    <w:rPr>
      <w:sz w:val="16"/>
      <w:szCs w:val="16"/>
    </w:rPr>
  </w:style>
  <w:style w:type="paragraph" w:styleId="CommentText">
    <w:name w:val="annotation text"/>
    <w:basedOn w:val="Normal"/>
    <w:link w:val="CommentTextChar"/>
    <w:rsid w:val="007A41BD"/>
  </w:style>
  <w:style w:type="character" w:customStyle="1" w:styleId="CommentTextChar">
    <w:name w:val="Comment Text Char"/>
    <w:basedOn w:val="DefaultParagraphFont"/>
    <w:link w:val="CommentText"/>
    <w:rsid w:val="007A41BD"/>
  </w:style>
  <w:style w:type="paragraph" w:styleId="CommentSubject">
    <w:name w:val="annotation subject"/>
    <w:basedOn w:val="CommentText"/>
    <w:next w:val="CommentText"/>
    <w:link w:val="CommentSubjectChar"/>
    <w:rsid w:val="007A41BD"/>
    <w:rPr>
      <w:b/>
      <w:bCs/>
    </w:rPr>
  </w:style>
  <w:style w:type="character" w:customStyle="1" w:styleId="CommentSubjectChar">
    <w:name w:val="Comment Subject Char"/>
    <w:basedOn w:val="CommentTextChar"/>
    <w:link w:val="CommentSubject"/>
    <w:rsid w:val="007A41BD"/>
    <w:rPr>
      <w:b/>
      <w:bCs/>
    </w:rPr>
  </w:style>
  <w:style w:type="paragraph" w:styleId="ListParagraph">
    <w:name w:val="List Paragraph"/>
    <w:basedOn w:val="Normal"/>
    <w:uiPriority w:val="34"/>
    <w:qFormat/>
    <w:rsid w:val="007A41BD"/>
    <w:pPr>
      <w:ind w:left="720"/>
      <w:contextualSpacing/>
    </w:pPr>
  </w:style>
  <w:style w:type="character" w:customStyle="1" w:styleId="FootnoteTextChar">
    <w:name w:val="Footnote Text Char"/>
    <w:basedOn w:val="DefaultParagraphFont"/>
    <w:link w:val="FootnoteText"/>
    <w:semiHidden/>
    <w:rsid w:val="00547170"/>
  </w:style>
  <w:style w:type="paragraph" w:styleId="Revision">
    <w:name w:val="Revision"/>
    <w:hidden/>
    <w:uiPriority w:val="99"/>
    <w:semiHidden/>
    <w:rsid w:val="003D070D"/>
  </w:style>
  <w:style w:type="character" w:styleId="Emphasis">
    <w:name w:val="Emphasis"/>
    <w:basedOn w:val="DefaultParagraphFont"/>
    <w:qFormat/>
    <w:rsid w:val="000228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6510">
      <w:bodyDiv w:val="1"/>
      <w:marLeft w:val="0"/>
      <w:marRight w:val="0"/>
      <w:marTop w:val="0"/>
      <w:marBottom w:val="0"/>
      <w:divBdr>
        <w:top w:val="none" w:sz="0" w:space="0" w:color="auto"/>
        <w:left w:val="none" w:sz="0" w:space="0" w:color="auto"/>
        <w:bottom w:val="none" w:sz="0" w:space="0" w:color="auto"/>
        <w:right w:val="none" w:sz="0" w:space="0" w:color="auto"/>
      </w:divBdr>
    </w:div>
    <w:div w:id="81221301">
      <w:bodyDiv w:val="1"/>
      <w:marLeft w:val="0"/>
      <w:marRight w:val="0"/>
      <w:marTop w:val="0"/>
      <w:marBottom w:val="0"/>
      <w:divBdr>
        <w:top w:val="none" w:sz="0" w:space="0" w:color="auto"/>
        <w:left w:val="none" w:sz="0" w:space="0" w:color="auto"/>
        <w:bottom w:val="none" w:sz="0" w:space="0" w:color="auto"/>
        <w:right w:val="none" w:sz="0" w:space="0" w:color="auto"/>
      </w:divBdr>
    </w:div>
    <w:div w:id="120390575">
      <w:bodyDiv w:val="1"/>
      <w:marLeft w:val="0"/>
      <w:marRight w:val="0"/>
      <w:marTop w:val="0"/>
      <w:marBottom w:val="0"/>
      <w:divBdr>
        <w:top w:val="none" w:sz="0" w:space="0" w:color="auto"/>
        <w:left w:val="none" w:sz="0" w:space="0" w:color="auto"/>
        <w:bottom w:val="none" w:sz="0" w:space="0" w:color="auto"/>
        <w:right w:val="none" w:sz="0" w:space="0" w:color="auto"/>
      </w:divBdr>
    </w:div>
    <w:div w:id="195508698">
      <w:bodyDiv w:val="1"/>
      <w:marLeft w:val="0"/>
      <w:marRight w:val="0"/>
      <w:marTop w:val="0"/>
      <w:marBottom w:val="0"/>
      <w:divBdr>
        <w:top w:val="none" w:sz="0" w:space="0" w:color="auto"/>
        <w:left w:val="none" w:sz="0" w:space="0" w:color="auto"/>
        <w:bottom w:val="none" w:sz="0" w:space="0" w:color="auto"/>
        <w:right w:val="none" w:sz="0" w:space="0" w:color="auto"/>
      </w:divBdr>
    </w:div>
    <w:div w:id="236519800">
      <w:bodyDiv w:val="1"/>
      <w:marLeft w:val="0"/>
      <w:marRight w:val="0"/>
      <w:marTop w:val="0"/>
      <w:marBottom w:val="0"/>
      <w:divBdr>
        <w:top w:val="none" w:sz="0" w:space="0" w:color="auto"/>
        <w:left w:val="none" w:sz="0" w:space="0" w:color="auto"/>
        <w:bottom w:val="none" w:sz="0" w:space="0" w:color="auto"/>
        <w:right w:val="none" w:sz="0" w:space="0" w:color="auto"/>
      </w:divBdr>
    </w:div>
    <w:div w:id="436369272">
      <w:bodyDiv w:val="1"/>
      <w:marLeft w:val="0"/>
      <w:marRight w:val="0"/>
      <w:marTop w:val="0"/>
      <w:marBottom w:val="0"/>
      <w:divBdr>
        <w:top w:val="none" w:sz="0" w:space="0" w:color="auto"/>
        <w:left w:val="none" w:sz="0" w:space="0" w:color="auto"/>
        <w:bottom w:val="none" w:sz="0" w:space="0" w:color="auto"/>
        <w:right w:val="none" w:sz="0" w:space="0" w:color="auto"/>
      </w:divBdr>
    </w:div>
    <w:div w:id="474874536">
      <w:bodyDiv w:val="1"/>
      <w:marLeft w:val="0"/>
      <w:marRight w:val="0"/>
      <w:marTop w:val="0"/>
      <w:marBottom w:val="0"/>
      <w:divBdr>
        <w:top w:val="none" w:sz="0" w:space="0" w:color="auto"/>
        <w:left w:val="none" w:sz="0" w:space="0" w:color="auto"/>
        <w:bottom w:val="none" w:sz="0" w:space="0" w:color="auto"/>
        <w:right w:val="none" w:sz="0" w:space="0" w:color="auto"/>
      </w:divBdr>
    </w:div>
    <w:div w:id="479689972">
      <w:bodyDiv w:val="1"/>
      <w:marLeft w:val="0"/>
      <w:marRight w:val="0"/>
      <w:marTop w:val="0"/>
      <w:marBottom w:val="0"/>
      <w:divBdr>
        <w:top w:val="none" w:sz="0" w:space="0" w:color="auto"/>
        <w:left w:val="none" w:sz="0" w:space="0" w:color="auto"/>
        <w:bottom w:val="none" w:sz="0" w:space="0" w:color="auto"/>
        <w:right w:val="none" w:sz="0" w:space="0" w:color="auto"/>
      </w:divBdr>
    </w:div>
    <w:div w:id="508953797">
      <w:bodyDiv w:val="1"/>
      <w:marLeft w:val="0"/>
      <w:marRight w:val="0"/>
      <w:marTop w:val="0"/>
      <w:marBottom w:val="0"/>
      <w:divBdr>
        <w:top w:val="none" w:sz="0" w:space="0" w:color="auto"/>
        <w:left w:val="none" w:sz="0" w:space="0" w:color="auto"/>
        <w:bottom w:val="none" w:sz="0" w:space="0" w:color="auto"/>
        <w:right w:val="none" w:sz="0" w:space="0" w:color="auto"/>
      </w:divBdr>
    </w:div>
    <w:div w:id="567544199">
      <w:bodyDiv w:val="1"/>
      <w:marLeft w:val="0"/>
      <w:marRight w:val="0"/>
      <w:marTop w:val="0"/>
      <w:marBottom w:val="0"/>
      <w:divBdr>
        <w:top w:val="none" w:sz="0" w:space="0" w:color="auto"/>
        <w:left w:val="none" w:sz="0" w:space="0" w:color="auto"/>
        <w:bottom w:val="none" w:sz="0" w:space="0" w:color="auto"/>
        <w:right w:val="none" w:sz="0" w:space="0" w:color="auto"/>
      </w:divBdr>
    </w:div>
    <w:div w:id="595669901">
      <w:bodyDiv w:val="1"/>
      <w:marLeft w:val="0"/>
      <w:marRight w:val="0"/>
      <w:marTop w:val="0"/>
      <w:marBottom w:val="0"/>
      <w:divBdr>
        <w:top w:val="none" w:sz="0" w:space="0" w:color="auto"/>
        <w:left w:val="none" w:sz="0" w:space="0" w:color="auto"/>
        <w:bottom w:val="none" w:sz="0" w:space="0" w:color="auto"/>
        <w:right w:val="none" w:sz="0" w:space="0" w:color="auto"/>
      </w:divBdr>
    </w:div>
    <w:div w:id="598100802">
      <w:bodyDiv w:val="1"/>
      <w:marLeft w:val="0"/>
      <w:marRight w:val="0"/>
      <w:marTop w:val="0"/>
      <w:marBottom w:val="0"/>
      <w:divBdr>
        <w:top w:val="none" w:sz="0" w:space="0" w:color="auto"/>
        <w:left w:val="none" w:sz="0" w:space="0" w:color="auto"/>
        <w:bottom w:val="none" w:sz="0" w:space="0" w:color="auto"/>
        <w:right w:val="none" w:sz="0" w:space="0" w:color="auto"/>
      </w:divBdr>
    </w:div>
    <w:div w:id="611133518">
      <w:bodyDiv w:val="1"/>
      <w:marLeft w:val="0"/>
      <w:marRight w:val="0"/>
      <w:marTop w:val="0"/>
      <w:marBottom w:val="0"/>
      <w:divBdr>
        <w:top w:val="none" w:sz="0" w:space="0" w:color="auto"/>
        <w:left w:val="none" w:sz="0" w:space="0" w:color="auto"/>
        <w:bottom w:val="none" w:sz="0" w:space="0" w:color="auto"/>
        <w:right w:val="none" w:sz="0" w:space="0" w:color="auto"/>
      </w:divBdr>
    </w:div>
    <w:div w:id="655720446">
      <w:bodyDiv w:val="1"/>
      <w:marLeft w:val="0"/>
      <w:marRight w:val="0"/>
      <w:marTop w:val="0"/>
      <w:marBottom w:val="0"/>
      <w:divBdr>
        <w:top w:val="none" w:sz="0" w:space="0" w:color="auto"/>
        <w:left w:val="none" w:sz="0" w:space="0" w:color="auto"/>
        <w:bottom w:val="none" w:sz="0" w:space="0" w:color="auto"/>
        <w:right w:val="none" w:sz="0" w:space="0" w:color="auto"/>
      </w:divBdr>
    </w:div>
    <w:div w:id="657927292">
      <w:bodyDiv w:val="1"/>
      <w:marLeft w:val="0"/>
      <w:marRight w:val="0"/>
      <w:marTop w:val="0"/>
      <w:marBottom w:val="0"/>
      <w:divBdr>
        <w:top w:val="none" w:sz="0" w:space="0" w:color="auto"/>
        <w:left w:val="none" w:sz="0" w:space="0" w:color="auto"/>
        <w:bottom w:val="none" w:sz="0" w:space="0" w:color="auto"/>
        <w:right w:val="none" w:sz="0" w:space="0" w:color="auto"/>
      </w:divBdr>
    </w:div>
    <w:div w:id="686980884">
      <w:bodyDiv w:val="1"/>
      <w:marLeft w:val="0"/>
      <w:marRight w:val="0"/>
      <w:marTop w:val="0"/>
      <w:marBottom w:val="0"/>
      <w:divBdr>
        <w:top w:val="none" w:sz="0" w:space="0" w:color="auto"/>
        <w:left w:val="none" w:sz="0" w:space="0" w:color="auto"/>
        <w:bottom w:val="none" w:sz="0" w:space="0" w:color="auto"/>
        <w:right w:val="none" w:sz="0" w:space="0" w:color="auto"/>
      </w:divBdr>
    </w:div>
    <w:div w:id="701444441">
      <w:bodyDiv w:val="1"/>
      <w:marLeft w:val="0"/>
      <w:marRight w:val="0"/>
      <w:marTop w:val="0"/>
      <w:marBottom w:val="0"/>
      <w:divBdr>
        <w:top w:val="none" w:sz="0" w:space="0" w:color="auto"/>
        <w:left w:val="none" w:sz="0" w:space="0" w:color="auto"/>
        <w:bottom w:val="none" w:sz="0" w:space="0" w:color="auto"/>
        <w:right w:val="none" w:sz="0" w:space="0" w:color="auto"/>
      </w:divBdr>
    </w:div>
    <w:div w:id="799763413">
      <w:bodyDiv w:val="1"/>
      <w:marLeft w:val="0"/>
      <w:marRight w:val="0"/>
      <w:marTop w:val="0"/>
      <w:marBottom w:val="0"/>
      <w:divBdr>
        <w:top w:val="none" w:sz="0" w:space="0" w:color="auto"/>
        <w:left w:val="none" w:sz="0" w:space="0" w:color="auto"/>
        <w:bottom w:val="none" w:sz="0" w:space="0" w:color="auto"/>
        <w:right w:val="none" w:sz="0" w:space="0" w:color="auto"/>
      </w:divBdr>
    </w:div>
    <w:div w:id="861478925">
      <w:bodyDiv w:val="1"/>
      <w:marLeft w:val="0"/>
      <w:marRight w:val="0"/>
      <w:marTop w:val="0"/>
      <w:marBottom w:val="0"/>
      <w:divBdr>
        <w:top w:val="none" w:sz="0" w:space="0" w:color="auto"/>
        <w:left w:val="none" w:sz="0" w:space="0" w:color="auto"/>
        <w:bottom w:val="none" w:sz="0" w:space="0" w:color="auto"/>
        <w:right w:val="none" w:sz="0" w:space="0" w:color="auto"/>
      </w:divBdr>
    </w:div>
    <w:div w:id="877470930">
      <w:bodyDiv w:val="1"/>
      <w:marLeft w:val="0"/>
      <w:marRight w:val="0"/>
      <w:marTop w:val="0"/>
      <w:marBottom w:val="0"/>
      <w:divBdr>
        <w:top w:val="none" w:sz="0" w:space="0" w:color="auto"/>
        <w:left w:val="none" w:sz="0" w:space="0" w:color="auto"/>
        <w:bottom w:val="none" w:sz="0" w:space="0" w:color="auto"/>
        <w:right w:val="none" w:sz="0" w:space="0" w:color="auto"/>
      </w:divBdr>
    </w:div>
    <w:div w:id="895966487">
      <w:bodyDiv w:val="1"/>
      <w:marLeft w:val="0"/>
      <w:marRight w:val="0"/>
      <w:marTop w:val="0"/>
      <w:marBottom w:val="0"/>
      <w:divBdr>
        <w:top w:val="none" w:sz="0" w:space="0" w:color="auto"/>
        <w:left w:val="none" w:sz="0" w:space="0" w:color="auto"/>
        <w:bottom w:val="none" w:sz="0" w:space="0" w:color="auto"/>
        <w:right w:val="none" w:sz="0" w:space="0" w:color="auto"/>
      </w:divBdr>
    </w:div>
    <w:div w:id="934171990">
      <w:bodyDiv w:val="1"/>
      <w:marLeft w:val="0"/>
      <w:marRight w:val="0"/>
      <w:marTop w:val="0"/>
      <w:marBottom w:val="0"/>
      <w:divBdr>
        <w:top w:val="none" w:sz="0" w:space="0" w:color="auto"/>
        <w:left w:val="none" w:sz="0" w:space="0" w:color="auto"/>
        <w:bottom w:val="none" w:sz="0" w:space="0" w:color="auto"/>
        <w:right w:val="none" w:sz="0" w:space="0" w:color="auto"/>
      </w:divBdr>
    </w:div>
    <w:div w:id="969553893">
      <w:bodyDiv w:val="1"/>
      <w:marLeft w:val="0"/>
      <w:marRight w:val="0"/>
      <w:marTop w:val="0"/>
      <w:marBottom w:val="0"/>
      <w:divBdr>
        <w:top w:val="none" w:sz="0" w:space="0" w:color="auto"/>
        <w:left w:val="none" w:sz="0" w:space="0" w:color="auto"/>
        <w:bottom w:val="none" w:sz="0" w:space="0" w:color="auto"/>
        <w:right w:val="none" w:sz="0" w:space="0" w:color="auto"/>
      </w:divBdr>
    </w:div>
    <w:div w:id="1013917723">
      <w:bodyDiv w:val="1"/>
      <w:marLeft w:val="0"/>
      <w:marRight w:val="0"/>
      <w:marTop w:val="0"/>
      <w:marBottom w:val="0"/>
      <w:divBdr>
        <w:top w:val="none" w:sz="0" w:space="0" w:color="auto"/>
        <w:left w:val="none" w:sz="0" w:space="0" w:color="auto"/>
        <w:bottom w:val="none" w:sz="0" w:space="0" w:color="auto"/>
        <w:right w:val="none" w:sz="0" w:space="0" w:color="auto"/>
      </w:divBdr>
    </w:div>
    <w:div w:id="1184443240">
      <w:bodyDiv w:val="1"/>
      <w:marLeft w:val="0"/>
      <w:marRight w:val="0"/>
      <w:marTop w:val="0"/>
      <w:marBottom w:val="0"/>
      <w:divBdr>
        <w:top w:val="none" w:sz="0" w:space="0" w:color="auto"/>
        <w:left w:val="none" w:sz="0" w:space="0" w:color="auto"/>
        <w:bottom w:val="none" w:sz="0" w:space="0" w:color="auto"/>
        <w:right w:val="none" w:sz="0" w:space="0" w:color="auto"/>
      </w:divBdr>
    </w:div>
    <w:div w:id="1217812221">
      <w:bodyDiv w:val="1"/>
      <w:marLeft w:val="0"/>
      <w:marRight w:val="0"/>
      <w:marTop w:val="0"/>
      <w:marBottom w:val="0"/>
      <w:divBdr>
        <w:top w:val="none" w:sz="0" w:space="0" w:color="auto"/>
        <w:left w:val="none" w:sz="0" w:space="0" w:color="auto"/>
        <w:bottom w:val="none" w:sz="0" w:space="0" w:color="auto"/>
        <w:right w:val="none" w:sz="0" w:space="0" w:color="auto"/>
      </w:divBdr>
    </w:div>
    <w:div w:id="1243484913">
      <w:bodyDiv w:val="1"/>
      <w:marLeft w:val="0"/>
      <w:marRight w:val="0"/>
      <w:marTop w:val="0"/>
      <w:marBottom w:val="0"/>
      <w:divBdr>
        <w:top w:val="none" w:sz="0" w:space="0" w:color="auto"/>
        <w:left w:val="none" w:sz="0" w:space="0" w:color="auto"/>
        <w:bottom w:val="none" w:sz="0" w:space="0" w:color="auto"/>
        <w:right w:val="none" w:sz="0" w:space="0" w:color="auto"/>
      </w:divBdr>
    </w:div>
    <w:div w:id="1273200492">
      <w:bodyDiv w:val="1"/>
      <w:marLeft w:val="0"/>
      <w:marRight w:val="0"/>
      <w:marTop w:val="0"/>
      <w:marBottom w:val="0"/>
      <w:divBdr>
        <w:top w:val="none" w:sz="0" w:space="0" w:color="auto"/>
        <w:left w:val="none" w:sz="0" w:space="0" w:color="auto"/>
        <w:bottom w:val="none" w:sz="0" w:space="0" w:color="auto"/>
        <w:right w:val="none" w:sz="0" w:space="0" w:color="auto"/>
      </w:divBdr>
    </w:div>
    <w:div w:id="1284117193">
      <w:bodyDiv w:val="1"/>
      <w:marLeft w:val="0"/>
      <w:marRight w:val="0"/>
      <w:marTop w:val="0"/>
      <w:marBottom w:val="0"/>
      <w:divBdr>
        <w:top w:val="none" w:sz="0" w:space="0" w:color="auto"/>
        <w:left w:val="none" w:sz="0" w:space="0" w:color="auto"/>
        <w:bottom w:val="none" w:sz="0" w:space="0" w:color="auto"/>
        <w:right w:val="none" w:sz="0" w:space="0" w:color="auto"/>
      </w:divBdr>
    </w:div>
    <w:div w:id="1545215134">
      <w:bodyDiv w:val="1"/>
      <w:marLeft w:val="0"/>
      <w:marRight w:val="0"/>
      <w:marTop w:val="0"/>
      <w:marBottom w:val="0"/>
      <w:divBdr>
        <w:top w:val="none" w:sz="0" w:space="0" w:color="auto"/>
        <w:left w:val="none" w:sz="0" w:space="0" w:color="auto"/>
        <w:bottom w:val="none" w:sz="0" w:space="0" w:color="auto"/>
        <w:right w:val="none" w:sz="0" w:space="0" w:color="auto"/>
      </w:divBdr>
    </w:div>
    <w:div w:id="1653825315">
      <w:bodyDiv w:val="1"/>
      <w:marLeft w:val="0"/>
      <w:marRight w:val="0"/>
      <w:marTop w:val="0"/>
      <w:marBottom w:val="0"/>
      <w:divBdr>
        <w:top w:val="none" w:sz="0" w:space="0" w:color="auto"/>
        <w:left w:val="none" w:sz="0" w:space="0" w:color="auto"/>
        <w:bottom w:val="none" w:sz="0" w:space="0" w:color="auto"/>
        <w:right w:val="none" w:sz="0" w:space="0" w:color="auto"/>
      </w:divBdr>
    </w:div>
    <w:div w:id="1686130449">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
    <w:div w:id="1721514471">
      <w:bodyDiv w:val="1"/>
      <w:marLeft w:val="0"/>
      <w:marRight w:val="0"/>
      <w:marTop w:val="0"/>
      <w:marBottom w:val="0"/>
      <w:divBdr>
        <w:top w:val="none" w:sz="0" w:space="0" w:color="auto"/>
        <w:left w:val="none" w:sz="0" w:space="0" w:color="auto"/>
        <w:bottom w:val="none" w:sz="0" w:space="0" w:color="auto"/>
        <w:right w:val="none" w:sz="0" w:space="0" w:color="auto"/>
      </w:divBdr>
    </w:div>
    <w:div w:id="1724450525">
      <w:bodyDiv w:val="1"/>
      <w:marLeft w:val="0"/>
      <w:marRight w:val="0"/>
      <w:marTop w:val="0"/>
      <w:marBottom w:val="0"/>
      <w:divBdr>
        <w:top w:val="none" w:sz="0" w:space="0" w:color="auto"/>
        <w:left w:val="none" w:sz="0" w:space="0" w:color="auto"/>
        <w:bottom w:val="none" w:sz="0" w:space="0" w:color="auto"/>
        <w:right w:val="none" w:sz="0" w:space="0" w:color="auto"/>
      </w:divBdr>
    </w:div>
    <w:div w:id="1733113855">
      <w:bodyDiv w:val="1"/>
      <w:marLeft w:val="0"/>
      <w:marRight w:val="0"/>
      <w:marTop w:val="0"/>
      <w:marBottom w:val="0"/>
      <w:divBdr>
        <w:top w:val="none" w:sz="0" w:space="0" w:color="auto"/>
        <w:left w:val="none" w:sz="0" w:space="0" w:color="auto"/>
        <w:bottom w:val="none" w:sz="0" w:space="0" w:color="auto"/>
        <w:right w:val="none" w:sz="0" w:space="0" w:color="auto"/>
      </w:divBdr>
    </w:div>
    <w:div w:id="1745836780">
      <w:bodyDiv w:val="1"/>
      <w:marLeft w:val="0"/>
      <w:marRight w:val="0"/>
      <w:marTop w:val="0"/>
      <w:marBottom w:val="0"/>
      <w:divBdr>
        <w:top w:val="none" w:sz="0" w:space="0" w:color="auto"/>
        <w:left w:val="none" w:sz="0" w:space="0" w:color="auto"/>
        <w:bottom w:val="none" w:sz="0" w:space="0" w:color="auto"/>
        <w:right w:val="none" w:sz="0" w:space="0" w:color="auto"/>
      </w:divBdr>
    </w:div>
    <w:div w:id="1755591315">
      <w:bodyDiv w:val="1"/>
      <w:marLeft w:val="0"/>
      <w:marRight w:val="0"/>
      <w:marTop w:val="0"/>
      <w:marBottom w:val="0"/>
      <w:divBdr>
        <w:top w:val="none" w:sz="0" w:space="0" w:color="auto"/>
        <w:left w:val="none" w:sz="0" w:space="0" w:color="auto"/>
        <w:bottom w:val="none" w:sz="0" w:space="0" w:color="auto"/>
        <w:right w:val="none" w:sz="0" w:space="0" w:color="auto"/>
      </w:divBdr>
      <w:divsChild>
        <w:div w:id="200673143">
          <w:marLeft w:val="0"/>
          <w:marRight w:val="0"/>
          <w:marTop w:val="0"/>
          <w:marBottom w:val="0"/>
          <w:divBdr>
            <w:top w:val="none" w:sz="0" w:space="0" w:color="auto"/>
            <w:left w:val="none" w:sz="0" w:space="0" w:color="auto"/>
            <w:bottom w:val="none" w:sz="0" w:space="0" w:color="auto"/>
            <w:right w:val="none" w:sz="0" w:space="0" w:color="auto"/>
          </w:divBdr>
        </w:div>
      </w:divsChild>
    </w:div>
    <w:div w:id="1827814879">
      <w:bodyDiv w:val="1"/>
      <w:marLeft w:val="0"/>
      <w:marRight w:val="0"/>
      <w:marTop w:val="0"/>
      <w:marBottom w:val="0"/>
      <w:divBdr>
        <w:top w:val="none" w:sz="0" w:space="0" w:color="auto"/>
        <w:left w:val="none" w:sz="0" w:space="0" w:color="auto"/>
        <w:bottom w:val="none" w:sz="0" w:space="0" w:color="auto"/>
        <w:right w:val="none" w:sz="0" w:space="0" w:color="auto"/>
      </w:divBdr>
    </w:div>
    <w:div w:id="1837110098">
      <w:bodyDiv w:val="1"/>
      <w:marLeft w:val="0"/>
      <w:marRight w:val="0"/>
      <w:marTop w:val="0"/>
      <w:marBottom w:val="0"/>
      <w:divBdr>
        <w:top w:val="none" w:sz="0" w:space="0" w:color="auto"/>
        <w:left w:val="none" w:sz="0" w:space="0" w:color="auto"/>
        <w:bottom w:val="none" w:sz="0" w:space="0" w:color="auto"/>
        <w:right w:val="none" w:sz="0" w:space="0" w:color="auto"/>
      </w:divBdr>
    </w:div>
    <w:div w:id="1906329319">
      <w:bodyDiv w:val="1"/>
      <w:marLeft w:val="0"/>
      <w:marRight w:val="0"/>
      <w:marTop w:val="0"/>
      <w:marBottom w:val="0"/>
      <w:divBdr>
        <w:top w:val="none" w:sz="0" w:space="0" w:color="auto"/>
        <w:left w:val="none" w:sz="0" w:space="0" w:color="auto"/>
        <w:bottom w:val="none" w:sz="0" w:space="0" w:color="auto"/>
        <w:right w:val="none" w:sz="0" w:space="0" w:color="auto"/>
      </w:divBdr>
    </w:div>
    <w:div w:id="1911037851">
      <w:bodyDiv w:val="1"/>
      <w:marLeft w:val="0"/>
      <w:marRight w:val="0"/>
      <w:marTop w:val="0"/>
      <w:marBottom w:val="0"/>
      <w:divBdr>
        <w:top w:val="none" w:sz="0" w:space="0" w:color="auto"/>
        <w:left w:val="none" w:sz="0" w:space="0" w:color="auto"/>
        <w:bottom w:val="none" w:sz="0" w:space="0" w:color="auto"/>
        <w:right w:val="none" w:sz="0" w:space="0" w:color="auto"/>
      </w:divBdr>
    </w:div>
    <w:div w:id="1994987519">
      <w:bodyDiv w:val="1"/>
      <w:marLeft w:val="0"/>
      <w:marRight w:val="0"/>
      <w:marTop w:val="0"/>
      <w:marBottom w:val="0"/>
      <w:divBdr>
        <w:top w:val="none" w:sz="0" w:space="0" w:color="auto"/>
        <w:left w:val="none" w:sz="0" w:space="0" w:color="auto"/>
        <w:bottom w:val="none" w:sz="0" w:space="0" w:color="auto"/>
        <w:right w:val="none" w:sz="0" w:space="0" w:color="auto"/>
      </w:divBdr>
    </w:div>
    <w:div w:id="212607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c.ca.gov/" TargetMode="External"/><Relationship Id="rId13" Type="http://schemas.openxmlformats.org/officeDocument/2006/relationships/hyperlink" Target="http://www.cpuc.ca.gov/"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puc.ca.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10944</CharactersWithSpaces>
  <SharedDoc>false</SharedDoc>
  <HyperlinkBase> </HyperlinkBase>
  <HLinks>
    <vt:vector size="6" baseType="variant">
      <vt:variant>
        <vt:i4>6488161</vt:i4>
      </vt:variant>
      <vt:variant>
        <vt:i4>0</vt:i4>
      </vt:variant>
      <vt:variant>
        <vt:i4>0</vt:i4>
      </vt:variant>
      <vt:variant>
        <vt:i4>5</vt:i4>
      </vt:variant>
      <vt:variant>
        <vt:lpwstr>http://www.cpuc.ca.gov/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2012-06-08T21:54:00Z</cp:lastPrinted>
  <dcterms:created xsi:type="dcterms:W3CDTF">2018-06-20T20:13:00Z</dcterms:created>
  <dcterms:modified xsi:type="dcterms:W3CDTF">2018-06-21T20:16:00Z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0FAAcuWl1SbNzhFUF1Z+BKaXS0w1RSTF0iMo9a2XrETeKEyVNAelhD2ugwr3M8OM+3gKvVQ1aziT3w2T
vTvzK4kUlb/Z/SLWFoEcXSjInQ05rLLScmWxmf9AlB36XYsOVamHwx95LU3wLphwh2lahGiU31/e
NLXWJsPB14u8r9n9FkwI/vIY5g1ruuKPLw/7kcqBviRJxR6mBiEKS5ZTCq5V7+M9mqchbv7Z9zlg
ojF4nuIZLrmHgBLR3</vt:lpwstr>
  </property>
  <property fmtid="{D5CDD505-2E9C-101B-9397-08002B2CF9AE}" pid="3" name="MAIL_MSG_ID2">
    <vt:lpwstr>KgKfFlwbmbKvmPGKHwDvHDCS103zVtRv5nr4ZF40KUZSgACoZg/pqTmTQqk
kurFUbiwFWxXLYBo2iVFSgBV+DiJsJqY6MOOrjyKKOVk4jYVP3Pft5FsoJk=</vt:lpwstr>
  </property>
  <property fmtid="{D5CDD505-2E9C-101B-9397-08002B2CF9AE}" pid="4" name="RESPONSE_SENDER_NAME">
    <vt:lpwstr>sAAAXRTqSjcrLApSs0ubR0w5Qu/GjRNnIVyViLN6WH59kp4=</vt:lpwstr>
  </property>
  <property fmtid="{D5CDD505-2E9C-101B-9397-08002B2CF9AE}" pid="5" name="EMAIL_OWNER_ADDRESS">
    <vt:lpwstr>4AAAv2pPQheLA5Xvg5lWlXESk+KXDVUyhTOhi36q1rtmSarWqOSnSqp0JQ==</vt:lpwstr>
  </property>
</Properties>
</file>