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activeX/activeX1.xml" ContentType="application/vnd.ms-office.activeX+xml"/>
  <Override PartName="/word/activeX/activeX2.xml" ContentType="application/vnd.ms-office.activeX+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664" w:rsidRPr="00133C0C" w:rsidRDefault="00E754D3" w:rsidP="005364F7">
      <w:pPr>
        <w:tabs>
          <w:tab w:val="center" w:pos="4050"/>
          <w:tab w:val="right" w:pos="9360"/>
        </w:tabs>
        <w:rPr>
          <w:sz w:val="18"/>
        </w:rPr>
      </w:pPr>
      <w:bookmarkStart w:id="0" w:name="_GoBack"/>
      <w:bookmarkEnd w:id="0"/>
      <w:r>
        <w:t>ALJ</w:t>
      </w:r>
      <w:r w:rsidR="00617664">
        <w:t>/</w:t>
      </w:r>
      <w:r w:rsidR="00047938">
        <w:t>MGA</w:t>
      </w:r>
      <w:r w:rsidR="00617664">
        <w:t>/</w:t>
      </w:r>
      <w:r w:rsidR="00B5701F">
        <w:t>jt2</w:t>
      </w:r>
      <w:r w:rsidR="00617664">
        <w:tab/>
      </w:r>
      <w:r w:rsidR="00B45AA8">
        <w:tab/>
      </w:r>
      <w:r w:rsidR="00B45AA8" w:rsidRPr="00133C0C">
        <w:rPr>
          <w:b/>
          <w:sz w:val="24"/>
          <w:szCs w:val="32"/>
        </w:rPr>
        <w:t xml:space="preserve">Date of Issuance </w:t>
      </w:r>
      <w:r w:rsidR="00133C0C">
        <w:rPr>
          <w:b/>
          <w:sz w:val="24"/>
          <w:szCs w:val="32"/>
        </w:rPr>
        <w:t>6/21/18</w:t>
      </w:r>
    </w:p>
    <w:p w:rsidR="00617664" w:rsidRDefault="00617664" w:rsidP="00AF7315">
      <w:pPr>
        <w:tabs>
          <w:tab w:val="center" w:pos="4680"/>
          <w:tab w:val="right" w:pos="9360"/>
        </w:tabs>
      </w:pPr>
    </w:p>
    <w:p w:rsidR="005364F7" w:rsidRDefault="005364F7" w:rsidP="005364F7">
      <w:pPr>
        <w:tabs>
          <w:tab w:val="center" w:pos="4680"/>
          <w:tab w:val="right" w:pos="9360"/>
        </w:tabs>
      </w:pPr>
    </w:p>
    <w:p w:rsidR="00617664" w:rsidRPr="00466193" w:rsidRDefault="00B45AA8" w:rsidP="00466193">
      <w:pPr>
        <w:suppressAutoHyphens/>
        <w:ind w:left="1080" w:hanging="1080"/>
        <w:rPr>
          <w:b/>
          <w:sz w:val="20"/>
        </w:rPr>
      </w:pPr>
      <w:r>
        <w:t>Decision 18</w:t>
      </w:r>
      <w:r w:rsidR="00B34BCE">
        <w:noBreakHyphen/>
      </w:r>
      <w:r>
        <w:t>06</w:t>
      </w:r>
      <w:r w:rsidR="00B34BCE">
        <w:noBreakHyphen/>
      </w:r>
      <w:r>
        <w:t>032  June 21, 2018</w:t>
      </w:r>
    </w:p>
    <w:p w:rsidR="00617664" w:rsidRDefault="00617664"/>
    <w:p w:rsidR="00617664" w:rsidRDefault="00617664">
      <w:pPr>
        <w:rPr>
          <w:rFonts w:ascii="Helvetica" w:hAnsi="Helvetica"/>
          <w:b/>
          <w:bCs/>
          <w:sz w:val="24"/>
        </w:rPr>
      </w:pPr>
      <w:r>
        <w:rPr>
          <w:rFonts w:ascii="Helvetica" w:hAnsi="Helvetica"/>
          <w:b/>
          <w:bCs/>
          <w:sz w:val="24"/>
        </w:rPr>
        <w:t xml:space="preserve">BEFORE THE PUBLIC UTILITIES COMMISSION OF THE STATE OF </w:t>
      </w:r>
      <w:smartTag w:uri="urn:schemas-microsoft-com:office:smarttags" w:element="State">
        <w:smartTag w:uri="urn:schemas-microsoft-com:office:smarttags" w:element="place">
          <w:r>
            <w:rPr>
              <w:rFonts w:ascii="Helvetica" w:hAnsi="Helvetica"/>
              <w:b/>
              <w:bCs/>
              <w:sz w:val="24"/>
            </w:rPr>
            <w:t>CALIFORNIA</w:t>
          </w:r>
        </w:smartTag>
      </w:smartTag>
    </w:p>
    <w:p w:rsidR="00AF1C22" w:rsidRDefault="00AF1C22" w:rsidP="00AF1C22">
      <w:pPr>
        <w:suppressAutoHyphens/>
      </w:pPr>
    </w:p>
    <w:tbl>
      <w:tblPr>
        <w:tblW w:w="0" w:type="auto"/>
        <w:tblLayout w:type="fixed"/>
        <w:tblLook w:val="0000" w:firstRow="0" w:lastRow="0" w:firstColumn="0" w:lastColumn="0" w:noHBand="0" w:noVBand="0"/>
      </w:tblPr>
      <w:tblGrid>
        <w:gridCol w:w="5958"/>
        <w:gridCol w:w="3600"/>
      </w:tblGrid>
      <w:tr w:rsidR="00AF1C22" w:rsidTr="004C1EF3">
        <w:tc>
          <w:tcPr>
            <w:tcW w:w="5958" w:type="dxa"/>
            <w:tcBorders>
              <w:bottom w:val="single" w:sz="6" w:space="0" w:color="auto"/>
              <w:right w:val="single" w:sz="6" w:space="0" w:color="auto"/>
            </w:tcBorders>
          </w:tcPr>
          <w:p w:rsidR="00AF1C22" w:rsidRDefault="00AF1C22" w:rsidP="00E4254F">
            <w:pPr>
              <w:tabs>
                <w:tab w:val="left" w:pos="1440"/>
                <w:tab w:val="left" w:pos="3600"/>
              </w:tabs>
              <w:rPr>
                <w:sz w:val="20"/>
              </w:rPr>
            </w:pPr>
            <w:r w:rsidRPr="00A91989">
              <w:t>Order Instituting Rulemaking to Consider Modifications to the California Advanced Services Fund</w:t>
            </w:r>
            <w:r w:rsidR="00E4254F">
              <w:t>.</w:t>
            </w:r>
          </w:p>
          <w:p w:rsidR="00E4254F" w:rsidRDefault="00E4254F" w:rsidP="00E4254F">
            <w:pPr>
              <w:tabs>
                <w:tab w:val="left" w:pos="1440"/>
                <w:tab w:val="left" w:pos="3600"/>
              </w:tabs>
            </w:pPr>
          </w:p>
        </w:tc>
        <w:tc>
          <w:tcPr>
            <w:tcW w:w="3600" w:type="dxa"/>
            <w:tcBorders>
              <w:left w:val="nil"/>
            </w:tcBorders>
          </w:tcPr>
          <w:p w:rsidR="00AF1C22" w:rsidRDefault="00AF1C22" w:rsidP="004C1EF3">
            <w:pPr>
              <w:jc w:val="center"/>
            </w:pPr>
          </w:p>
          <w:p w:rsidR="00AF1C22" w:rsidRPr="00A91989" w:rsidRDefault="00AF1C22" w:rsidP="004C1EF3">
            <w:pPr>
              <w:jc w:val="center"/>
            </w:pPr>
            <w:r w:rsidRPr="00A91989">
              <w:t>Rulemaking 12</w:t>
            </w:r>
            <w:r w:rsidR="00B34BCE">
              <w:noBreakHyphen/>
            </w:r>
            <w:r w:rsidRPr="00A91989">
              <w:t>10</w:t>
            </w:r>
            <w:r w:rsidR="00B34BCE">
              <w:noBreakHyphen/>
            </w:r>
            <w:r w:rsidRPr="00A91989">
              <w:t>012</w:t>
            </w:r>
          </w:p>
          <w:p w:rsidR="00AF1C22" w:rsidRDefault="00AF1C22" w:rsidP="004C1EF3">
            <w:pPr>
              <w:jc w:val="center"/>
            </w:pPr>
          </w:p>
        </w:tc>
      </w:tr>
    </w:tbl>
    <w:p w:rsidR="00AF1C22" w:rsidRDefault="00AF1C22" w:rsidP="00AF1C22">
      <w:pPr>
        <w:suppressAutoHyphens/>
      </w:pPr>
    </w:p>
    <w:p w:rsidR="00617664" w:rsidRDefault="00617664"/>
    <w:p w:rsidR="00617664" w:rsidRDefault="00AF1C22" w:rsidP="00E27672">
      <w:pPr>
        <w:pStyle w:val="Heading1"/>
        <w:numPr>
          <w:ilvl w:val="0"/>
          <w:numId w:val="0"/>
        </w:numPr>
        <w:ind w:right="0"/>
        <w:jc w:val="center"/>
      </w:pPr>
      <w:bookmarkStart w:id="1" w:name="_Toc514152970"/>
      <w:r>
        <w:t>DECISION IMPLEMENTING THE CALIFORNIA ADVANCED SERVICES FUND BROADBAND ADOPTION, P</w:t>
      </w:r>
      <w:r w:rsidR="00E27672">
        <w:t>UBLIC HOUSING AND LOAN ACCOUNTS </w:t>
      </w:r>
      <w:r>
        <w:t>PROVISIONS</w:t>
      </w:r>
      <w:bookmarkEnd w:id="1"/>
    </w:p>
    <w:p w:rsidR="008F7F9A" w:rsidRDefault="008F7F9A">
      <w:pPr>
        <w:pStyle w:val="main"/>
      </w:pPr>
    </w:p>
    <w:p w:rsidR="008F7F9A" w:rsidRDefault="008F7F9A">
      <w:pPr>
        <w:pStyle w:val="main"/>
        <w:rPr>
          <w:rStyle w:val="mainChar"/>
        </w:rPr>
        <w:sectPr w:rsidR="008F7F9A" w:rsidSect="009E0F97">
          <w:headerReference w:type="default" r:id="rId9"/>
          <w:footerReference w:type="default" r:id="rId10"/>
          <w:headerReference w:type="first" r:id="rId11"/>
          <w:footerReference w:type="first" r:id="rId12"/>
          <w:footnotePr>
            <w:numRestart w:val="eachSect"/>
          </w:footnotePr>
          <w:pgSz w:w="12240" w:h="15840" w:code="1"/>
          <w:pgMar w:top="1728" w:right="1440" w:bottom="1440" w:left="1440" w:header="720" w:footer="720" w:gutter="0"/>
          <w:cols w:space="720"/>
          <w:titlePg/>
        </w:sectPr>
      </w:pPr>
    </w:p>
    <w:p w:rsidR="008F7F9A" w:rsidRPr="004D4F77" w:rsidRDefault="00506B83" w:rsidP="00506B83">
      <w:pPr>
        <w:jc w:val="center"/>
        <w:rPr>
          <w:rFonts w:ascii="Helvetica" w:hAnsi="Helvetica"/>
          <w:b/>
          <w:bCs/>
        </w:rPr>
      </w:pPr>
      <w:r w:rsidRPr="004D4F77">
        <w:rPr>
          <w:rFonts w:ascii="Helvetica" w:hAnsi="Helvetica"/>
          <w:b/>
          <w:bCs/>
        </w:rPr>
        <w:lastRenderedPageBreak/>
        <w:t>Table of Contents</w:t>
      </w:r>
    </w:p>
    <w:p w:rsidR="00506B83" w:rsidRPr="004D4F77" w:rsidRDefault="00506B83" w:rsidP="00506B83">
      <w:pPr>
        <w:rPr>
          <w:rFonts w:ascii="Helvetica" w:hAnsi="Helvetica"/>
          <w:b/>
          <w:bCs/>
        </w:rPr>
      </w:pPr>
    </w:p>
    <w:p w:rsidR="00506B83" w:rsidRPr="004D4F77" w:rsidRDefault="00506B83" w:rsidP="00506B83">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506B83" w:rsidRPr="00506B83" w:rsidRDefault="00506B83" w:rsidP="00506B83">
      <w:pPr>
        <w:pStyle w:val="main"/>
        <w:jc w:val="left"/>
        <w:rPr>
          <w:rStyle w:val="mainChar"/>
        </w:rPr>
      </w:pPr>
    </w:p>
    <w:p w:rsidR="00323D96" w:rsidRDefault="00506B83" w:rsidP="00323D96">
      <w:pPr>
        <w:pStyle w:val="TOC1"/>
        <w:tabs>
          <w:tab w:val="clear" w:pos="520"/>
        </w:tabs>
        <w:ind w:left="0" w:firstLine="0"/>
        <w:rPr>
          <w:rFonts w:asciiTheme="minorHAnsi" w:eastAsiaTheme="minorEastAsia" w:hAnsiTheme="minorHAnsi" w:cstheme="minorBidi"/>
          <w:sz w:val="22"/>
          <w:szCs w:val="22"/>
        </w:rPr>
      </w:pPr>
      <w:r>
        <w:rPr>
          <w:rStyle w:val="mainChar"/>
          <w:b w:val="0"/>
        </w:rPr>
        <w:fldChar w:fldCharType="begin"/>
      </w:r>
      <w:r>
        <w:rPr>
          <w:rStyle w:val="mainChar"/>
          <w:b w:val="0"/>
        </w:rPr>
        <w:instrText xml:space="preserve"> TOC \o "1-6" \h \z \t "Heading 7,7,Heading 8,8,Heading 9,9,main,1,mainex,1,dummy,1" </w:instrText>
      </w:r>
      <w:r>
        <w:rPr>
          <w:rStyle w:val="mainChar"/>
          <w:b w:val="0"/>
        </w:rPr>
        <w:fldChar w:fldCharType="separate"/>
      </w:r>
      <w:hyperlink w:anchor="_Toc514152970" w:history="1">
        <w:r w:rsidR="00E27672" w:rsidRPr="00AA61D4">
          <w:rPr>
            <w:rStyle w:val="Hyperlink"/>
          </w:rPr>
          <w:t>DECISION IMPLEMENTING THE CALIFORNIA ADVANCED SERVICES FUND BROADBAND ADOPTION, PUBLIC HOUSING AND L</w:t>
        </w:r>
        <w:r w:rsidR="00E27672">
          <w:rPr>
            <w:rStyle w:val="Hyperlink"/>
          </w:rPr>
          <w:t xml:space="preserve">OAN </w:t>
        </w:r>
        <w:r w:rsidR="00E27672" w:rsidRPr="00AA61D4">
          <w:rPr>
            <w:rStyle w:val="Hyperlink"/>
          </w:rPr>
          <w:t>ACCOUNTS PROVISIONS</w:t>
        </w:r>
        <w:r w:rsidR="00E27672">
          <w:rPr>
            <w:webHidden/>
          </w:rPr>
          <w:tab/>
          <w:t>1</w:t>
        </w:r>
      </w:hyperlink>
    </w:p>
    <w:p w:rsidR="00323D96" w:rsidRDefault="00EF0380">
      <w:pPr>
        <w:pStyle w:val="TOC1"/>
        <w:rPr>
          <w:rFonts w:asciiTheme="minorHAnsi" w:eastAsiaTheme="minorEastAsia" w:hAnsiTheme="minorHAnsi" w:cstheme="minorBidi"/>
          <w:sz w:val="22"/>
          <w:szCs w:val="22"/>
        </w:rPr>
      </w:pPr>
      <w:hyperlink w:anchor="_Toc514152974" w:history="1">
        <w:r w:rsidR="00323D96" w:rsidRPr="00AA61D4">
          <w:rPr>
            <w:rStyle w:val="Hyperlink"/>
          </w:rPr>
          <w:t>Summary</w:t>
        </w:r>
        <w:r w:rsidR="00323D96">
          <w:rPr>
            <w:webHidden/>
          </w:rPr>
          <w:tab/>
        </w:r>
        <w:r w:rsidR="00323D96">
          <w:rPr>
            <w:webHidden/>
          </w:rPr>
          <w:fldChar w:fldCharType="begin"/>
        </w:r>
        <w:r w:rsidR="00323D96">
          <w:rPr>
            <w:webHidden/>
          </w:rPr>
          <w:instrText xml:space="preserve"> PAGEREF _Toc514152974 \h </w:instrText>
        </w:r>
        <w:r w:rsidR="00323D96">
          <w:rPr>
            <w:webHidden/>
          </w:rPr>
        </w:r>
        <w:r w:rsidR="00323D96">
          <w:rPr>
            <w:webHidden/>
          </w:rPr>
          <w:fldChar w:fldCharType="separate"/>
        </w:r>
        <w:r>
          <w:rPr>
            <w:webHidden/>
          </w:rPr>
          <w:t>2</w:t>
        </w:r>
        <w:r w:rsidR="00323D96">
          <w:rPr>
            <w:webHidden/>
          </w:rPr>
          <w:fldChar w:fldCharType="end"/>
        </w:r>
      </w:hyperlink>
    </w:p>
    <w:p w:rsidR="00323D96" w:rsidRDefault="00EF0380">
      <w:pPr>
        <w:pStyle w:val="TOC1"/>
        <w:rPr>
          <w:rFonts w:asciiTheme="minorHAnsi" w:eastAsiaTheme="minorEastAsia" w:hAnsiTheme="minorHAnsi" w:cstheme="minorBidi"/>
          <w:sz w:val="22"/>
          <w:szCs w:val="22"/>
        </w:rPr>
      </w:pPr>
      <w:hyperlink w:anchor="_Toc514152975" w:history="1">
        <w:r w:rsidR="00323D96" w:rsidRPr="00AA61D4">
          <w:rPr>
            <w:rStyle w:val="Hyperlink"/>
          </w:rPr>
          <w:t>1.</w:t>
        </w:r>
        <w:r w:rsidR="00323D96">
          <w:rPr>
            <w:rFonts w:asciiTheme="minorHAnsi" w:eastAsiaTheme="minorEastAsia" w:hAnsiTheme="minorHAnsi" w:cstheme="minorBidi"/>
            <w:sz w:val="22"/>
            <w:szCs w:val="22"/>
          </w:rPr>
          <w:tab/>
        </w:r>
        <w:r w:rsidR="00323D96" w:rsidRPr="00AA61D4">
          <w:rPr>
            <w:rStyle w:val="Hyperlink"/>
          </w:rPr>
          <w:t>California Advanced Services Fund Procedural Background</w:t>
        </w:r>
        <w:r w:rsidR="00323D96">
          <w:rPr>
            <w:webHidden/>
          </w:rPr>
          <w:tab/>
        </w:r>
        <w:r w:rsidR="00323D96">
          <w:rPr>
            <w:webHidden/>
          </w:rPr>
          <w:fldChar w:fldCharType="begin"/>
        </w:r>
        <w:r w:rsidR="00323D96">
          <w:rPr>
            <w:webHidden/>
          </w:rPr>
          <w:instrText xml:space="preserve"> PAGEREF _Toc514152975 \h </w:instrText>
        </w:r>
        <w:r w:rsidR="00323D96">
          <w:rPr>
            <w:webHidden/>
          </w:rPr>
        </w:r>
        <w:r w:rsidR="00323D96">
          <w:rPr>
            <w:webHidden/>
          </w:rPr>
          <w:fldChar w:fldCharType="separate"/>
        </w:r>
        <w:r>
          <w:rPr>
            <w:webHidden/>
          </w:rPr>
          <w:t>4</w:t>
        </w:r>
        <w:r w:rsidR="00323D96">
          <w:rPr>
            <w:webHidden/>
          </w:rPr>
          <w:fldChar w:fldCharType="end"/>
        </w:r>
      </w:hyperlink>
    </w:p>
    <w:p w:rsidR="00323D96" w:rsidRDefault="00EF0380">
      <w:pPr>
        <w:pStyle w:val="TOC1"/>
        <w:rPr>
          <w:rFonts w:asciiTheme="minorHAnsi" w:eastAsiaTheme="minorEastAsia" w:hAnsiTheme="minorHAnsi" w:cstheme="minorBidi"/>
          <w:sz w:val="22"/>
          <w:szCs w:val="22"/>
        </w:rPr>
      </w:pPr>
      <w:hyperlink w:anchor="_Toc514152976" w:history="1">
        <w:r w:rsidR="00323D96" w:rsidRPr="00AA61D4">
          <w:rPr>
            <w:rStyle w:val="Hyperlink"/>
          </w:rPr>
          <w:t>2.</w:t>
        </w:r>
        <w:r w:rsidR="00323D96">
          <w:rPr>
            <w:rFonts w:asciiTheme="minorHAnsi" w:eastAsiaTheme="minorEastAsia" w:hAnsiTheme="minorHAnsi" w:cstheme="minorBidi"/>
            <w:sz w:val="22"/>
            <w:szCs w:val="22"/>
          </w:rPr>
          <w:tab/>
        </w:r>
        <w:r w:rsidR="00323D96" w:rsidRPr="00AA61D4">
          <w:rPr>
            <w:rStyle w:val="Hyperlink"/>
          </w:rPr>
          <w:t>Adoption Account Rules and Requirements</w:t>
        </w:r>
        <w:r w:rsidR="00323D96">
          <w:rPr>
            <w:webHidden/>
          </w:rPr>
          <w:tab/>
        </w:r>
        <w:r w:rsidR="00323D96">
          <w:rPr>
            <w:webHidden/>
          </w:rPr>
          <w:fldChar w:fldCharType="begin"/>
        </w:r>
        <w:r w:rsidR="00323D96">
          <w:rPr>
            <w:webHidden/>
          </w:rPr>
          <w:instrText xml:space="preserve"> PAGEREF _Toc514152976 \h </w:instrText>
        </w:r>
        <w:r w:rsidR="00323D96">
          <w:rPr>
            <w:webHidden/>
          </w:rPr>
        </w:r>
        <w:r w:rsidR="00323D96">
          <w:rPr>
            <w:webHidden/>
          </w:rPr>
          <w:fldChar w:fldCharType="separate"/>
        </w:r>
        <w:r>
          <w:rPr>
            <w:webHidden/>
          </w:rPr>
          <w:t>7</w:t>
        </w:r>
        <w:r w:rsidR="00323D96">
          <w:rPr>
            <w:webHidden/>
          </w:rPr>
          <w:fldChar w:fldCharType="end"/>
        </w:r>
      </w:hyperlink>
    </w:p>
    <w:p w:rsidR="00323D96" w:rsidRDefault="00EF0380" w:rsidP="00B34BCE">
      <w:pPr>
        <w:pStyle w:val="TOC2"/>
        <w:rPr>
          <w:rFonts w:asciiTheme="minorHAnsi" w:eastAsiaTheme="minorEastAsia" w:hAnsiTheme="minorHAnsi" w:cstheme="minorBidi"/>
          <w:sz w:val="22"/>
          <w:szCs w:val="22"/>
        </w:rPr>
      </w:pPr>
      <w:hyperlink w:anchor="_Toc514152977" w:history="1">
        <w:r w:rsidR="00323D96" w:rsidRPr="00AA61D4">
          <w:rPr>
            <w:rStyle w:val="Hyperlink"/>
          </w:rPr>
          <w:t>2.1.</w:t>
        </w:r>
        <w:r w:rsidR="00323D96">
          <w:rPr>
            <w:rFonts w:asciiTheme="minorHAnsi" w:eastAsiaTheme="minorEastAsia" w:hAnsiTheme="minorHAnsi" w:cstheme="minorBidi"/>
            <w:sz w:val="22"/>
            <w:szCs w:val="22"/>
          </w:rPr>
          <w:tab/>
        </w:r>
        <w:r w:rsidR="00323D96" w:rsidRPr="00AA61D4">
          <w:rPr>
            <w:rStyle w:val="Hyperlink"/>
          </w:rPr>
          <w:t>Goal for the Adoption Account</w:t>
        </w:r>
        <w:r w:rsidR="00323D96">
          <w:rPr>
            <w:webHidden/>
          </w:rPr>
          <w:tab/>
        </w:r>
        <w:r w:rsidR="00323D96">
          <w:rPr>
            <w:webHidden/>
          </w:rPr>
          <w:fldChar w:fldCharType="begin"/>
        </w:r>
        <w:r w:rsidR="00323D96">
          <w:rPr>
            <w:webHidden/>
          </w:rPr>
          <w:instrText xml:space="preserve"> PAGEREF _Toc514152977 \h </w:instrText>
        </w:r>
        <w:r w:rsidR="00323D96">
          <w:rPr>
            <w:webHidden/>
          </w:rPr>
        </w:r>
        <w:r w:rsidR="00323D96">
          <w:rPr>
            <w:webHidden/>
          </w:rPr>
          <w:fldChar w:fldCharType="separate"/>
        </w:r>
        <w:r>
          <w:rPr>
            <w:webHidden/>
          </w:rPr>
          <w:t>8</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2978" w:history="1">
        <w:r w:rsidR="00323D96" w:rsidRPr="00AA61D4">
          <w:rPr>
            <w:rStyle w:val="Hyperlink"/>
          </w:rPr>
          <w:t>2.1.1.</w:t>
        </w:r>
        <w:r w:rsidR="00323D96">
          <w:rPr>
            <w:rFonts w:asciiTheme="minorHAnsi" w:eastAsiaTheme="minorEastAsia" w:hAnsiTheme="minorHAnsi" w:cstheme="minorBidi"/>
            <w:sz w:val="22"/>
            <w:szCs w:val="22"/>
          </w:rPr>
          <w:tab/>
        </w:r>
        <w:r w:rsidR="00323D96" w:rsidRPr="00AA61D4">
          <w:rPr>
            <w:rStyle w:val="Hyperlink"/>
          </w:rPr>
          <w:t>Parties’ Comments</w:t>
        </w:r>
        <w:r w:rsidR="00323D96">
          <w:rPr>
            <w:webHidden/>
          </w:rPr>
          <w:tab/>
        </w:r>
        <w:r w:rsidR="00323D96">
          <w:rPr>
            <w:webHidden/>
          </w:rPr>
          <w:fldChar w:fldCharType="begin"/>
        </w:r>
        <w:r w:rsidR="00323D96">
          <w:rPr>
            <w:webHidden/>
          </w:rPr>
          <w:instrText xml:space="preserve"> PAGEREF _Toc514152978 \h </w:instrText>
        </w:r>
        <w:r w:rsidR="00323D96">
          <w:rPr>
            <w:webHidden/>
          </w:rPr>
        </w:r>
        <w:r w:rsidR="00323D96">
          <w:rPr>
            <w:webHidden/>
          </w:rPr>
          <w:fldChar w:fldCharType="separate"/>
        </w:r>
        <w:r>
          <w:rPr>
            <w:webHidden/>
          </w:rPr>
          <w:t>8</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2979" w:history="1">
        <w:r w:rsidR="00323D96" w:rsidRPr="00AA61D4">
          <w:rPr>
            <w:rStyle w:val="Hyperlink"/>
          </w:rPr>
          <w:t>2.1.2.</w:t>
        </w:r>
        <w:r w:rsidR="00323D96">
          <w:rPr>
            <w:rFonts w:asciiTheme="minorHAnsi" w:eastAsiaTheme="minorEastAsia" w:hAnsiTheme="minorHAnsi" w:cstheme="minorBidi"/>
            <w:sz w:val="22"/>
            <w:szCs w:val="22"/>
          </w:rPr>
          <w:tab/>
        </w:r>
        <w:r w:rsidR="00323D96" w:rsidRPr="00AA61D4">
          <w:rPr>
            <w:rStyle w:val="Hyperlink"/>
          </w:rPr>
          <w:t>Discussion</w:t>
        </w:r>
        <w:r w:rsidR="00323D96">
          <w:rPr>
            <w:webHidden/>
          </w:rPr>
          <w:tab/>
        </w:r>
        <w:r w:rsidR="00323D96">
          <w:rPr>
            <w:webHidden/>
          </w:rPr>
          <w:fldChar w:fldCharType="begin"/>
        </w:r>
        <w:r w:rsidR="00323D96">
          <w:rPr>
            <w:webHidden/>
          </w:rPr>
          <w:instrText xml:space="preserve"> PAGEREF _Toc514152979 \h </w:instrText>
        </w:r>
        <w:r w:rsidR="00323D96">
          <w:rPr>
            <w:webHidden/>
          </w:rPr>
        </w:r>
        <w:r w:rsidR="00323D96">
          <w:rPr>
            <w:webHidden/>
          </w:rPr>
          <w:fldChar w:fldCharType="separate"/>
        </w:r>
        <w:r>
          <w:rPr>
            <w:webHidden/>
          </w:rPr>
          <w:t>9</w:t>
        </w:r>
        <w:r w:rsidR="00323D96">
          <w:rPr>
            <w:webHidden/>
          </w:rPr>
          <w:fldChar w:fldCharType="end"/>
        </w:r>
      </w:hyperlink>
    </w:p>
    <w:p w:rsidR="00323D96" w:rsidRDefault="00EF0380" w:rsidP="00B34BCE">
      <w:pPr>
        <w:pStyle w:val="TOC2"/>
        <w:rPr>
          <w:rFonts w:asciiTheme="minorHAnsi" w:eastAsiaTheme="minorEastAsia" w:hAnsiTheme="minorHAnsi" w:cstheme="minorBidi"/>
          <w:sz w:val="22"/>
          <w:szCs w:val="22"/>
        </w:rPr>
      </w:pPr>
      <w:hyperlink w:anchor="_Toc514152980" w:history="1">
        <w:r w:rsidR="00323D96" w:rsidRPr="00AA61D4">
          <w:rPr>
            <w:rStyle w:val="Hyperlink"/>
          </w:rPr>
          <w:t>2.2.</w:t>
        </w:r>
        <w:r w:rsidR="00323D96">
          <w:rPr>
            <w:rFonts w:asciiTheme="minorHAnsi" w:eastAsiaTheme="minorEastAsia" w:hAnsiTheme="minorHAnsi" w:cstheme="minorBidi"/>
            <w:sz w:val="22"/>
            <w:szCs w:val="22"/>
          </w:rPr>
          <w:tab/>
        </w:r>
        <w:r w:rsidR="00323D96" w:rsidRPr="00AA61D4">
          <w:rPr>
            <w:rStyle w:val="Hyperlink"/>
          </w:rPr>
          <w:t>Preference</w:t>
        </w:r>
        <w:r w:rsidR="00323D96">
          <w:rPr>
            <w:webHidden/>
          </w:rPr>
          <w:tab/>
        </w:r>
        <w:r w:rsidR="00323D96">
          <w:rPr>
            <w:webHidden/>
          </w:rPr>
          <w:fldChar w:fldCharType="begin"/>
        </w:r>
        <w:r w:rsidR="00323D96">
          <w:rPr>
            <w:webHidden/>
          </w:rPr>
          <w:instrText xml:space="preserve"> PAGEREF _Toc514152980 \h </w:instrText>
        </w:r>
        <w:r w:rsidR="00323D96">
          <w:rPr>
            <w:webHidden/>
          </w:rPr>
        </w:r>
        <w:r w:rsidR="00323D96">
          <w:rPr>
            <w:webHidden/>
          </w:rPr>
          <w:fldChar w:fldCharType="separate"/>
        </w:r>
        <w:r>
          <w:rPr>
            <w:webHidden/>
          </w:rPr>
          <w:t>11</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2981" w:history="1">
        <w:r w:rsidR="00323D96" w:rsidRPr="00AA61D4">
          <w:rPr>
            <w:rStyle w:val="Hyperlink"/>
          </w:rPr>
          <w:t>2.2.1.</w:t>
        </w:r>
        <w:r w:rsidR="00323D96">
          <w:rPr>
            <w:rFonts w:asciiTheme="minorHAnsi" w:eastAsiaTheme="minorEastAsia" w:hAnsiTheme="minorHAnsi" w:cstheme="minorBidi"/>
            <w:sz w:val="22"/>
            <w:szCs w:val="22"/>
          </w:rPr>
          <w:tab/>
        </w:r>
        <w:r w:rsidR="00323D96" w:rsidRPr="00AA61D4">
          <w:rPr>
            <w:rStyle w:val="Hyperlink"/>
          </w:rPr>
          <w:t>Parties’ Comments</w:t>
        </w:r>
        <w:r w:rsidR="00323D96">
          <w:rPr>
            <w:webHidden/>
          </w:rPr>
          <w:tab/>
        </w:r>
        <w:r w:rsidR="00323D96">
          <w:rPr>
            <w:webHidden/>
          </w:rPr>
          <w:fldChar w:fldCharType="begin"/>
        </w:r>
        <w:r w:rsidR="00323D96">
          <w:rPr>
            <w:webHidden/>
          </w:rPr>
          <w:instrText xml:space="preserve"> PAGEREF _Toc514152981 \h </w:instrText>
        </w:r>
        <w:r w:rsidR="00323D96">
          <w:rPr>
            <w:webHidden/>
          </w:rPr>
        </w:r>
        <w:r w:rsidR="00323D96">
          <w:rPr>
            <w:webHidden/>
          </w:rPr>
          <w:fldChar w:fldCharType="separate"/>
        </w:r>
        <w:r>
          <w:rPr>
            <w:webHidden/>
          </w:rPr>
          <w:t>11</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2982" w:history="1">
        <w:r w:rsidR="00323D96" w:rsidRPr="00AA61D4">
          <w:rPr>
            <w:rStyle w:val="Hyperlink"/>
          </w:rPr>
          <w:t>2.2.2.</w:t>
        </w:r>
        <w:r w:rsidR="00323D96">
          <w:rPr>
            <w:rFonts w:asciiTheme="minorHAnsi" w:eastAsiaTheme="minorEastAsia" w:hAnsiTheme="minorHAnsi" w:cstheme="minorBidi"/>
            <w:sz w:val="22"/>
            <w:szCs w:val="22"/>
          </w:rPr>
          <w:tab/>
        </w:r>
        <w:r w:rsidR="00323D96" w:rsidRPr="00AA61D4">
          <w:rPr>
            <w:rStyle w:val="Hyperlink"/>
          </w:rPr>
          <w:t>Discussion</w:t>
        </w:r>
        <w:r w:rsidR="00323D96">
          <w:rPr>
            <w:webHidden/>
          </w:rPr>
          <w:tab/>
        </w:r>
        <w:r w:rsidR="00323D96">
          <w:rPr>
            <w:webHidden/>
          </w:rPr>
          <w:fldChar w:fldCharType="begin"/>
        </w:r>
        <w:r w:rsidR="00323D96">
          <w:rPr>
            <w:webHidden/>
          </w:rPr>
          <w:instrText xml:space="preserve"> PAGEREF _Toc514152982 \h </w:instrText>
        </w:r>
        <w:r w:rsidR="00323D96">
          <w:rPr>
            <w:webHidden/>
          </w:rPr>
        </w:r>
        <w:r w:rsidR="00323D96">
          <w:rPr>
            <w:webHidden/>
          </w:rPr>
          <w:fldChar w:fldCharType="separate"/>
        </w:r>
        <w:r>
          <w:rPr>
            <w:webHidden/>
          </w:rPr>
          <w:t>12</w:t>
        </w:r>
        <w:r w:rsidR="00323D96">
          <w:rPr>
            <w:webHidden/>
          </w:rPr>
          <w:fldChar w:fldCharType="end"/>
        </w:r>
      </w:hyperlink>
    </w:p>
    <w:p w:rsidR="00323D96" w:rsidRDefault="00EF0380" w:rsidP="00B34BCE">
      <w:pPr>
        <w:pStyle w:val="TOC2"/>
        <w:rPr>
          <w:rFonts w:asciiTheme="minorHAnsi" w:eastAsiaTheme="minorEastAsia" w:hAnsiTheme="minorHAnsi" w:cstheme="minorBidi"/>
          <w:sz w:val="22"/>
          <w:szCs w:val="22"/>
        </w:rPr>
      </w:pPr>
      <w:hyperlink w:anchor="_Toc514152983" w:history="1">
        <w:r w:rsidR="00323D96" w:rsidRPr="00AA61D4">
          <w:rPr>
            <w:rStyle w:val="Hyperlink"/>
          </w:rPr>
          <w:t>2.3.</w:t>
        </w:r>
        <w:r w:rsidR="00323D96">
          <w:rPr>
            <w:rFonts w:asciiTheme="minorHAnsi" w:eastAsiaTheme="minorEastAsia" w:hAnsiTheme="minorHAnsi" w:cstheme="minorBidi"/>
            <w:sz w:val="22"/>
            <w:szCs w:val="22"/>
          </w:rPr>
          <w:tab/>
        </w:r>
        <w:r w:rsidR="00323D96" w:rsidRPr="00AA61D4">
          <w:rPr>
            <w:rStyle w:val="Hyperlink"/>
          </w:rPr>
          <w:t>Definitions</w:t>
        </w:r>
        <w:r w:rsidR="00323D96">
          <w:rPr>
            <w:webHidden/>
          </w:rPr>
          <w:tab/>
        </w:r>
        <w:r w:rsidR="00323D96">
          <w:rPr>
            <w:webHidden/>
          </w:rPr>
          <w:fldChar w:fldCharType="begin"/>
        </w:r>
        <w:r w:rsidR="00323D96">
          <w:rPr>
            <w:webHidden/>
          </w:rPr>
          <w:instrText xml:space="preserve"> PAGEREF _Toc514152983 \h </w:instrText>
        </w:r>
        <w:r w:rsidR="00323D96">
          <w:rPr>
            <w:webHidden/>
          </w:rPr>
        </w:r>
        <w:r w:rsidR="00323D96">
          <w:rPr>
            <w:webHidden/>
          </w:rPr>
          <w:fldChar w:fldCharType="separate"/>
        </w:r>
        <w:r>
          <w:rPr>
            <w:webHidden/>
          </w:rPr>
          <w:t>14</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2984" w:history="1">
        <w:r w:rsidR="00323D96" w:rsidRPr="00AA61D4">
          <w:rPr>
            <w:rStyle w:val="Hyperlink"/>
          </w:rPr>
          <w:t>2.3.1.</w:t>
        </w:r>
        <w:r w:rsidR="00323D96">
          <w:rPr>
            <w:rFonts w:asciiTheme="minorHAnsi" w:eastAsiaTheme="minorEastAsia" w:hAnsiTheme="minorHAnsi" w:cstheme="minorBidi"/>
            <w:sz w:val="22"/>
            <w:szCs w:val="22"/>
          </w:rPr>
          <w:tab/>
        </w:r>
        <w:r w:rsidR="00323D96" w:rsidRPr="00AA61D4">
          <w:rPr>
            <w:rStyle w:val="Hyperlink"/>
          </w:rPr>
          <w:t>Parties’ Comments</w:t>
        </w:r>
        <w:r w:rsidR="00323D96">
          <w:rPr>
            <w:webHidden/>
          </w:rPr>
          <w:tab/>
        </w:r>
        <w:r w:rsidR="00323D96">
          <w:rPr>
            <w:webHidden/>
          </w:rPr>
          <w:fldChar w:fldCharType="begin"/>
        </w:r>
        <w:r w:rsidR="00323D96">
          <w:rPr>
            <w:webHidden/>
          </w:rPr>
          <w:instrText xml:space="preserve"> PAGEREF _Toc514152984 \h </w:instrText>
        </w:r>
        <w:r w:rsidR="00323D96">
          <w:rPr>
            <w:webHidden/>
          </w:rPr>
        </w:r>
        <w:r w:rsidR="00323D96">
          <w:rPr>
            <w:webHidden/>
          </w:rPr>
          <w:fldChar w:fldCharType="separate"/>
        </w:r>
        <w:r>
          <w:rPr>
            <w:webHidden/>
          </w:rPr>
          <w:t>14</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2985" w:history="1">
        <w:r w:rsidR="00323D96" w:rsidRPr="00AA61D4">
          <w:rPr>
            <w:rStyle w:val="Hyperlink"/>
          </w:rPr>
          <w:t>2.3.2.</w:t>
        </w:r>
        <w:r w:rsidR="00323D96">
          <w:rPr>
            <w:rFonts w:asciiTheme="minorHAnsi" w:eastAsiaTheme="minorEastAsia" w:hAnsiTheme="minorHAnsi" w:cstheme="minorBidi"/>
            <w:sz w:val="22"/>
            <w:szCs w:val="22"/>
          </w:rPr>
          <w:tab/>
        </w:r>
        <w:r w:rsidR="00323D96" w:rsidRPr="00AA61D4">
          <w:rPr>
            <w:rStyle w:val="Hyperlink"/>
          </w:rPr>
          <w:t>Discussion</w:t>
        </w:r>
        <w:r w:rsidR="00323D96">
          <w:rPr>
            <w:webHidden/>
          </w:rPr>
          <w:tab/>
        </w:r>
        <w:r w:rsidR="00323D96">
          <w:rPr>
            <w:webHidden/>
          </w:rPr>
          <w:fldChar w:fldCharType="begin"/>
        </w:r>
        <w:r w:rsidR="00323D96">
          <w:rPr>
            <w:webHidden/>
          </w:rPr>
          <w:instrText xml:space="preserve"> PAGEREF _Toc514152985 \h </w:instrText>
        </w:r>
        <w:r w:rsidR="00323D96">
          <w:rPr>
            <w:webHidden/>
          </w:rPr>
        </w:r>
        <w:r w:rsidR="00323D96">
          <w:rPr>
            <w:webHidden/>
          </w:rPr>
          <w:fldChar w:fldCharType="separate"/>
        </w:r>
        <w:r>
          <w:rPr>
            <w:webHidden/>
          </w:rPr>
          <w:t>15</w:t>
        </w:r>
        <w:r w:rsidR="00323D96">
          <w:rPr>
            <w:webHidden/>
          </w:rPr>
          <w:fldChar w:fldCharType="end"/>
        </w:r>
      </w:hyperlink>
    </w:p>
    <w:p w:rsidR="00323D96" w:rsidRDefault="00EF0380" w:rsidP="00B34BCE">
      <w:pPr>
        <w:pStyle w:val="TOC2"/>
        <w:rPr>
          <w:rFonts w:asciiTheme="minorHAnsi" w:eastAsiaTheme="minorEastAsia" w:hAnsiTheme="minorHAnsi" w:cstheme="minorBidi"/>
          <w:sz w:val="22"/>
          <w:szCs w:val="22"/>
        </w:rPr>
      </w:pPr>
      <w:hyperlink w:anchor="_Toc514152986" w:history="1">
        <w:r w:rsidR="00323D96" w:rsidRPr="00AA61D4">
          <w:rPr>
            <w:rStyle w:val="Hyperlink"/>
          </w:rPr>
          <w:t>2.4.</w:t>
        </w:r>
        <w:r w:rsidR="00323D96">
          <w:rPr>
            <w:rFonts w:asciiTheme="minorHAnsi" w:eastAsiaTheme="minorEastAsia" w:hAnsiTheme="minorHAnsi" w:cstheme="minorBidi"/>
            <w:sz w:val="22"/>
            <w:szCs w:val="22"/>
          </w:rPr>
          <w:tab/>
        </w:r>
        <w:r w:rsidR="00323D96" w:rsidRPr="00AA61D4">
          <w:rPr>
            <w:rStyle w:val="Hyperlink"/>
          </w:rPr>
          <w:t>Eligible Applicants</w:t>
        </w:r>
        <w:r w:rsidR="00323D96">
          <w:rPr>
            <w:webHidden/>
          </w:rPr>
          <w:tab/>
        </w:r>
        <w:r w:rsidR="00323D96">
          <w:rPr>
            <w:webHidden/>
          </w:rPr>
          <w:fldChar w:fldCharType="begin"/>
        </w:r>
        <w:r w:rsidR="00323D96">
          <w:rPr>
            <w:webHidden/>
          </w:rPr>
          <w:instrText xml:space="preserve"> PAGEREF _Toc514152986 \h </w:instrText>
        </w:r>
        <w:r w:rsidR="00323D96">
          <w:rPr>
            <w:webHidden/>
          </w:rPr>
        </w:r>
        <w:r w:rsidR="00323D96">
          <w:rPr>
            <w:webHidden/>
          </w:rPr>
          <w:fldChar w:fldCharType="separate"/>
        </w:r>
        <w:r>
          <w:rPr>
            <w:webHidden/>
          </w:rPr>
          <w:t>16</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2987" w:history="1">
        <w:r w:rsidR="00323D96" w:rsidRPr="00AA61D4">
          <w:rPr>
            <w:rStyle w:val="Hyperlink"/>
          </w:rPr>
          <w:t>2.4.1.</w:t>
        </w:r>
        <w:r w:rsidR="00323D96">
          <w:rPr>
            <w:rFonts w:asciiTheme="minorHAnsi" w:eastAsiaTheme="minorEastAsia" w:hAnsiTheme="minorHAnsi" w:cstheme="minorBidi"/>
            <w:sz w:val="22"/>
            <w:szCs w:val="22"/>
          </w:rPr>
          <w:tab/>
        </w:r>
        <w:r w:rsidR="00323D96" w:rsidRPr="00AA61D4">
          <w:rPr>
            <w:rStyle w:val="Hyperlink"/>
          </w:rPr>
          <w:t>Parties’ Positions</w:t>
        </w:r>
        <w:r w:rsidR="00323D96">
          <w:rPr>
            <w:webHidden/>
          </w:rPr>
          <w:tab/>
        </w:r>
        <w:r w:rsidR="00323D96">
          <w:rPr>
            <w:webHidden/>
          </w:rPr>
          <w:fldChar w:fldCharType="begin"/>
        </w:r>
        <w:r w:rsidR="00323D96">
          <w:rPr>
            <w:webHidden/>
          </w:rPr>
          <w:instrText xml:space="preserve"> PAGEREF _Toc514152987 \h </w:instrText>
        </w:r>
        <w:r w:rsidR="00323D96">
          <w:rPr>
            <w:webHidden/>
          </w:rPr>
        </w:r>
        <w:r w:rsidR="00323D96">
          <w:rPr>
            <w:webHidden/>
          </w:rPr>
          <w:fldChar w:fldCharType="separate"/>
        </w:r>
        <w:r>
          <w:rPr>
            <w:webHidden/>
          </w:rPr>
          <w:t>16</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2988" w:history="1">
        <w:r w:rsidR="00323D96" w:rsidRPr="00AA61D4">
          <w:rPr>
            <w:rStyle w:val="Hyperlink"/>
          </w:rPr>
          <w:t>2.4.2.</w:t>
        </w:r>
        <w:r w:rsidR="00323D96">
          <w:rPr>
            <w:rFonts w:asciiTheme="minorHAnsi" w:eastAsiaTheme="minorEastAsia" w:hAnsiTheme="minorHAnsi" w:cstheme="minorBidi"/>
            <w:sz w:val="22"/>
            <w:szCs w:val="22"/>
          </w:rPr>
          <w:tab/>
        </w:r>
        <w:r w:rsidR="00323D96" w:rsidRPr="00AA61D4">
          <w:rPr>
            <w:rStyle w:val="Hyperlink"/>
          </w:rPr>
          <w:t>Discussion</w:t>
        </w:r>
        <w:r w:rsidR="00323D96">
          <w:rPr>
            <w:webHidden/>
          </w:rPr>
          <w:tab/>
        </w:r>
        <w:r w:rsidR="00323D96">
          <w:rPr>
            <w:webHidden/>
          </w:rPr>
          <w:fldChar w:fldCharType="begin"/>
        </w:r>
        <w:r w:rsidR="00323D96">
          <w:rPr>
            <w:webHidden/>
          </w:rPr>
          <w:instrText xml:space="preserve"> PAGEREF _Toc514152988 \h </w:instrText>
        </w:r>
        <w:r w:rsidR="00323D96">
          <w:rPr>
            <w:webHidden/>
          </w:rPr>
        </w:r>
        <w:r w:rsidR="00323D96">
          <w:rPr>
            <w:webHidden/>
          </w:rPr>
          <w:fldChar w:fldCharType="separate"/>
        </w:r>
        <w:r>
          <w:rPr>
            <w:webHidden/>
          </w:rPr>
          <w:t>16</w:t>
        </w:r>
        <w:r w:rsidR="00323D96">
          <w:rPr>
            <w:webHidden/>
          </w:rPr>
          <w:fldChar w:fldCharType="end"/>
        </w:r>
      </w:hyperlink>
    </w:p>
    <w:p w:rsidR="00323D96" w:rsidRDefault="00EF0380" w:rsidP="00B34BCE">
      <w:pPr>
        <w:pStyle w:val="TOC2"/>
        <w:rPr>
          <w:rFonts w:asciiTheme="minorHAnsi" w:eastAsiaTheme="minorEastAsia" w:hAnsiTheme="minorHAnsi" w:cstheme="minorBidi"/>
          <w:sz w:val="22"/>
          <w:szCs w:val="22"/>
        </w:rPr>
      </w:pPr>
      <w:hyperlink w:anchor="_Toc514152989" w:history="1">
        <w:r w:rsidR="00323D96" w:rsidRPr="00AA61D4">
          <w:rPr>
            <w:rStyle w:val="Hyperlink"/>
          </w:rPr>
          <w:t>2.5.</w:t>
        </w:r>
        <w:r w:rsidR="00323D96">
          <w:rPr>
            <w:rFonts w:asciiTheme="minorHAnsi" w:eastAsiaTheme="minorEastAsia" w:hAnsiTheme="minorHAnsi" w:cstheme="minorBidi"/>
            <w:sz w:val="22"/>
            <w:szCs w:val="22"/>
          </w:rPr>
          <w:tab/>
        </w:r>
        <w:r w:rsidR="00323D96" w:rsidRPr="00AA61D4">
          <w:rPr>
            <w:rStyle w:val="Hyperlink"/>
          </w:rPr>
          <w:t>Eligible Projects</w:t>
        </w:r>
        <w:r w:rsidR="00323D96">
          <w:rPr>
            <w:webHidden/>
          </w:rPr>
          <w:tab/>
        </w:r>
        <w:r w:rsidR="00323D96">
          <w:rPr>
            <w:webHidden/>
          </w:rPr>
          <w:fldChar w:fldCharType="begin"/>
        </w:r>
        <w:r w:rsidR="00323D96">
          <w:rPr>
            <w:webHidden/>
          </w:rPr>
          <w:instrText xml:space="preserve"> PAGEREF _Toc514152989 \h </w:instrText>
        </w:r>
        <w:r w:rsidR="00323D96">
          <w:rPr>
            <w:webHidden/>
          </w:rPr>
        </w:r>
        <w:r w:rsidR="00323D96">
          <w:rPr>
            <w:webHidden/>
          </w:rPr>
          <w:fldChar w:fldCharType="separate"/>
        </w:r>
        <w:r>
          <w:rPr>
            <w:webHidden/>
          </w:rPr>
          <w:t>17</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2990" w:history="1">
        <w:r w:rsidR="00323D96" w:rsidRPr="00AA61D4">
          <w:rPr>
            <w:rStyle w:val="Hyperlink"/>
          </w:rPr>
          <w:t>2.5.1.</w:t>
        </w:r>
        <w:r w:rsidR="00323D96">
          <w:rPr>
            <w:rFonts w:asciiTheme="minorHAnsi" w:eastAsiaTheme="minorEastAsia" w:hAnsiTheme="minorHAnsi" w:cstheme="minorBidi"/>
            <w:sz w:val="22"/>
            <w:szCs w:val="22"/>
          </w:rPr>
          <w:tab/>
        </w:r>
        <w:r w:rsidR="00323D96" w:rsidRPr="00AA61D4">
          <w:rPr>
            <w:rStyle w:val="Hyperlink"/>
          </w:rPr>
          <w:t>Parties’ Comments</w:t>
        </w:r>
        <w:r w:rsidR="00323D96">
          <w:rPr>
            <w:webHidden/>
          </w:rPr>
          <w:tab/>
        </w:r>
        <w:r w:rsidR="00323D96">
          <w:rPr>
            <w:webHidden/>
          </w:rPr>
          <w:fldChar w:fldCharType="begin"/>
        </w:r>
        <w:r w:rsidR="00323D96">
          <w:rPr>
            <w:webHidden/>
          </w:rPr>
          <w:instrText xml:space="preserve"> PAGEREF _Toc514152990 \h </w:instrText>
        </w:r>
        <w:r w:rsidR="00323D96">
          <w:rPr>
            <w:webHidden/>
          </w:rPr>
        </w:r>
        <w:r w:rsidR="00323D96">
          <w:rPr>
            <w:webHidden/>
          </w:rPr>
          <w:fldChar w:fldCharType="separate"/>
        </w:r>
        <w:r>
          <w:rPr>
            <w:webHidden/>
          </w:rPr>
          <w:t>17</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2991" w:history="1">
        <w:r w:rsidR="00323D96" w:rsidRPr="00AA61D4">
          <w:rPr>
            <w:rStyle w:val="Hyperlink"/>
          </w:rPr>
          <w:t>2.5.2.</w:t>
        </w:r>
        <w:r w:rsidR="00323D96">
          <w:rPr>
            <w:rFonts w:asciiTheme="minorHAnsi" w:eastAsiaTheme="minorEastAsia" w:hAnsiTheme="minorHAnsi" w:cstheme="minorBidi"/>
            <w:sz w:val="22"/>
            <w:szCs w:val="22"/>
          </w:rPr>
          <w:tab/>
        </w:r>
        <w:r w:rsidR="00323D96" w:rsidRPr="00AA61D4">
          <w:rPr>
            <w:rStyle w:val="Hyperlink"/>
          </w:rPr>
          <w:t>Discussion</w:t>
        </w:r>
        <w:r w:rsidR="00323D96">
          <w:rPr>
            <w:webHidden/>
          </w:rPr>
          <w:tab/>
        </w:r>
        <w:r w:rsidR="00323D96">
          <w:rPr>
            <w:webHidden/>
          </w:rPr>
          <w:fldChar w:fldCharType="begin"/>
        </w:r>
        <w:r w:rsidR="00323D96">
          <w:rPr>
            <w:webHidden/>
          </w:rPr>
          <w:instrText xml:space="preserve"> PAGEREF _Toc514152991 \h </w:instrText>
        </w:r>
        <w:r w:rsidR="00323D96">
          <w:rPr>
            <w:webHidden/>
          </w:rPr>
        </w:r>
        <w:r w:rsidR="00323D96">
          <w:rPr>
            <w:webHidden/>
          </w:rPr>
          <w:fldChar w:fldCharType="separate"/>
        </w:r>
        <w:r>
          <w:rPr>
            <w:webHidden/>
          </w:rPr>
          <w:t>19</w:t>
        </w:r>
        <w:r w:rsidR="00323D96">
          <w:rPr>
            <w:webHidden/>
          </w:rPr>
          <w:fldChar w:fldCharType="end"/>
        </w:r>
      </w:hyperlink>
    </w:p>
    <w:p w:rsidR="00323D96" w:rsidRDefault="00EF0380" w:rsidP="00B34BCE">
      <w:pPr>
        <w:pStyle w:val="TOC2"/>
        <w:rPr>
          <w:rFonts w:asciiTheme="minorHAnsi" w:eastAsiaTheme="minorEastAsia" w:hAnsiTheme="minorHAnsi" w:cstheme="minorBidi"/>
          <w:sz w:val="22"/>
          <w:szCs w:val="22"/>
        </w:rPr>
      </w:pPr>
      <w:hyperlink w:anchor="_Toc514152992" w:history="1">
        <w:r w:rsidR="00323D96" w:rsidRPr="00AA61D4">
          <w:rPr>
            <w:rStyle w:val="Hyperlink"/>
          </w:rPr>
          <w:t>2.6.</w:t>
        </w:r>
        <w:r w:rsidR="00323D96">
          <w:rPr>
            <w:rFonts w:asciiTheme="minorHAnsi" w:eastAsiaTheme="minorEastAsia" w:hAnsiTheme="minorHAnsi" w:cstheme="minorBidi"/>
            <w:sz w:val="22"/>
            <w:szCs w:val="22"/>
          </w:rPr>
          <w:tab/>
        </w:r>
        <w:r w:rsidR="00323D96" w:rsidRPr="00AA61D4">
          <w:rPr>
            <w:rStyle w:val="Hyperlink"/>
          </w:rPr>
          <w:t>Subsidy Level</w:t>
        </w:r>
        <w:r w:rsidR="00323D96">
          <w:rPr>
            <w:webHidden/>
          </w:rPr>
          <w:tab/>
        </w:r>
        <w:r w:rsidR="00323D96">
          <w:rPr>
            <w:webHidden/>
          </w:rPr>
          <w:fldChar w:fldCharType="begin"/>
        </w:r>
        <w:r w:rsidR="00323D96">
          <w:rPr>
            <w:webHidden/>
          </w:rPr>
          <w:instrText xml:space="preserve"> PAGEREF _Toc514152992 \h </w:instrText>
        </w:r>
        <w:r w:rsidR="00323D96">
          <w:rPr>
            <w:webHidden/>
          </w:rPr>
        </w:r>
        <w:r w:rsidR="00323D96">
          <w:rPr>
            <w:webHidden/>
          </w:rPr>
          <w:fldChar w:fldCharType="separate"/>
        </w:r>
        <w:r>
          <w:rPr>
            <w:webHidden/>
          </w:rPr>
          <w:t>21</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2993" w:history="1">
        <w:r w:rsidR="00323D96" w:rsidRPr="00AA61D4">
          <w:rPr>
            <w:rStyle w:val="Hyperlink"/>
          </w:rPr>
          <w:t>2.6.1.</w:t>
        </w:r>
        <w:r w:rsidR="00323D96">
          <w:rPr>
            <w:rFonts w:asciiTheme="minorHAnsi" w:eastAsiaTheme="minorEastAsia" w:hAnsiTheme="minorHAnsi" w:cstheme="minorBidi"/>
            <w:sz w:val="22"/>
            <w:szCs w:val="22"/>
          </w:rPr>
          <w:tab/>
        </w:r>
        <w:r w:rsidR="00323D96" w:rsidRPr="00AA61D4">
          <w:rPr>
            <w:rStyle w:val="Hyperlink"/>
          </w:rPr>
          <w:t>Parties’ Comments</w:t>
        </w:r>
        <w:r w:rsidR="00323D96">
          <w:rPr>
            <w:webHidden/>
          </w:rPr>
          <w:tab/>
        </w:r>
        <w:r w:rsidR="00323D96">
          <w:rPr>
            <w:webHidden/>
          </w:rPr>
          <w:fldChar w:fldCharType="begin"/>
        </w:r>
        <w:r w:rsidR="00323D96">
          <w:rPr>
            <w:webHidden/>
          </w:rPr>
          <w:instrText xml:space="preserve"> PAGEREF _Toc514152993 \h </w:instrText>
        </w:r>
        <w:r w:rsidR="00323D96">
          <w:rPr>
            <w:webHidden/>
          </w:rPr>
        </w:r>
        <w:r w:rsidR="00323D96">
          <w:rPr>
            <w:webHidden/>
          </w:rPr>
          <w:fldChar w:fldCharType="separate"/>
        </w:r>
        <w:r>
          <w:rPr>
            <w:webHidden/>
          </w:rPr>
          <w:t>21</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2994" w:history="1">
        <w:r w:rsidR="00323D96" w:rsidRPr="00AA61D4">
          <w:rPr>
            <w:rStyle w:val="Hyperlink"/>
          </w:rPr>
          <w:t>2.6.2.</w:t>
        </w:r>
        <w:r w:rsidR="00323D96">
          <w:rPr>
            <w:rFonts w:asciiTheme="minorHAnsi" w:eastAsiaTheme="minorEastAsia" w:hAnsiTheme="minorHAnsi" w:cstheme="minorBidi"/>
            <w:sz w:val="22"/>
            <w:szCs w:val="22"/>
          </w:rPr>
          <w:tab/>
        </w:r>
        <w:r w:rsidR="00323D96" w:rsidRPr="00AA61D4">
          <w:rPr>
            <w:rStyle w:val="Hyperlink"/>
          </w:rPr>
          <w:t>Discussion</w:t>
        </w:r>
        <w:r w:rsidR="00323D96">
          <w:rPr>
            <w:webHidden/>
          </w:rPr>
          <w:tab/>
        </w:r>
        <w:r w:rsidR="00323D96">
          <w:rPr>
            <w:webHidden/>
          </w:rPr>
          <w:fldChar w:fldCharType="begin"/>
        </w:r>
        <w:r w:rsidR="00323D96">
          <w:rPr>
            <w:webHidden/>
          </w:rPr>
          <w:instrText xml:space="preserve"> PAGEREF _Toc514152994 \h </w:instrText>
        </w:r>
        <w:r w:rsidR="00323D96">
          <w:rPr>
            <w:webHidden/>
          </w:rPr>
        </w:r>
        <w:r w:rsidR="00323D96">
          <w:rPr>
            <w:webHidden/>
          </w:rPr>
          <w:fldChar w:fldCharType="separate"/>
        </w:r>
        <w:r>
          <w:rPr>
            <w:webHidden/>
          </w:rPr>
          <w:t>22</w:t>
        </w:r>
        <w:r w:rsidR="00323D96">
          <w:rPr>
            <w:webHidden/>
          </w:rPr>
          <w:fldChar w:fldCharType="end"/>
        </w:r>
      </w:hyperlink>
    </w:p>
    <w:p w:rsidR="00323D96" w:rsidRDefault="00EF0380" w:rsidP="00B34BCE">
      <w:pPr>
        <w:pStyle w:val="TOC2"/>
        <w:rPr>
          <w:rFonts w:asciiTheme="minorHAnsi" w:eastAsiaTheme="minorEastAsia" w:hAnsiTheme="minorHAnsi" w:cstheme="minorBidi"/>
          <w:sz w:val="22"/>
          <w:szCs w:val="22"/>
        </w:rPr>
      </w:pPr>
      <w:hyperlink w:anchor="_Toc514152995" w:history="1">
        <w:r w:rsidR="00323D96" w:rsidRPr="00AA61D4">
          <w:rPr>
            <w:rStyle w:val="Hyperlink"/>
          </w:rPr>
          <w:t>2.7.</w:t>
        </w:r>
        <w:r w:rsidR="00323D96">
          <w:rPr>
            <w:rFonts w:asciiTheme="minorHAnsi" w:eastAsiaTheme="minorEastAsia" w:hAnsiTheme="minorHAnsi" w:cstheme="minorBidi"/>
            <w:sz w:val="22"/>
            <w:szCs w:val="22"/>
          </w:rPr>
          <w:tab/>
        </w:r>
        <w:r w:rsidR="00323D96" w:rsidRPr="00AA61D4">
          <w:rPr>
            <w:rStyle w:val="Hyperlink"/>
          </w:rPr>
          <w:t>Information Required from Applicants</w:t>
        </w:r>
        <w:r w:rsidR="00323D96">
          <w:rPr>
            <w:webHidden/>
          </w:rPr>
          <w:tab/>
        </w:r>
        <w:r w:rsidR="00323D96">
          <w:rPr>
            <w:webHidden/>
          </w:rPr>
          <w:fldChar w:fldCharType="begin"/>
        </w:r>
        <w:r w:rsidR="00323D96">
          <w:rPr>
            <w:webHidden/>
          </w:rPr>
          <w:instrText xml:space="preserve"> PAGEREF _Toc514152995 \h </w:instrText>
        </w:r>
        <w:r w:rsidR="00323D96">
          <w:rPr>
            <w:webHidden/>
          </w:rPr>
        </w:r>
        <w:r w:rsidR="00323D96">
          <w:rPr>
            <w:webHidden/>
          </w:rPr>
          <w:fldChar w:fldCharType="separate"/>
        </w:r>
        <w:r>
          <w:rPr>
            <w:webHidden/>
          </w:rPr>
          <w:t>23</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2996" w:history="1">
        <w:r w:rsidR="00323D96" w:rsidRPr="00AA61D4">
          <w:rPr>
            <w:rStyle w:val="Hyperlink"/>
          </w:rPr>
          <w:t>2.7.1.</w:t>
        </w:r>
        <w:r w:rsidR="00323D96">
          <w:rPr>
            <w:rFonts w:asciiTheme="minorHAnsi" w:eastAsiaTheme="minorEastAsia" w:hAnsiTheme="minorHAnsi" w:cstheme="minorBidi"/>
            <w:sz w:val="22"/>
            <w:szCs w:val="22"/>
          </w:rPr>
          <w:tab/>
        </w:r>
        <w:r w:rsidR="00323D96" w:rsidRPr="00AA61D4">
          <w:rPr>
            <w:rStyle w:val="Hyperlink"/>
          </w:rPr>
          <w:t>Parties’ Comments</w:t>
        </w:r>
        <w:r w:rsidR="00323D96">
          <w:rPr>
            <w:webHidden/>
          </w:rPr>
          <w:tab/>
        </w:r>
        <w:r w:rsidR="00323D96">
          <w:rPr>
            <w:webHidden/>
          </w:rPr>
          <w:fldChar w:fldCharType="begin"/>
        </w:r>
        <w:r w:rsidR="00323D96">
          <w:rPr>
            <w:webHidden/>
          </w:rPr>
          <w:instrText xml:space="preserve"> PAGEREF _Toc514152996 \h </w:instrText>
        </w:r>
        <w:r w:rsidR="00323D96">
          <w:rPr>
            <w:webHidden/>
          </w:rPr>
        </w:r>
        <w:r w:rsidR="00323D96">
          <w:rPr>
            <w:webHidden/>
          </w:rPr>
          <w:fldChar w:fldCharType="separate"/>
        </w:r>
        <w:r>
          <w:rPr>
            <w:webHidden/>
          </w:rPr>
          <w:t>23</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2997" w:history="1">
        <w:r w:rsidR="00323D96" w:rsidRPr="00AA61D4">
          <w:rPr>
            <w:rStyle w:val="Hyperlink"/>
          </w:rPr>
          <w:t>2.7.2.</w:t>
        </w:r>
        <w:r w:rsidR="00323D96">
          <w:rPr>
            <w:rFonts w:asciiTheme="minorHAnsi" w:eastAsiaTheme="minorEastAsia" w:hAnsiTheme="minorHAnsi" w:cstheme="minorBidi"/>
            <w:sz w:val="22"/>
            <w:szCs w:val="22"/>
          </w:rPr>
          <w:tab/>
        </w:r>
        <w:r w:rsidR="00323D96" w:rsidRPr="00AA61D4">
          <w:rPr>
            <w:rStyle w:val="Hyperlink"/>
          </w:rPr>
          <w:t>Discussion</w:t>
        </w:r>
        <w:r w:rsidR="00323D96">
          <w:rPr>
            <w:webHidden/>
          </w:rPr>
          <w:tab/>
        </w:r>
        <w:r w:rsidR="00323D96">
          <w:rPr>
            <w:webHidden/>
          </w:rPr>
          <w:fldChar w:fldCharType="begin"/>
        </w:r>
        <w:r w:rsidR="00323D96">
          <w:rPr>
            <w:webHidden/>
          </w:rPr>
          <w:instrText xml:space="preserve"> PAGEREF _Toc514152997 \h </w:instrText>
        </w:r>
        <w:r w:rsidR="00323D96">
          <w:rPr>
            <w:webHidden/>
          </w:rPr>
        </w:r>
        <w:r w:rsidR="00323D96">
          <w:rPr>
            <w:webHidden/>
          </w:rPr>
          <w:fldChar w:fldCharType="separate"/>
        </w:r>
        <w:r>
          <w:rPr>
            <w:webHidden/>
          </w:rPr>
          <w:t>24</w:t>
        </w:r>
        <w:r w:rsidR="00323D96">
          <w:rPr>
            <w:webHidden/>
          </w:rPr>
          <w:fldChar w:fldCharType="end"/>
        </w:r>
      </w:hyperlink>
    </w:p>
    <w:p w:rsidR="00323D96" w:rsidRDefault="00EF0380" w:rsidP="00B34BCE">
      <w:pPr>
        <w:pStyle w:val="TOC2"/>
        <w:rPr>
          <w:rFonts w:asciiTheme="minorHAnsi" w:eastAsiaTheme="minorEastAsia" w:hAnsiTheme="minorHAnsi" w:cstheme="minorBidi"/>
          <w:sz w:val="22"/>
          <w:szCs w:val="22"/>
        </w:rPr>
      </w:pPr>
      <w:hyperlink w:anchor="_Toc514152998" w:history="1">
        <w:r w:rsidR="00323D96" w:rsidRPr="00AA61D4">
          <w:rPr>
            <w:rStyle w:val="Hyperlink"/>
          </w:rPr>
          <w:t>2.8.</w:t>
        </w:r>
        <w:r w:rsidR="00323D96">
          <w:rPr>
            <w:rFonts w:asciiTheme="minorHAnsi" w:eastAsiaTheme="minorEastAsia" w:hAnsiTheme="minorHAnsi" w:cstheme="minorBidi"/>
            <w:sz w:val="22"/>
            <w:szCs w:val="22"/>
          </w:rPr>
          <w:tab/>
        </w:r>
        <w:r w:rsidR="00323D96" w:rsidRPr="00AA61D4">
          <w:rPr>
            <w:rStyle w:val="Hyperlink"/>
          </w:rPr>
          <w:t>Evaluation Criteria</w:t>
        </w:r>
        <w:r w:rsidR="00323D96">
          <w:rPr>
            <w:webHidden/>
          </w:rPr>
          <w:tab/>
        </w:r>
        <w:r w:rsidR="00323D96">
          <w:rPr>
            <w:webHidden/>
          </w:rPr>
          <w:fldChar w:fldCharType="begin"/>
        </w:r>
        <w:r w:rsidR="00323D96">
          <w:rPr>
            <w:webHidden/>
          </w:rPr>
          <w:instrText xml:space="preserve"> PAGEREF _Toc514152998 \h </w:instrText>
        </w:r>
        <w:r w:rsidR="00323D96">
          <w:rPr>
            <w:webHidden/>
          </w:rPr>
        </w:r>
        <w:r w:rsidR="00323D96">
          <w:rPr>
            <w:webHidden/>
          </w:rPr>
          <w:fldChar w:fldCharType="separate"/>
        </w:r>
        <w:r>
          <w:rPr>
            <w:webHidden/>
          </w:rPr>
          <w:t>25</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2999" w:history="1">
        <w:r w:rsidR="00323D96" w:rsidRPr="00AA61D4">
          <w:rPr>
            <w:rStyle w:val="Hyperlink"/>
          </w:rPr>
          <w:t>2.8.1.</w:t>
        </w:r>
        <w:r w:rsidR="00323D96">
          <w:rPr>
            <w:rFonts w:asciiTheme="minorHAnsi" w:eastAsiaTheme="minorEastAsia" w:hAnsiTheme="minorHAnsi" w:cstheme="minorBidi"/>
            <w:sz w:val="22"/>
            <w:szCs w:val="22"/>
          </w:rPr>
          <w:tab/>
        </w:r>
        <w:r w:rsidR="00323D96" w:rsidRPr="00AA61D4">
          <w:rPr>
            <w:rStyle w:val="Hyperlink"/>
          </w:rPr>
          <w:t>Parties’ Comments</w:t>
        </w:r>
        <w:r w:rsidR="00323D96">
          <w:rPr>
            <w:webHidden/>
          </w:rPr>
          <w:tab/>
        </w:r>
        <w:r w:rsidR="00323D96">
          <w:rPr>
            <w:webHidden/>
          </w:rPr>
          <w:fldChar w:fldCharType="begin"/>
        </w:r>
        <w:r w:rsidR="00323D96">
          <w:rPr>
            <w:webHidden/>
          </w:rPr>
          <w:instrText xml:space="preserve"> PAGEREF _Toc514152999 \h </w:instrText>
        </w:r>
        <w:r w:rsidR="00323D96">
          <w:rPr>
            <w:webHidden/>
          </w:rPr>
        </w:r>
        <w:r w:rsidR="00323D96">
          <w:rPr>
            <w:webHidden/>
          </w:rPr>
          <w:fldChar w:fldCharType="separate"/>
        </w:r>
        <w:r>
          <w:rPr>
            <w:webHidden/>
          </w:rPr>
          <w:t>25</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3000" w:history="1">
        <w:r w:rsidR="00323D96" w:rsidRPr="00AA61D4">
          <w:rPr>
            <w:rStyle w:val="Hyperlink"/>
          </w:rPr>
          <w:t>2.8.2.</w:t>
        </w:r>
        <w:r w:rsidR="00323D96">
          <w:rPr>
            <w:rFonts w:asciiTheme="minorHAnsi" w:eastAsiaTheme="minorEastAsia" w:hAnsiTheme="minorHAnsi" w:cstheme="minorBidi"/>
            <w:sz w:val="22"/>
            <w:szCs w:val="22"/>
          </w:rPr>
          <w:tab/>
        </w:r>
        <w:r w:rsidR="00323D96" w:rsidRPr="00AA61D4">
          <w:rPr>
            <w:rStyle w:val="Hyperlink"/>
          </w:rPr>
          <w:t>Discussion</w:t>
        </w:r>
        <w:r w:rsidR="00323D96">
          <w:rPr>
            <w:webHidden/>
          </w:rPr>
          <w:tab/>
        </w:r>
        <w:r w:rsidR="00323D96">
          <w:rPr>
            <w:webHidden/>
          </w:rPr>
          <w:fldChar w:fldCharType="begin"/>
        </w:r>
        <w:r w:rsidR="00323D96">
          <w:rPr>
            <w:webHidden/>
          </w:rPr>
          <w:instrText xml:space="preserve"> PAGEREF _Toc514153000 \h </w:instrText>
        </w:r>
        <w:r w:rsidR="00323D96">
          <w:rPr>
            <w:webHidden/>
          </w:rPr>
        </w:r>
        <w:r w:rsidR="00323D96">
          <w:rPr>
            <w:webHidden/>
          </w:rPr>
          <w:fldChar w:fldCharType="separate"/>
        </w:r>
        <w:r>
          <w:rPr>
            <w:webHidden/>
          </w:rPr>
          <w:t>26</w:t>
        </w:r>
        <w:r w:rsidR="00323D96">
          <w:rPr>
            <w:webHidden/>
          </w:rPr>
          <w:fldChar w:fldCharType="end"/>
        </w:r>
      </w:hyperlink>
    </w:p>
    <w:p w:rsidR="00323D96" w:rsidRDefault="00EF0380" w:rsidP="00B34BCE">
      <w:pPr>
        <w:pStyle w:val="TOC2"/>
        <w:rPr>
          <w:rFonts w:asciiTheme="minorHAnsi" w:eastAsiaTheme="minorEastAsia" w:hAnsiTheme="minorHAnsi" w:cstheme="minorBidi"/>
          <w:sz w:val="22"/>
          <w:szCs w:val="22"/>
        </w:rPr>
      </w:pPr>
      <w:hyperlink w:anchor="_Toc514153001" w:history="1">
        <w:r w:rsidR="00323D96" w:rsidRPr="00AA61D4">
          <w:rPr>
            <w:rStyle w:val="Hyperlink"/>
          </w:rPr>
          <w:t>2.9.</w:t>
        </w:r>
        <w:r w:rsidR="00323D96">
          <w:rPr>
            <w:rFonts w:asciiTheme="minorHAnsi" w:eastAsiaTheme="minorEastAsia" w:hAnsiTheme="minorHAnsi" w:cstheme="minorBidi"/>
            <w:sz w:val="22"/>
            <w:szCs w:val="22"/>
          </w:rPr>
          <w:tab/>
        </w:r>
        <w:r w:rsidR="00323D96" w:rsidRPr="00AA61D4">
          <w:rPr>
            <w:rStyle w:val="Hyperlink"/>
          </w:rPr>
          <w:t>Submission and Timelines</w:t>
        </w:r>
        <w:r w:rsidR="00323D96">
          <w:rPr>
            <w:webHidden/>
          </w:rPr>
          <w:tab/>
        </w:r>
        <w:r w:rsidR="00323D96">
          <w:rPr>
            <w:webHidden/>
          </w:rPr>
          <w:fldChar w:fldCharType="begin"/>
        </w:r>
        <w:r w:rsidR="00323D96">
          <w:rPr>
            <w:webHidden/>
          </w:rPr>
          <w:instrText xml:space="preserve"> PAGEREF _Toc514153001 \h </w:instrText>
        </w:r>
        <w:r w:rsidR="00323D96">
          <w:rPr>
            <w:webHidden/>
          </w:rPr>
        </w:r>
        <w:r w:rsidR="00323D96">
          <w:rPr>
            <w:webHidden/>
          </w:rPr>
          <w:fldChar w:fldCharType="separate"/>
        </w:r>
        <w:r>
          <w:rPr>
            <w:webHidden/>
          </w:rPr>
          <w:t>26</w:t>
        </w:r>
        <w:r w:rsidR="00323D96">
          <w:rPr>
            <w:webHidden/>
          </w:rPr>
          <w:fldChar w:fldCharType="end"/>
        </w:r>
      </w:hyperlink>
    </w:p>
    <w:p w:rsidR="00323D96" w:rsidRDefault="00EF0380" w:rsidP="00B34BCE">
      <w:pPr>
        <w:pStyle w:val="TOC2"/>
        <w:rPr>
          <w:rFonts w:asciiTheme="minorHAnsi" w:eastAsiaTheme="minorEastAsia" w:hAnsiTheme="minorHAnsi" w:cstheme="minorBidi"/>
          <w:sz w:val="22"/>
          <w:szCs w:val="22"/>
        </w:rPr>
      </w:pPr>
      <w:hyperlink w:anchor="_Toc514153002" w:history="1">
        <w:r w:rsidR="00323D96" w:rsidRPr="00AA61D4">
          <w:rPr>
            <w:rStyle w:val="Hyperlink"/>
          </w:rPr>
          <w:t>2.10.</w:t>
        </w:r>
        <w:r w:rsidR="00323D96">
          <w:rPr>
            <w:rFonts w:asciiTheme="minorHAnsi" w:eastAsiaTheme="minorEastAsia" w:hAnsiTheme="minorHAnsi" w:cstheme="minorBidi"/>
            <w:sz w:val="22"/>
            <w:szCs w:val="22"/>
          </w:rPr>
          <w:tab/>
        </w:r>
        <w:r w:rsidR="00323D96" w:rsidRPr="00AA61D4">
          <w:rPr>
            <w:rStyle w:val="Hyperlink"/>
          </w:rPr>
          <w:t>Expedited Review</w:t>
        </w:r>
        <w:r w:rsidR="00323D96">
          <w:rPr>
            <w:webHidden/>
          </w:rPr>
          <w:tab/>
        </w:r>
        <w:r w:rsidR="00323D96">
          <w:rPr>
            <w:webHidden/>
          </w:rPr>
          <w:fldChar w:fldCharType="begin"/>
        </w:r>
        <w:r w:rsidR="00323D96">
          <w:rPr>
            <w:webHidden/>
          </w:rPr>
          <w:instrText xml:space="preserve"> PAGEREF _Toc514153002 \h </w:instrText>
        </w:r>
        <w:r w:rsidR="00323D96">
          <w:rPr>
            <w:webHidden/>
          </w:rPr>
        </w:r>
        <w:r w:rsidR="00323D96">
          <w:rPr>
            <w:webHidden/>
          </w:rPr>
          <w:fldChar w:fldCharType="separate"/>
        </w:r>
        <w:r>
          <w:rPr>
            <w:webHidden/>
          </w:rPr>
          <w:t>27</w:t>
        </w:r>
        <w:r w:rsidR="00323D96">
          <w:rPr>
            <w:webHidden/>
          </w:rPr>
          <w:fldChar w:fldCharType="end"/>
        </w:r>
      </w:hyperlink>
    </w:p>
    <w:p w:rsidR="00323D96" w:rsidRDefault="00EF0380" w:rsidP="00B34BCE">
      <w:pPr>
        <w:pStyle w:val="TOC2"/>
        <w:rPr>
          <w:rFonts w:asciiTheme="minorHAnsi" w:eastAsiaTheme="minorEastAsia" w:hAnsiTheme="minorHAnsi" w:cstheme="minorBidi"/>
          <w:sz w:val="22"/>
          <w:szCs w:val="22"/>
        </w:rPr>
      </w:pPr>
      <w:hyperlink w:anchor="_Toc514153003" w:history="1">
        <w:r w:rsidR="00323D96" w:rsidRPr="00AA61D4">
          <w:rPr>
            <w:rStyle w:val="Hyperlink"/>
          </w:rPr>
          <w:t>2.11.</w:t>
        </w:r>
        <w:r w:rsidR="00323D96">
          <w:rPr>
            <w:rFonts w:asciiTheme="minorHAnsi" w:eastAsiaTheme="minorEastAsia" w:hAnsiTheme="minorHAnsi" w:cstheme="minorBidi"/>
            <w:sz w:val="22"/>
            <w:szCs w:val="22"/>
          </w:rPr>
          <w:tab/>
        </w:r>
        <w:r w:rsidR="00323D96" w:rsidRPr="00AA61D4">
          <w:rPr>
            <w:rStyle w:val="Hyperlink"/>
          </w:rPr>
          <w:t>Reporting and Payment</w:t>
        </w:r>
        <w:r w:rsidR="00323D96">
          <w:rPr>
            <w:webHidden/>
          </w:rPr>
          <w:tab/>
        </w:r>
        <w:r w:rsidR="00323D96">
          <w:rPr>
            <w:webHidden/>
          </w:rPr>
          <w:fldChar w:fldCharType="begin"/>
        </w:r>
        <w:r w:rsidR="00323D96">
          <w:rPr>
            <w:webHidden/>
          </w:rPr>
          <w:instrText xml:space="preserve"> PAGEREF _Toc514153003 \h </w:instrText>
        </w:r>
        <w:r w:rsidR="00323D96">
          <w:rPr>
            <w:webHidden/>
          </w:rPr>
        </w:r>
        <w:r w:rsidR="00323D96">
          <w:rPr>
            <w:webHidden/>
          </w:rPr>
          <w:fldChar w:fldCharType="separate"/>
        </w:r>
        <w:r>
          <w:rPr>
            <w:webHidden/>
          </w:rPr>
          <w:t>27</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3004" w:history="1">
        <w:r w:rsidR="00323D96" w:rsidRPr="00AA61D4">
          <w:rPr>
            <w:rStyle w:val="Hyperlink"/>
          </w:rPr>
          <w:t>2.11.1.</w:t>
        </w:r>
        <w:r w:rsidR="00323D96">
          <w:rPr>
            <w:rFonts w:asciiTheme="minorHAnsi" w:eastAsiaTheme="minorEastAsia" w:hAnsiTheme="minorHAnsi" w:cstheme="minorBidi"/>
            <w:sz w:val="22"/>
            <w:szCs w:val="22"/>
          </w:rPr>
          <w:tab/>
        </w:r>
        <w:r w:rsidR="00323D96" w:rsidRPr="00AA61D4">
          <w:rPr>
            <w:rStyle w:val="Hyperlink"/>
          </w:rPr>
          <w:t>Parties’ Comments</w:t>
        </w:r>
        <w:r w:rsidR="00323D96">
          <w:rPr>
            <w:webHidden/>
          </w:rPr>
          <w:tab/>
        </w:r>
        <w:r w:rsidR="00323D96">
          <w:rPr>
            <w:webHidden/>
          </w:rPr>
          <w:fldChar w:fldCharType="begin"/>
        </w:r>
        <w:r w:rsidR="00323D96">
          <w:rPr>
            <w:webHidden/>
          </w:rPr>
          <w:instrText xml:space="preserve"> PAGEREF _Toc514153004 \h </w:instrText>
        </w:r>
        <w:r w:rsidR="00323D96">
          <w:rPr>
            <w:webHidden/>
          </w:rPr>
        </w:r>
        <w:r w:rsidR="00323D96">
          <w:rPr>
            <w:webHidden/>
          </w:rPr>
          <w:fldChar w:fldCharType="separate"/>
        </w:r>
        <w:r>
          <w:rPr>
            <w:webHidden/>
          </w:rPr>
          <w:t>27</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3005" w:history="1">
        <w:r w:rsidR="00323D96" w:rsidRPr="00AA61D4">
          <w:rPr>
            <w:rStyle w:val="Hyperlink"/>
          </w:rPr>
          <w:t>2.11.2.</w:t>
        </w:r>
        <w:r w:rsidR="00323D96">
          <w:rPr>
            <w:rFonts w:asciiTheme="minorHAnsi" w:eastAsiaTheme="minorEastAsia" w:hAnsiTheme="minorHAnsi" w:cstheme="minorBidi"/>
            <w:sz w:val="22"/>
            <w:szCs w:val="22"/>
          </w:rPr>
          <w:tab/>
        </w:r>
        <w:r w:rsidR="00323D96" w:rsidRPr="00AA61D4">
          <w:rPr>
            <w:rStyle w:val="Hyperlink"/>
          </w:rPr>
          <w:t>Discussion</w:t>
        </w:r>
        <w:r w:rsidR="00323D96">
          <w:rPr>
            <w:webHidden/>
          </w:rPr>
          <w:tab/>
        </w:r>
        <w:r w:rsidR="00323D96">
          <w:rPr>
            <w:webHidden/>
          </w:rPr>
          <w:fldChar w:fldCharType="begin"/>
        </w:r>
        <w:r w:rsidR="00323D96">
          <w:rPr>
            <w:webHidden/>
          </w:rPr>
          <w:instrText xml:space="preserve"> PAGEREF _Toc514153005 \h </w:instrText>
        </w:r>
        <w:r w:rsidR="00323D96">
          <w:rPr>
            <w:webHidden/>
          </w:rPr>
        </w:r>
        <w:r w:rsidR="00323D96">
          <w:rPr>
            <w:webHidden/>
          </w:rPr>
          <w:fldChar w:fldCharType="separate"/>
        </w:r>
        <w:r>
          <w:rPr>
            <w:webHidden/>
          </w:rPr>
          <w:t>28</w:t>
        </w:r>
        <w:r w:rsidR="00323D96">
          <w:rPr>
            <w:webHidden/>
          </w:rPr>
          <w:fldChar w:fldCharType="end"/>
        </w:r>
      </w:hyperlink>
    </w:p>
    <w:p w:rsidR="00323D96" w:rsidRDefault="00EF0380" w:rsidP="00B34BCE">
      <w:pPr>
        <w:pStyle w:val="TOC2"/>
        <w:rPr>
          <w:rFonts w:asciiTheme="minorHAnsi" w:eastAsiaTheme="minorEastAsia" w:hAnsiTheme="minorHAnsi" w:cstheme="minorBidi"/>
          <w:sz w:val="22"/>
          <w:szCs w:val="22"/>
        </w:rPr>
      </w:pPr>
      <w:hyperlink w:anchor="_Toc514153006" w:history="1">
        <w:r w:rsidR="00323D96" w:rsidRPr="00AA61D4">
          <w:rPr>
            <w:rStyle w:val="Hyperlink"/>
          </w:rPr>
          <w:t>2.12.</w:t>
        </w:r>
        <w:r w:rsidR="00323D96">
          <w:rPr>
            <w:rFonts w:asciiTheme="minorHAnsi" w:eastAsiaTheme="minorEastAsia" w:hAnsiTheme="minorHAnsi" w:cstheme="minorBidi"/>
            <w:sz w:val="22"/>
            <w:szCs w:val="22"/>
          </w:rPr>
          <w:tab/>
        </w:r>
        <w:r w:rsidR="00323D96" w:rsidRPr="00AA61D4">
          <w:rPr>
            <w:rStyle w:val="Hyperlink"/>
          </w:rPr>
          <w:t>Other Issues</w:t>
        </w:r>
        <w:r w:rsidR="00323D96">
          <w:rPr>
            <w:webHidden/>
          </w:rPr>
          <w:tab/>
        </w:r>
        <w:r w:rsidR="00323D96">
          <w:rPr>
            <w:webHidden/>
          </w:rPr>
          <w:fldChar w:fldCharType="begin"/>
        </w:r>
        <w:r w:rsidR="00323D96">
          <w:rPr>
            <w:webHidden/>
          </w:rPr>
          <w:instrText xml:space="preserve"> PAGEREF _Toc514153006 \h </w:instrText>
        </w:r>
        <w:r w:rsidR="00323D96">
          <w:rPr>
            <w:webHidden/>
          </w:rPr>
        </w:r>
        <w:r w:rsidR="00323D96">
          <w:rPr>
            <w:webHidden/>
          </w:rPr>
          <w:fldChar w:fldCharType="separate"/>
        </w:r>
        <w:r>
          <w:rPr>
            <w:webHidden/>
          </w:rPr>
          <w:t>28</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3007" w:history="1">
        <w:r w:rsidR="00323D96" w:rsidRPr="00AA61D4">
          <w:rPr>
            <w:rStyle w:val="Hyperlink"/>
          </w:rPr>
          <w:t>2.12.1.</w:t>
        </w:r>
        <w:r w:rsidR="00323D96">
          <w:rPr>
            <w:rFonts w:asciiTheme="minorHAnsi" w:eastAsiaTheme="minorEastAsia" w:hAnsiTheme="minorHAnsi" w:cstheme="minorBidi"/>
            <w:sz w:val="22"/>
            <w:szCs w:val="22"/>
          </w:rPr>
          <w:tab/>
        </w:r>
        <w:r w:rsidR="00323D96" w:rsidRPr="00AA61D4">
          <w:rPr>
            <w:rStyle w:val="Hyperlink"/>
          </w:rPr>
          <w:t>Data collection</w:t>
        </w:r>
        <w:r w:rsidR="00323D96">
          <w:rPr>
            <w:webHidden/>
          </w:rPr>
          <w:tab/>
        </w:r>
        <w:r w:rsidR="00323D96">
          <w:rPr>
            <w:webHidden/>
          </w:rPr>
          <w:fldChar w:fldCharType="begin"/>
        </w:r>
        <w:r w:rsidR="00323D96">
          <w:rPr>
            <w:webHidden/>
          </w:rPr>
          <w:instrText xml:space="preserve"> PAGEREF _Toc514153007 \h </w:instrText>
        </w:r>
        <w:r w:rsidR="00323D96">
          <w:rPr>
            <w:webHidden/>
          </w:rPr>
        </w:r>
        <w:r w:rsidR="00323D96">
          <w:rPr>
            <w:webHidden/>
          </w:rPr>
          <w:fldChar w:fldCharType="separate"/>
        </w:r>
        <w:r>
          <w:rPr>
            <w:webHidden/>
          </w:rPr>
          <w:t>28</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3008" w:history="1">
        <w:r w:rsidR="00323D96" w:rsidRPr="00AA61D4">
          <w:rPr>
            <w:rStyle w:val="Hyperlink"/>
          </w:rPr>
          <w:t>2.12.2.</w:t>
        </w:r>
        <w:r w:rsidR="00323D96">
          <w:rPr>
            <w:rFonts w:asciiTheme="minorHAnsi" w:eastAsiaTheme="minorEastAsia" w:hAnsiTheme="minorHAnsi" w:cstheme="minorBidi"/>
            <w:sz w:val="22"/>
            <w:szCs w:val="22"/>
          </w:rPr>
          <w:tab/>
        </w:r>
        <w:r w:rsidR="00323D96" w:rsidRPr="00AA61D4">
          <w:rPr>
            <w:rStyle w:val="Hyperlink"/>
          </w:rPr>
          <w:t>Collaboration and Sustainable Funding</w:t>
        </w:r>
        <w:r w:rsidR="00323D96">
          <w:rPr>
            <w:webHidden/>
          </w:rPr>
          <w:tab/>
        </w:r>
        <w:r w:rsidR="00323D96">
          <w:rPr>
            <w:webHidden/>
          </w:rPr>
          <w:fldChar w:fldCharType="begin"/>
        </w:r>
        <w:r w:rsidR="00323D96">
          <w:rPr>
            <w:webHidden/>
          </w:rPr>
          <w:instrText xml:space="preserve"> PAGEREF _Toc514153008 \h </w:instrText>
        </w:r>
        <w:r w:rsidR="00323D96">
          <w:rPr>
            <w:webHidden/>
          </w:rPr>
        </w:r>
        <w:r w:rsidR="00323D96">
          <w:rPr>
            <w:webHidden/>
          </w:rPr>
          <w:fldChar w:fldCharType="separate"/>
        </w:r>
        <w:r>
          <w:rPr>
            <w:webHidden/>
          </w:rPr>
          <w:t>30</w:t>
        </w:r>
        <w:r w:rsidR="00323D96">
          <w:rPr>
            <w:webHidden/>
          </w:rPr>
          <w:fldChar w:fldCharType="end"/>
        </w:r>
      </w:hyperlink>
    </w:p>
    <w:p w:rsidR="00323D96" w:rsidRDefault="00EF0380">
      <w:pPr>
        <w:pStyle w:val="TOC1"/>
        <w:rPr>
          <w:rFonts w:asciiTheme="minorHAnsi" w:eastAsiaTheme="minorEastAsia" w:hAnsiTheme="minorHAnsi" w:cstheme="minorBidi"/>
          <w:sz w:val="22"/>
          <w:szCs w:val="22"/>
        </w:rPr>
      </w:pPr>
      <w:hyperlink w:anchor="_Toc514153009" w:history="1">
        <w:r w:rsidR="00323D96" w:rsidRPr="00AA61D4">
          <w:rPr>
            <w:rStyle w:val="Hyperlink"/>
          </w:rPr>
          <w:t>3.</w:t>
        </w:r>
        <w:r w:rsidR="00323D96">
          <w:rPr>
            <w:rFonts w:asciiTheme="minorHAnsi" w:eastAsiaTheme="minorEastAsia" w:hAnsiTheme="minorHAnsi" w:cstheme="minorBidi"/>
            <w:sz w:val="22"/>
            <w:szCs w:val="22"/>
          </w:rPr>
          <w:tab/>
        </w:r>
        <w:r w:rsidR="00323D96" w:rsidRPr="00AA61D4">
          <w:rPr>
            <w:rStyle w:val="Hyperlink"/>
          </w:rPr>
          <w:t>Revisions to the Public Housing Account</w:t>
        </w:r>
        <w:r w:rsidR="00323D96">
          <w:rPr>
            <w:webHidden/>
          </w:rPr>
          <w:tab/>
        </w:r>
        <w:r w:rsidR="00323D96">
          <w:rPr>
            <w:webHidden/>
          </w:rPr>
          <w:fldChar w:fldCharType="begin"/>
        </w:r>
        <w:r w:rsidR="00323D96">
          <w:rPr>
            <w:webHidden/>
          </w:rPr>
          <w:instrText xml:space="preserve"> PAGEREF _Toc514153009 \h </w:instrText>
        </w:r>
        <w:r w:rsidR="00323D96">
          <w:rPr>
            <w:webHidden/>
          </w:rPr>
        </w:r>
        <w:r w:rsidR="00323D96">
          <w:rPr>
            <w:webHidden/>
          </w:rPr>
          <w:fldChar w:fldCharType="separate"/>
        </w:r>
        <w:r>
          <w:rPr>
            <w:webHidden/>
          </w:rPr>
          <w:t>31</w:t>
        </w:r>
        <w:r w:rsidR="00323D96">
          <w:rPr>
            <w:webHidden/>
          </w:rPr>
          <w:fldChar w:fldCharType="end"/>
        </w:r>
      </w:hyperlink>
    </w:p>
    <w:p w:rsidR="00323D96" w:rsidRDefault="00EF0380" w:rsidP="00B34BCE">
      <w:pPr>
        <w:pStyle w:val="TOC2"/>
        <w:rPr>
          <w:rFonts w:asciiTheme="minorHAnsi" w:eastAsiaTheme="minorEastAsia" w:hAnsiTheme="minorHAnsi" w:cstheme="minorBidi"/>
          <w:sz w:val="22"/>
          <w:szCs w:val="22"/>
        </w:rPr>
      </w:pPr>
      <w:hyperlink w:anchor="_Toc514153010" w:history="1">
        <w:r w:rsidR="00323D96" w:rsidRPr="00AA61D4">
          <w:rPr>
            <w:rStyle w:val="Hyperlink"/>
          </w:rPr>
          <w:t>3.1.</w:t>
        </w:r>
        <w:r w:rsidR="00323D96">
          <w:rPr>
            <w:rFonts w:asciiTheme="minorHAnsi" w:eastAsiaTheme="minorEastAsia" w:hAnsiTheme="minorHAnsi" w:cstheme="minorBidi"/>
            <w:sz w:val="22"/>
            <w:szCs w:val="22"/>
          </w:rPr>
          <w:tab/>
        </w:r>
        <w:r w:rsidR="00323D96" w:rsidRPr="00AA61D4">
          <w:rPr>
            <w:rStyle w:val="Hyperlink"/>
          </w:rPr>
          <w:t>Challenge Process for Public Housing Infrastructure Projects</w:t>
        </w:r>
        <w:r w:rsidR="00323D96">
          <w:rPr>
            <w:webHidden/>
          </w:rPr>
          <w:tab/>
        </w:r>
        <w:r w:rsidR="00323D96">
          <w:rPr>
            <w:webHidden/>
          </w:rPr>
          <w:fldChar w:fldCharType="begin"/>
        </w:r>
        <w:r w:rsidR="00323D96">
          <w:rPr>
            <w:webHidden/>
          </w:rPr>
          <w:instrText xml:space="preserve"> PAGEREF _Toc514153010 \h </w:instrText>
        </w:r>
        <w:r w:rsidR="00323D96">
          <w:rPr>
            <w:webHidden/>
          </w:rPr>
        </w:r>
        <w:r w:rsidR="00323D96">
          <w:rPr>
            <w:webHidden/>
          </w:rPr>
          <w:fldChar w:fldCharType="separate"/>
        </w:r>
        <w:r>
          <w:rPr>
            <w:webHidden/>
          </w:rPr>
          <w:t>32</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3011" w:history="1">
        <w:r w:rsidR="00323D96" w:rsidRPr="00AA61D4">
          <w:rPr>
            <w:rStyle w:val="Hyperlink"/>
          </w:rPr>
          <w:t>3.1.1.</w:t>
        </w:r>
        <w:r w:rsidR="00323D96">
          <w:rPr>
            <w:rFonts w:asciiTheme="minorHAnsi" w:eastAsiaTheme="minorEastAsia" w:hAnsiTheme="minorHAnsi" w:cstheme="minorBidi"/>
            <w:sz w:val="22"/>
            <w:szCs w:val="22"/>
          </w:rPr>
          <w:tab/>
        </w:r>
        <w:r w:rsidR="00323D96" w:rsidRPr="00AA61D4">
          <w:rPr>
            <w:rStyle w:val="Hyperlink"/>
          </w:rPr>
          <w:t>Parties’ Comments</w:t>
        </w:r>
        <w:r w:rsidR="00323D96">
          <w:rPr>
            <w:webHidden/>
          </w:rPr>
          <w:tab/>
        </w:r>
        <w:r w:rsidR="00323D96">
          <w:rPr>
            <w:webHidden/>
          </w:rPr>
          <w:fldChar w:fldCharType="begin"/>
        </w:r>
        <w:r w:rsidR="00323D96">
          <w:rPr>
            <w:webHidden/>
          </w:rPr>
          <w:instrText xml:space="preserve"> PAGEREF _Toc514153011 \h </w:instrText>
        </w:r>
        <w:r w:rsidR="00323D96">
          <w:rPr>
            <w:webHidden/>
          </w:rPr>
        </w:r>
        <w:r w:rsidR="00323D96">
          <w:rPr>
            <w:webHidden/>
          </w:rPr>
          <w:fldChar w:fldCharType="separate"/>
        </w:r>
        <w:r>
          <w:rPr>
            <w:webHidden/>
          </w:rPr>
          <w:t>32</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3012" w:history="1">
        <w:r w:rsidR="00323D96" w:rsidRPr="00AA61D4">
          <w:rPr>
            <w:rStyle w:val="Hyperlink"/>
          </w:rPr>
          <w:t>3.1.2.</w:t>
        </w:r>
        <w:r w:rsidR="00323D96">
          <w:rPr>
            <w:rFonts w:asciiTheme="minorHAnsi" w:eastAsiaTheme="minorEastAsia" w:hAnsiTheme="minorHAnsi" w:cstheme="minorBidi"/>
            <w:sz w:val="22"/>
            <w:szCs w:val="22"/>
          </w:rPr>
          <w:tab/>
        </w:r>
        <w:r w:rsidR="00323D96" w:rsidRPr="00AA61D4">
          <w:rPr>
            <w:rStyle w:val="Hyperlink"/>
          </w:rPr>
          <w:t>Discussion</w:t>
        </w:r>
        <w:r w:rsidR="00323D96">
          <w:rPr>
            <w:webHidden/>
          </w:rPr>
          <w:tab/>
        </w:r>
        <w:r w:rsidR="00323D96">
          <w:rPr>
            <w:webHidden/>
          </w:rPr>
          <w:fldChar w:fldCharType="begin"/>
        </w:r>
        <w:r w:rsidR="00323D96">
          <w:rPr>
            <w:webHidden/>
          </w:rPr>
          <w:instrText xml:space="preserve"> PAGEREF _Toc514153012 \h </w:instrText>
        </w:r>
        <w:r w:rsidR="00323D96">
          <w:rPr>
            <w:webHidden/>
          </w:rPr>
        </w:r>
        <w:r w:rsidR="00323D96">
          <w:rPr>
            <w:webHidden/>
          </w:rPr>
          <w:fldChar w:fldCharType="separate"/>
        </w:r>
        <w:r>
          <w:rPr>
            <w:webHidden/>
          </w:rPr>
          <w:t>32</w:t>
        </w:r>
        <w:r w:rsidR="00323D96">
          <w:rPr>
            <w:webHidden/>
          </w:rPr>
          <w:fldChar w:fldCharType="end"/>
        </w:r>
      </w:hyperlink>
    </w:p>
    <w:p w:rsidR="00323D96" w:rsidRDefault="00EF0380" w:rsidP="00B34BCE">
      <w:pPr>
        <w:pStyle w:val="TOC2"/>
        <w:rPr>
          <w:rFonts w:asciiTheme="minorHAnsi" w:eastAsiaTheme="minorEastAsia" w:hAnsiTheme="minorHAnsi" w:cstheme="minorBidi"/>
          <w:sz w:val="22"/>
          <w:szCs w:val="22"/>
        </w:rPr>
      </w:pPr>
      <w:hyperlink w:anchor="_Toc514153013" w:history="1">
        <w:r w:rsidR="00323D96" w:rsidRPr="00AA61D4">
          <w:rPr>
            <w:rStyle w:val="Hyperlink"/>
          </w:rPr>
          <w:t>3.2.</w:t>
        </w:r>
        <w:r w:rsidR="00323D96">
          <w:rPr>
            <w:rFonts w:asciiTheme="minorHAnsi" w:eastAsiaTheme="minorEastAsia" w:hAnsiTheme="minorHAnsi" w:cstheme="minorBidi"/>
            <w:sz w:val="22"/>
            <w:szCs w:val="22"/>
          </w:rPr>
          <w:tab/>
        </w:r>
        <w:r w:rsidR="00323D96" w:rsidRPr="00AA61D4">
          <w:rPr>
            <w:rStyle w:val="Hyperlink"/>
          </w:rPr>
          <w:t>Proposed Project Description for Public Housing Account Adoption Projects</w:t>
        </w:r>
        <w:r w:rsidR="00323D96">
          <w:rPr>
            <w:webHidden/>
          </w:rPr>
          <w:tab/>
        </w:r>
        <w:r w:rsidR="00323D96">
          <w:rPr>
            <w:webHidden/>
          </w:rPr>
          <w:fldChar w:fldCharType="begin"/>
        </w:r>
        <w:r w:rsidR="00323D96">
          <w:rPr>
            <w:webHidden/>
          </w:rPr>
          <w:instrText xml:space="preserve"> PAGEREF _Toc514153013 \h </w:instrText>
        </w:r>
        <w:r w:rsidR="00323D96">
          <w:rPr>
            <w:webHidden/>
          </w:rPr>
        </w:r>
        <w:r w:rsidR="00323D96">
          <w:rPr>
            <w:webHidden/>
          </w:rPr>
          <w:fldChar w:fldCharType="separate"/>
        </w:r>
        <w:r>
          <w:rPr>
            <w:webHidden/>
          </w:rPr>
          <w:t>33</w:t>
        </w:r>
        <w:r w:rsidR="00323D96">
          <w:rPr>
            <w:webHidden/>
          </w:rPr>
          <w:fldChar w:fldCharType="end"/>
        </w:r>
      </w:hyperlink>
    </w:p>
    <w:p w:rsidR="00323D96" w:rsidRDefault="00EF0380" w:rsidP="00B34BCE">
      <w:pPr>
        <w:pStyle w:val="TOC2"/>
        <w:rPr>
          <w:rFonts w:asciiTheme="minorHAnsi" w:eastAsiaTheme="minorEastAsia" w:hAnsiTheme="minorHAnsi" w:cstheme="minorBidi"/>
          <w:sz w:val="22"/>
          <w:szCs w:val="22"/>
        </w:rPr>
      </w:pPr>
      <w:hyperlink w:anchor="_Toc514153014" w:history="1">
        <w:r w:rsidR="00323D96" w:rsidRPr="00AA61D4">
          <w:rPr>
            <w:rStyle w:val="Hyperlink"/>
          </w:rPr>
          <w:t>3.3.</w:t>
        </w:r>
        <w:r w:rsidR="00323D96">
          <w:rPr>
            <w:rFonts w:asciiTheme="minorHAnsi" w:eastAsiaTheme="minorEastAsia" w:hAnsiTheme="minorHAnsi" w:cstheme="minorBidi"/>
            <w:sz w:val="22"/>
            <w:szCs w:val="22"/>
          </w:rPr>
          <w:tab/>
        </w:r>
        <w:r w:rsidR="00323D96" w:rsidRPr="00AA61D4">
          <w:rPr>
            <w:rStyle w:val="Hyperlink"/>
          </w:rPr>
          <w:t>Other Issues</w:t>
        </w:r>
        <w:r w:rsidR="00323D96">
          <w:rPr>
            <w:webHidden/>
          </w:rPr>
          <w:tab/>
        </w:r>
        <w:r w:rsidR="00323D96">
          <w:rPr>
            <w:webHidden/>
          </w:rPr>
          <w:fldChar w:fldCharType="begin"/>
        </w:r>
        <w:r w:rsidR="00323D96">
          <w:rPr>
            <w:webHidden/>
          </w:rPr>
          <w:instrText xml:space="preserve"> PAGEREF _Toc514153014 \h </w:instrText>
        </w:r>
        <w:r w:rsidR="00323D96">
          <w:rPr>
            <w:webHidden/>
          </w:rPr>
        </w:r>
        <w:r w:rsidR="00323D96">
          <w:rPr>
            <w:webHidden/>
          </w:rPr>
          <w:fldChar w:fldCharType="separate"/>
        </w:r>
        <w:r>
          <w:rPr>
            <w:webHidden/>
          </w:rPr>
          <w:t>33</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3015" w:history="1">
        <w:r w:rsidR="00323D96" w:rsidRPr="00AA61D4">
          <w:rPr>
            <w:rStyle w:val="Hyperlink"/>
          </w:rPr>
          <w:t>3.3.1.</w:t>
        </w:r>
        <w:r w:rsidR="00323D96">
          <w:rPr>
            <w:rFonts w:asciiTheme="minorHAnsi" w:eastAsiaTheme="minorEastAsia" w:hAnsiTheme="minorHAnsi" w:cstheme="minorBidi"/>
            <w:sz w:val="22"/>
            <w:szCs w:val="22"/>
          </w:rPr>
          <w:tab/>
        </w:r>
        <w:r w:rsidR="00323D96" w:rsidRPr="00AA61D4">
          <w:rPr>
            <w:rStyle w:val="Hyperlink"/>
          </w:rPr>
          <w:t>Eligible Applicants</w:t>
        </w:r>
        <w:r w:rsidR="00323D96">
          <w:rPr>
            <w:webHidden/>
          </w:rPr>
          <w:tab/>
        </w:r>
        <w:r w:rsidR="00323D96">
          <w:rPr>
            <w:webHidden/>
          </w:rPr>
          <w:fldChar w:fldCharType="begin"/>
        </w:r>
        <w:r w:rsidR="00323D96">
          <w:rPr>
            <w:webHidden/>
          </w:rPr>
          <w:instrText xml:space="preserve"> PAGEREF _Toc514153015 \h </w:instrText>
        </w:r>
        <w:r w:rsidR="00323D96">
          <w:rPr>
            <w:webHidden/>
          </w:rPr>
        </w:r>
        <w:r w:rsidR="00323D96">
          <w:rPr>
            <w:webHidden/>
          </w:rPr>
          <w:fldChar w:fldCharType="separate"/>
        </w:r>
        <w:r>
          <w:rPr>
            <w:webHidden/>
          </w:rPr>
          <w:t>33</w:t>
        </w:r>
        <w:r w:rsidR="00323D96">
          <w:rPr>
            <w:webHidden/>
          </w:rPr>
          <w:fldChar w:fldCharType="end"/>
        </w:r>
      </w:hyperlink>
    </w:p>
    <w:p w:rsidR="00323D96" w:rsidRDefault="00EF0380">
      <w:pPr>
        <w:pStyle w:val="TOC3"/>
        <w:rPr>
          <w:rFonts w:asciiTheme="minorHAnsi" w:eastAsiaTheme="minorEastAsia" w:hAnsiTheme="minorHAnsi" w:cstheme="minorBidi"/>
          <w:sz w:val="22"/>
          <w:szCs w:val="22"/>
        </w:rPr>
      </w:pPr>
      <w:hyperlink w:anchor="_Toc514153016" w:history="1">
        <w:r w:rsidR="00323D96" w:rsidRPr="00AA61D4">
          <w:rPr>
            <w:rStyle w:val="Hyperlink"/>
          </w:rPr>
          <w:t>3.3.2.</w:t>
        </w:r>
        <w:r w:rsidR="00323D96">
          <w:rPr>
            <w:rFonts w:asciiTheme="minorHAnsi" w:eastAsiaTheme="minorEastAsia" w:hAnsiTheme="minorHAnsi" w:cstheme="minorBidi"/>
            <w:sz w:val="22"/>
            <w:szCs w:val="22"/>
          </w:rPr>
          <w:tab/>
        </w:r>
        <w:r w:rsidR="00323D96" w:rsidRPr="00AA61D4">
          <w:rPr>
            <w:rStyle w:val="Hyperlink"/>
          </w:rPr>
          <w:t>Expedited Review</w:t>
        </w:r>
        <w:r w:rsidR="00323D96">
          <w:rPr>
            <w:webHidden/>
          </w:rPr>
          <w:tab/>
        </w:r>
        <w:r w:rsidR="00323D96">
          <w:rPr>
            <w:webHidden/>
          </w:rPr>
          <w:fldChar w:fldCharType="begin"/>
        </w:r>
        <w:r w:rsidR="00323D96">
          <w:rPr>
            <w:webHidden/>
          </w:rPr>
          <w:instrText xml:space="preserve"> PAGEREF _Toc514153016 \h </w:instrText>
        </w:r>
        <w:r w:rsidR="00323D96">
          <w:rPr>
            <w:webHidden/>
          </w:rPr>
        </w:r>
        <w:r w:rsidR="00323D96">
          <w:rPr>
            <w:webHidden/>
          </w:rPr>
          <w:fldChar w:fldCharType="separate"/>
        </w:r>
        <w:r>
          <w:rPr>
            <w:webHidden/>
          </w:rPr>
          <w:t>34</w:t>
        </w:r>
        <w:r w:rsidR="00323D96">
          <w:rPr>
            <w:webHidden/>
          </w:rPr>
          <w:fldChar w:fldCharType="end"/>
        </w:r>
      </w:hyperlink>
    </w:p>
    <w:p w:rsidR="00323D96" w:rsidRDefault="00EF0380">
      <w:pPr>
        <w:pStyle w:val="TOC1"/>
        <w:rPr>
          <w:rFonts w:asciiTheme="minorHAnsi" w:eastAsiaTheme="minorEastAsia" w:hAnsiTheme="minorHAnsi" w:cstheme="minorBidi"/>
          <w:sz w:val="22"/>
          <w:szCs w:val="22"/>
        </w:rPr>
      </w:pPr>
      <w:hyperlink w:anchor="_Toc514153017" w:history="1">
        <w:r w:rsidR="00323D96" w:rsidRPr="00AA61D4">
          <w:rPr>
            <w:rStyle w:val="Hyperlink"/>
          </w:rPr>
          <w:t>4.</w:t>
        </w:r>
        <w:r w:rsidR="00323D96">
          <w:rPr>
            <w:rFonts w:asciiTheme="minorHAnsi" w:eastAsiaTheme="minorEastAsia" w:hAnsiTheme="minorHAnsi" w:cstheme="minorBidi"/>
            <w:sz w:val="22"/>
            <w:szCs w:val="22"/>
          </w:rPr>
          <w:tab/>
        </w:r>
        <w:r w:rsidR="00323D96" w:rsidRPr="00AA61D4">
          <w:rPr>
            <w:rStyle w:val="Hyperlink"/>
          </w:rPr>
          <w:t>Loan Account</w:t>
        </w:r>
        <w:r w:rsidR="00323D96">
          <w:rPr>
            <w:webHidden/>
          </w:rPr>
          <w:tab/>
        </w:r>
        <w:r w:rsidR="00323D96">
          <w:rPr>
            <w:webHidden/>
          </w:rPr>
          <w:fldChar w:fldCharType="begin"/>
        </w:r>
        <w:r w:rsidR="00323D96">
          <w:rPr>
            <w:webHidden/>
          </w:rPr>
          <w:instrText xml:space="preserve"> PAGEREF _Toc514153017 \h </w:instrText>
        </w:r>
        <w:r w:rsidR="00323D96">
          <w:rPr>
            <w:webHidden/>
          </w:rPr>
        </w:r>
        <w:r w:rsidR="00323D96">
          <w:rPr>
            <w:webHidden/>
          </w:rPr>
          <w:fldChar w:fldCharType="separate"/>
        </w:r>
        <w:r>
          <w:rPr>
            <w:webHidden/>
          </w:rPr>
          <w:t>34</w:t>
        </w:r>
        <w:r w:rsidR="00323D96">
          <w:rPr>
            <w:webHidden/>
          </w:rPr>
          <w:fldChar w:fldCharType="end"/>
        </w:r>
      </w:hyperlink>
    </w:p>
    <w:p w:rsidR="00323D96" w:rsidRDefault="00EF0380" w:rsidP="00B34BCE">
      <w:pPr>
        <w:pStyle w:val="TOC2"/>
        <w:rPr>
          <w:rFonts w:asciiTheme="minorHAnsi" w:eastAsiaTheme="minorEastAsia" w:hAnsiTheme="minorHAnsi" w:cstheme="minorBidi"/>
          <w:sz w:val="22"/>
          <w:szCs w:val="22"/>
        </w:rPr>
      </w:pPr>
      <w:hyperlink w:anchor="_Toc514153018" w:history="1">
        <w:r w:rsidR="00323D96" w:rsidRPr="00AA61D4">
          <w:rPr>
            <w:rStyle w:val="Hyperlink"/>
          </w:rPr>
          <w:t>4.1.</w:t>
        </w:r>
        <w:r w:rsidR="00323D96">
          <w:rPr>
            <w:rFonts w:asciiTheme="minorHAnsi" w:eastAsiaTheme="minorEastAsia" w:hAnsiTheme="minorHAnsi" w:cstheme="minorBidi"/>
            <w:sz w:val="22"/>
            <w:szCs w:val="22"/>
          </w:rPr>
          <w:tab/>
        </w:r>
        <w:r w:rsidR="00323D96" w:rsidRPr="00AA61D4">
          <w:rPr>
            <w:rStyle w:val="Hyperlink"/>
          </w:rPr>
          <w:t>Treatment of Existing Loans</w:t>
        </w:r>
        <w:r w:rsidR="00323D96">
          <w:rPr>
            <w:webHidden/>
          </w:rPr>
          <w:tab/>
        </w:r>
        <w:r w:rsidR="00323D96">
          <w:rPr>
            <w:webHidden/>
          </w:rPr>
          <w:fldChar w:fldCharType="begin"/>
        </w:r>
        <w:r w:rsidR="00323D96">
          <w:rPr>
            <w:webHidden/>
          </w:rPr>
          <w:instrText xml:space="preserve"> PAGEREF _Toc514153018 \h </w:instrText>
        </w:r>
        <w:r w:rsidR="00323D96">
          <w:rPr>
            <w:webHidden/>
          </w:rPr>
        </w:r>
        <w:r w:rsidR="00323D96">
          <w:rPr>
            <w:webHidden/>
          </w:rPr>
          <w:fldChar w:fldCharType="separate"/>
        </w:r>
        <w:r>
          <w:rPr>
            <w:webHidden/>
          </w:rPr>
          <w:t>34</w:t>
        </w:r>
        <w:r w:rsidR="00323D96">
          <w:rPr>
            <w:webHidden/>
          </w:rPr>
          <w:fldChar w:fldCharType="end"/>
        </w:r>
      </w:hyperlink>
    </w:p>
    <w:p w:rsidR="00323D96" w:rsidRDefault="00EF0380" w:rsidP="00B34BCE">
      <w:pPr>
        <w:pStyle w:val="TOC2"/>
        <w:rPr>
          <w:rFonts w:asciiTheme="minorHAnsi" w:eastAsiaTheme="minorEastAsia" w:hAnsiTheme="minorHAnsi" w:cstheme="minorBidi"/>
          <w:sz w:val="22"/>
          <w:szCs w:val="22"/>
        </w:rPr>
      </w:pPr>
      <w:hyperlink w:anchor="_Toc514153019" w:history="1">
        <w:r w:rsidR="00323D96" w:rsidRPr="00AA61D4">
          <w:rPr>
            <w:rStyle w:val="Hyperlink"/>
          </w:rPr>
          <w:t>4.2.</w:t>
        </w:r>
        <w:r w:rsidR="00323D96">
          <w:rPr>
            <w:rFonts w:asciiTheme="minorHAnsi" w:eastAsiaTheme="minorEastAsia" w:hAnsiTheme="minorHAnsi" w:cstheme="minorBidi"/>
            <w:sz w:val="22"/>
            <w:szCs w:val="22"/>
          </w:rPr>
          <w:tab/>
        </w:r>
        <w:r w:rsidR="00323D96" w:rsidRPr="00AA61D4">
          <w:rPr>
            <w:rStyle w:val="Hyperlink"/>
          </w:rPr>
          <w:t>Treatment Pending Loan Application</w:t>
        </w:r>
        <w:r w:rsidR="00323D96">
          <w:rPr>
            <w:webHidden/>
          </w:rPr>
          <w:tab/>
        </w:r>
        <w:r w:rsidR="00323D96">
          <w:rPr>
            <w:webHidden/>
          </w:rPr>
          <w:fldChar w:fldCharType="begin"/>
        </w:r>
        <w:r w:rsidR="00323D96">
          <w:rPr>
            <w:webHidden/>
          </w:rPr>
          <w:instrText xml:space="preserve"> PAGEREF _Toc514153019 \h </w:instrText>
        </w:r>
        <w:r w:rsidR="00323D96">
          <w:rPr>
            <w:webHidden/>
          </w:rPr>
        </w:r>
        <w:r w:rsidR="00323D96">
          <w:rPr>
            <w:webHidden/>
          </w:rPr>
          <w:fldChar w:fldCharType="separate"/>
        </w:r>
        <w:r>
          <w:rPr>
            <w:webHidden/>
          </w:rPr>
          <w:t>35</w:t>
        </w:r>
        <w:r w:rsidR="00323D96">
          <w:rPr>
            <w:webHidden/>
          </w:rPr>
          <w:fldChar w:fldCharType="end"/>
        </w:r>
      </w:hyperlink>
    </w:p>
    <w:p w:rsidR="00323D96" w:rsidRDefault="00EF0380">
      <w:pPr>
        <w:pStyle w:val="TOC1"/>
        <w:rPr>
          <w:rFonts w:asciiTheme="minorHAnsi" w:eastAsiaTheme="minorEastAsia" w:hAnsiTheme="minorHAnsi" w:cstheme="minorBidi"/>
          <w:sz w:val="22"/>
          <w:szCs w:val="22"/>
        </w:rPr>
      </w:pPr>
      <w:hyperlink w:anchor="_Toc514153020" w:history="1">
        <w:r w:rsidR="00323D96" w:rsidRPr="00AA61D4">
          <w:rPr>
            <w:rStyle w:val="Hyperlink"/>
          </w:rPr>
          <w:t>5.</w:t>
        </w:r>
        <w:r w:rsidR="00323D96">
          <w:rPr>
            <w:rFonts w:asciiTheme="minorHAnsi" w:eastAsiaTheme="minorEastAsia" w:hAnsiTheme="minorHAnsi" w:cstheme="minorBidi"/>
            <w:sz w:val="22"/>
            <w:szCs w:val="22"/>
          </w:rPr>
          <w:tab/>
        </w:r>
        <w:r w:rsidR="00323D96" w:rsidRPr="00AA61D4">
          <w:rPr>
            <w:rStyle w:val="Hyperlink"/>
          </w:rPr>
          <w:t>Comments on Proposed Decision</w:t>
        </w:r>
        <w:r w:rsidR="00323D96">
          <w:rPr>
            <w:webHidden/>
          </w:rPr>
          <w:tab/>
        </w:r>
        <w:r w:rsidR="00323D96">
          <w:rPr>
            <w:webHidden/>
          </w:rPr>
          <w:fldChar w:fldCharType="begin"/>
        </w:r>
        <w:r w:rsidR="00323D96">
          <w:rPr>
            <w:webHidden/>
          </w:rPr>
          <w:instrText xml:space="preserve"> PAGEREF _Toc514153020 \h </w:instrText>
        </w:r>
        <w:r w:rsidR="00323D96">
          <w:rPr>
            <w:webHidden/>
          </w:rPr>
        </w:r>
        <w:r w:rsidR="00323D96">
          <w:rPr>
            <w:webHidden/>
          </w:rPr>
          <w:fldChar w:fldCharType="separate"/>
        </w:r>
        <w:r>
          <w:rPr>
            <w:webHidden/>
          </w:rPr>
          <w:t>35</w:t>
        </w:r>
        <w:r w:rsidR="00323D96">
          <w:rPr>
            <w:webHidden/>
          </w:rPr>
          <w:fldChar w:fldCharType="end"/>
        </w:r>
      </w:hyperlink>
    </w:p>
    <w:p w:rsidR="00323D96" w:rsidRDefault="00EF0380">
      <w:pPr>
        <w:pStyle w:val="TOC1"/>
        <w:rPr>
          <w:rFonts w:asciiTheme="minorHAnsi" w:eastAsiaTheme="minorEastAsia" w:hAnsiTheme="minorHAnsi" w:cstheme="minorBidi"/>
          <w:sz w:val="22"/>
          <w:szCs w:val="22"/>
        </w:rPr>
      </w:pPr>
      <w:hyperlink w:anchor="_Toc514153021" w:history="1">
        <w:r w:rsidR="00323D96" w:rsidRPr="00AA61D4">
          <w:rPr>
            <w:rStyle w:val="Hyperlink"/>
          </w:rPr>
          <w:t>6.</w:t>
        </w:r>
        <w:r w:rsidR="00323D96">
          <w:rPr>
            <w:rFonts w:asciiTheme="minorHAnsi" w:eastAsiaTheme="minorEastAsia" w:hAnsiTheme="minorHAnsi" w:cstheme="minorBidi"/>
            <w:sz w:val="22"/>
            <w:szCs w:val="22"/>
          </w:rPr>
          <w:tab/>
        </w:r>
        <w:r w:rsidR="00323D96" w:rsidRPr="00AA61D4">
          <w:rPr>
            <w:rStyle w:val="Hyperlink"/>
          </w:rPr>
          <w:t>Assignment of Proceeding</w:t>
        </w:r>
        <w:r w:rsidR="00323D96">
          <w:rPr>
            <w:webHidden/>
          </w:rPr>
          <w:tab/>
        </w:r>
        <w:r w:rsidR="00323D96">
          <w:rPr>
            <w:webHidden/>
          </w:rPr>
          <w:fldChar w:fldCharType="begin"/>
        </w:r>
        <w:r w:rsidR="00323D96">
          <w:rPr>
            <w:webHidden/>
          </w:rPr>
          <w:instrText xml:space="preserve"> PAGEREF _Toc514153021 \h </w:instrText>
        </w:r>
        <w:r w:rsidR="00323D96">
          <w:rPr>
            <w:webHidden/>
          </w:rPr>
        </w:r>
        <w:r w:rsidR="00323D96">
          <w:rPr>
            <w:webHidden/>
          </w:rPr>
          <w:fldChar w:fldCharType="separate"/>
        </w:r>
        <w:r>
          <w:rPr>
            <w:webHidden/>
          </w:rPr>
          <w:t>36</w:t>
        </w:r>
        <w:r w:rsidR="00323D96">
          <w:rPr>
            <w:webHidden/>
          </w:rPr>
          <w:fldChar w:fldCharType="end"/>
        </w:r>
      </w:hyperlink>
    </w:p>
    <w:p w:rsidR="00323D96" w:rsidRDefault="00EF0380">
      <w:pPr>
        <w:pStyle w:val="TOC1"/>
        <w:rPr>
          <w:rFonts w:asciiTheme="minorHAnsi" w:eastAsiaTheme="minorEastAsia" w:hAnsiTheme="minorHAnsi" w:cstheme="minorBidi"/>
          <w:sz w:val="22"/>
          <w:szCs w:val="22"/>
        </w:rPr>
      </w:pPr>
      <w:hyperlink w:anchor="_Toc514153022" w:history="1">
        <w:r w:rsidR="00323D96" w:rsidRPr="00AA61D4">
          <w:rPr>
            <w:rStyle w:val="Hyperlink"/>
          </w:rPr>
          <w:t>Findings of Fact</w:t>
        </w:r>
        <w:r w:rsidR="00323D96">
          <w:rPr>
            <w:webHidden/>
          </w:rPr>
          <w:tab/>
        </w:r>
        <w:r w:rsidR="00323D96">
          <w:rPr>
            <w:webHidden/>
          </w:rPr>
          <w:fldChar w:fldCharType="begin"/>
        </w:r>
        <w:r w:rsidR="00323D96">
          <w:rPr>
            <w:webHidden/>
          </w:rPr>
          <w:instrText xml:space="preserve"> PAGEREF _Toc514153022 \h </w:instrText>
        </w:r>
        <w:r w:rsidR="00323D96">
          <w:rPr>
            <w:webHidden/>
          </w:rPr>
        </w:r>
        <w:r w:rsidR="00323D96">
          <w:rPr>
            <w:webHidden/>
          </w:rPr>
          <w:fldChar w:fldCharType="separate"/>
        </w:r>
        <w:r>
          <w:rPr>
            <w:webHidden/>
          </w:rPr>
          <w:t>36</w:t>
        </w:r>
        <w:r w:rsidR="00323D96">
          <w:rPr>
            <w:webHidden/>
          </w:rPr>
          <w:fldChar w:fldCharType="end"/>
        </w:r>
      </w:hyperlink>
    </w:p>
    <w:p w:rsidR="00323D96" w:rsidRDefault="00EF0380">
      <w:pPr>
        <w:pStyle w:val="TOC1"/>
        <w:rPr>
          <w:rFonts w:asciiTheme="minorHAnsi" w:eastAsiaTheme="minorEastAsia" w:hAnsiTheme="minorHAnsi" w:cstheme="minorBidi"/>
          <w:sz w:val="22"/>
          <w:szCs w:val="22"/>
        </w:rPr>
      </w:pPr>
      <w:hyperlink w:anchor="_Toc514153023" w:history="1">
        <w:r w:rsidR="00323D96" w:rsidRPr="00AA61D4">
          <w:rPr>
            <w:rStyle w:val="Hyperlink"/>
          </w:rPr>
          <w:t>Conclusions of Law</w:t>
        </w:r>
        <w:r w:rsidR="00323D96">
          <w:rPr>
            <w:webHidden/>
          </w:rPr>
          <w:tab/>
        </w:r>
        <w:r w:rsidR="00323D96">
          <w:rPr>
            <w:webHidden/>
          </w:rPr>
          <w:fldChar w:fldCharType="begin"/>
        </w:r>
        <w:r w:rsidR="00323D96">
          <w:rPr>
            <w:webHidden/>
          </w:rPr>
          <w:instrText xml:space="preserve"> PAGEREF _Toc514153023 \h </w:instrText>
        </w:r>
        <w:r w:rsidR="00323D96">
          <w:rPr>
            <w:webHidden/>
          </w:rPr>
        </w:r>
        <w:r w:rsidR="00323D96">
          <w:rPr>
            <w:webHidden/>
          </w:rPr>
          <w:fldChar w:fldCharType="separate"/>
        </w:r>
        <w:r>
          <w:rPr>
            <w:webHidden/>
          </w:rPr>
          <w:t>38</w:t>
        </w:r>
        <w:r w:rsidR="00323D96">
          <w:rPr>
            <w:webHidden/>
          </w:rPr>
          <w:fldChar w:fldCharType="end"/>
        </w:r>
      </w:hyperlink>
    </w:p>
    <w:p w:rsidR="00323D96" w:rsidRDefault="00EF0380">
      <w:pPr>
        <w:pStyle w:val="TOC1"/>
        <w:rPr>
          <w:rFonts w:asciiTheme="minorHAnsi" w:eastAsiaTheme="minorEastAsia" w:hAnsiTheme="minorHAnsi" w:cstheme="minorBidi"/>
          <w:sz w:val="22"/>
          <w:szCs w:val="22"/>
        </w:rPr>
      </w:pPr>
      <w:hyperlink w:anchor="_Toc514153024" w:history="1">
        <w:r w:rsidR="00323D96" w:rsidRPr="00AA61D4">
          <w:rPr>
            <w:rStyle w:val="Hyperlink"/>
          </w:rPr>
          <w:t>ORDER</w:t>
        </w:r>
        <w:r w:rsidR="00323D96">
          <w:rPr>
            <w:webHidden/>
          </w:rPr>
          <w:tab/>
        </w:r>
        <w:r w:rsidR="00323D96">
          <w:rPr>
            <w:webHidden/>
          </w:rPr>
          <w:tab/>
        </w:r>
        <w:r w:rsidR="00323D96">
          <w:rPr>
            <w:webHidden/>
          </w:rPr>
          <w:fldChar w:fldCharType="begin"/>
        </w:r>
        <w:r w:rsidR="00323D96">
          <w:rPr>
            <w:webHidden/>
          </w:rPr>
          <w:instrText xml:space="preserve"> PAGEREF _Toc514153024 \h </w:instrText>
        </w:r>
        <w:r w:rsidR="00323D96">
          <w:rPr>
            <w:webHidden/>
          </w:rPr>
        </w:r>
        <w:r w:rsidR="00323D96">
          <w:rPr>
            <w:webHidden/>
          </w:rPr>
          <w:fldChar w:fldCharType="separate"/>
        </w:r>
        <w:r>
          <w:rPr>
            <w:webHidden/>
          </w:rPr>
          <w:t>42</w:t>
        </w:r>
        <w:r w:rsidR="00323D96">
          <w:rPr>
            <w:webHidden/>
          </w:rPr>
          <w:fldChar w:fldCharType="end"/>
        </w:r>
      </w:hyperlink>
    </w:p>
    <w:p w:rsidR="0090015A" w:rsidRDefault="00506B83" w:rsidP="00506B83">
      <w:pPr>
        <w:pStyle w:val="main"/>
        <w:jc w:val="left"/>
        <w:rPr>
          <w:rStyle w:val="mainChar"/>
        </w:rPr>
      </w:pPr>
      <w:r>
        <w:rPr>
          <w:rStyle w:val="mainChar"/>
        </w:rPr>
        <w:fldChar w:fldCharType="end"/>
      </w:r>
    </w:p>
    <w:p w:rsidR="00323D96" w:rsidRDefault="00323D96" w:rsidP="00506B83">
      <w:pPr>
        <w:pStyle w:val="main"/>
        <w:jc w:val="left"/>
        <w:rPr>
          <w:rStyle w:val="mainChar"/>
        </w:rPr>
      </w:pPr>
    </w:p>
    <w:p w:rsidR="0090015A" w:rsidRPr="00087199" w:rsidRDefault="0090015A" w:rsidP="00323D96">
      <w:pPr>
        <w:ind w:left="1620" w:hanging="1620"/>
        <w:rPr>
          <w:rStyle w:val="mainChar"/>
          <w:rFonts w:ascii="Palatino" w:hAnsi="Palatino"/>
          <w:b w:val="0"/>
        </w:rPr>
      </w:pPr>
      <w:bookmarkStart w:id="2" w:name="_Toc514152971"/>
      <w:r w:rsidRPr="00C15E02">
        <w:rPr>
          <w:rStyle w:val="mainChar"/>
          <w:rFonts w:ascii="Palatino" w:hAnsi="Palatino"/>
          <w:b w:val="0"/>
        </w:rPr>
        <w:t>Appendix 1 –</w:t>
      </w:r>
      <w:r w:rsidR="00323D96" w:rsidRPr="00C15E02">
        <w:rPr>
          <w:rStyle w:val="mainChar"/>
          <w:rFonts w:ascii="Palatino" w:hAnsi="Palatino"/>
          <w:b w:val="0"/>
        </w:rPr>
        <w:tab/>
      </w:r>
      <w:r w:rsidR="00016A82" w:rsidRPr="00C15E02">
        <w:rPr>
          <w:rStyle w:val="mainChar"/>
          <w:rFonts w:ascii="Palatino" w:hAnsi="Palatino"/>
          <w:b w:val="0"/>
        </w:rPr>
        <w:t>Broadband Adoption Account</w:t>
      </w:r>
      <w:r w:rsidR="0042472C" w:rsidRPr="00C15E02">
        <w:rPr>
          <w:rStyle w:val="mainChar"/>
          <w:rFonts w:ascii="Palatino" w:hAnsi="Palatino"/>
          <w:b w:val="0"/>
        </w:rPr>
        <w:t xml:space="preserve">, </w:t>
      </w:r>
      <w:r w:rsidR="0042472C" w:rsidRPr="009B1CEF">
        <w:rPr>
          <w:rStyle w:val="mainChar"/>
          <w:rFonts w:ascii="Palatino" w:hAnsi="Palatino"/>
          <w:b w:val="0"/>
        </w:rPr>
        <w:t>Application Requirements and Guidelines</w:t>
      </w:r>
      <w:bookmarkEnd w:id="2"/>
    </w:p>
    <w:p w:rsidR="0090015A" w:rsidRPr="00087199" w:rsidRDefault="0090015A" w:rsidP="00323D96">
      <w:pPr>
        <w:ind w:left="1620" w:hanging="1620"/>
        <w:rPr>
          <w:rStyle w:val="mainChar"/>
          <w:rFonts w:ascii="Palatino" w:hAnsi="Palatino"/>
          <w:b w:val="0"/>
        </w:rPr>
      </w:pPr>
      <w:bookmarkStart w:id="3" w:name="_Toc514152972"/>
      <w:r w:rsidRPr="00C15E02">
        <w:rPr>
          <w:rStyle w:val="mainChar"/>
          <w:rFonts w:ascii="Palatino" w:hAnsi="Palatino"/>
          <w:b w:val="0"/>
        </w:rPr>
        <w:t>Appendix 2 –</w:t>
      </w:r>
      <w:r w:rsidR="00323D96" w:rsidRPr="00C15E02">
        <w:rPr>
          <w:rStyle w:val="mainChar"/>
          <w:rFonts w:ascii="Palatino" w:hAnsi="Palatino"/>
          <w:b w:val="0"/>
        </w:rPr>
        <w:tab/>
      </w:r>
      <w:r w:rsidR="00016A82" w:rsidRPr="00C15E02">
        <w:rPr>
          <w:rStyle w:val="mainChar"/>
          <w:rFonts w:ascii="Palatino" w:hAnsi="Palatino"/>
          <w:b w:val="0"/>
        </w:rPr>
        <w:t>Broadband Public Housing Account</w:t>
      </w:r>
      <w:r w:rsidR="0042472C" w:rsidRPr="00C15E02">
        <w:rPr>
          <w:rStyle w:val="mainChar"/>
          <w:rFonts w:ascii="Palatino" w:hAnsi="Palatino"/>
          <w:b w:val="0"/>
        </w:rPr>
        <w:t xml:space="preserve">, </w:t>
      </w:r>
      <w:r w:rsidR="0042472C" w:rsidRPr="009B1CEF">
        <w:rPr>
          <w:rStyle w:val="mainChar"/>
          <w:rFonts w:ascii="Palatino" w:hAnsi="Palatino"/>
          <w:b w:val="0"/>
        </w:rPr>
        <w:t>Revised Application Requirements and</w:t>
      </w:r>
      <w:r w:rsidR="0042472C" w:rsidRPr="00593F55">
        <w:rPr>
          <w:rStyle w:val="mainChar"/>
          <w:rFonts w:ascii="Palatino" w:hAnsi="Palatino"/>
          <w:b w:val="0"/>
        </w:rPr>
        <w:t xml:space="preserve"> Guidelines</w:t>
      </w:r>
      <w:bookmarkEnd w:id="3"/>
    </w:p>
    <w:p w:rsidR="0090015A" w:rsidRPr="00593F55" w:rsidRDefault="0090015A" w:rsidP="00323D96">
      <w:pPr>
        <w:ind w:left="1620" w:hanging="1620"/>
        <w:rPr>
          <w:rStyle w:val="mainChar"/>
          <w:rFonts w:ascii="Palatino" w:hAnsi="Palatino"/>
          <w:b w:val="0"/>
        </w:rPr>
      </w:pPr>
      <w:bookmarkStart w:id="4" w:name="_Toc514152973"/>
      <w:r w:rsidRPr="00C15E02">
        <w:rPr>
          <w:rStyle w:val="mainChar"/>
          <w:rFonts w:ascii="Palatino" w:hAnsi="Palatino"/>
          <w:b w:val="0"/>
        </w:rPr>
        <w:t xml:space="preserve">Appendix 3 </w:t>
      </w:r>
      <w:r w:rsidR="00B34BCE">
        <w:rPr>
          <w:rStyle w:val="mainChar"/>
          <w:rFonts w:ascii="Palatino" w:hAnsi="Palatino"/>
          <w:b w:val="0"/>
        </w:rPr>
        <w:noBreakHyphen/>
      </w:r>
      <w:r w:rsidR="00323D96" w:rsidRPr="00C15E02">
        <w:rPr>
          <w:rStyle w:val="mainChar"/>
          <w:rFonts w:ascii="Palatino" w:hAnsi="Palatino"/>
          <w:b w:val="0"/>
        </w:rPr>
        <w:tab/>
      </w:r>
      <w:r w:rsidR="00016A82" w:rsidRPr="00C15E02">
        <w:rPr>
          <w:rStyle w:val="mainChar"/>
          <w:rFonts w:ascii="Palatino" w:hAnsi="Palatino"/>
          <w:b w:val="0"/>
        </w:rPr>
        <w:t>Broadband Revolving Loan Account</w:t>
      </w:r>
      <w:r w:rsidR="0042472C" w:rsidRPr="00C15E02">
        <w:rPr>
          <w:rStyle w:val="mainChar"/>
          <w:rFonts w:ascii="Palatino" w:hAnsi="Palatino"/>
          <w:b w:val="0"/>
        </w:rPr>
        <w:t xml:space="preserve">, </w:t>
      </w:r>
      <w:r w:rsidR="0042472C" w:rsidRPr="009B1CEF">
        <w:rPr>
          <w:rStyle w:val="mainChar"/>
          <w:rFonts w:ascii="Palatino" w:hAnsi="Palatino"/>
          <w:b w:val="0"/>
        </w:rPr>
        <w:t>Treatment of Existing Loans and Pending Loan Applications</w:t>
      </w:r>
      <w:bookmarkEnd w:id="4"/>
    </w:p>
    <w:p w:rsidR="004D4F77" w:rsidRPr="007104DA" w:rsidRDefault="004D4F77" w:rsidP="00506B83">
      <w:pPr>
        <w:pStyle w:val="main"/>
        <w:jc w:val="left"/>
        <w:rPr>
          <w:rFonts w:ascii="Palatino" w:hAnsi="Palatino"/>
          <w:b w:val="0"/>
        </w:rPr>
      </w:pPr>
    </w:p>
    <w:p w:rsidR="00506B83" w:rsidRPr="00506B83" w:rsidRDefault="00506B83" w:rsidP="00506B83">
      <w:pPr>
        <w:pStyle w:val="main"/>
        <w:jc w:val="left"/>
        <w:rPr>
          <w:rStyle w:val="mainChar"/>
        </w:rPr>
        <w:sectPr w:rsidR="00506B83" w:rsidRPr="00506B83" w:rsidSect="00506B83">
          <w:headerReference w:type="first" r:id="rId13"/>
          <w:footerReference w:type="first" r:id="rId14"/>
          <w:footnotePr>
            <w:numRestart w:val="eachSect"/>
          </w:footnotePr>
          <w:pgSz w:w="12240" w:h="15840" w:code="1"/>
          <w:pgMar w:top="1728" w:right="1440" w:bottom="1440" w:left="1440" w:header="720" w:footer="720" w:gutter="0"/>
          <w:pgNumType w:fmt="lowerRoman" w:start="1"/>
          <w:cols w:space="720"/>
          <w:titlePg/>
        </w:sectPr>
      </w:pPr>
    </w:p>
    <w:p w:rsidR="008F7F9A" w:rsidRPr="00E46A5A" w:rsidRDefault="00AF1C22" w:rsidP="00E46A5A">
      <w:pPr>
        <w:jc w:val="center"/>
        <w:rPr>
          <w:rStyle w:val="mainChar"/>
          <w:b w:val="0"/>
        </w:rPr>
      </w:pPr>
      <w:r>
        <w:rPr>
          <w:rFonts w:ascii="Helvetica" w:hAnsi="Helvetica"/>
          <w:b/>
        </w:rPr>
        <w:lastRenderedPageBreak/>
        <w:t>DECISION IMPLEMENTING THE CALFORNIA ADVANCED SERVICES FUND BROADBAND ADOPTION, P</w:t>
      </w:r>
      <w:r w:rsidR="00E27672">
        <w:rPr>
          <w:rFonts w:ascii="Helvetica" w:hAnsi="Helvetica"/>
          <w:b/>
        </w:rPr>
        <w:t>UBLIC HOUSING AND LOAN ACCOUNTS </w:t>
      </w:r>
      <w:r>
        <w:rPr>
          <w:rFonts w:ascii="Helvetica" w:hAnsi="Helvetica"/>
          <w:b/>
        </w:rPr>
        <w:t>PROVISIONS</w:t>
      </w:r>
    </w:p>
    <w:p w:rsidR="00617664" w:rsidRDefault="00617664"/>
    <w:p w:rsidR="00AA050B" w:rsidRDefault="00AA050B" w:rsidP="00AA050B">
      <w:pPr>
        <w:pStyle w:val="Heading1"/>
        <w:keepLines/>
        <w:widowControl w:val="0"/>
        <w:numPr>
          <w:ilvl w:val="0"/>
          <w:numId w:val="0"/>
        </w:numPr>
        <w:ind w:left="450" w:hanging="450"/>
      </w:pPr>
      <w:bookmarkStart w:id="5" w:name="_Toc514152974"/>
      <w:bookmarkStart w:id="6" w:name="_Toc370798910"/>
      <w:r>
        <w:t>Summary</w:t>
      </w:r>
      <w:bookmarkEnd w:id="5"/>
    </w:p>
    <w:p w:rsidR="00AF1C22" w:rsidRDefault="00AF1C22" w:rsidP="00AF1C22">
      <w:pPr>
        <w:pStyle w:val="standard"/>
      </w:pPr>
      <w:r>
        <w:t xml:space="preserve">In this decision, </w:t>
      </w:r>
      <w:r w:rsidRPr="004D37C2">
        <w:t>we</w:t>
      </w:r>
      <w:r>
        <w:t xml:space="preserve"> implement programmatic changes to the California Advanced Services Fund (CASF) program, including new methods of private</w:t>
      </w:r>
      <w:r w:rsidR="00B34BCE">
        <w:noBreakHyphen/>
      </w:r>
      <w:r>
        <w:t>public partnerships, allowing and incentivizing the use of existing infrastructure, establishing various strategies for investing in low</w:t>
      </w:r>
      <w:r w:rsidR="00B34BCE">
        <w:noBreakHyphen/>
      </w:r>
      <w:r>
        <w:t>income households and communities for infrastructure and adoption goals as required by Assembly Bill (AB) 1665 (Garcia).</w:t>
      </w:r>
      <w:r>
        <w:rPr>
          <w:rStyle w:val="FootnoteReference"/>
        </w:rPr>
        <w:footnoteReference w:id="2"/>
      </w:r>
    </w:p>
    <w:p w:rsidR="00AF1C22" w:rsidRDefault="00AF1C22" w:rsidP="00AF1C22">
      <w:pPr>
        <w:pStyle w:val="standard"/>
      </w:pPr>
      <w:r>
        <w:t>Specifically, this decision implement</w:t>
      </w:r>
      <w:r w:rsidR="00BF2587">
        <w:t>s</w:t>
      </w:r>
      <w:r>
        <w:t xml:space="preserve"> provisions of </w:t>
      </w:r>
      <w:r w:rsidR="00E4254F">
        <w:t>AB</w:t>
      </w:r>
      <w:r>
        <w:t xml:space="preserve"> 1665 relating to the Broadband Adoption Account (Adoption Account), Broadband Public Housing Account (Public Housing Account), and Broadband Infrastructure Revolving Loan (Loan Account), which were referred to as the Phase I issues in the Amended Scoping Memo and Ruling of Assigned Commissioner.  We adopt new and updated rules for administering these accounts as set forth in Appendix 1 (</w:t>
      </w:r>
      <w:r w:rsidR="00DD5E74">
        <w:t xml:space="preserve">Broadband </w:t>
      </w:r>
      <w:r>
        <w:t>Adoption Account Application Requirements and Guidelines), Appendix 2 (</w:t>
      </w:r>
      <w:r w:rsidR="00DD5E74">
        <w:t xml:space="preserve">Broadband </w:t>
      </w:r>
      <w:r>
        <w:t>Public Housing Account Revised Application Requirements and Guidelines)</w:t>
      </w:r>
      <w:r w:rsidR="00BF2587">
        <w:t>,</w:t>
      </w:r>
      <w:r>
        <w:t xml:space="preserve"> and </w:t>
      </w:r>
      <w:r w:rsidR="00BF2587">
        <w:t xml:space="preserve">Appendix </w:t>
      </w:r>
      <w:r>
        <w:t>3 (</w:t>
      </w:r>
      <w:r w:rsidR="00DD5E74">
        <w:t xml:space="preserve">Broadband Revolving Loan Account </w:t>
      </w:r>
      <w:r>
        <w:t>Treatment of Existing Loans and Pending Loan Ap</w:t>
      </w:r>
      <w:r w:rsidR="00E4254F">
        <w:t>plications) of this decision.</w:t>
      </w:r>
    </w:p>
    <w:p w:rsidR="00AF1C22" w:rsidRPr="008C65F3" w:rsidRDefault="00AF1C22" w:rsidP="00AF1C22">
      <w:pPr>
        <w:pStyle w:val="standard"/>
      </w:pPr>
      <w:r>
        <w:lastRenderedPageBreak/>
        <w:t xml:space="preserve">Pursuant to AB 1665, the </w:t>
      </w:r>
      <w:r w:rsidR="00BF2587">
        <w:t xml:space="preserve">statutory </w:t>
      </w:r>
      <w:r>
        <w:t>goal of the CASF program was revised to provide funding for infrastructure projects s</w:t>
      </w:r>
      <w:r w:rsidR="00323D96">
        <w:t>o that by December 31, 2022, 98 </w:t>
      </w:r>
      <w:r>
        <w:t>percent of California households in each consortia region, as identified by the Commission on or before January 1, 2017, w</w:t>
      </w:r>
      <w:r w:rsidR="00323D96">
        <w:t>ould have broadband access.  AB </w:t>
      </w:r>
      <w:r>
        <w:t xml:space="preserve">1665 added the Adoption Account ($20 million) and eliminated the Loan Account by requiring all remaining moneys in the Loan Account that are unencumbered as of January 1, 2018 </w:t>
      </w:r>
      <w:r w:rsidR="00C25CF1">
        <w:t xml:space="preserve">to </w:t>
      </w:r>
      <w:r>
        <w:t>be transferred to the Broadband Infrastructure Grant Account.</w:t>
      </w:r>
      <w:r w:rsidRPr="008C65F3">
        <w:t xml:space="preserve"> </w:t>
      </w:r>
    </w:p>
    <w:p w:rsidR="00AA050B" w:rsidRDefault="00AF1C22" w:rsidP="00AF1C22">
      <w:pPr>
        <w:pStyle w:val="standard"/>
      </w:pPr>
      <w:r w:rsidRPr="008C65F3">
        <w:t>The Adoption Account provides grants to increase publicly available or after</w:t>
      </w:r>
      <w:r w:rsidR="00675932">
        <w:t xml:space="preserve"> </w:t>
      </w:r>
      <w:r w:rsidRPr="008C65F3">
        <w:t xml:space="preserve">school broadband access and digital inclusion.  Eligible applicants </w:t>
      </w:r>
      <w:r w:rsidR="00C55524">
        <w:t xml:space="preserve">for digital inclusion </w:t>
      </w:r>
      <w:r w:rsidRPr="008C65F3">
        <w:t>are local governments, senior centers, schools, public libraries, nonprofit organizations, and community</w:t>
      </w:r>
      <w:r w:rsidR="00675932">
        <w:t xml:space="preserve"> </w:t>
      </w:r>
      <w:r w:rsidRPr="008C65F3">
        <w:t xml:space="preserve">based organizations with programs to increase publicly available or </w:t>
      </w:r>
      <w:r w:rsidR="00BF2587" w:rsidRPr="008C65F3">
        <w:t>after</w:t>
      </w:r>
      <w:r w:rsidR="00B34BCE">
        <w:noBreakHyphen/>
      </w:r>
      <w:r w:rsidRPr="008C65F3">
        <w:t xml:space="preserve">school broadband access and digital inclusion, such as digital literacy training programs.  AB 1665 also requires the Commission to give preference to programs in communities with demonstrated low broadband access, including </w:t>
      </w:r>
      <w:r w:rsidR="00BF2587" w:rsidRPr="008C65F3">
        <w:t>low</w:t>
      </w:r>
      <w:r w:rsidR="00B34BCE">
        <w:noBreakHyphen/>
      </w:r>
      <w:r w:rsidRPr="008C65F3">
        <w:t>income communities, senior communities, and communities facing socioeconomic barriers to broadband adoption.  Th</w:t>
      </w:r>
      <w:r w:rsidR="00BF2587">
        <w:t>is decision</w:t>
      </w:r>
      <w:r w:rsidRPr="008C65F3">
        <w:t xml:space="preserve"> sets up </w:t>
      </w:r>
      <w:r w:rsidR="006B567C">
        <w:t xml:space="preserve">the </w:t>
      </w:r>
      <w:r w:rsidRPr="008C65F3">
        <w:t xml:space="preserve">application requirements and guidelines to fulfill these </w:t>
      </w:r>
      <w:r w:rsidR="000C4283">
        <w:t>priorities</w:t>
      </w:r>
      <w:r w:rsidR="00BF2587">
        <w:t>,</w:t>
      </w:r>
      <w:r w:rsidRPr="008C65F3">
        <w:t xml:space="preserve"> </w:t>
      </w:r>
      <w:r w:rsidR="002E17A8">
        <w:t xml:space="preserve">which are </w:t>
      </w:r>
      <w:r w:rsidRPr="008C65F3">
        <w:t>informed by past experience</w:t>
      </w:r>
      <w:r w:rsidR="002E17A8">
        <w:t xml:space="preserve">s. </w:t>
      </w:r>
      <w:r w:rsidR="00323D96">
        <w:t xml:space="preserve"> </w:t>
      </w:r>
      <w:r w:rsidRPr="008C65F3">
        <w:t>The Commission</w:t>
      </w:r>
      <w:r w:rsidR="00026956">
        <w:t xml:space="preserve"> has </w:t>
      </w:r>
      <w:r w:rsidR="00620530">
        <w:t xml:space="preserve">gained experience </w:t>
      </w:r>
      <w:r w:rsidR="009363A3">
        <w:t>from the</w:t>
      </w:r>
      <w:r w:rsidR="00102BFB">
        <w:t xml:space="preserve"> </w:t>
      </w:r>
      <w:r w:rsidRPr="008C65F3">
        <w:t>implement</w:t>
      </w:r>
      <w:r w:rsidR="00102BFB">
        <w:t>ation of</w:t>
      </w:r>
      <w:r w:rsidRPr="008C65F3">
        <w:t xml:space="preserve"> smaller, more limited </w:t>
      </w:r>
      <w:r w:rsidR="00026956">
        <w:t xml:space="preserve">CASF </w:t>
      </w:r>
      <w:r w:rsidRPr="008C65F3">
        <w:t>adoption grants</w:t>
      </w:r>
      <w:r w:rsidR="00026956">
        <w:t>,</w:t>
      </w:r>
      <w:r w:rsidRPr="008C65F3">
        <w:t xml:space="preserve"> </w:t>
      </w:r>
      <w:r w:rsidR="009363A3">
        <w:t xml:space="preserve">the </w:t>
      </w:r>
      <w:r w:rsidRPr="008C65F3">
        <w:t xml:space="preserve">$250 million </w:t>
      </w:r>
      <w:r w:rsidR="009363A3">
        <w:t xml:space="preserve">awarded </w:t>
      </w:r>
      <w:r w:rsidR="00026956">
        <w:t xml:space="preserve">by the </w:t>
      </w:r>
      <w:r w:rsidR="00026956" w:rsidRPr="008C65F3">
        <w:t>National Telecommunications and Information Association</w:t>
      </w:r>
      <w:r w:rsidR="00C40D72">
        <w:t xml:space="preserve"> (NTIA)</w:t>
      </w:r>
      <w:r w:rsidR="00026956" w:rsidRPr="008C65F3">
        <w:t xml:space="preserve"> </w:t>
      </w:r>
      <w:r w:rsidRPr="008C65F3">
        <w:t>as part of the American Recovery and Reinvestment Act of 2009</w:t>
      </w:r>
      <w:r w:rsidR="00C40D72">
        <w:t>,</w:t>
      </w:r>
      <w:r w:rsidRPr="008C65F3">
        <w:t xml:space="preserve"> </w:t>
      </w:r>
      <w:r w:rsidR="00BF2587">
        <w:t>and</w:t>
      </w:r>
      <w:r w:rsidRPr="008C65F3">
        <w:t xml:space="preserve"> </w:t>
      </w:r>
      <w:r w:rsidR="00026956">
        <w:t xml:space="preserve">the </w:t>
      </w:r>
      <w:r w:rsidRPr="008C65F3">
        <w:t>development of the NTIA Broadband Adoption Toolkit.</w:t>
      </w:r>
    </w:p>
    <w:p w:rsidR="00617664" w:rsidRDefault="00D06819" w:rsidP="00D06819">
      <w:pPr>
        <w:pStyle w:val="Heading1"/>
      </w:pPr>
      <w:bookmarkStart w:id="7" w:name="_Toc514152975"/>
      <w:r w:rsidRPr="00D06819">
        <w:lastRenderedPageBreak/>
        <w:t xml:space="preserve">California Advanced Services Fund </w:t>
      </w:r>
      <w:r w:rsidR="00AF1C22">
        <w:t>Procedural Background</w:t>
      </w:r>
      <w:bookmarkEnd w:id="7"/>
    </w:p>
    <w:p w:rsidR="00AF1C22" w:rsidRDefault="00AF1C22" w:rsidP="00AF1C22">
      <w:pPr>
        <w:pStyle w:val="standard"/>
      </w:pPr>
      <w:r>
        <w:t>On October 25, 2012, the Commission issued an Order Instituting Rulemaking (R.) 12</w:t>
      </w:r>
      <w:r w:rsidR="00B34BCE">
        <w:noBreakHyphen/>
      </w:r>
      <w:r>
        <w:t>10</w:t>
      </w:r>
      <w:r w:rsidR="00B34BCE">
        <w:noBreakHyphen/>
      </w:r>
      <w:r>
        <w:t xml:space="preserve">012 proposing to change the </w:t>
      </w:r>
      <w:r w:rsidR="00F4693D">
        <w:t>California Advanced Services Fund</w:t>
      </w:r>
      <w:r w:rsidR="00F4693D" w:rsidDel="00675932">
        <w:t xml:space="preserve"> </w:t>
      </w:r>
      <w:r w:rsidR="00F4693D">
        <w:t>(CASF)</w:t>
      </w:r>
      <w:r>
        <w:t xml:space="preserve"> applicant eligibility rules to allow non</w:t>
      </w:r>
      <w:r w:rsidR="00B34BCE">
        <w:noBreakHyphen/>
      </w:r>
      <w:r>
        <w:t>telephone corporations to apply for CASF grants and loans.  Subsequently, the legislature enacted Senate Bill (SB) 740 (Padilla)</w:t>
      </w:r>
      <w:r w:rsidR="00BF2587">
        <w:rPr>
          <w:rStyle w:val="FootnoteReference"/>
        </w:rPr>
        <w:footnoteReference w:id="3"/>
      </w:r>
      <w:r>
        <w:t xml:space="preserve"> expanding eligibility and making that issue moot.  During the 2013</w:t>
      </w:r>
      <w:r w:rsidR="00B34BCE">
        <w:noBreakHyphen/>
      </w:r>
      <w:r>
        <w:t>2014 legislative session, the Legislature passed A</w:t>
      </w:r>
      <w:r w:rsidR="00D06819">
        <w:t xml:space="preserve">ssembly </w:t>
      </w:r>
      <w:r>
        <w:t>B</w:t>
      </w:r>
      <w:r w:rsidR="00D06819">
        <w:t>ill (AB)</w:t>
      </w:r>
      <w:r>
        <w:t xml:space="preserve"> 1299 (Bradford).</w:t>
      </w:r>
      <w:r w:rsidR="00BF2587">
        <w:rPr>
          <w:rStyle w:val="FootnoteReference"/>
        </w:rPr>
        <w:footnoteReference w:id="4"/>
      </w:r>
      <w:r>
        <w:t xml:space="preserve">  AB 1299 created an additional account under the CASF program called the Public Housing Account to support the deployment of broadband infrastructure and adoption programs in eligible publicly supported housing communities.  In Decision (D.) 14</w:t>
      </w:r>
      <w:r w:rsidR="00B34BCE">
        <w:noBreakHyphen/>
      </w:r>
      <w:r>
        <w:t>12</w:t>
      </w:r>
      <w:r w:rsidR="00B34BCE">
        <w:noBreakHyphen/>
      </w:r>
      <w:r>
        <w:t xml:space="preserve">039, the Commission adopted the Application Requirements and Guidelines for the Public Housing Account and closed the proceeding.  </w:t>
      </w:r>
    </w:p>
    <w:p w:rsidR="00AF1C22" w:rsidRDefault="00AF1C22" w:rsidP="00AF1C22">
      <w:pPr>
        <w:pStyle w:val="standard"/>
      </w:pPr>
      <w:r>
        <w:t xml:space="preserve">On March 9, 2017, </w:t>
      </w:r>
      <w:r w:rsidR="00D06819">
        <w:t xml:space="preserve">the Commission issued </w:t>
      </w:r>
      <w:r>
        <w:t>D.17</w:t>
      </w:r>
      <w:r w:rsidR="00B34BCE">
        <w:noBreakHyphen/>
      </w:r>
      <w:r>
        <w:t>03</w:t>
      </w:r>
      <w:r w:rsidR="00B34BCE">
        <w:noBreakHyphen/>
      </w:r>
      <w:r>
        <w:t>002, which reopened this proceeding to implement the provisions of SB 745 (Hueso)</w:t>
      </w:r>
      <w:r w:rsidR="00BF2587">
        <w:rPr>
          <w:rStyle w:val="FootnoteReference"/>
        </w:rPr>
        <w:footnoteReference w:id="5"/>
      </w:r>
      <w:r>
        <w:t xml:space="preserve"> for the Public Housing and Rural and Regional Consortia (Consortia) Accounts.  In August 2017, the Commission adopted Resolution T</w:t>
      </w:r>
      <w:r w:rsidR="00B34BCE">
        <w:noBreakHyphen/>
      </w:r>
      <w:r>
        <w:t xml:space="preserve">17575, which modified rules for the Public Housing and Consortia Accounts.  </w:t>
      </w:r>
    </w:p>
    <w:p w:rsidR="00AF1C22" w:rsidRDefault="00AF1C22" w:rsidP="00AF1C22">
      <w:pPr>
        <w:pStyle w:val="standard"/>
      </w:pPr>
      <w:r>
        <w:lastRenderedPageBreak/>
        <w:t>On October 15, 2017, the Governor signed AB 1665</w:t>
      </w:r>
      <w:r w:rsidR="00BF2587">
        <w:t xml:space="preserve"> (Garcia)</w:t>
      </w:r>
      <w:r w:rsidR="00BF2587">
        <w:rPr>
          <w:rStyle w:val="FootnoteReference"/>
        </w:rPr>
        <w:footnoteReference w:id="6"/>
      </w:r>
      <w:r>
        <w:t xml:space="preserve"> into law.  This urgency legislation amended</w:t>
      </w:r>
      <w:r w:rsidR="00C55524">
        <w:t xml:space="preserve"> the statutes governing the CASF program,</w:t>
      </w:r>
      <w:r>
        <w:t xml:space="preserve"> Pub. Util. Code </w:t>
      </w:r>
      <w:r w:rsidR="00D06819">
        <w:t>§§ </w:t>
      </w:r>
      <w:r>
        <w:t xml:space="preserve">281, 912.2, and 914.7.  On February 14, 2018, </w:t>
      </w:r>
      <w:r w:rsidR="005428BE">
        <w:t xml:space="preserve">assigned </w:t>
      </w:r>
      <w:r w:rsidRPr="00485014">
        <w:t xml:space="preserve">Commissioner Martha Guzman Aceves issued an Amended Scoping Memo and Ruling (Amended Scoping Ruling) which set forth the amended procedural schedule and scope of this proceeding.  Due to the necessity that the Broadband Adoption Account </w:t>
      </w:r>
      <w:r w:rsidR="00BB24B0">
        <w:t>begins</w:t>
      </w:r>
      <w:r w:rsidR="00165993">
        <w:t xml:space="preserve"> </w:t>
      </w:r>
      <w:r w:rsidRPr="00485014">
        <w:t>accept</w:t>
      </w:r>
      <w:r w:rsidR="00165993">
        <w:t>ing</w:t>
      </w:r>
      <w:r w:rsidRPr="00485014">
        <w:t xml:space="preserve"> applications by July 1, 2018, the </w:t>
      </w:r>
      <w:r w:rsidR="005428BE">
        <w:t>A</w:t>
      </w:r>
      <w:r w:rsidR="005428BE" w:rsidRPr="00485014">
        <w:t xml:space="preserve">mended </w:t>
      </w:r>
      <w:r w:rsidR="005428BE">
        <w:t>S</w:t>
      </w:r>
      <w:r w:rsidR="005428BE" w:rsidRPr="00485014">
        <w:t xml:space="preserve">coping </w:t>
      </w:r>
      <w:r w:rsidR="005428BE">
        <w:t>R</w:t>
      </w:r>
      <w:r w:rsidR="005428BE" w:rsidRPr="00485014">
        <w:t xml:space="preserve">uling </w:t>
      </w:r>
      <w:r w:rsidRPr="00485014">
        <w:t xml:space="preserve">bifurcated the proceeding into Phase </w:t>
      </w:r>
      <w:r>
        <w:t xml:space="preserve">I </w:t>
      </w:r>
      <w:r w:rsidRPr="00485014">
        <w:t xml:space="preserve">and Phase </w:t>
      </w:r>
      <w:r>
        <w:t>II</w:t>
      </w:r>
      <w:r w:rsidRPr="00485014">
        <w:t xml:space="preserve">, in order to focus on </w:t>
      </w:r>
      <w:r w:rsidR="00165993">
        <w:t>the A</w:t>
      </w:r>
      <w:r w:rsidRPr="00485014">
        <w:t xml:space="preserve">doption </w:t>
      </w:r>
      <w:r w:rsidR="00165993">
        <w:t xml:space="preserve">Account </w:t>
      </w:r>
      <w:r w:rsidRPr="00485014">
        <w:t xml:space="preserve">first.  Phase I </w:t>
      </w:r>
      <w:r w:rsidR="00165993">
        <w:t xml:space="preserve">also </w:t>
      </w:r>
      <w:r w:rsidRPr="00485014">
        <w:t>address</w:t>
      </w:r>
      <w:r w:rsidR="00F94E12">
        <w:t>ed</w:t>
      </w:r>
      <w:r w:rsidRPr="00485014">
        <w:t xml:space="preserve"> the relatively non</w:t>
      </w:r>
      <w:r w:rsidR="00B34BCE">
        <w:noBreakHyphen/>
      </w:r>
      <w:r w:rsidRPr="00485014">
        <w:t xml:space="preserve">complicated implementation issues related to the Public Housing and Loan Accounts.  Lastly, the </w:t>
      </w:r>
      <w:r w:rsidR="005428BE">
        <w:t>A</w:t>
      </w:r>
      <w:r w:rsidR="005428BE" w:rsidRPr="00485014">
        <w:t xml:space="preserve">mended </w:t>
      </w:r>
      <w:r w:rsidR="005428BE">
        <w:t>S</w:t>
      </w:r>
      <w:r w:rsidR="005428BE" w:rsidRPr="00485014">
        <w:t xml:space="preserve">coping </w:t>
      </w:r>
      <w:r w:rsidR="005428BE">
        <w:t>R</w:t>
      </w:r>
      <w:r w:rsidR="005428BE" w:rsidRPr="00485014">
        <w:t xml:space="preserve">uling </w:t>
      </w:r>
      <w:r w:rsidRPr="00485014">
        <w:t xml:space="preserve">provided that the Commission, as part of its enhanced collaboration and partnership efforts, would hold workshops/public forums throughout the state, in order to </w:t>
      </w:r>
      <w:r w:rsidR="008E3470">
        <w:t>solicit</w:t>
      </w:r>
      <w:r w:rsidR="008E3470" w:rsidRPr="00485014">
        <w:t xml:space="preserve"> </w:t>
      </w:r>
      <w:r w:rsidRPr="00485014">
        <w:t xml:space="preserve">input on the implementation of the program changes, learn of existing carrier commitments, and develop partnerships for regional solutions.  Phase II will </w:t>
      </w:r>
      <w:r w:rsidR="00165993">
        <w:t>resolve</w:t>
      </w:r>
      <w:r w:rsidR="00165993" w:rsidRPr="00485014">
        <w:t xml:space="preserve"> </w:t>
      </w:r>
      <w:r w:rsidR="00165993">
        <w:t xml:space="preserve">the </w:t>
      </w:r>
      <w:r w:rsidRPr="00485014">
        <w:t>Broadband Infrastructure, Line Extension</w:t>
      </w:r>
      <w:r w:rsidR="00D52D79">
        <w:t>,</w:t>
      </w:r>
      <w:r w:rsidRPr="00485014">
        <w:t xml:space="preserve"> and Rural and Urban Regional Broadband Consortia Grant Account issues</w:t>
      </w:r>
      <w:r>
        <w:t>.</w:t>
      </w:r>
    </w:p>
    <w:p w:rsidR="00AF1C22" w:rsidRDefault="00AF1C22" w:rsidP="00AF1C22">
      <w:pPr>
        <w:pStyle w:val="standard"/>
      </w:pPr>
      <w:r w:rsidRPr="00485014">
        <w:t xml:space="preserve">The </w:t>
      </w:r>
      <w:r w:rsidR="00D52D79">
        <w:t xml:space="preserve">Amended </w:t>
      </w:r>
      <w:r w:rsidRPr="00485014">
        <w:t xml:space="preserve">Scoping </w:t>
      </w:r>
      <w:r w:rsidR="00D52D79">
        <w:t>Ruling</w:t>
      </w:r>
      <w:r w:rsidR="00D52D79" w:rsidRPr="00485014">
        <w:t xml:space="preserve"> </w:t>
      </w:r>
      <w:r w:rsidRPr="00485014">
        <w:t xml:space="preserve">also contained draft Staff Proposals, prepared by the Commission’s Communications Division </w:t>
      </w:r>
      <w:r w:rsidR="00EA0954">
        <w:t xml:space="preserve">(CD) </w:t>
      </w:r>
      <w:r w:rsidRPr="00485014">
        <w:t xml:space="preserve">in order to implement Phase </w:t>
      </w:r>
      <w:r>
        <w:t>I</w:t>
      </w:r>
      <w:r w:rsidRPr="00485014">
        <w:t xml:space="preserve"> and </w:t>
      </w:r>
      <w:r>
        <w:t>II</w:t>
      </w:r>
      <w:r w:rsidRPr="00485014">
        <w:t xml:space="preserve"> o</w:t>
      </w:r>
      <w:r w:rsidR="00E1646E">
        <w:t xml:space="preserve">f the program.  Specifically, </w:t>
      </w:r>
      <w:r w:rsidR="00715CA2">
        <w:t xml:space="preserve">Commission </w:t>
      </w:r>
      <w:r w:rsidRPr="00485014">
        <w:t xml:space="preserve">staff developed the application requirements and guidelines </w:t>
      </w:r>
      <w:r w:rsidR="00165993">
        <w:t xml:space="preserve">for the new Adoption Account </w:t>
      </w:r>
      <w:r w:rsidRPr="00485014">
        <w:t xml:space="preserve">based on experience and lessons learned </w:t>
      </w:r>
      <w:r w:rsidR="00F94E12">
        <w:t>from</w:t>
      </w:r>
      <w:r w:rsidR="00F94E12" w:rsidRPr="00485014">
        <w:t xml:space="preserve"> </w:t>
      </w:r>
      <w:r w:rsidR="00F94E12">
        <w:t>implementation of</w:t>
      </w:r>
      <w:r w:rsidR="00F94E12" w:rsidRPr="00485014">
        <w:t xml:space="preserve"> </w:t>
      </w:r>
      <w:r w:rsidR="00165993">
        <w:t xml:space="preserve">the </w:t>
      </w:r>
      <w:r w:rsidR="00165993">
        <w:lastRenderedPageBreak/>
        <w:t xml:space="preserve">adoption projects for the </w:t>
      </w:r>
      <w:r w:rsidRPr="00485014">
        <w:t>Public Housing and Consortia Account</w:t>
      </w:r>
      <w:r w:rsidR="00165993">
        <w:t>s</w:t>
      </w:r>
      <w:r w:rsidRPr="00485014">
        <w:t>.  The Public Housing adoption projects provided funds for mostly small projects for low</w:t>
      </w:r>
      <w:r w:rsidR="00B34BCE">
        <w:noBreakHyphen/>
      </w:r>
      <w:r w:rsidRPr="00485014">
        <w:t>income residents in public housing.  Of the 99 adoption projects approved to date, 98 met the expedited review criteria set forth in D.14</w:t>
      </w:r>
      <w:r w:rsidR="00B34BCE">
        <w:noBreakHyphen/>
      </w:r>
      <w:r w:rsidRPr="00485014">
        <w:t>12</w:t>
      </w:r>
      <w:r w:rsidR="00B34BCE">
        <w:noBreakHyphen/>
      </w:r>
      <w:r w:rsidRPr="00485014">
        <w:t>039 with a weighted average cost of $267 per resident (includ</w:t>
      </w:r>
      <w:r w:rsidR="00D52D79">
        <w:t>ing</w:t>
      </w:r>
      <w:r w:rsidRPr="00485014">
        <w:t xml:space="preserve"> </w:t>
      </w:r>
      <w:r w:rsidR="00C53BD0">
        <w:t xml:space="preserve">the </w:t>
      </w:r>
      <w:r w:rsidRPr="00485014">
        <w:t>costs of devices)</w:t>
      </w:r>
      <w:r w:rsidR="00F94E12">
        <w:t>.</w:t>
      </w:r>
      <w:r w:rsidRPr="00485014">
        <w:t xml:space="preserve">  The Consortia adoption projects provided funds for adoption activities such as identifying adoption opportunities, digital literacy, and promoting adoption in communities through outreach and establishing resource centers.  Of the 17 consortia groups, 9 included adoption related activities.  The key lessons learned from implementing these adoption projects</w:t>
      </w:r>
      <w:r w:rsidR="005A48E9">
        <w:t xml:space="preserve"> are</w:t>
      </w:r>
      <w:r>
        <w:t>:</w:t>
      </w:r>
    </w:p>
    <w:p w:rsidR="00AF1C22" w:rsidRDefault="00AF1C22" w:rsidP="00D06819">
      <w:pPr>
        <w:pStyle w:val="standard"/>
        <w:spacing w:after="160" w:line="240" w:lineRule="auto"/>
        <w:ind w:left="1080" w:right="720" w:hanging="360"/>
      </w:pPr>
      <w:r>
        <w:t>•</w:t>
      </w:r>
      <w:r>
        <w:tab/>
      </w:r>
      <w:r w:rsidR="00165993">
        <w:t xml:space="preserve">Minimizing </w:t>
      </w:r>
      <w:r>
        <w:t xml:space="preserve">Administration—Administrative tasks are many and include addressing hundreds of payment requests, </w:t>
      </w:r>
      <w:r w:rsidR="00165993">
        <w:t xml:space="preserve">and </w:t>
      </w:r>
      <w:r>
        <w:t>managing fiscal reviews</w:t>
      </w:r>
      <w:r w:rsidR="00165993">
        <w:t>,</w:t>
      </w:r>
      <w:r>
        <w:t xml:space="preserve"> quarterly reports and completion reports.  Therefore, in the development of </w:t>
      </w:r>
      <w:r w:rsidR="004342F1">
        <w:t xml:space="preserve">the </w:t>
      </w:r>
      <w:r>
        <w:t xml:space="preserve">rules and guidelines for the Adoption Account, staff proposed to reduce unnecessary administrative and reporting </w:t>
      </w:r>
      <w:r w:rsidR="00165993">
        <w:t xml:space="preserve">tasks </w:t>
      </w:r>
      <w:r>
        <w:t>for grantees and staff.</w:t>
      </w:r>
    </w:p>
    <w:p w:rsidR="00AF1C22" w:rsidRDefault="00AF1C22" w:rsidP="00D06819">
      <w:pPr>
        <w:pStyle w:val="standard"/>
        <w:spacing w:after="160" w:line="240" w:lineRule="auto"/>
        <w:ind w:left="1080" w:right="720" w:hanging="360"/>
      </w:pPr>
      <w:r>
        <w:t>•</w:t>
      </w:r>
      <w:r>
        <w:tab/>
      </w:r>
      <w:r w:rsidR="00165993">
        <w:t xml:space="preserve">Understanding </w:t>
      </w:r>
      <w:r>
        <w:t>Community Needs—</w:t>
      </w:r>
      <w:r w:rsidR="004342F1">
        <w:t>It is critical for ap</w:t>
      </w:r>
      <w:r w:rsidR="003F1386">
        <w:t xml:space="preserve">plicants </w:t>
      </w:r>
      <w:r w:rsidR="004342F1">
        <w:t>t</w:t>
      </w:r>
      <w:r w:rsidR="003F1386">
        <w:t>o understand and assess the needs of the target</w:t>
      </w:r>
      <w:r w:rsidR="00C53BD0">
        <w:t>ed</w:t>
      </w:r>
      <w:r w:rsidR="003F1386">
        <w:t xml:space="preserve"> community with e</w:t>
      </w:r>
      <w:r>
        <w:t xml:space="preserve">ach </w:t>
      </w:r>
      <w:r w:rsidR="003F1386">
        <w:t xml:space="preserve">proposed </w:t>
      </w:r>
      <w:r>
        <w:t xml:space="preserve">activity </w:t>
      </w:r>
      <w:r w:rsidR="003F1386">
        <w:t>directly addressing the</w:t>
      </w:r>
      <w:r>
        <w:t xml:space="preserve"> needs of </w:t>
      </w:r>
      <w:r w:rsidR="003F1386">
        <w:t>the</w:t>
      </w:r>
      <w:r>
        <w:t xml:space="preserve"> specific group or community.  For example, while a subscription</w:t>
      </w:r>
      <w:r w:rsidR="00B34BCE">
        <w:noBreakHyphen/>
      </w:r>
      <w:r>
        <w:t xml:space="preserve">based approach is an important facet for meeting adoption goals, it is not the only consideration, as communities have needs for broadband access and digital literacy outside of </w:t>
      </w:r>
      <w:r w:rsidR="00F94E12">
        <w:t xml:space="preserve">a </w:t>
      </w:r>
      <w:r>
        <w:t xml:space="preserve">subscription.  Therefore, in </w:t>
      </w:r>
      <w:r w:rsidR="000C4283">
        <w:t>developing the</w:t>
      </w:r>
      <w:r>
        <w:t xml:space="preserve"> rules and guidelines for the Adoption Account, staff proposed different types of eligible projects and emphasized the need for applicants to assess community needs.</w:t>
      </w:r>
    </w:p>
    <w:p w:rsidR="00AF1C22" w:rsidRDefault="00AF1C22" w:rsidP="00AF1C22">
      <w:pPr>
        <w:pStyle w:val="standard"/>
      </w:pPr>
      <w:r>
        <w:t xml:space="preserve">Comments on the draft Staff Proposal (Phase I) were filed </w:t>
      </w:r>
      <w:r w:rsidR="007561E7">
        <w:t xml:space="preserve">by </w:t>
      </w:r>
      <w:r>
        <w:t xml:space="preserve">March 16, 2018, </w:t>
      </w:r>
      <w:r w:rsidR="00F94E12">
        <w:t xml:space="preserve">and </w:t>
      </w:r>
      <w:r>
        <w:t xml:space="preserve">reply comments </w:t>
      </w:r>
      <w:r w:rsidR="00F94E12">
        <w:t xml:space="preserve">by </w:t>
      </w:r>
      <w:r>
        <w:t>April 1, 2018.  Parties filing comments</w:t>
      </w:r>
      <w:r w:rsidR="005A48E9">
        <w:t xml:space="preserve"> and </w:t>
      </w:r>
      <w:r>
        <w:t xml:space="preserve">reply comments included telephone corporations, a cable industry group, consumer </w:t>
      </w:r>
      <w:r>
        <w:lastRenderedPageBreak/>
        <w:t>groups, government entities, consortia, the California Emerging Technology Fund (CETF), and other regional and community groups focused on broadband adoption and deployment</w:t>
      </w:r>
      <w:r w:rsidR="002306E6">
        <w:t>.</w:t>
      </w:r>
      <w:r w:rsidR="00120462">
        <w:rPr>
          <w:rStyle w:val="FootnoteReference"/>
        </w:rPr>
        <w:footnoteReference w:id="7"/>
      </w:r>
      <w:r>
        <w:t xml:space="preserve">  </w:t>
      </w:r>
    </w:p>
    <w:p w:rsidR="00AF1C22" w:rsidRDefault="00AF1C22" w:rsidP="00AF1C22">
      <w:pPr>
        <w:pStyle w:val="standard"/>
      </w:pPr>
      <w:r w:rsidRPr="00485014">
        <w:t xml:space="preserve">As part of its enhanced collaboration and partnership efforts, the Commission held workshops/public forums </w:t>
      </w:r>
      <w:r w:rsidR="00C57DBF">
        <w:t xml:space="preserve">throughout the state </w:t>
      </w:r>
      <w:r w:rsidRPr="00485014">
        <w:t xml:space="preserve">in March 2018 in order to </w:t>
      </w:r>
      <w:r w:rsidR="00C57DBF">
        <w:t>solicit</w:t>
      </w:r>
      <w:r w:rsidR="00C57DBF" w:rsidRPr="00485014">
        <w:t xml:space="preserve"> </w:t>
      </w:r>
      <w:r w:rsidRPr="00485014">
        <w:t>input on the implementation of these program changes, learn of existing carrier commitments, and develop partnerships for regional solutions.</w:t>
      </w:r>
      <w:r w:rsidRPr="00485014">
        <w:rPr>
          <w:vertAlign w:val="superscript"/>
        </w:rPr>
        <w:footnoteReference w:id="8"/>
      </w:r>
    </w:p>
    <w:p w:rsidR="00AF1C22" w:rsidRPr="00AF1C22" w:rsidRDefault="00AF1C22" w:rsidP="00AF1C22">
      <w:pPr>
        <w:pStyle w:val="standard"/>
      </w:pPr>
      <w:r w:rsidRPr="00350D99">
        <w:t>Appendices 1, 2 and 3 of this decision have been revised and updated in response to parties’ comments</w:t>
      </w:r>
      <w:r w:rsidR="005A48E9">
        <w:t xml:space="preserve"> and</w:t>
      </w:r>
      <w:r w:rsidR="005A48E9" w:rsidRPr="00350D99">
        <w:t xml:space="preserve"> </w:t>
      </w:r>
      <w:r w:rsidRPr="00350D99">
        <w:t>reply comments</w:t>
      </w:r>
      <w:r w:rsidR="005A48E9">
        <w:t>,</w:t>
      </w:r>
      <w:r w:rsidRPr="00350D99">
        <w:t xml:space="preserve"> a</w:t>
      </w:r>
      <w:r w:rsidR="005E3391">
        <w:t xml:space="preserve">nd based on </w:t>
      </w:r>
      <w:r w:rsidR="00C57DBF">
        <w:t xml:space="preserve">feedback from </w:t>
      </w:r>
      <w:r w:rsidRPr="00350D99">
        <w:t>the workshops/public forums held in this proceeding</w:t>
      </w:r>
      <w:r w:rsidR="00D06819">
        <w:t>.</w:t>
      </w:r>
    </w:p>
    <w:p w:rsidR="00AF1C22" w:rsidRDefault="00AF1C22" w:rsidP="00AF1C22">
      <w:pPr>
        <w:pStyle w:val="Heading1"/>
        <w:keepLines/>
        <w:widowControl w:val="0"/>
        <w:tabs>
          <w:tab w:val="clear" w:pos="450"/>
          <w:tab w:val="num" w:pos="720"/>
        </w:tabs>
        <w:ind w:left="720" w:hanging="720"/>
      </w:pPr>
      <w:bookmarkStart w:id="8" w:name="_Toc514152976"/>
      <w:r>
        <w:t>Adoption Account Rules and Requirements</w:t>
      </w:r>
      <w:bookmarkEnd w:id="8"/>
    </w:p>
    <w:p w:rsidR="00617664" w:rsidRDefault="00AF1C22">
      <w:pPr>
        <w:pStyle w:val="standard"/>
      </w:pPr>
      <w:r w:rsidRPr="00CB40E2">
        <w:t xml:space="preserve">In this decision, we adopt rules, application requirements and guidelines </w:t>
      </w:r>
      <w:r>
        <w:t>for</w:t>
      </w:r>
      <w:r w:rsidRPr="00CB40E2">
        <w:t xml:space="preserve"> the new Adoption Account, as summarized belo</w:t>
      </w:r>
      <w:r w:rsidR="00D06819">
        <w:t>w and set forth in Appendix </w:t>
      </w:r>
      <w:r w:rsidRPr="00CB40E2">
        <w:t>1.</w:t>
      </w:r>
    </w:p>
    <w:p w:rsidR="00617664" w:rsidRDefault="00AF1C22" w:rsidP="009A00FB">
      <w:pPr>
        <w:pStyle w:val="Heading2"/>
      </w:pPr>
      <w:bookmarkStart w:id="9" w:name="_Toc514152977"/>
      <w:r>
        <w:lastRenderedPageBreak/>
        <w:t>G</w:t>
      </w:r>
      <w:r w:rsidRPr="009A00FB">
        <w:t>o</w:t>
      </w:r>
      <w:r>
        <w:t xml:space="preserve">al for </w:t>
      </w:r>
      <w:r w:rsidR="00503ADE">
        <w:t xml:space="preserve">the </w:t>
      </w:r>
      <w:r>
        <w:t>Adoption Account</w:t>
      </w:r>
      <w:bookmarkEnd w:id="9"/>
    </w:p>
    <w:p w:rsidR="00617664" w:rsidRDefault="00AF1C22">
      <w:pPr>
        <w:pStyle w:val="standard"/>
      </w:pPr>
      <w:r w:rsidRPr="00CB40E2">
        <w:t>AB 1665 requires the Commission to give preference to programs in communities with demonstrated low broadband access.</w:t>
      </w:r>
      <w:r w:rsidRPr="00CB40E2">
        <w:rPr>
          <w:vertAlign w:val="superscript"/>
        </w:rPr>
        <w:footnoteReference w:id="9"/>
      </w:r>
      <w:r w:rsidRPr="00CB40E2">
        <w:t xml:space="preserve">  AB 1665 does not prescribe an adoption </w:t>
      </w:r>
      <w:r w:rsidR="000C4283" w:rsidRPr="00CB40E2">
        <w:t>goal;</w:t>
      </w:r>
      <w:r w:rsidRPr="00CB40E2">
        <w:t xml:space="preserve"> </w:t>
      </w:r>
      <w:r>
        <w:t>however,</w:t>
      </w:r>
      <w:r w:rsidRPr="00CB40E2">
        <w:t xml:space="preserve"> the Commission </w:t>
      </w:r>
      <w:r>
        <w:t>does have the obligation to</w:t>
      </w:r>
      <w:r w:rsidRPr="00CB40E2">
        <w:t xml:space="preserve"> report on “broadband adoption levels” and “the number of formerly unserved households subscribing to broadband service in areas covered by projects funded by the CASF.”</w:t>
      </w:r>
      <w:r w:rsidRPr="00CB40E2">
        <w:rPr>
          <w:vertAlign w:val="superscript"/>
        </w:rPr>
        <w:footnoteReference w:id="10"/>
      </w:r>
      <w:r w:rsidRPr="00CB40E2">
        <w:t xml:space="preserve">  The draft Staff Proposal did not include an adoption goal for this account, but requested parties to help determine </w:t>
      </w:r>
      <w:r w:rsidR="00503ADE">
        <w:t>a</w:t>
      </w:r>
      <w:r w:rsidR="00503ADE" w:rsidRPr="00CB40E2">
        <w:t xml:space="preserve"> </w:t>
      </w:r>
      <w:r w:rsidRPr="00CB40E2">
        <w:t xml:space="preserve">goal for </w:t>
      </w:r>
      <w:r w:rsidR="00503ADE">
        <w:t>the</w:t>
      </w:r>
      <w:r w:rsidR="00503ADE" w:rsidRPr="00CB40E2">
        <w:t xml:space="preserve"> </w:t>
      </w:r>
      <w:r w:rsidR="00503ADE">
        <w:t>A</w:t>
      </w:r>
      <w:r w:rsidRPr="00CB40E2">
        <w:t xml:space="preserve">doption </w:t>
      </w:r>
      <w:r w:rsidR="00503ADE">
        <w:t>Account</w:t>
      </w:r>
      <w:r w:rsidRPr="00CB40E2">
        <w:t>.</w:t>
      </w:r>
    </w:p>
    <w:p w:rsidR="00617664" w:rsidRPr="005D7D31" w:rsidRDefault="00AF1C22" w:rsidP="005D7D31">
      <w:pPr>
        <w:pStyle w:val="Heading3"/>
      </w:pPr>
      <w:bookmarkStart w:id="10" w:name="_Toc514152978"/>
      <w:r w:rsidRPr="005D7D31">
        <w:t>Parties’ Comments</w:t>
      </w:r>
      <w:bookmarkEnd w:id="10"/>
    </w:p>
    <w:p w:rsidR="00AF1C22" w:rsidRPr="00CB40E2" w:rsidRDefault="00AF1C22" w:rsidP="00AF1C22">
      <w:pPr>
        <w:pStyle w:val="standard"/>
      </w:pPr>
      <w:r w:rsidRPr="00CB40E2">
        <w:t xml:space="preserve">In its opening comments, </w:t>
      </w:r>
      <w:r w:rsidRPr="004E31A3">
        <w:t xml:space="preserve">the Commission’s Office of Ratepayer Advocates (ORA) proposes </w:t>
      </w:r>
      <w:r w:rsidR="00503ADE">
        <w:t xml:space="preserve">that </w:t>
      </w:r>
      <w:r w:rsidRPr="00CB40E2">
        <w:t>“the Commission could consider tying the goal of the Broadband Adoption Account to the overarching goal of the CASF program,…by adopting rules for the Broadband Adoption Account to prioritize funding to communities in consortia regions which have not yet met the 98 percent access</w:t>
      </w:r>
      <w:r w:rsidRPr="00CB40E2">
        <w:rPr>
          <w:vertAlign w:val="superscript"/>
        </w:rPr>
        <w:footnoteReference w:id="11"/>
      </w:r>
      <w:r w:rsidRPr="00CB40E2">
        <w:t xml:space="preserve"> [sic] goal.”</w:t>
      </w:r>
      <w:r w:rsidRPr="00CB40E2">
        <w:rPr>
          <w:vertAlign w:val="superscript"/>
        </w:rPr>
        <w:footnoteReference w:id="12"/>
      </w:r>
      <w:r w:rsidRPr="00CB40E2">
        <w:t xml:space="preserve">  Additionally, if the Commission decides not </w:t>
      </w:r>
      <w:r w:rsidR="00503ADE">
        <w:t xml:space="preserve">to </w:t>
      </w:r>
      <w:r w:rsidRPr="00CB40E2">
        <w:t>tie the two accounts together, ORA suggests an adoption goal of reaching at least 73 percent adoption r</w:t>
      </w:r>
      <w:r w:rsidR="003326C5">
        <w:t>ate for each consortia region.</w:t>
      </w:r>
    </w:p>
    <w:p w:rsidR="00AF1C22" w:rsidRPr="00CB40E2" w:rsidRDefault="00AF1C22" w:rsidP="00AF1C22">
      <w:pPr>
        <w:pStyle w:val="standard"/>
      </w:pPr>
      <w:r w:rsidRPr="00CB40E2">
        <w:lastRenderedPageBreak/>
        <w:t xml:space="preserve">Various parties </w:t>
      </w:r>
      <w:r w:rsidRPr="008D16B2">
        <w:t>including the CETF</w:t>
      </w:r>
      <w:r w:rsidRPr="008D16B2">
        <w:rPr>
          <w:vertAlign w:val="superscript"/>
        </w:rPr>
        <w:footnoteReference w:id="13"/>
      </w:r>
      <w:r w:rsidRPr="008D16B2">
        <w:t xml:space="preserve"> and the NBNCBC</w:t>
      </w:r>
      <w:r w:rsidRPr="008D16B2">
        <w:rPr>
          <w:vertAlign w:val="superscript"/>
        </w:rPr>
        <w:footnoteReference w:id="14"/>
      </w:r>
      <w:r w:rsidR="003326C5">
        <w:t xml:space="preserve"> </w:t>
      </w:r>
      <w:r w:rsidRPr="00CB40E2">
        <w:t>oppose prioritizing funding to consortia regions who have not yet reached the 98 percent deployment goal.  CETF notes that the vast majority of unconnected and under</w:t>
      </w:r>
      <w:r w:rsidR="00B34BCE">
        <w:noBreakHyphen/>
      </w:r>
      <w:r w:rsidRPr="00CB40E2">
        <w:t>connected low</w:t>
      </w:r>
      <w:r w:rsidR="00B34BCE">
        <w:noBreakHyphen/>
      </w:r>
      <w:r w:rsidRPr="00CB40E2">
        <w:t>income households are in urban areas where broadband is likely available.</w:t>
      </w:r>
      <w:r w:rsidRPr="00CB40E2">
        <w:rPr>
          <w:vertAlign w:val="superscript"/>
        </w:rPr>
        <w:footnoteReference w:id="15"/>
      </w:r>
      <w:r w:rsidRPr="00CB40E2">
        <w:t xml:space="preserve">  NBNCB</w:t>
      </w:r>
      <w:r w:rsidR="005A48E9">
        <w:t>C</w:t>
      </w:r>
      <w:r w:rsidRPr="00CB40E2">
        <w:t xml:space="preserve"> believes</w:t>
      </w:r>
      <w:r w:rsidR="00503ADE">
        <w:t xml:space="preserve"> that</w:t>
      </w:r>
      <w:r w:rsidRPr="00CB40E2">
        <w:t xml:space="preserve"> “projects should be scored based on the need for that particular project in that area, not the region’s overall broadband rate.  Projects should be evaluated on their own merit and not based on larger regional trends.”</w:t>
      </w:r>
      <w:r w:rsidRPr="00CB40E2">
        <w:rPr>
          <w:vertAlign w:val="superscript"/>
        </w:rPr>
        <w:footnoteReference w:id="16"/>
      </w:r>
      <w:r w:rsidRPr="00CB40E2">
        <w:t xml:space="preserve">  </w:t>
      </w:r>
    </w:p>
    <w:p w:rsidR="00617664" w:rsidRDefault="00AF1C22" w:rsidP="00AF1C22">
      <w:pPr>
        <w:pStyle w:val="standard"/>
      </w:pPr>
      <w:r w:rsidRPr="00CB40E2">
        <w:t>CETF also opposes ORA’s 73 percent adoption goal as it is lower than the state wide average of 84 percent.</w:t>
      </w:r>
      <w:r w:rsidRPr="00CB40E2">
        <w:rPr>
          <w:vertAlign w:val="superscript"/>
        </w:rPr>
        <w:footnoteReference w:id="17"/>
      </w:r>
      <w:r w:rsidRPr="00CB40E2">
        <w:t xml:space="preserve">  CETF proposes a 90 percent adoption goal by 2023 instead.</w:t>
      </w:r>
      <w:r w:rsidRPr="00CB40E2">
        <w:rPr>
          <w:vertAlign w:val="superscript"/>
        </w:rPr>
        <w:footnoteReference w:id="18"/>
      </w:r>
      <w:r w:rsidRPr="00CB40E2">
        <w:t xml:space="preserve">  Finally, CETF states that if the Commission wishes to prioritize, it should target those regions that have adoption rates below the statewide average (84 percent).</w:t>
      </w:r>
      <w:r w:rsidRPr="00CB40E2">
        <w:rPr>
          <w:vertAlign w:val="superscript"/>
        </w:rPr>
        <w:footnoteReference w:id="19"/>
      </w:r>
    </w:p>
    <w:p w:rsidR="00AF1C22" w:rsidRDefault="00AF1C22" w:rsidP="005D7D31">
      <w:pPr>
        <w:pStyle w:val="Heading3"/>
      </w:pPr>
      <w:bookmarkStart w:id="11" w:name="_Toc514152979"/>
      <w:r>
        <w:t>Discussion</w:t>
      </w:r>
      <w:bookmarkEnd w:id="11"/>
      <w:r>
        <w:t xml:space="preserve"> </w:t>
      </w:r>
    </w:p>
    <w:p w:rsidR="00AF1C22" w:rsidRPr="00CB40E2" w:rsidRDefault="00AF1C22" w:rsidP="00AF1C22">
      <w:pPr>
        <w:pStyle w:val="standard"/>
      </w:pPr>
      <w:r w:rsidRPr="00FA27C6">
        <w:t xml:space="preserve">We do not believe it is necessary to adopt a specific goal for the Adoption Account.  The Guidelines set forth in Appendix 1 are consistent with the intent </w:t>
      </w:r>
      <w:r w:rsidRPr="00FA27C6">
        <w:lastRenderedPageBreak/>
        <w:t xml:space="preserve">and objectives of the Adoption Account </w:t>
      </w:r>
      <w:r w:rsidR="003326C5">
        <w:t>as stated in in Pub. Util. Code</w:t>
      </w:r>
      <w:r w:rsidRPr="00FA27C6">
        <w:t xml:space="preserve"> § 281(j)(1) and (j)(5).  </w:t>
      </w:r>
    </w:p>
    <w:p w:rsidR="00AF1C22" w:rsidRPr="00CB40E2" w:rsidRDefault="00AF1C22" w:rsidP="00AF1C22">
      <w:pPr>
        <w:pStyle w:val="standard"/>
      </w:pPr>
      <w:r w:rsidRPr="00CB40E2">
        <w:t xml:space="preserve">We do not agree with ORA’s </w:t>
      </w:r>
      <w:r>
        <w:t>proposal</w:t>
      </w:r>
      <w:r w:rsidRPr="00CB40E2">
        <w:t xml:space="preserve"> to adopt rules t</w:t>
      </w:r>
      <w:r>
        <w:t>hat</w:t>
      </w:r>
      <w:r w:rsidRPr="00CB40E2">
        <w:t xml:space="preserve"> prioritize funding in consortia regions which have not yet met the CASF 98 percent deployment goal.  ORA’s definition of “broadband access” is inconsistent with our interpretation of “broadband access” in the context of the Adoption Account, which is the rate of household broadband subscription as defined in the Definitions section in Appendi</w:t>
      </w:r>
      <w:r w:rsidR="003326C5">
        <w:t xml:space="preserve">x 1.  </w:t>
      </w:r>
    </w:p>
    <w:p w:rsidR="00AF1C22" w:rsidRDefault="00AF1C22" w:rsidP="00AF1C22">
      <w:pPr>
        <w:pStyle w:val="sub2"/>
      </w:pPr>
      <w:r>
        <w:t>We also</w:t>
      </w:r>
      <w:r w:rsidRPr="00CB40E2">
        <w:t xml:space="preserve"> agree with CETF and NBNCB that low adoption rates </w:t>
      </w:r>
      <w:r>
        <w:t>are an issue in</w:t>
      </w:r>
      <w:r w:rsidRPr="00CB40E2">
        <w:t xml:space="preserve"> both an urban and rural </w:t>
      </w:r>
      <w:r>
        <w:t>areas.</w:t>
      </w:r>
      <w:r w:rsidRPr="00CB40E2">
        <w:rPr>
          <w:vertAlign w:val="superscript"/>
        </w:rPr>
        <w:footnoteReference w:id="20"/>
      </w:r>
      <w:r w:rsidRPr="00CB40E2">
        <w:t xml:space="preserve">  In addition, we agree with CETF that ORA’s 73 percent adoption goal is too low;</w:t>
      </w:r>
      <w:r w:rsidRPr="00CB40E2">
        <w:rPr>
          <w:vertAlign w:val="superscript"/>
        </w:rPr>
        <w:footnoteReference w:id="21"/>
      </w:r>
      <w:r w:rsidRPr="00CB40E2">
        <w:t xml:space="preserve"> however, the funds available for the Adoption Account is insufficient to achieve CETF’s 90 percent adoption goal.</w:t>
      </w:r>
      <w:r w:rsidRPr="00CB40E2">
        <w:rPr>
          <w:vertAlign w:val="superscript"/>
        </w:rPr>
        <w:footnoteReference w:id="22"/>
      </w:r>
      <w:r w:rsidRPr="00CB40E2">
        <w:t xml:space="preserve">  The number of subscriptions to broadband service has been growing annually in California and adoption will inevitably increase</w:t>
      </w:r>
      <w:r>
        <w:t>.</w:t>
      </w:r>
      <w:r w:rsidRPr="00CB40E2">
        <w:rPr>
          <w:vertAlign w:val="superscript"/>
        </w:rPr>
        <w:footnoteReference w:id="23"/>
      </w:r>
      <w:r w:rsidRPr="00CB40E2">
        <w:t xml:space="preserve"> </w:t>
      </w:r>
      <w:r w:rsidR="00E4254F">
        <w:t xml:space="preserve"> </w:t>
      </w:r>
      <w:r>
        <w:t>T</w:t>
      </w:r>
      <w:r w:rsidRPr="00B470D4">
        <w:t xml:space="preserve">here will, however, continue to be a disparity of adoption between </w:t>
      </w:r>
      <w:r w:rsidRPr="00CB40E2">
        <w:t>various socio</w:t>
      </w:r>
      <w:r w:rsidR="00B34BCE">
        <w:noBreakHyphen/>
      </w:r>
      <w:r w:rsidRPr="00CB40E2">
        <w:t xml:space="preserve">economic groups.  The intent of AB 1665 is that verifiable and measurable progress be made to improve </w:t>
      </w:r>
      <w:r w:rsidRPr="00CB40E2">
        <w:lastRenderedPageBreak/>
        <w:t>broadband adoption.  We direct staff to identify a baseline adoption</w:t>
      </w:r>
      <w:r w:rsidR="005A48E9">
        <w:t xml:space="preserve"> analysis</w:t>
      </w:r>
      <w:r w:rsidRPr="00CB40E2">
        <w:t xml:space="preserve"> </w:t>
      </w:r>
      <w:r w:rsidR="0069763B">
        <w:t xml:space="preserve">and gap analysis </w:t>
      </w:r>
      <w:r w:rsidRPr="00CB40E2">
        <w:t xml:space="preserve">by at least statewide average, consortia region, and county. </w:t>
      </w:r>
      <w:r w:rsidR="003326C5">
        <w:t xml:space="preserve"> </w:t>
      </w:r>
      <w:r w:rsidRPr="00CB40E2">
        <w:t xml:space="preserve">Staff will investigate whether this analysis can and should include </w:t>
      </w:r>
      <w:r w:rsidR="00470FEE">
        <w:t xml:space="preserve">other </w:t>
      </w:r>
      <w:r w:rsidRPr="00CB40E2">
        <w:t xml:space="preserve">demographic barriers to adoption such as age, </w:t>
      </w:r>
      <w:r w:rsidR="009611FD">
        <w:t xml:space="preserve">speaking a primary language other than </w:t>
      </w:r>
      <w:r>
        <w:t>English</w:t>
      </w:r>
      <w:r w:rsidRPr="00CB40E2">
        <w:t>, income, and education.</w:t>
      </w:r>
      <w:r w:rsidR="009F497F" w:rsidRPr="009F497F">
        <w:t xml:space="preserve"> </w:t>
      </w:r>
      <w:r w:rsidR="009F497F">
        <w:t xml:space="preserve"> To the extent feasible, the analysis will make available subscription and adoption data in disaggregated ranges less than 20%.</w:t>
      </w:r>
      <w:r w:rsidR="00351F5E">
        <w:t xml:space="preserve">  The analysis is to be completed no later than one year from the adoption of this Decision.</w:t>
      </w:r>
      <w:r w:rsidRPr="00CB40E2">
        <w:t xml:space="preserve"> </w:t>
      </w:r>
      <w:r w:rsidR="003326C5">
        <w:t xml:space="preserve"> </w:t>
      </w:r>
      <w:r w:rsidR="003334BF">
        <w:t xml:space="preserve">In addition, </w:t>
      </w:r>
      <w:r w:rsidR="00351F5E">
        <w:t>s</w:t>
      </w:r>
      <w:r w:rsidR="00351F5E" w:rsidRPr="00351F5E">
        <w:t>hould staff find it necessary, staff may solicit applications for an entity to conduct a single statewide adoption analysis not to exceed $1 million dollars.</w:t>
      </w:r>
      <w:r w:rsidR="00351F5E">
        <w:t xml:space="preserve">  </w:t>
      </w:r>
      <w:r w:rsidRPr="00CB40E2">
        <w:t>These numbers may or may not</w:t>
      </w:r>
      <w:r w:rsidR="00323D96">
        <w:t xml:space="preserve"> comport with the CETF study 84 </w:t>
      </w:r>
      <w:r w:rsidRPr="00CB40E2">
        <w:t>percent number.</w:t>
      </w:r>
    </w:p>
    <w:p w:rsidR="00AF1C22" w:rsidRDefault="00AF1C22" w:rsidP="009A00FB">
      <w:pPr>
        <w:pStyle w:val="Heading2"/>
      </w:pPr>
      <w:bookmarkStart w:id="12" w:name="_Toc514152980"/>
      <w:r>
        <w:t>Preference</w:t>
      </w:r>
      <w:bookmarkEnd w:id="12"/>
    </w:p>
    <w:p w:rsidR="00AF1C22" w:rsidRDefault="003326C5" w:rsidP="00AF1C22">
      <w:pPr>
        <w:pStyle w:val="sub1"/>
      </w:pPr>
      <w:r>
        <w:t>Pub. Util. Code</w:t>
      </w:r>
      <w:r w:rsidR="00AF1C22" w:rsidRPr="00CB40E2">
        <w:t xml:space="preserve"> § 281(j)(5) requires the Commission to give preference to certain communities for the Adoption Account, includ</w:t>
      </w:r>
      <w:r w:rsidR="005A48E9">
        <w:t>ing</w:t>
      </w:r>
      <w:r w:rsidR="00AF1C22" w:rsidRPr="00CB40E2">
        <w:t xml:space="preserve"> low</w:t>
      </w:r>
      <w:r w:rsidR="00B34BCE">
        <w:noBreakHyphen/>
      </w:r>
      <w:r w:rsidR="00AF1C22" w:rsidRPr="00CB40E2">
        <w:t>income and senior communities, and communities facing socioeconomic barriers to broadband adoption.</w:t>
      </w:r>
    </w:p>
    <w:p w:rsidR="00AF1C22" w:rsidRDefault="00AF1C22" w:rsidP="005D7D31">
      <w:pPr>
        <w:pStyle w:val="Heading3"/>
      </w:pPr>
      <w:bookmarkStart w:id="13" w:name="_Toc514152981"/>
      <w:r>
        <w:t>Parties’ Comments</w:t>
      </w:r>
      <w:bookmarkEnd w:id="13"/>
    </w:p>
    <w:p w:rsidR="00AF1C22" w:rsidRPr="00CB40E2" w:rsidRDefault="00AF1C22" w:rsidP="00AF1C22">
      <w:pPr>
        <w:pStyle w:val="standard"/>
      </w:pPr>
      <w:r w:rsidRPr="00CB40E2">
        <w:t xml:space="preserve">Various parties submitted comments regarding additional preferences for the Commission to consider.  ORA argues </w:t>
      </w:r>
      <w:r w:rsidR="00503ADE">
        <w:t>that</w:t>
      </w:r>
      <w:r w:rsidR="00503ADE" w:rsidRPr="00CB40E2">
        <w:t xml:space="preserve"> </w:t>
      </w:r>
      <w:r w:rsidRPr="00CB40E2">
        <w:t>preference</w:t>
      </w:r>
      <w:r w:rsidR="00503ADE">
        <w:t xml:space="preserve"> should be given</w:t>
      </w:r>
      <w:r w:rsidRPr="00CB40E2">
        <w:t xml:space="preserve"> to communities with low broadband subscription rates only after giving preference to communities with low broadband access, reiterating </w:t>
      </w:r>
      <w:r w:rsidR="00503ADE">
        <w:t>the importance of</w:t>
      </w:r>
      <w:r w:rsidR="005A48E9" w:rsidRPr="00CB40E2">
        <w:t xml:space="preserve"> </w:t>
      </w:r>
      <w:r w:rsidRPr="00CB40E2">
        <w:t>tying the Adoption Account to the CASF 98 percent deployment goal.</w:t>
      </w:r>
      <w:r>
        <w:rPr>
          <w:rStyle w:val="FootnoteReference"/>
        </w:rPr>
        <w:footnoteReference w:id="24"/>
      </w:r>
      <w:r w:rsidRPr="00CB40E2">
        <w:t xml:space="preserve">   CETF argues </w:t>
      </w:r>
      <w:r w:rsidRPr="00CB40E2">
        <w:lastRenderedPageBreak/>
        <w:t>that urban areas with “relatively high broadband availability…have significant socioeconomic barriers to broadband adoption.”</w:t>
      </w:r>
      <w:r w:rsidRPr="00CB40E2">
        <w:rPr>
          <w:vertAlign w:val="superscript"/>
        </w:rPr>
        <w:footnoteReference w:id="25"/>
      </w:r>
      <w:r w:rsidRPr="00CB40E2">
        <w:t xml:space="preserve">  NBNCB</w:t>
      </w:r>
      <w:r w:rsidR="005A48E9">
        <w:t>C</w:t>
      </w:r>
      <w:r w:rsidRPr="00CB40E2">
        <w:t xml:space="preserve"> states the need to assess projects based on their own merit.</w:t>
      </w:r>
      <w:r>
        <w:rPr>
          <w:rStyle w:val="FootnoteReference"/>
        </w:rPr>
        <w:footnoteReference w:id="26"/>
      </w:r>
    </w:p>
    <w:p w:rsidR="00AF1C22" w:rsidRDefault="00AF1C22" w:rsidP="00AF1C22">
      <w:pPr>
        <w:pStyle w:val="sub1"/>
      </w:pPr>
      <w:r w:rsidRPr="00CB40E2">
        <w:t xml:space="preserve">ORA and </w:t>
      </w:r>
      <w:r w:rsidR="00503ADE">
        <w:t>the City of Chico (</w:t>
      </w:r>
      <w:r w:rsidRPr="00CB40E2">
        <w:t>Chico</w:t>
      </w:r>
      <w:r w:rsidR="00503ADE">
        <w:t>)</w:t>
      </w:r>
      <w:r w:rsidRPr="00CB40E2">
        <w:t xml:space="preserve"> support </w:t>
      </w:r>
      <w:r w:rsidR="00503ADE">
        <w:t>prioritizing</w:t>
      </w:r>
      <w:r w:rsidR="00503ADE" w:rsidRPr="00CB40E2">
        <w:t xml:space="preserve"> </w:t>
      </w:r>
      <w:r w:rsidRPr="00CB40E2">
        <w:t xml:space="preserve">rural areas.  Chico recommends setting aside a percentage of </w:t>
      </w:r>
      <w:r w:rsidR="00503ADE">
        <w:t xml:space="preserve">the </w:t>
      </w:r>
      <w:r w:rsidRPr="00CB40E2">
        <w:t xml:space="preserve">total </w:t>
      </w:r>
      <w:r w:rsidR="00503ADE">
        <w:t xml:space="preserve">$20 million </w:t>
      </w:r>
      <w:r w:rsidRPr="00CB40E2">
        <w:t>grant funding for rural areas.  CETF “does not favor a set aside” and believes</w:t>
      </w:r>
      <w:r w:rsidR="00503ADE">
        <w:t xml:space="preserve"> that</w:t>
      </w:r>
      <w:r w:rsidRPr="00CB40E2">
        <w:t xml:space="preserve"> “a focus on performance – rural and urban – will serve the state better.”</w:t>
      </w:r>
      <w:r w:rsidRPr="00CB40E2">
        <w:rPr>
          <w:vertAlign w:val="superscript"/>
        </w:rPr>
        <w:footnoteReference w:id="27"/>
      </w:r>
      <w:r w:rsidRPr="00CB40E2">
        <w:t xml:space="preserve">  Both Frontier and ORA agree that the Adoption Account rules “should prioritize programs that make CASF infrastructure grants viable.”</w:t>
      </w:r>
      <w:r w:rsidRPr="00CB40E2">
        <w:rPr>
          <w:vertAlign w:val="superscript"/>
        </w:rPr>
        <w:footnoteReference w:id="28"/>
      </w:r>
      <w:r w:rsidRPr="00CB40E2">
        <w:t xml:space="preserve">  However, CETF opposes such a prioritization as it would primarily favor incumbent </w:t>
      </w:r>
      <w:r w:rsidR="00CC0E69">
        <w:t>Internet Service Providers (</w:t>
      </w:r>
      <w:r w:rsidRPr="00CB40E2">
        <w:t>ISPs</w:t>
      </w:r>
      <w:r w:rsidR="00CC0E69">
        <w:t>)</w:t>
      </w:r>
      <w:r w:rsidRPr="00CB40E2">
        <w:t>.</w:t>
      </w:r>
      <w:r w:rsidRPr="00CB40E2">
        <w:rPr>
          <w:vertAlign w:val="superscript"/>
        </w:rPr>
        <w:footnoteReference w:id="29"/>
      </w:r>
    </w:p>
    <w:p w:rsidR="00AF1C22" w:rsidRDefault="00AF1C22" w:rsidP="005D7D31">
      <w:pPr>
        <w:pStyle w:val="Heading3"/>
      </w:pPr>
      <w:bookmarkStart w:id="14" w:name="_Toc514152982"/>
      <w:r>
        <w:t>Discussion</w:t>
      </w:r>
      <w:bookmarkEnd w:id="14"/>
    </w:p>
    <w:p w:rsidR="00AF1C22" w:rsidRPr="00CB40E2" w:rsidRDefault="00AF1C22" w:rsidP="00AF1C22">
      <w:pPr>
        <w:pStyle w:val="standard"/>
      </w:pPr>
      <w:r w:rsidRPr="00540EBB">
        <w:t xml:space="preserve">We do not believe that </w:t>
      </w:r>
      <w:r w:rsidRPr="00CB40E2">
        <w:t xml:space="preserve">ORA’s proposal to give preference to low broadband availability regions first </w:t>
      </w:r>
      <w:r w:rsidRPr="00540EBB">
        <w:t>is consistent with the statute</w:t>
      </w:r>
      <w:r w:rsidRPr="00CB40E2">
        <w:t>.  Additionally, as noted by CETF, there are areas throughout the state with relatively high broadband availability and lo</w:t>
      </w:r>
      <w:r w:rsidR="00E4254F">
        <w:t>w broadband adoption rates.</w:t>
      </w:r>
    </w:p>
    <w:p w:rsidR="00AF1C22" w:rsidRPr="00CB40E2" w:rsidRDefault="00AF1C22" w:rsidP="00AF1C22">
      <w:pPr>
        <w:pStyle w:val="standard"/>
      </w:pPr>
      <w:r w:rsidRPr="00CB40E2">
        <w:t xml:space="preserve">Appendix 1 is consistent with the intent and objective of the Adoption Account as stated in Pub. Util. Code § 281(j)(1) and (j)(5).  </w:t>
      </w:r>
      <w:r w:rsidRPr="00540EBB">
        <w:t xml:space="preserve">However, </w:t>
      </w:r>
      <w:r>
        <w:t>i</w:t>
      </w:r>
      <w:r w:rsidRPr="001A0376">
        <w:t xml:space="preserve">n order to ensure that </w:t>
      </w:r>
      <w:r w:rsidR="00503ADE">
        <w:t xml:space="preserve">funds from the </w:t>
      </w:r>
      <w:r w:rsidRPr="001A0376">
        <w:t xml:space="preserve">Broadband Adoption Account are allocated </w:t>
      </w:r>
      <w:r w:rsidRPr="001A0376">
        <w:lastRenderedPageBreak/>
        <w:t>throughout the state</w:t>
      </w:r>
      <w:r>
        <w:t>,</w:t>
      </w:r>
      <w:r w:rsidRPr="001A0376">
        <w:t xml:space="preserve"> only $5 million of the $20 million authorized </w:t>
      </w:r>
      <w:r w:rsidR="00725843">
        <w:t>will</w:t>
      </w:r>
      <w:r w:rsidR="00725843" w:rsidRPr="001A0376">
        <w:t xml:space="preserve"> </w:t>
      </w:r>
      <w:r w:rsidRPr="001A0376">
        <w:t xml:space="preserve">be awarded in the first application window and </w:t>
      </w:r>
      <w:r w:rsidR="00725843">
        <w:t>will</w:t>
      </w:r>
      <w:r w:rsidR="00725843" w:rsidRPr="001A0376">
        <w:t xml:space="preserve"> </w:t>
      </w:r>
      <w:r w:rsidRPr="001A0376">
        <w:t xml:space="preserve">serve as a pilot to determine the effectiveness of the Adoption </w:t>
      </w:r>
      <w:r w:rsidR="00C37EC1">
        <w:t xml:space="preserve">Account </w:t>
      </w:r>
      <w:r w:rsidRPr="001A0376">
        <w:t>strategy</w:t>
      </w:r>
      <w:r w:rsidRPr="00CB40E2">
        <w:t xml:space="preserve"> and assess demand</w:t>
      </w:r>
      <w:r w:rsidR="009611FD">
        <w:t xml:space="preserve"> for adoption funds</w:t>
      </w:r>
      <w:r w:rsidRPr="00CB40E2">
        <w:t xml:space="preserve">.  The Commission may revisit this </w:t>
      </w:r>
      <w:r w:rsidR="009611FD">
        <w:t>application window amount</w:t>
      </w:r>
      <w:r w:rsidRPr="00CB40E2">
        <w:t xml:space="preserve"> and assess the effectiveness of the Adoption Account after analyzing applications submitted in the f</w:t>
      </w:r>
      <w:r w:rsidR="005A7C99">
        <w:t>irst application window.</w:t>
      </w:r>
    </w:p>
    <w:p w:rsidR="00AF1C22" w:rsidRPr="00AF1C22" w:rsidRDefault="00AF1C22" w:rsidP="00AF1C22">
      <w:pPr>
        <w:pStyle w:val="sub2"/>
      </w:pPr>
      <w:r w:rsidRPr="00540EBB">
        <w:t xml:space="preserve">In order to ensure that </w:t>
      </w:r>
      <w:r w:rsidR="007619B3">
        <w:t xml:space="preserve">the </w:t>
      </w:r>
      <w:r w:rsidRPr="00540EBB">
        <w:t xml:space="preserve">Adoption Account Funds are equitably </w:t>
      </w:r>
      <w:r w:rsidRPr="001A0376">
        <w:t xml:space="preserve">distributed </w:t>
      </w:r>
      <w:r w:rsidR="00E4254F">
        <w:t>throughout the state</w:t>
      </w:r>
      <w:r w:rsidR="006E1CC8">
        <w:t>, the Commission</w:t>
      </w:r>
      <w:r w:rsidRPr="00CB40E2">
        <w:t xml:space="preserve"> </w:t>
      </w:r>
      <w:r w:rsidR="00C37EC1">
        <w:t>will</w:t>
      </w:r>
      <w:r w:rsidR="00C37EC1" w:rsidRPr="00CB40E2">
        <w:t xml:space="preserve"> </w:t>
      </w:r>
      <w:r w:rsidRPr="00CB40E2">
        <w:t>consider factors specified in the statute to prioritize projects for funding.  Preference will be given for projects serving low</w:t>
      </w:r>
      <w:r w:rsidR="00B34BCE">
        <w:noBreakHyphen/>
      </w:r>
      <w:r w:rsidRPr="00CB40E2">
        <w:t>income communities with a medi</w:t>
      </w:r>
      <w:r w:rsidR="00336DF2">
        <w:t>an</w:t>
      </w:r>
      <w:r w:rsidRPr="00CB40E2">
        <w:t xml:space="preserve"> household income </w:t>
      </w:r>
      <w:r w:rsidR="00102E05">
        <w:t xml:space="preserve">at or </w:t>
      </w:r>
      <w:r w:rsidR="00102E05" w:rsidRPr="00EA7316">
        <w:t xml:space="preserve">below the </w:t>
      </w:r>
      <w:r w:rsidR="00102E05">
        <w:t>C</w:t>
      </w:r>
      <w:r w:rsidR="002E7023">
        <w:t xml:space="preserve">alifornia </w:t>
      </w:r>
      <w:r w:rsidR="00102E05">
        <w:t>A</w:t>
      </w:r>
      <w:r w:rsidR="002E7023">
        <w:t xml:space="preserve">lternate </w:t>
      </w:r>
      <w:r w:rsidR="00102E05">
        <w:t>R</w:t>
      </w:r>
      <w:r w:rsidR="002E7023">
        <w:t xml:space="preserve">ates for </w:t>
      </w:r>
      <w:r w:rsidR="00102E05">
        <w:t>E</w:t>
      </w:r>
      <w:r w:rsidR="002E7023">
        <w:t>nergy (CARE)</w:t>
      </w:r>
      <w:r w:rsidR="001759B9">
        <w:t xml:space="preserve"> program </w:t>
      </w:r>
      <w:r w:rsidR="00102E05">
        <w:t>income limits for</w:t>
      </w:r>
      <w:r w:rsidR="00102E05" w:rsidRPr="00EA7316">
        <w:t xml:space="preserve"> </w:t>
      </w:r>
      <w:r w:rsidR="00102E05">
        <w:t xml:space="preserve">a </w:t>
      </w:r>
      <w:r w:rsidR="00102E05" w:rsidRPr="00EA7316">
        <w:t>household of four</w:t>
      </w:r>
      <w:r w:rsidR="002306E6">
        <w:t>;</w:t>
      </w:r>
      <w:r w:rsidR="00102E05" w:rsidRPr="00AF35A5">
        <w:rPr>
          <w:rStyle w:val="FootnoteReference"/>
          <w:rFonts w:ascii="Palatino Linotype" w:hAnsi="Palatino Linotype"/>
          <w:color w:val="000000" w:themeColor="text1"/>
          <w:szCs w:val="24"/>
        </w:rPr>
        <w:footnoteReference w:id="30"/>
      </w:r>
      <w:r w:rsidRPr="00CB40E2">
        <w:t xml:space="preserve"> projects serving a community with more than 50</w:t>
      </w:r>
      <w:r w:rsidR="00323D96">
        <w:t> </w:t>
      </w:r>
      <w:r w:rsidR="005A7C99">
        <w:t>percent</w:t>
      </w:r>
      <w:r w:rsidRPr="00CB40E2">
        <w:t xml:space="preserve"> of residents having limited English proficiency; projects serving a community with more than 50</w:t>
      </w:r>
      <w:r w:rsidR="005A7C99">
        <w:t xml:space="preserve"> percent</w:t>
      </w:r>
      <w:r w:rsidRPr="00CB40E2">
        <w:t xml:space="preserve"> of residents having only a high school diploma or less; projects serving a rural community; projects having community support, endorsements and/or partnerships; projects that offer internet access at low or no cost to the user; and projects serving a community with some other demonstrated disadvantage which affects broadband adoption as documented by </w:t>
      </w:r>
      <w:r w:rsidR="003557EA">
        <w:t xml:space="preserve">the </w:t>
      </w:r>
      <w:r w:rsidRPr="00CB40E2">
        <w:t xml:space="preserve">applicant.  Accordingly, we include a “Preference Checklist” to assist </w:t>
      </w:r>
      <w:r w:rsidR="001D1BB5">
        <w:t xml:space="preserve">the Commission in </w:t>
      </w:r>
      <w:r w:rsidRPr="00CB40E2">
        <w:t>the evaluation and prioritization of applications.  Applicants are required to complete the “Preference Checklist” as part of the application process.</w:t>
      </w:r>
    </w:p>
    <w:p w:rsidR="00AF1C22" w:rsidRDefault="00AF1C22" w:rsidP="009A00FB">
      <w:pPr>
        <w:pStyle w:val="Heading2"/>
      </w:pPr>
      <w:bookmarkStart w:id="15" w:name="_Toc514152983"/>
      <w:r>
        <w:lastRenderedPageBreak/>
        <w:t>Definitions</w:t>
      </w:r>
      <w:bookmarkEnd w:id="15"/>
    </w:p>
    <w:p w:rsidR="00AF1C22" w:rsidRDefault="00AF1C22" w:rsidP="00AF1C22">
      <w:pPr>
        <w:pStyle w:val="sub1"/>
      </w:pPr>
      <w:r w:rsidRPr="00CB40E2">
        <w:t>The draft Staff Proposal includes definitions applicable to the Adoption Account.</w:t>
      </w:r>
    </w:p>
    <w:p w:rsidR="00AF1C22" w:rsidRDefault="00A711E6" w:rsidP="005D7D31">
      <w:pPr>
        <w:pStyle w:val="Heading3"/>
      </w:pPr>
      <w:bookmarkStart w:id="16" w:name="_Toc514152984"/>
      <w:r>
        <w:t>Parties’ Comments</w:t>
      </w:r>
      <w:bookmarkEnd w:id="16"/>
    </w:p>
    <w:p w:rsidR="00A711E6" w:rsidRPr="00CB40E2" w:rsidRDefault="00A711E6" w:rsidP="00A711E6">
      <w:pPr>
        <w:pStyle w:val="standard"/>
      </w:pPr>
      <w:r w:rsidRPr="00CB40E2">
        <w:t xml:space="preserve">ORA proposes the following definition changes: </w:t>
      </w:r>
    </w:p>
    <w:p w:rsidR="00A711E6" w:rsidRPr="00CB40E2" w:rsidRDefault="00A711E6" w:rsidP="00B93DB0">
      <w:pPr>
        <w:pStyle w:val="standard"/>
        <w:numPr>
          <w:ilvl w:val="0"/>
          <w:numId w:val="7"/>
        </w:numPr>
        <w:spacing w:after="160" w:line="240" w:lineRule="auto"/>
        <w:ind w:left="1080" w:right="720"/>
      </w:pPr>
      <w:r w:rsidRPr="00CB40E2">
        <w:t>Define “low broadband access” according to the percentage of households with access (or availability) to safe and reliable broadband services and not solely according to subscription rates</w:t>
      </w:r>
      <w:r w:rsidR="003557EA">
        <w:t>;</w:t>
      </w:r>
      <w:r w:rsidRPr="00CB40E2">
        <w:rPr>
          <w:vertAlign w:val="superscript"/>
        </w:rPr>
        <w:footnoteReference w:id="31"/>
      </w:r>
      <w:r w:rsidRPr="00CB40E2">
        <w:t xml:space="preserve"> </w:t>
      </w:r>
    </w:p>
    <w:p w:rsidR="00A711E6" w:rsidRPr="00CB40E2" w:rsidRDefault="00A711E6" w:rsidP="00B93DB0">
      <w:pPr>
        <w:pStyle w:val="standard"/>
        <w:numPr>
          <w:ilvl w:val="0"/>
          <w:numId w:val="7"/>
        </w:numPr>
        <w:spacing w:after="160" w:line="240" w:lineRule="auto"/>
        <w:ind w:left="1080" w:right="720"/>
      </w:pPr>
      <w:r w:rsidRPr="00CB40E2">
        <w:t>Define “community” to include geographical boundaries or particular locations, and not “class or category of people</w:t>
      </w:r>
      <w:r w:rsidR="003557EA">
        <w:t>;</w:t>
      </w:r>
      <w:r w:rsidRPr="00CB40E2">
        <w:t>”</w:t>
      </w:r>
      <w:r w:rsidRPr="00CB40E2">
        <w:rPr>
          <w:vertAlign w:val="superscript"/>
        </w:rPr>
        <w:footnoteReference w:id="32"/>
      </w:r>
    </w:p>
    <w:p w:rsidR="00A711E6" w:rsidRPr="00CB40E2" w:rsidRDefault="00A711E6" w:rsidP="00B93DB0">
      <w:pPr>
        <w:pStyle w:val="standard"/>
        <w:numPr>
          <w:ilvl w:val="0"/>
          <w:numId w:val="7"/>
        </w:numPr>
        <w:spacing w:after="160" w:line="240" w:lineRule="auto"/>
        <w:ind w:left="1080" w:right="720"/>
      </w:pPr>
      <w:r w:rsidRPr="00CB40E2">
        <w:t>Defin</w:t>
      </w:r>
      <w:r w:rsidR="009A7EB9">
        <w:t>e</w:t>
      </w:r>
      <w:r w:rsidRPr="00CB40E2">
        <w:t xml:space="preserve"> “low</w:t>
      </w:r>
      <w:r w:rsidR="00B34BCE">
        <w:noBreakHyphen/>
      </w:r>
      <w:r w:rsidRPr="00CB40E2">
        <w:t xml:space="preserve">income communities” </w:t>
      </w:r>
      <w:r w:rsidR="009A7EB9">
        <w:t xml:space="preserve">as those </w:t>
      </w:r>
      <w:r w:rsidR="006D2A62">
        <w:t xml:space="preserve">with a </w:t>
      </w:r>
      <w:r w:rsidR="009611FD">
        <w:t xml:space="preserve">median </w:t>
      </w:r>
      <w:r w:rsidR="00210F23">
        <w:t xml:space="preserve">household </w:t>
      </w:r>
      <w:r w:rsidR="006D2A62">
        <w:t xml:space="preserve">income </w:t>
      </w:r>
      <w:r w:rsidR="009A7EB9">
        <w:t>meeting the CARE income limits for a</w:t>
      </w:r>
      <w:r w:rsidRPr="00CB40E2">
        <w:t xml:space="preserve"> “household of 4” not “family of 4</w:t>
      </w:r>
      <w:r w:rsidR="003557EA">
        <w:t>;</w:t>
      </w:r>
      <w:r w:rsidRPr="00CB40E2">
        <w:t>”</w:t>
      </w:r>
      <w:r w:rsidRPr="00CB40E2">
        <w:rPr>
          <w:vertAlign w:val="superscript"/>
        </w:rPr>
        <w:footnoteReference w:id="33"/>
      </w:r>
    </w:p>
    <w:p w:rsidR="00A711E6" w:rsidRPr="00CB40E2" w:rsidRDefault="00A711E6" w:rsidP="00B93DB0">
      <w:pPr>
        <w:pStyle w:val="standard"/>
        <w:numPr>
          <w:ilvl w:val="0"/>
          <w:numId w:val="7"/>
        </w:numPr>
        <w:spacing w:after="160" w:line="240" w:lineRule="auto"/>
        <w:ind w:left="1080" w:right="720"/>
      </w:pPr>
      <w:r w:rsidRPr="00CB40E2">
        <w:t>Abandon the “and/or” part of the definition of “communities with demonstrated low broadband access</w:t>
      </w:r>
      <w:r w:rsidR="003557EA">
        <w:t>;</w:t>
      </w:r>
      <w:r w:rsidRPr="00CB40E2">
        <w:t>”</w:t>
      </w:r>
      <w:r w:rsidRPr="00CB40E2">
        <w:rPr>
          <w:vertAlign w:val="superscript"/>
        </w:rPr>
        <w:footnoteReference w:id="34"/>
      </w:r>
    </w:p>
    <w:p w:rsidR="00A711E6" w:rsidRPr="00CB40E2" w:rsidRDefault="00A711E6" w:rsidP="00B93DB0">
      <w:pPr>
        <w:pStyle w:val="standard"/>
        <w:numPr>
          <w:ilvl w:val="0"/>
          <w:numId w:val="7"/>
        </w:numPr>
        <w:spacing w:after="160" w:line="240" w:lineRule="auto"/>
        <w:ind w:left="1080" w:right="720"/>
      </w:pPr>
      <w:r w:rsidRPr="00CB40E2">
        <w:t>Refine how to assess the appropriate income threshold to identify “low</w:t>
      </w:r>
      <w:r w:rsidR="00B34BCE">
        <w:noBreakHyphen/>
      </w:r>
      <w:r w:rsidRPr="00CB40E2">
        <w:t>income communities</w:t>
      </w:r>
      <w:r w:rsidR="003557EA">
        <w:t>;</w:t>
      </w:r>
      <w:r w:rsidRPr="00CB40E2">
        <w:t>”</w:t>
      </w:r>
      <w:r w:rsidRPr="00CB40E2">
        <w:rPr>
          <w:vertAlign w:val="superscript"/>
        </w:rPr>
        <w:footnoteReference w:id="35"/>
      </w:r>
      <w:r w:rsidRPr="00CB40E2">
        <w:t xml:space="preserve"> </w:t>
      </w:r>
      <w:r w:rsidR="003557EA">
        <w:t>and</w:t>
      </w:r>
    </w:p>
    <w:p w:rsidR="00A711E6" w:rsidRPr="00CB40E2" w:rsidRDefault="00A711E6" w:rsidP="00B93DB0">
      <w:pPr>
        <w:pStyle w:val="standard"/>
        <w:numPr>
          <w:ilvl w:val="0"/>
          <w:numId w:val="7"/>
        </w:numPr>
        <w:spacing w:after="160" w:line="240" w:lineRule="auto"/>
        <w:ind w:left="1080" w:right="720"/>
      </w:pPr>
      <w:r w:rsidRPr="00CB40E2">
        <w:t>Conduct analyses to estimate appropriate income threshold or consider allowing applicants to demonstrate low</w:t>
      </w:r>
      <w:r w:rsidR="00B34BCE">
        <w:noBreakHyphen/>
      </w:r>
      <w:r w:rsidRPr="00CB40E2">
        <w:t>income status in other ways.</w:t>
      </w:r>
      <w:r w:rsidRPr="00CB40E2">
        <w:rPr>
          <w:vertAlign w:val="superscript"/>
        </w:rPr>
        <w:footnoteReference w:id="36"/>
      </w:r>
    </w:p>
    <w:p w:rsidR="00A711E6" w:rsidRPr="00CB40E2" w:rsidRDefault="00A711E6" w:rsidP="00A711E6">
      <w:pPr>
        <w:pStyle w:val="standard"/>
      </w:pPr>
      <w:r w:rsidRPr="00CB40E2">
        <w:lastRenderedPageBreak/>
        <w:t>CETF opposes ORA’s proposed definition changes (#1, 3, 4, and 5), because the</w:t>
      </w:r>
      <w:r w:rsidR="00A447B5">
        <w:t xml:space="preserve"> changes</w:t>
      </w:r>
      <w:r w:rsidRPr="00CB40E2">
        <w:t xml:space="preserve"> may result in “additional restriction on eligibility” causing unintended consequences for projects that should be prioritized.</w:t>
      </w:r>
      <w:r w:rsidRPr="00CB40E2">
        <w:rPr>
          <w:vertAlign w:val="superscript"/>
        </w:rPr>
        <w:footnoteReference w:id="37"/>
      </w:r>
      <w:r w:rsidRPr="00CB40E2">
        <w:t xml:space="preserve"> </w:t>
      </w:r>
      <w:r w:rsidR="005A7C99">
        <w:t xml:space="preserve"> </w:t>
      </w:r>
      <w:r w:rsidRPr="00CB40E2">
        <w:t>NBNCBC also believes additional restrictions are not necessary.</w:t>
      </w:r>
      <w:r w:rsidRPr="00CB40E2">
        <w:rPr>
          <w:vertAlign w:val="superscript"/>
        </w:rPr>
        <w:footnoteReference w:id="38"/>
      </w:r>
    </w:p>
    <w:p w:rsidR="00A711E6" w:rsidRPr="00CB40E2" w:rsidRDefault="00A711E6" w:rsidP="00A711E6">
      <w:pPr>
        <w:pStyle w:val="standard"/>
      </w:pPr>
      <w:r w:rsidRPr="00CB40E2">
        <w:t xml:space="preserve">In response to </w:t>
      </w:r>
      <w:r w:rsidR="00DE27F7">
        <w:t xml:space="preserve">the </w:t>
      </w:r>
      <w:r w:rsidRPr="00CB40E2">
        <w:t xml:space="preserve">Digital Literacy Project evaluation criteria, </w:t>
      </w:r>
      <w:r w:rsidR="00DE27F7">
        <w:t>the City and County of San Francisco (</w:t>
      </w:r>
      <w:r w:rsidRPr="00CB40E2">
        <w:t>San Francisco</w:t>
      </w:r>
      <w:r w:rsidR="00DE27F7">
        <w:t>)</w:t>
      </w:r>
      <w:r w:rsidRPr="00CB40E2">
        <w:t xml:space="preserve"> comments </w:t>
      </w:r>
      <w:r w:rsidR="00DE27F7">
        <w:t xml:space="preserve">that </w:t>
      </w:r>
      <w:r w:rsidRPr="00CB40E2">
        <w:t>“for transparency and consistency in evaluation, San Francisco suggests that the Commission define standards for ‘basic internet skills’ curriculum and curriculum that would provide for instruction ‘beyond basic knowledge.’”</w:t>
      </w:r>
      <w:r w:rsidRPr="00CB40E2">
        <w:rPr>
          <w:vertAlign w:val="superscript"/>
        </w:rPr>
        <w:footnoteReference w:id="39"/>
      </w:r>
    </w:p>
    <w:p w:rsidR="00A711E6" w:rsidRPr="00A711E6" w:rsidRDefault="00A711E6" w:rsidP="00A711E6">
      <w:pPr>
        <w:pStyle w:val="sub2"/>
      </w:pPr>
      <w:r w:rsidRPr="00CB40E2">
        <w:t>Regarding low</w:t>
      </w:r>
      <w:r w:rsidR="00B34BCE">
        <w:noBreakHyphen/>
      </w:r>
      <w:r w:rsidRPr="00CB40E2">
        <w:t>income communities, Chico recommends “considering income thresholds 250% above the most recent Federal Poverty Guidelines to include working families not making a livable wage.”</w:t>
      </w:r>
      <w:r w:rsidRPr="00CB40E2">
        <w:rPr>
          <w:vertAlign w:val="superscript"/>
        </w:rPr>
        <w:footnoteReference w:id="40"/>
      </w:r>
    </w:p>
    <w:p w:rsidR="00AF1C22" w:rsidRDefault="00A711E6" w:rsidP="005D7D31">
      <w:pPr>
        <w:pStyle w:val="Heading3"/>
      </w:pPr>
      <w:bookmarkStart w:id="17" w:name="_Toc514152985"/>
      <w:r>
        <w:t>Discussion</w:t>
      </w:r>
      <w:bookmarkEnd w:id="17"/>
    </w:p>
    <w:p w:rsidR="00A711E6" w:rsidRPr="00CB40E2" w:rsidRDefault="00A711E6" w:rsidP="00A711E6">
      <w:pPr>
        <w:pStyle w:val="standard"/>
      </w:pPr>
      <w:r w:rsidRPr="00CB40E2">
        <w:t xml:space="preserve">We recognize parties’ concerns and have revised definitions accordingly.  Specifically, we revised the definition of “low broadband access” and clarify that this definition applies to the Adoption Account only.  Further, we add a definition </w:t>
      </w:r>
      <w:r w:rsidR="00A678A5">
        <w:t>for</w:t>
      </w:r>
      <w:r w:rsidRPr="00CB40E2">
        <w:t xml:space="preserve"> “basic internet skills” and a definition </w:t>
      </w:r>
      <w:r w:rsidR="00A678A5">
        <w:t>for</w:t>
      </w:r>
      <w:r w:rsidRPr="00CB40E2">
        <w:t xml:space="preserve"> “rural” communities </w:t>
      </w:r>
      <w:r w:rsidR="00DE7E8D">
        <w:t>for</w:t>
      </w:r>
      <w:r w:rsidR="00DE7E8D" w:rsidRPr="00CB40E2">
        <w:t xml:space="preserve"> </w:t>
      </w:r>
      <w:r w:rsidRPr="00CB40E2">
        <w:t>the Public Housing Account.</w:t>
      </w:r>
    </w:p>
    <w:p w:rsidR="00A711E6" w:rsidRPr="00A711E6" w:rsidRDefault="00A711E6" w:rsidP="00A711E6">
      <w:pPr>
        <w:pStyle w:val="sub2"/>
      </w:pPr>
      <w:r w:rsidRPr="00CB40E2">
        <w:lastRenderedPageBreak/>
        <w:t xml:space="preserve">We disagree with ORA’s definition of “low broadband access” </w:t>
      </w:r>
      <w:r w:rsidR="00A678A5">
        <w:t xml:space="preserve">and </w:t>
      </w:r>
      <w:r w:rsidRPr="00CB40E2">
        <w:t>“community</w:t>
      </w:r>
      <w:r w:rsidR="00DE7E8D">
        <w:t>,</w:t>
      </w:r>
      <w:r w:rsidRPr="00CB40E2">
        <w:t>” believ</w:t>
      </w:r>
      <w:r w:rsidR="00DE7E8D">
        <w:t>ing</w:t>
      </w:r>
      <w:r w:rsidRPr="00CB40E2">
        <w:t xml:space="preserve"> the current definition is the more inclusive interpretation of the statute.  </w:t>
      </w:r>
      <w:r w:rsidR="00A678A5">
        <w:t>However</w:t>
      </w:r>
      <w:r w:rsidRPr="00CB40E2">
        <w:t xml:space="preserve">, we </w:t>
      </w:r>
      <w:r w:rsidR="00A678A5">
        <w:t xml:space="preserve">do </w:t>
      </w:r>
      <w:r w:rsidRPr="00CB40E2">
        <w:t xml:space="preserve">agree with ORA’s suggestion to specify “household of 4” </w:t>
      </w:r>
      <w:r w:rsidR="00A678A5">
        <w:t>instead of</w:t>
      </w:r>
      <w:r w:rsidR="00A678A5" w:rsidRPr="00CB40E2">
        <w:t xml:space="preserve"> </w:t>
      </w:r>
      <w:r w:rsidRPr="00CB40E2">
        <w:t xml:space="preserve">“family of 4” </w:t>
      </w:r>
      <w:r w:rsidR="00A447B5">
        <w:t>to</w:t>
      </w:r>
      <w:r w:rsidRPr="00CB40E2">
        <w:t xml:space="preserve"> be consistent with the CARE program.</w:t>
      </w:r>
    </w:p>
    <w:p w:rsidR="00AF1C22" w:rsidRDefault="00A711E6" w:rsidP="009A00FB">
      <w:pPr>
        <w:pStyle w:val="Heading2"/>
      </w:pPr>
      <w:bookmarkStart w:id="18" w:name="_Toc514152986"/>
      <w:r>
        <w:t xml:space="preserve">Eligible </w:t>
      </w:r>
      <w:r w:rsidRPr="00A711E6">
        <w:t>Applicants</w:t>
      </w:r>
      <w:bookmarkEnd w:id="18"/>
    </w:p>
    <w:p w:rsidR="00AF1C22" w:rsidRDefault="005A7C99" w:rsidP="00AF1C22">
      <w:pPr>
        <w:pStyle w:val="sub2"/>
      </w:pPr>
      <w:r>
        <w:t>Pub. Util. Code</w:t>
      </w:r>
      <w:r w:rsidR="00A711E6" w:rsidRPr="00CB40E2">
        <w:t xml:space="preserve"> § 281(j)(2) outlines eligible applicants for the Adoption Account.  The draft Staff Proposal reflects this requirement.</w:t>
      </w:r>
    </w:p>
    <w:p w:rsidR="00AF1C22" w:rsidRDefault="00AF1C22" w:rsidP="005D7D31">
      <w:pPr>
        <w:pStyle w:val="Heading3"/>
      </w:pPr>
      <w:bookmarkStart w:id="19" w:name="_Toc514152987"/>
      <w:r>
        <w:t>Parties’</w:t>
      </w:r>
      <w:r w:rsidR="00A711E6">
        <w:t xml:space="preserve"> Positions</w:t>
      </w:r>
      <w:bookmarkEnd w:id="19"/>
    </w:p>
    <w:p w:rsidR="00A711E6" w:rsidRPr="00A711E6" w:rsidRDefault="00A711E6" w:rsidP="00A711E6">
      <w:pPr>
        <w:pStyle w:val="sub2"/>
      </w:pPr>
      <w:r w:rsidRPr="00CB40E2">
        <w:rPr>
          <w:bCs/>
        </w:rPr>
        <w:t>Both ORA and CETF contend that for</w:t>
      </w:r>
      <w:r w:rsidR="00B34BCE">
        <w:rPr>
          <w:bCs/>
        </w:rPr>
        <w:noBreakHyphen/>
      </w:r>
      <w:r w:rsidRPr="00CB40E2">
        <w:rPr>
          <w:bCs/>
        </w:rPr>
        <w:t>profit organizations should not be eligible for grants.</w:t>
      </w:r>
      <w:r w:rsidRPr="00CB40E2">
        <w:rPr>
          <w:bCs/>
          <w:vertAlign w:val="superscript"/>
        </w:rPr>
        <w:footnoteReference w:id="41"/>
      </w:r>
      <w:r w:rsidRPr="00CB40E2">
        <w:rPr>
          <w:bCs/>
        </w:rPr>
        <w:t xml:space="preserve">  Other parties, including </w:t>
      </w:r>
      <w:r w:rsidR="00B4193C">
        <w:rPr>
          <w:bCs/>
        </w:rPr>
        <w:t xml:space="preserve">the </w:t>
      </w:r>
      <w:r w:rsidRPr="00CB40E2">
        <w:rPr>
          <w:bCs/>
        </w:rPr>
        <w:t>TNDC agree that grants should go to organizations with existing programs “that already interact with large numbers of low</w:t>
      </w:r>
      <w:r w:rsidR="00B34BCE">
        <w:rPr>
          <w:bCs/>
        </w:rPr>
        <w:noBreakHyphen/>
      </w:r>
      <w:r w:rsidRPr="00CB40E2">
        <w:rPr>
          <w:bCs/>
        </w:rPr>
        <w:t>income households and disadvantaged populations.”</w:t>
      </w:r>
      <w:r w:rsidRPr="00CB40E2">
        <w:rPr>
          <w:bCs/>
          <w:vertAlign w:val="superscript"/>
        </w:rPr>
        <w:footnoteReference w:id="42"/>
      </w:r>
      <w:r w:rsidRPr="00CB40E2">
        <w:rPr>
          <w:bCs/>
        </w:rPr>
        <w:t xml:space="preserve">  Finally, TURN believes </w:t>
      </w:r>
      <w:r w:rsidR="00B4193C">
        <w:rPr>
          <w:bCs/>
        </w:rPr>
        <w:t xml:space="preserve">that the </w:t>
      </w:r>
      <w:r w:rsidR="00C73AFD">
        <w:rPr>
          <w:bCs/>
        </w:rPr>
        <w:t>s</w:t>
      </w:r>
      <w:r w:rsidRPr="00CB40E2">
        <w:rPr>
          <w:bCs/>
        </w:rPr>
        <w:t>taff</w:t>
      </w:r>
      <w:r w:rsidR="00B4193C">
        <w:rPr>
          <w:bCs/>
        </w:rPr>
        <w:t>’s</w:t>
      </w:r>
      <w:r w:rsidRPr="00CB40E2">
        <w:rPr>
          <w:bCs/>
        </w:rPr>
        <w:t xml:space="preserve"> </w:t>
      </w:r>
      <w:r w:rsidR="00B4193C">
        <w:rPr>
          <w:bCs/>
        </w:rPr>
        <w:t>p</w:t>
      </w:r>
      <w:r w:rsidRPr="00CB40E2">
        <w:rPr>
          <w:bCs/>
        </w:rPr>
        <w:t>ropos</w:t>
      </w:r>
      <w:r w:rsidR="00B4193C">
        <w:rPr>
          <w:bCs/>
        </w:rPr>
        <w:t xml:space="preserve">ed </w:t>
      </w:r>
      <w:r w:rsidRPr="00CB40E2">
        <w:rPr>
          <w:bCs/>
        </w:rPr>
        <w:t>application and evaluation criteria limits the number and types of applicants and projects, and suggests allowing grant recipients to charg</w:t>
      </w:r>
      <w:r w:rsidR="003326C5">
        <w:rPr>
          <w:bCs/>
        </w:rPr>
        <w:t>e for a digital literacy class.</w:t>
      </w:r>
      <w:r w:rsidRPr="00CB40E2">
        <w:rPr>
          <w:bCs/>
          <w:vertAlign w:val="superscript"/>
        </w:rPr>
        <w:footnoteReference w:id="43"/>
      </w:r>
    </w:p>
    <w:p w:rsidR="00AF1C22" w:rsidRDefault="00A711E6" w:rsidP="005D7D31">
      <w:pPr>
        <w:pStyle w:val="Heading3"/>
      </w:pPr>
      <w:bookmarkStart w:id="20" w:name="_Toc514152988"/>
      <w:r>
        <w:t>Discussion</w:t>
      </w:r>
      <w:bookmarkEnd w:id="20"/>
    </w:p>
    <w:p w:rsidR="00A711E6" w:rsidRPr="00CB40E2" w:rsidRDefault="00A711E6" w:rsidP="00A711E6">
      <w:pPr>
        <w:pStyle w:val="standard"/>
      </w:pPr>
      <w:r w:rsidRPr="00CB40E2">
        <w:t xml:space="preserve">Appendix 1 </w:t>
      </w:r>
      <w:r w:rsidR="00F369F7">
        <w:t xml:space="preserve">has been updated </w:t>
      </w:r>
      <w:r w:rsidRPr="00CB40E2">
        <w:t xml:space="preserve">to add “Community support and Endorsements” </w:t>
      </w:r>
      <w:r w:rsidR="00F369F7">
        <w:t>and</w:t>
      </w:r>
      <w:r w:rsidRPr="00CB40E2">
        <w:t xml:space="preserve"> “Partnerships” to </w:t>
      </w:r>
      <w:r>
        <w:t xml:space="preserve">the </w:t>
      </w:r>
      <w:r w:rsidR="00F369F7">
        <w:t>i</w:t>
      </w:r>
      <w:r w:rsidRPr="00CB40E2">
        <w:t xml:space="preserve">nformation required from </w:t>
      </w:r>
      <w:r w:rsidR="00F369F7">
        <w:t>a</w:t>
      </w:r>
      <w:r w:rsidRPr="00CB40E2">
        <w:t>pplicant</w:t>
      </w:r>
      <w:r w:rsidR="00DE7E8D">
        <w:t>s</w:t>
      </w:r>
      <w:r w:rsidRPr="00CB40E2">
        <w:t xml:space="preserve">, </w:t>
      </w:r>
      <w:r w:rsidR="008074A1">
        <w:lastRenderedPageBreak/>
        <w:t>and</w:t>
      </w:r>
      <w:r w:rsidRPr="00CB40E2">
        <w:t xml:space="preserve"> “Coordination” </w:t>
      </w:r>
      <w:r w:rsidR="008074A1">
        <w:t xml:space="preserve">was added </w:t>
      </w:r>
      <w:r w:rsidRPr="00CB40E2">
        <w:t>to the sample “Preference Checklist” reflected in Appendix 1.</w:t>
      </w:r>
    </w:p>
    <w:p w:rsidR="00A711E6" w:rsidRDefault="002A353A" w:rsidP="00A711E6">
      <w:pPr>
        <w:pStyle w:val="sub2"/>
      </w:pPr>
      <w:r>
        <w:t>T</w:t>
      </w:r>
      <w:r w:rsidR="00CB55C1">
        <w:t>he statute</w:t>
      </w:r>
      <w:r w:rsidR="003E252B">
        <w:t xml:space="preserve"> </w:t>
      </w:r>
      <w:r w:rsidR="00227DE8">
        <w:t xml:space="preserve">already </w:t>
      </w:r>
      <w:r>
        <w:t xml:space="preserve">specifies </w:t>
      </w:r>
      <w:r w:rsidR="001B0AA9">
        <w:t xml:space="preserve">that </w:t>
      </w:r>
      <w:r w:rsidR="00A26CB0">
        <w:t>non</w:t>
      </w:r>
      <w:r w:rsidR="00B34BCE">
        <w:noBreakHyphen/>
      </w:r>
      <w:r w:rsidR="00A711E6" w:rsidRPr="00CB40E2">
        <w:t xml:space="preserve">profit organizations </w:t>
      </w:r>
      <w:r>
        <w:t xml:space="preserve">as eligible </w:t>
      </w:r>
      <w:r w:rsidR="00A711E6" w:rsidRPr="00CB40E2">
        <w:t>to apply</w:t>
      </w:r>
      <w:r w:rsidR="003E252B">
        <w:t xml:space="preserve"> for Adoption Account funds</w:t>
      </w:r>
      <w:r>
        <w:t xml:space="preserve"> and the Commission uses the statutory language for eligible applicants</w:t>
      </w:r>
      <w:r w:rsidR="00565510">
        <w:t>.</w:t>
      </w:r>
      <w:r w:rsidR="00AF4236">
        <w:t xml:space="preserve"> </w:t>
      </w:r>
      <w:r w:rsidR="00575343">
        <w:t xml:space="preserve"> </w:t>
      </w:r>
      <w:r w:rsidR="00565510">
        <w:t>Additionally, we will require all applicants to specify if they are, or intend to file for multiple grants within the Adoption Account or other accounts concurrently or in succession to address the dual access</w:t>
      </w:r>
      <w:r w:rsidR="00B34BCE">
        <w:noBreakHyphen/>
      </w:r>
      <w:r w:rsidR="00565510">
        <w:t>literacy needs of the community</w:t>
      </w:r>
      <w:r w:rsidR="00A711E6" w:rsidRPr="00CB40E2">
        <w:t>.</w:t>
      </w:r>
    </w:p>
    <w:p w:rsidR="00A711E6" w:rsidRDefault="00A711E6" w:rsidP="009A00FB">
      <w:pPr>
        <w:pStyle w:val="Heading2"/>
      </w:pPr>
      <w:bookmarkStart w:id="21" w:name="_Toc514152989"/>
      <w:r>
        <w:t>Eligible Projects</w:t>
      </w:r>
      <w:bookmarkEnd w:id="21"/>
    </w:p>
    <w:p w:rsidR="00A711E6" w:rsidRDefault="00A711E6" w:rsidP="00A711E6">
      <w:pPr>
        <w:pStyle w:val="sub2"/>
      </w:pPr>
      <w:r w:rsidRPr="00CB40E2">
        <w:t xml:space="preserve">In the draft Staff Proposal, </w:t>
      </w:r>
      <w:r w:rsidR="00257250">
        <w:t>staff</w:t>
      </w:r>
      <w:r w:rsidR="00257250" w:rsidRPr="00CB40E2">
        <w:t xml:space="preserve"> </w:t>
      </w:r>
      <w:r w:rsidRPr="00CB40E2">
        <w:t>proposed that projects eligible for th</w:t>
      </w:r>
      <w:r>
        <w:t>e Broadband Adoption</w:t>
      </w:r>
      <w:r w:rsidRPr="00CB40E2">
        <w:t xml:space="preserve"> Account include Broadband Access and Digital Literacy.  The draft Staff Proposal lists the activities and items eligible for funding.</w:t>
      </w:r>
    </w:p>
    <w:p w:rsidR="00AF1C22" w:rsidRDefault="00AF1C22" w:rsidP="005D7D31">
      <w:pPr>
        <w:pStyle w:val="Heading3"/>
      </w:pPr>
      <w:bookmarkStart w:id="22" w:name="_Toc514152990"/>
      <w:r>
        <w:t>Parties’ Comments</w:t>
      </w:r>
      <w:bookmarkEnd w:id="22"/>
    </w:p>
    <w:p w:rsidR="00A711E6" w:rsidRPr="00CB40E2" w:rsidRDefault="00A711E6" w:rsidP="00A711E6">
      <w:pPr>
        <w:pStyle w:val="standard"/>
      </w:pPr>
      <w:r w:rsidRPr="00CB40E2">
        <w:t>CETF “recommends that grantees should be allowed to meet the 15% required match by dedicated personnel that are supported by other funds” and also suggests Commission staff reach out and invite “a pool of matching funds.”</w:t>
      </w:r>
      <w:r w:rsidRPr="00CB40E2">
        <w:rPr>
          <w:vertAlign w:val="superscript"/>
        </w:rPr>
        <w:footnoteReference w:id="44"/>
      </w:r>
      <w:r w:rsidRPr="00CB40E2">
        <w:t xml:space="preserve">  NBNCBC agrees with such an approach.</w:t>
      </w:r>
      <w:r w:rsidRPr="00CB40E2">
        <w:rPr>
          <w:vertAlign w:val="superscript"/>
        </w:rPr>
        <w:footnoteReference w:id="45"/>
      </w:r>
    </w:p>
    <w:p w:rsidR="00A711E6" w:rsidRPr="00CB40E2" w:rsidRDefault="00A711E6" w:rsidP="00A711E6">
      <w:pPr>
        <w:pStyle w:val="standard"/>
      </w:pPr>
      <w:r w:rsidRPr="00CB40E2">
        <w:t>Both ORA and CETF</w:t>
      </w:r>
      <w:r w:rsidRPr="00CB40E2">
        <w:rPr>
          <w:vertAlign w:val="superscript"/>
        </w:rPr>
        <w:footnoteReference w:id="46"/>
      </w:r>
      <w:r w:rsidRPr="00CB40E2">
        <w:t xml:space="preserve"> disagree with the inclusion of costs for furniture and equipment</w:t>
      </w:r>
      <w:r w:rsidR="008074A1">
        <w:t>,</w:t>
      </w:r>
      <w:r w:rsidRPr="00CB40E2">
        <w:t xml:space="preserve"> and support requiring such expenses to be connected to results.  Additionally, ORA recommends that the Commission </w:t>
      </w:r>
      <w:r w:rsidR="00257250">
        <w:t xml:space="preserve">give preference to </w:t>
      </w:r>
      <w:r w:rsidRPr="00CB40E2">
        <w:t xml:space="preserve">projects </w:t>
      </w:r>
      <w:r w:rsidRPr="00CB40E2">
        <w:lastRenderedPageBreak/>
        <w:t>that demonstrate an ability to maintain operations for a length of time commensurate with the useful life of the furniture and/or equipment.</w:t>
      </w:r>
      <w:r w:rsidRPr="00CB40E2">
        <w:rPr>
          <w:vertAlign w:val="superscript"/>
        </w:rPr>
        <w:footnoteReference w:id="47"/>
      </w:r>
    </w:p>
    <w:p w:rsidR="00A711E6" w:rsidRPr="00CB40E2" w:rsidRDefault="00A711E6" w:rsidP="00A711E6">
      <w:pPr>
        <w:pStyle w:val="standard"/>
      </w:pPr>
      <w:r w:rsidRPr="00CB40E2">
        <w:t>TURN supports allowing smart phone devices under certain circumstances, as alternatives to increase broadband adoption</w:t>
      </w:r>
      <w:r w:rsidRPr="00CB40E2">
        <w:rPr>
          <w:vertAlign w:val="superscript"/>
        </w:rPr>
        <w:footnoteReference w:id="48"/>
      </w:r>
      <w:r w:rsidRPr="00CB40E2">
        <w:t xml:space="preserve"> </w:t>
      </w:r>
      <w:r w:rsidR="00257250">
        <w:t>whereas</w:t>
      </w:r>
      <w:r w:rsidRPr="00CB40E2">
        <w:t xml:space="preserve"> CETF disagrees citing the limited utility </w:t>
      </w:r>
      <w:r w:rsidR="00690F94">
        <w:t xml:space="preserve">of smart phone devices </w:t>
      </w:r>
      <w:r w:rsidRPr="00CB40E2">
        <w:t>for productivity.</w:t>
      </w:r>
      <w:r w:rsidRPr="00CB40E2">
        <w:rPr>
          <w:vertAlign w:val="superscript"/>
        </w:rPr>
        <w:footnoteReference w:id="49"/>
      </w:r>
      <w:r w:rsidRPr="00CB40E2">
        <w:t xml:space="preserve">  In addition, CETF argues </w:t>
      </w:r>
      <w:r w:rsidR="00257250">
        <w:t xml:space="preserve">that the </w:t>
      </w:r>
      <w:r w:rsidRPr="00CB40E2">
        <w:t>“purchase of electronic devices by grantees should not be a major use of the Adoption Account”</w:t>
      </w:r>
      <w:r w:rsidRPr="00CB40E2">
        <w:rPr>
          <w:vertAlign w:val="superscript"/>
        </w:rPr>
        <w:footnoteReference w:id="50"/>
      </w:r>
      <w:r w:rsidRPr="00CB40E2">
        <w:t xml:space="preserve"> and </w:t>
      </w:r>
      <w:r w:rsidR="00257250">
        <w:t xml:space="preserve">that </w:t>
      </w:r>
      <w:r w:rsidRPr="00CB40E2">
        <w:t xml:space="preserve">participants should “successfully complete significant computer training to ‘earn’ a free computing device, and </w:t>
      </w:r>
      <w:r w:rsidR="00DE7E8D">
        <w:t>…</w:t>
      </w:r>
      <w:r w:rsidRPr="00CB40E2">
        <w:t xml:space="preserve"> pay part of </w:t>
      </w:r>
      <w:r w:rsidR="00690F94">
        <w:t xml:space="preserve">[the] </w:t>
      </w:r>
      <w:r w:rsidRPr="00CB40E2">
        <w:t>price to obtain the computing device.”</w:t>
      </w:r>
      <w:r w:rsidRPr="00CB40E2">
        <w:rPr>
          <w:vertAlign w:val="superscript"/>
        </w:rPr>
        <w:footnoteReference w:id="51"/>
      </w:r>
    </w:p>
    <w:p w:rsidR="00A711E6" w:rsidRPr="00CB40E2" w:rsidRDefault="00A711E6" w:rsidP="00A711E6">
      <w:pPr>
        <w:pStyle w:val="standard"/>
      </w:pPr>
      <w:r w:rsidRPr="00CB40E2">
        <w:t xml:space="preserve">Chico recommends </w:t>
      </w:r>
      <w:r w:rsidR="00257250">
        <w:t xml:space="preserve">that </w:t>
      </w:r>
      <w:r w:rsidRPr="00CB40E2">
        <w:t>the Commission include program design and deployment</w:t>
      </w:r>
      <w:r w:rsidR="00962EB7">
        <w:t>, as well as travel expenses</w:t>
      </w:r>
      <w:r w:rsidR="00690F94">
        <w:t>,</w:t>
      </w:r>
      <w:r w:rsidRPr="00CB40E2">
        <w:t xml:space="preserve"> as eligible costs</w:t>
      </w:r>
      <w:r w:rsidR="00FE085C">
        <w:t xml:space="preserve"> </w:t>
      </w:r>
      <w:r w:rsidRPr="00CB40E2">
        <w:t>especially for projects in rural areas.</w:t>
      </w:r>
      <w:r w:rsidRPr="00CB40E2">
        <w:rPr>
          <w:vertAlign w:val="superscript"/>
        </w:rPr>
        <w:footnoteReference w:id="52"/>
      </w:r>
      <w:r w:rsidRPr="00CB40E2">
        <w:t xml:space="preserve">  Chico also suggests that usage of devices purchased through a grant and placed in a public space have </w:t>
      </w:r>
      <w:r w:rsidR="00690F94">
        <w:t xml:space="preserve">a </w:t>
      </w:r>
      <w:r w:rsidRPr="00CB40E2">
        <w:t>software program installed that tracks usage.</w:t>
      </w:r>
      <w:r w:rsidRPr="00CB40E2">
        <w:rPr>
          <w:vertAlign w:val="superscript"/>
        </w:rPr>
        <w:footnoteReference w:id="53"/>
      </w:r>
    </w:p>
    <w:p w:rsidR="00A711E6" w:rsidRPr="00CB40E2" w:rsidRDefault="00A711E6" w:rsidP="00A711E6">
      <w:pPr>
        <w:pStyle w:val="standard"/>
      </w:pPr>
      <w:r w:rsidRPr="004461E8">
        <w:lastRenderedPageBreak/>
        <w:t>Parties</w:t>
      </w:r>
      <w:r w:rsidRPr="00B416E6">
        <w:t xml:space="preserve"> like Radio Bilingüe explained the benefits of call centers to help broadband adoption.</w:t>
      </w:r>
      <w:r w:rsidRPr="00B416E6">
        <w:rPr>
          <w:vertAlign w:val="superscript"/>
        </w:rPr>
        <w:footnoteReference w:id="54"/>
      </w:r>
      <w:r w:rsidRPr="00B416E6">
        <w:t xml:space="preserve">  Radio Bilingüe stated that they collaborated with call centers operated by 211 CA and later with the Office of Community Ec</w:t>
      </w:r>
      <w:r w:rsidRPr="00041C4D">
        <w:t>onomic Development at California State University Fresno.</w:t>
      </w:r>
      <w:r w:rsidRPr="00CB40E2">
        <w:t xml:space="preserve">  The overall goals of the</w:t>
      </w:r>
      <w:r w:rsidR="00DE7E8D">
        <w:t>se</w:t>
      </w:r>
      <w:r w:rsidRPr="00CB40E2">
        <w:t xml:space="preserve"> call center</w:t>
      </w:r>
      <w:r w:rsidR="00DE7E8D">
        <w:t>s</w:t>
      </w:r>
      <w:r w:rsidRPr="00CB40E2">
        <w:t xml:space="preserve"> are to increase Latinos' access to broadband at home through low</w:t>
      </w:r>
      <w:r w:rsidR="00B34BCE">
        <w:noBreakHyphen/>
      </w:r>
      <w:r w:rsidRPr="00CB40E2">
        <w:t xml:space="preserve">cost service programs offered by ISPs and to improve access </w:t>
      </w:r>
      <w:r w:rsidR="00690F94">
        <w:t xml:space="preserve">to </w:t>
      </w:r>
      <w:r w:rsidRPr="00CB40E2">
        <w:t>low</w:t>
      </w:r>
      <w:r w:rsidR="00B34BCE">
        <w:noBreakHyphen/>
      </w:r>
      <w:r w:rsidRPr="00CB40E2">
        <w:t>cost computers, broadband</w:t>
      </w:r>
      <w:r w:rsidR="00DE7E8D">
        <w:t>,</w:t>
      </w:r>
      <w:r w:rsidRPr="00CB40E2">
        <w:t xml:space="preserve"> and digital literacy resources.</w:t>
      </w:r>
      <w:r w:rsidRPr="00CB40E2">
        <w:rPr>
          <w:vertAlign w:val="superscript"/>
        </w:rPr>
        <w:footnoteReference w:id="55"/>
      </w:r>
    </w:p>
    <w:p w:rsidR="00A711E6" w:rsidRDefault="00A711E6" w:rsidP="00A711E6">
      <w:pPr>
        <w:pStyle w:val="sub2"/>
      </w:pPr>
      <w:r w:rsidRPr="00CB40E2">
        <w:t>Various parties, including ORA, NBNCB</w:t>
      </w:r>
      <w:r w:rsidR="007203E4">
        <w:t>C</w:t>
      </w:r>
      <w:r w:rsidRPr="00CB40E2">
        <w:t xml:space="preserve">, San Francisco, and CETF emphasized </w:t>
      </w:r>
      <w:r w:rsidR="00A8170C">
        <w:t xml:space="preserve">that </w:t>
      </w:r>
      <w:r w:rsidRPr="00CB40E2">
        <w:t>cost is the primary factor affecting broadband subscription rates.</w:t>
      </w:r>
    </w:p>
    <w:p w:rsidR="00AF1C22" w:rsidRDefault="00A711E6" w:rsidP="005D7D31">
      <w:pPr>
        <w:pStyle w:val="Heading3"/>
      </w:pPr>
      <w:bookmarkStart w:id="23" w:name="_Toc514152991"/>
      <w:r>
        <w:t>Discussion</w:t>
      </w:r>
      <w:bookmarkEnd w:id="23"/>
    </w:p>
    <w:p w:rsidR="00A711E6" w:rsidRPr="00CB40E2" w:rsidRDefault="00A711E6" w:rsidP="00A711E6">
      <w:pPr>
        <w:pStyle w:val="standard"/>
      </w:pPr>
      <w:r w:rsidRPr="00CB40E2">
        <w:t xml:space="preserve">We agree with CETF’s 15 percent match recommendation.  The draft Staff Proposal as written does not preclude that the 15 percent match come from other sources. </w:t>
      </w:r>
    </w:p>
    <w:p w:rsidR="00A711E6" w:rsidRPr="00CB40E2" w:rsidRDefault="00A711E6" w:rsidP="00A711E6">
      <w:pPr>
        <w:pStyle w:val="standard"/>
      </w:pPr>
      <w:r w:rsidRPr="00CB40E2">
        <w:t>We also agree with CETF and ORA regarding inclusion of costs for furniture and equipment.  We should ensure furniture and equipment requested are tied to approved activities</w:t>
      </w:r>
      <w:r w:rsidR="007203E4">
        <w:t xml:space="preserve"> and </w:t>
      </w:r>
      <w:r w:rsidRPr="00CB40E2">
        <w:t>outcomes.</w:t>
      </w:r>
    </w:p>
    <w:p w:rsidR="00A711E6" w:rsidRPr="00CB40E2" w:rsidRDefault="00A711E6" w:rsidP="00A711E6">
      <w:pPr>
        <w:pStyle w:val="standard"/>
      </w:pPr>
      <w:r w:rsidRPr="00CB40E2">
        <w:t xml:space="preserve">We disagree with TURN </w:t>
      </w:r>
      <w:r w:rsidR="001B0AA9">
        <w:t xml:space="preserve">in </w:t>
      </w:r>
      <w:r w:rsidR="001B0AA9" w:rsidRPr="00CB40E2">
        <w:t>allowing smart phone devices</w:t>
      </w:r>
      <w:r w:rsidR="002A353A">
        <w:t xml:space="preserve">, but allow </w:t>
      </w:r>
      <w:r w:rsidR="001B0AA9">
        <w:t xml:space="preserve">other </w:t>
      </w:r>
      <w:r w:rsidRPr="00CB40E2">
        <w:t>devices as</w:t>
      </w:r>
      <w:r w:rsidR="007203E4">
        <w:t xml:space="preserve"> </w:t>
      </w:r>
      <w:r w:rsidR="008E0D52">
        <w:t xml:space="preserve">a reimbursable </w:t>
      </w:r>
      <w:r w:rsidR="00553234">
        <w:t>project expense</w:t>
      </w:r>
      <w:r w:rsidR="008E0D52">
        <w:t xml:space="preserve"> or </w:t>
      </w:r>
      <w:r w:rsidR="007203E4">
        <w:t>an</w:t>
      </w:r>
      <w:r w:rsidRPr="00CB40E2">
        <w:t xml:space="preserve"> alternative to increase broadband adoption</w:t>
      </w:r>
      <w:r w:rsidR="002A353A">
        <w:t xml:space="preserve"> with limitation</w:t>
      </w:r>
      <w:r w:rsidRPr="00CB40E2">
        <w:t xml:space="preserve">.  Although CASF is technology neutral, allowing </w:t>
      </w:r>
      <w:r w:rsidR="007203E4" w:rsidRPr="00CB40E2">
        <w:t>s</w:t>
      </w:r>
      <w:r w:rsidR="007203E4">
        <w:t>m</w:t>
      </w:r>
      <w:r w:rsidR="007203E4" w:rsidRPr="00CB40E2">
        <w:t xml:space="preserve">art </w:t>
      </w:r>
      <w:r w:rsidRPr="00CB40E2">
        <w:t>phones is inconsistent with the skills promoted by this account</w:t>
      </w:r>
      <w:r w:rsidR="00591FF7">
        <w:t xml:space="preserve"> which include</w:t>
      </w:r>
      <w:r w:rsidRPr="00CB40E2">
        <w:t xml:space="preserve">: </w:t>
      </w:r>
      <w:r w:rsidRPr="00CB40E2">
        <w:lastRenderedPageBreak/>
        <w:t xml:space="preserve">“basic internet skills” and “beyond basic knowledge.”  </w:t>
      </w:r>
      <w:r w:rsidR="007203E4">
        <w:t>We</w:t>
      </w:r>
      <w:r w:rsidRPr="00CB40E2">
        <w:t xml:space="preserve"> agree with CETF </w:t>
      </w:r>
      <w:r w:rsidR="007203E4">
        <w:t>that</w:t>
      </w:r>
      <w:r w:rsidRPr="00CB40E2">
        <w:t xml:space="preserve"> smart</w:t>
      </w:r>
      <w:r w:rsidR="007203E4">
        <w:t xml:space="preserve"> </w:t>
      </w:r>
      <w:r w:rsidRPr="00CB40E2">
        <w:t>phones</w:t>
      </w:r>
      <w:r w:rsidR="007203E4">
        <w:t xml:space="preserve"> have</w:t>
      </w:r>
      <w:r w:rsidRPr="00CB40E2">
        <w:t xml:space="preserve"> limited utility for productivity.  We agree with Chico that eligible costs and expenses for travel should be considered reimbursable.  </w:t>
      </w:r>
    </w:p>
    <w:p w:rsidR="00A711E6" w:rsidRPr="00CB40E2" w:rsidRDefault="00A711E6" w:rsidP="00A711E6">
      <w:pPr>
        <w:pStyle w:val="standard"/>
      </w:pPr>
      <w:r w:rsidRPr="00CB40E2">
        <w:t xml:space="preserve">Accordingly, Appendix 1 has been </w:t>
      </w:r>
      <w:r w:rsidR="00E80510">
        <w:t xml:space="preserve">updated </w:t>
      </w:r>
      <w:r w:rsidRPr="002C6808">
        <w:t>in the following manner</w:t>
      </w:r>
      <w:r w:rsidRPr="00CB40E2">
        <w:t xml:space="preserve">:  </w:t>
      </w:r>
    </w:p>
    <w:p w:rsidR="00A711E6" w:rsidRPr="00CB40E2" w:rsidRDefault="00A711E6" w:rsidP="00B93DB0">
      <w:pPr>
        <w:pStyle w:val="standard"/>
        <w:numPr>
          <w:ilvl w:val="0"/>
          <w:numId w:val="8"/>
        </w:numPr>
        <w:spacing w:after="160" w:line="240" w:lineRule="auto"/>
        <w:ind w:left="1080" w:right="720"/>
      </w:pPr>
      <w:r w:rsidRPr="00CB40E2">
        <w:t xml:space="preserve">Added language to require applicants and projects to be technology neutral and not favor one technology </w:t>
      </w:r>
      <w:r w:rsidR="00935766">
        <w:t xml:space="preserve">or broadband provider </w:t>
      </w:r>
      <w:r w:rsidRPr="00CB40E2">
        <w:t>over another</w:t>
      </w:r>
      <w:r w:rsidR="007203E4">
        <w:t>;</w:t>
      </w:r>
    </w:p>
    <w:p w:rsidR="00A711E6" w:rsidRPr="00CB40E2" w:rsidRDefault="00A711E6" w:rsidP="00B93DB0">
      <w:pPr>
        <w:pStyle w:val="standard"/>
        <w:numPr>
          <w:ilvl w:val="0"/>
          <w:numId w:val="8"/>
        </w:numPr>
        <w:spacing w:after="160" w:line="240" w:lineRule="auto"/>
        <w:ind w:left="1080" w:right="720"/>
      </w:pPr>
      <w:r w:rsidRPr="00CB40E2">
        <w:t xml:space="preserve">For Digital Literacy and Broadband Access Projects, added travel </w:t>
      </w:r>
      <w:r w:rsidR="00A8170C">
        <w:t xml:space="preserve">expenses </w:t>
      </w:r>
      <w:r w:rsidRPr="00CB40E2">
        <w:t xml:space="preserve">(up to 10% of the grant amount) </w:t>
      </w:r>
      <w:r w:rsidR="00A8170C">
        <w:t>as a</w:t>
      </w:r>
      <w:r w:rsidRPr="00CB40E2">
        <w:t xml:space="preserve"> reimbursable costs</w:t>
      </w:r>
      <w:r w:rsidR="007203E4">
        <w:t>;</w:t>
      </w:r>
    </w:p>
    <w:p w:rsidR="00A711E6" w:rsidRPr="00CB40E2" w:rsidRDefault="00A711E6" w:rsidP="00B93DB0">
      <w:pPr>
        <w:pStyle w:val="standard"/>
        <w:numPr>
          <w:ilvl w:val="0"/>
          <w:numId w:val="8"/>
        </w:numPr>
        <w:spacing w:after="160" w:line="240" w:lineRule="auto"/>
        <w:ind w:left="1080" w:right="720"/>
      </w:pPr>
      <w:r w:rsidRPr="00CB40E2">
        <w:t>For Digital Literacy Project</w:t>
      </w:r>
      <w:r w:rsidR="00652C51">
        <w:t>s</w:t>
      </w:r>
      <w:r w:rsidR="00AD6D8D" w:rsidRPr="00AD6D8D">
        <w:t xml:space="preserve"> </w:t>
      </w:r>
      <w:r w:rsidR="00AD6D8D" w:rsidRPr="00CB40E2">
        <w:t>and Broadband Access Projects</w:t>
      </w:r>
      <w:r w:rsidRPr="00CB40E2">
        <w:t xml:space="preserve">, </w:t>
      </w:r>
      <w:r w:rsidR="00E80510">
        <w:t>allow</w:t>
      </w:r>
      <w:r w:rsidR="00E80510" w:rsidRPr="00CB40E2">
        <w:t xml:space="preserve"> </w:t>
      </w:r>
      <w:r w:rsidRPr="00CB40E2">
        <w:t xml:space="preserve">funding for </w:t>
      </w:r>
      <w:r w:rsidR="00E80510">
        <w:t>in</w:t>
      </w:r>
      <w:r w:rsidR="00B34BCE">
        <w:noBreakHyphen/>
      </w:r>
      <w:r w:rsidR="00E80510">
        <w:t xml:space="preserve">classroom computing </w:t>
      </w:r>
      <w:r w:rsidRPr="00CB40E2">
        <w:t>devices</w:t>
      </w:r>
      <w:r w:rsidR="007203E4">
        <w:t>;</w:t>
      </w:r>
    </w:p>
    <w:p w:rsidR="00A711E6" w:rsidRPr="00CB40E2" w:rsidRDefault="00A711E6" w:rsidP="00B93DB0">
      <w:pPr>
        <w:pStyle w:val="standard"/>
        <w:numPr>
          <w:ilvl w:val="0"/>
          <w:numId w:val="8"/>
        </w:numPr>
        <w:spacing w:after="160" w:line="240" w:lineRule="auto"/>
        <w:ind w:left="1080" w:right="720"/>
      </w:pPr>
      <w:r w:rsidRPr="00CB40E2">
        <w:t>For Broadband Access Project</w:t>
      </w:r>
      <w:r w:rsidR="00652C51">
        <w:t>s</w:t>
      </w:r>
      <w:r w:rsidRPr="00CB40E2">
        <w:t>, clarified that call centers that increase broadband access and adoption are eligible</w:t>
      </w:r>
      <w:r w:rsidR="008374F0">
        <w:t>, including 211 call centers</w:t>
      </w:r>
      <w:r w:rsidR="007203E4">
        <w:t>; and</w:t>
      </w:r>
    </w:p>
    <w:p w:rsidR="00A711E6" w:rsidRPr="00CB40E2" w:rsidRDefault="00A711E6" w:rsidP="00B93DB0">
      <w:pPr>
        <w:pStyle w:val="standard"/>
        <w:numPr>
          <w:ilvl w:val="0"/>
          <w:numId w:val="8"/>
        </w:numPr>
        <w:spacing w:after="160" w:line="240" w:lineRule="auto"/>
        <w:ind w:left="1080" w:right="720"/>
      </w:pPr>
      <w:r w:rsidRPr="00CB40E2">
        <w:t xml:space="preserve">For </w:t>
      </w:r>
      <w:r w:rsidR="000D4FE3" w:rsidRPr="00CB40E2">
        <w:t>Digital Literacy Project</w:t>
      </w:r>
      <w:r w:rsidR="000D4FE3">
        <w:t>s</w:t>
      </w:r>
      <w:r w:rsidR="000D4FE3" w:rsidRPr="00AD6D8D">
        <w:t xml:space="preserve"> </w:t>
      </w:r>
      <w:r w:rsidR="000D4FE3">
        <w:t xml:space="preserve">and </w:t>
      </w:r>
      <w:r w:rsidRPr="00CB40E2">
        <w:t>Broadband Access Project</w:t>
      </w:r>
      <w:r w:rsidR="00652C51">
        <w:t>s</w:t>
      </w:r>
      <w:r w:rsidRPr="00CB40E2">
        <w:t>, add</w:t>
      </w:r>
      <w:r w:rsidR="00A8170C">
        <w:t>ed</w:t>
      </w:r>
      <w:r w:rsidRPr="00CB40E2">
        <w:t xml:space="preserve"> general technical support (beyond) installation for the duration of </w:t>
      </w:r>
      <w:r w:rsidR="00652C51">
        <w:t>a</w:t>
      </w:r>
      <w:r w:rsidR="00652C51" w:rsidRPr="00CB40E2">
        <w:t xml:space="preserve"> </w:t>
      </w:r>
      <w:r w:rsidRPr="00CB40E2">
        <w:t>project</w:t>
      </w:r>
      <w:r w:rsidR="00F609A8">
        <w:t xml:space="preserve"> as a reimbursable cost</w:t>
      </w:r>
      <w:r w:rsidRPr="00CB40E2">
        <w:t>.</w:t>
      </w:r>
    </w:p>
    <w:p w:rsidR="00B62149" w:rsidRDefault="00A711E6" w:rsidP="00A711E6">
      <w:pPr>
        <w:pStyle w:val="sub2"/>
      </w:pPr>
      <w:r w:rsidRPr="00CB40E2">
        <w:t xml:space="preserve">Further, based on feedback and comments </w:t>
      </w:r>
      <w:r w:rsidR="001676D2">
        <w:t xml:space="preserve">received </w:t>
      </w:r>
      <w:r w:rsidR="00C474F0">
        <w:t>from parties</w:t>
      </w:r>
      <w:r w:rsidRPr="00CB40E2">
        <w:t>, we recognize that a school</w:t>
      </w:r>
      <w:r w:rsidR="00B60775">
        <w:t xml:space="preserve"> </w:t>
      </w:r>
      <w:r w:rsidRPr="00CB40E2">
        <w:t>provided device, such as</w:t>
      </w:r>
      <w:r w:rsidR="00652C51">
        <w:t xml:space="preserve"> a</w:t>
      </w:r>
      <w:r w:rsidRPr="00CB40E2">
        <w:t xml:space="preserve"> “homework ready” type of mobile devices</w:t>
      </w:r>
      <w:r w:rsidR="00652C51">
        <w:t xml:space="preserve"> </w:t>
      </w:r>
      <w:r w:rsidRPr="00CB40E2">
        <w:t xml:space="preserve">or hotspot devices, </w:t>
      </w:r>
      <w:r w:rsidR="00C474F0">
        <w:t xml:space="preserve">or computer devices for low income residents to take home after digital literacy classes, </w:t>
      </w:r>
      <w:r w:rsidRPr="00CB40E2">
        <w:t xml:space="preserve">may be useful for students to complete </w:t>
      </w:r>
      <w:r w:rsidR="00652C51">
        <w:t xml:space="preserve">school </w:t>
      </w:r>
      <w:r w:rsidRPr="00CB40E2">
        <w:t>work at home.  Additionally, we also recognize that projects that offer internet access at low</w:t>
      </w:r>
      <w:r w:rsidR="00B34BCE">
        <w:noBreakHyphen/>
      </w:r>
      <w:r w:rsidRPr="00CB40E2">
        <w:t>cost or no cost to the user may help improve adoption.  However, given the limited funding in the Adoption Account we</w:t>
      </w:r>
      <w:r w:rsidR="007203E4">
        <w:t xml:space="preserve"> </w:t>
      </w:r>
      <w:r w:rsidRPr="00CB40E2">
        <w:t xml:space="preserve">will not fund </w:t>
      </w:r>
      <w:r w:rsidR="00662432" w:rsidRPr="00CB40E2">
        <w:t>“homework ready” type of mobile devices</w:t>
      </w:r>
      <w:r w:rsidR="00662432">
        <w:t xml:space="preserve"> </w:t>
      </w:r>
      <w:r w:rsidR="00662432" w:rsidRPr="00CB40E2">
        <w:t xml:space="preserve">or hotspot devices </w:t>
      </w:r>
      <w:r w:rsidRPr="00CB40E2">
        <w:t xml:space="preserve">from </w:t>
      </w:r>
      <w:r w:rsidR="00591FF7">
        <w:t>the</w:t>
      </w:r>
      <w:r w:rsidR="00591FF7" w:rsidRPr="00CB40E2">
        <w:t xml:space="preserve"> </w:t>
      </w:r>
      <w:r w:rsidR="007203E4">
        <w:t>A</w:t>
      </w:r>
      <w:r w:rsidR="007203E4" w:rsidRPr="00CB40E2">
        <w:t xml:space="preserve">doption </w:t>
      </w:r>
      <w:r w:rsidR="007203E4">
        <w:t>Account</w:t>
      </w:r>
      <w:r w:rsidR="007203E4" w:rsidRPr="00CB40E2">
        <w:t xml:space="preserve"> </w:t>
      </w:r>
      <w:r w:rsidRPr="00CB40E2">
        <w:t>at this time</w:t>
      </w:r>
      <w:r w:rsidR="00194866">
        <w:t xml:space="preserve">.  </w:t>
      </w:r>
      <w:r w:rsidRPr="00CB40E2">
        <w:t>The Commission may revisit this issue and the potential coordination with other public purpose programs in the future</w:t>
      </w:r>
      <w:r w:rsidR="00D34DD4">
        <w:t>.</w:t>
      </w:r>
      <w:r w:rsidR="00FA2FDE">
        <w:t xml:space="preserve"> </w:t>
      </w:r>
      <w:r w:rsidR="00575343">
        <w:t xml:space="preserve"> </w:t>
      </w:r>
      <w:r w:rsidR="00FA2FDE">
        <w:t>H</w:t>
      </w:r>
      <w:r w:rsidR="00FA2FDE" w:rsidRPr="007C64F6">
        <w:t>o</w:t>
      </w:r>
      <w:r w:rsidR="00FA2FDE">
        <w:t>wever fo</w:t>
      </w:r>
      <w:r w:rsidR="00FA2FDE" w:rsidRPr="007C64F6">
        <w:t xml:space="preserve">r Digital Literacy Projects, </w:t>
      </w:r>
      <w:r w:rsidR="00FA2FDE">
        <w:t xml:space="preserve">the Adoption Account may fund computer devices for low income residents to take home after completion of digital literacy training </w:t>
      </w:r>
      <w:r w:rsidR="00FA2FDE">
        <w:lastRenderedPageBreak/>
        <w:t>classes</w:t>
      </w:r>
      <w:r w:rsidR="00FA2FDE" w:rsidRPr="000B138B">
        <w:t>.  These devices will be limited to only households that participate in the Supplemental Nutritional Assistance Program, the National School Lunch Program, or the Women, Infants, and Children Program</w:t>
      </w:r>
      <w:r w:rsidR="00FA2FDE" w:rsidRPr="007C64F6">
        <w:t xml:space="preserve"> to take home</w:t>
      </w:r>
      <w:r w:rsidR="00FA2FDE">
        <w:t xml:space="preserve"> after completing the digital literacy training courses.  Reimbursement for these take</w:t>
      </w:r>
      <w:r w:rsidR="00B34BCE">
        <w:noBreakHyphen/>
      </w:r>
      <w:r w:rsidR="00FA2FDE">
        <w:t>home c</w:t>
      </w:r>
      <w:r w:rsidR="00FA2FDE" w:rsidRPr="007C64F6">
        <w:t xml:space="preserve">omputing devices is </w:t>
      </w:r>
      <w:r w:rsidR="00FA2FDE">
        <w:t>limited to</w:t>
      </w:r>
      <w:r w:rsidR="00FA2FDE" w:rsidRPr="007C64F6">
        <w:t xml:space="preserve"> $150 per device</w:t>
      </w:r>
      <w:r w:rsidR="00FA2FDE">
        <w:t>, is limited to</w:t>
      </w:r>
      <w:r w:rsidR="00FA2FDE" w:rsidRPr="007C64F6">
        <w:t xml:space="preserve"> one </w:t>
      </w:r>
      <w:r w:rsidR="00FA2FDE">
        <w:t>device per eligible household, and is limited to</w:t>
      </w:r>
      <w:r w:rsidR="00FA2FDE" w:rsidRPr="007C64F6">
        <w:t xml:space="preserve"> $10,000 per application/project location.</w:t>
      </w:r>
      <w:r w:rsidR="00FA2FDE">
        <w:t xml:space="preserve">  </w:t>
      </w:r>
      <w:r w:rsidR="00FA2FDE" w:rsidRPr="007C64F6">
        <w:t>Grantees should ensure proof of eligibility in their distribution of computing devices for households</w:t>
      </w:r>
      <w:r w:rsidR="00FA2FDE">
        <w:t xml:space="preserve">. </w:t>
      </w:r>
    </w:p>
    <w:p w:rsidR="00A711E6" w:rsidRDefault="00A711E6" w:rsidP="009A00FB">
      <w:pPr>
        <w:pStyle w:val="Heading2"/>
      </w:pPr>
      <w:bookmarkStart w:id="24" w:name="_Toc514152992"/>
      <w:r>
        <w:t>Subsidy Level</w:t>
      </w:r>
      <w:bookmarkEnd w:id="24"/>
    </w:p>
    <w:p w:rsidR="00A711E6" w:rsidRDefault="00A711E6" w:rsidP="00A711E6">
      <w:pPr>
        <w:pStyle w:val="sub2"/>
      </w:pPr>
      <w:r w:rsidRPr="00CB40E2">
        <w:t xml:space="preserve">The draft Staff Proposal </w:t>
      </w:r>
      <w:r w:rsidR="00295F66">
        <w:t>proposed</w:t>
      </w:r>
      <w:r w:rsidR="00295F66" w:rsidRPr="00CB40E2">
        <w:t xml:space="preserve"> </w:t>
      </w:r>
      <w:r w:rsidRPr="00CB40E2">
        <w:t>a subsidy level for acceptable projects,</w:t>
      </w:r>
      <w:r w:rsidR="00295F66">
        <w:t xml:space="preserve"> and set the limit for expedited review of the Adoption projects at $50,000. </w:t>
      </w:r>
      <w:r w:rsidR="00BA0377">
        <w:t xml:space="preserve"> </w:t>
      </w:r>
      <w:r w:rsidR="000C4283">
        <w:t>It</w:t>
      </w:r>
      <w:r w:rsidR="00295F66">
        <w:t xml:space="preserve"> also capped the costs </w:t>
      </w:r>
      <w:r w:rsidRPr="00CB40E2">
        <w:t>for computing devices used in community training rooms or other public space</w:t>
      </w:r>
      <w:r w:rsidR="00903571">
        <w:t>s</w:t>
      </w:r>
      <w:r w:rsidRPr="00CB40E2">
        <w:t xml:space="preserve"> </w:t>
      </w:r>
      <w:r w:rsidR="00295F66">
        <w:t>at</w:t>
      </w:r>
      <w:r w:rsidRPr="00CB40E2">
        <w:t xml:space="preserve"> $1,000</w:t>
      </w:r>
      <w:r w:rsidR="00295F66">
        <w:t xml:space="preserve"> each</w:t>
      </w:r>
      <w:r w:rsidRPr="00CB40E2">
        <w:t>, with a cap of 20 devices per designated space or project.</w:t>
      </w:r>
    </w:p>
    <w:p w:rsidR="00AF1C22" w:rsidRDefault="00AF1C22" w:rsidP="005D7D31">
      <w:pPr>
        <w:pStyle w:val="Heading3"/>
      </w:pPr>
      <w:bookmarkStart w:id="25" w:name="_Toc514152993"/>
      <w:r>
        <w:t>Parties’ Comments</w:t>
      </w:r>
      <w:bookmarkEnd w:id="25"/>
    </w:p>
    <w:p w:rsidR="00A711E6" w:rsidRPr="00CB40E2" w:rsidRDefault="00A711E6" w:rsidP="00A711E6">
      <w:pPr>
        <w:pStyle w:val="standard"/>
      </w:pPr>
      <w:r w:rsidRPr="00CB40E2">
        <w:t xml:space="preserve">Tech Exchange and </w:t>
      </w:r>
      <w:r>
        <w:t xml:space="preserve">San Francisco </w:t>
      </w:r>
      <w:r w:rsidRPr="00CB40E2">
        <w:t>suggest</w:t>
      </w:r>
      <w:r w:rsidR="00652C51">
        <w:t>ed</w:t>
      </w:r>
      <w:r w:rsidRPr="00CB40E2">
        <w:t xml:space="preserve"> differing subsidy levels for computers.  Tech Exchange contends</w:t>
      </w:r>
      <w:r w:rsidR="00E451BA">
        <w:t xml:space="preserve"> that</w:t>
      </w:r>
      <w:r w:rsidRPr="00CB40E2">
        <w:t xml:space="preserve"> in their experience, “a lab of 15 computers costing $500 or less is adequate infrastructure for trainings.”</w:t>
      </w:r>
      <w:r w:rsidR="00E451BA" w:rsidRPr="00CB40E2">
        <w:rPr>
          <w:vertAlign w:val="superscript"/>
        </w:rPr>
        <w:footnoteReference w:id="56"/>
      </w:r>
      <w:r w:rsidR="00BA0377">
        <w:t xml:space="preserve">  San </w:t>
      </w:r>
      <w:r w:rsidRPr="00CB40E2">
        <w:t xml:space="preserve">Francisco believes the term “computing devices” is vague and </w:t>
      </w:r>
      <w:r w:rsidR="00E451BA">
        <w:t xml:space="preserve">is </w:t>
      </w:r>
      <w:r w:rsidR="00907980">
        <w:t>un</w:t>
      </w:r>
      <w:r w:rsidRPr="00CB40E2">
        <w:t xml:space="preserve">clear </w:t>
      </w:r>
      <w:r w:rsidR="00F609A8">
        <w:t xml:space="preserve">as to </w:t>
      </w:r>
      <w:r w:rsidRPr="00CB40E2">
        <w:t xml:space="preserve">whether </w:t>
      </w:r>
      <w:r w:rsidR="007203E4">
        <w:t xml:space="preserve">the </w:t>
      </w:r>
      <w:r w:rsidRPr="00CB40E2">
        <w:t>per</w:t>
      </w:r>
      <w:r w:rsidR="00B34BCE">
        <w:noBreakHyphen/>
      </w:r>
      <w:r w:rsidRPr="00CB40E2">
        <w:t>device subsidy limit includes software costs for each device.  “If the limit does include software, San Francisco recommend</w:t>
      </w:r>
      <w:r w:rsidR="00CA19C0">
        <w:t>[s]</w:t>
      </w:r>
      <w:r w:rsidRPr="00CB40E2">
        <w:t xml:space="preserve"> increasing the </w:t>
      </w:r>
      <w:r w:rsidRPr="00CB40E2">
        <w:lastRenderedPageBreak/>
        <w:t>limit to at least $1,500 to ensure community training rooms and public spaces are furnished with disability</w:t>
      </w:r>
      <w:r w:rsidR="00B34BCE">
        <w:noBreakHyphen/>
      </w:r>
      <w:r w:rsidRPr="00CB40E2">
        <w:t>friendly computers.”</w:t>
      </w:r>
      <w:r w:rsidRPr="00CB40E2">
        <w:rPr>
          <w:vertAlign w:val="superscript"/>
        </w:rPr>
        <w:footnoteReference w:id="57"/>
      </w:r>
    </w:p>
    <w:p w:rsidR="00AF1C22" w:rsidRDefault="00A711E6" w:rsidP="00A711E6">
      <w:pPr>
        <w:pStyle w:val="standard"/>
      </w:pPr>
      <w:r w:rsidRPr="00CB40E2">
        <w:t xml:space="preserve">Additionally, San Francisco suggests </w:t>
      </w:r>
      <w:r w:rsidR="008D752F">
        <w:t xml:space="preserve">that </w:t>
      </w:r>
      <w:r w:rsidRPr="00CB40E2">
        <w:t>the Commission allow</w:t>
      </w:r>
      <w:r w:rsidR="00CA19C0">
        <w:t xml:space="preserve"> the</w:t>
      </w:r>
      <w:r w:rsidRPr="00CB40E2">
        <w:t xml:space="preserve"> cost of general technical support services beyond support for equipment installation for Digital Literacy projects.</w:t>
      </w:r>
      <w:r w:rsidRPr="00CB40E2">
        <w:rPr>
          <w:vertAlign w:val="superscript"/>
        </w:rPr>
        <w:footnoteReference w:id="58"/>
      </w:r>
    </w:p>
    <w:p w:rsidR="00AF1C22" w:rsidRDefault="00A711E6" w:rsidP="005D7D31">
      <w:pPr>
        <w:pStyle w:val="Heading3"/>
      </w:pPr>
      <w:bookmarkStart w:id="26" w:name="_Toc514152994"/>
      <w:r>
        <w:t>Discussion</w:t>
      </w:r>
      <w:bookmarkEnd w:id="26"/>
    </w:p>
    <w:p w:rsidR="00A711E6" w:rsidRPr="00CB40E2" w:rsidRDefault="00A711E6" w:rsidP="00A711E6">
      <w:pPr>
        <w:pStyle w:val="standard"/>
      </w:pPr>
      <w:r w:rsidRPr="00CB40E2">
        <w:t>We agree with Tech Exchange’s suggestion to lower the device subsidy level.</w:t>
      </w:r>
      <w:r w:rsidR="00CA19C0">
        <w:t xml:space="preserve"> </w:t>
      </w:r>
      <w:r w:rsidR="00B34BCE">
        <w:t xml:space="preserve"> </w:t>
      </w:r>
      <w:r w:rsidR="00CA19C0">
        <w:t>We</w:t>
      </w:r>
      <w:r w:rsidRPr="00CB40E2">
        <w:t xml:space="preserve"> further agree with San Francisco on the importance for the provision of disability friendly devices, however, costs for devices and software are separate.  </w:t>
      </w:r>
    </w:p>
    <w:p w:rsidR="002E2500" w:rsidRDefault="00A711E6" w:rsidP="00A711E6">
      <w:pPr>
        <w:pStyle w:val="sub2"/>
      </w:pPr>
      <w:r w:rsidRPr="00CB40E2">
        <w:t xml:space="preserve">Accordingly, for </w:t>
      </w:r>
      <w:r w:rsidR="00BC41E4">
        <w:t xml:space="preserve">both Digital Literacy and </w:t>
      </w:r>
      <w:r w:rsidRPr="00732081">
        <w:t>Broadband Access</w:t>
      </w:r>
      <w:r w:rsidRPr="00CB40E2">
        <w:t xml:space="preserve"> Project</w:t>
      </w:r>
      <w:r w:rsidR="00CA19C0">
        <w:t>s</w:t>
      </w:r>
      <w:r w:rsidRPr="00CB40E2">
        <w:t xml:space="preserve">, Appendix 1 </w:t>
      </w:r>
      <w:r w:rsidR="009A3671">
        <w:t xml:space="preserve">has been updated </w:t>
      </w:r>
      <w:r w:rsidRPr="00CB40E2">
        <w:t xml:space="preserve">to change the </w:t>
      </w:r>
      <w:r w:rsidR="00BC41E4">
        <w:t xml:space="preserve">reimbursable </w:t>
      </w:r>
      <w:r w:rsidRPr="00CB40E2">
        <w:t>limits on</w:t>
      </w:r>
      <w:r w:rsidR="005B0D76">
        <w:t xml:space="preserve"> in</w:t>
      </w:r>
      <w:r w:rsidR="00B34BCE">
        <w:noBreakHyphen/>
      </w:r>
      <w:r w:rsidR="005B0D76">
        <w:t>classroom computing</w:t>
      </w:r>
      <w:r w:rsidRPr="00CB40E2">
        <w:t xml:space="preserve"> </w:t>
      </w:r>
      <w:r w:rsidR="00BC5123">
        <w:t>devices</w:t>
      </w:r>
      <w:r w:rsidR="00BC5123" w:rsidRPr="00CB40E2">
        <w:t xml:space="preserve"> </w:t>
      </w:r>
      <w:r w:rsidRPr="00CB40E2">
        <w:t xml:space="preserve">from $1,000 to $750 per </w:t>
      </w:r>
      <w:r w:rsidR="008E730F">
        <w:t>device</w:t>
      </w:r>
      <w:r w:rsidR="00BC5123" w:rsidRPr="00CB40E2">
        <w:t xml:space="preserve"> </w:t>
      </w:r>
      <w:r w:rsidRPr="00CB40E2">
        <w:t xml:space="preserve">with a maximum of 15 </w:t>
      </w:r>
      <w:r w:rsidR="008E730F">
        <w:t>devices</w:t>
      </w:r>
      <w:r w:rsidR="00BC5123" w:rsidRPr="00CB40E2">
        <w:t xml:space="preserve"> </w:t>
      </w:r>
      <w:r w:rsidRPr="00CB40E2">
        <w:t>per location.</w:t>
      </w:r>
      <w:r w:rsidR="002E2500">
        <w:t xml:space="preserve">  Fo</w:t>
      </w:r>
      <w:r w:rsidR="002E2500" w:rsidRPr="007C64F6">
        <w:t xml:space="preserve">r Digital Literacy Projects, </w:t>
      </w:r>
      <w:r w:rsidR="002E2500">
        <w:t xml:space="preserve">reimbursement for take home devices is </w:t>
      </w:r>
      <w:r w:rsidR="002E2500" w:rsidRPr="000B138B">
        <w:t>limited to only households that participate in the Supplemental Nutritional Assistance Program, the National School Lunch Program, or the Women, Infants, and Children Program</w:t>
      </w:r>
      <w:r w:rsidR="002E2500">
        <w:t xml:space="preserve">, </w:t>
      </w:r>
      <w:r w:rsidR="002E2500" w:rsidRPr="007C64F6">
        <w:t xml:space="preserve">is </w:t>
      </w:r>
      <w:r w:rsidR="002E2500">
        <w:t>limited to</w:t>
      </w:r>
      <w:r w:rsidR="002E2500" w:rsidRPr="007C64F6">
        <w:t xml:space="preserve"> $150 per device</w:t>
      </w:r>
      <w:r w:rsidR="002E2500">
        <w:t>, is limited to</w:t>
      </w:r>
      <w:r w:rsidR="002E2500" w:rsidRPr="007C64F6">
        <w:t xml:space="preserve"> one </w:t>
      </w:r>
      <w:r w:rsidR="002E2500">
        <w:t>device per eligible household, and is limited to</w:t>
      </w:r>
      <w:r w:rsidR="002E2500" w:rsidRPr="007C64F6">
        <w:t xml:space="preserve"> $10,000 per application/project location.</w:t>
      </w:r>
      <w:r w:rsidR="002E2500">
        <w:t xml:space="preserve">  </w:t>
      </w:r>
      <w:r w:rsidR="002E2500" w:rsidRPr="007C64F6">
        <w:t>Grantees should ensure proof of eligibility in their distribution of computing devices for households</w:t>
      </w:r>
    </w:p>
    <w:p w:rsidR="00A711E6" w:rsidRDefault="00A711E6" w:rsidP="009A00FB">
      <w:pPr>
        <w:pStyle w:val="Heading2"/>
      </w:pPr>
      <w:bookmarkStart w:id="27" w:name="_Toc514152995"/>
      <w:r>
        <w:lastRenderedPageBreak/>
        <w:t>Information Required from Applicants</w:t>
      </w:r>
      <w:bookmarkEnd w:id="27"/>
    </w:p>
    <w:p w:rsidR="00A711E6" w:rsidRPr="00A711E6" w:rsidRDefault="00A711E6" w:rsidP="00A711E6">
      <w:pPr>
        <w:pStyle w:val="sub1"/>
      </w:pPr>
      <w:r w:rsidRPr="00CB40E2">
        <w:t>The draft Staff Proposal included a list of information required from applicants as part of the application submission and review.</w:t>
      </w:r>
    </w:p>
    <w:p w:rsidR="00AF1C22" w:rsidRDefault="00A711E6" w:rsidP="005D7D31">
      <w:pPr>
        <w:pStyle w:val="Heading3"/>
      </w:pPr>
      <w:bookmarkStart w:id="28" w:name="_Toc514152996"/>
      <w:r>
        <w:t>Parties’ Comments</w:t>
      </w:r>
      <w:bookmarkEnd w:id="28"/>
    </w:p>
    <w:p w:rsidR="00A711E6" w:rsidRPr="00CB40E2" w:rsidRDefault="00A711E6" w:rsidP="00A711E6">
      <w:pPr>
        <w:pStyle w:val="standard"/>
      </w:pPr>
      <w:r w:rsidRPr="00CB40E2">
        <w:t xml:space="preserve">In opening comments, Radio Bilingüe emphasizes “the importance of including support for community ethnic media in the area of Adoption Account,” specifically for outreach to </w:t>
      </w:r>
      <w:r w:rsidR="00CA19C0" w:rsidRPr="00CB40E2">
        <w:t>low</w:t>
      </w:r>
      <w:r w:rsidR="00B34BCE">
        <w:noBreakHyphen/>
      </w:r>
      <w:r w:rsidRPr="00CB40E2">
        <w:t>income families.</w:t>
      </w:r>
      <w:r w:rsidRPr="00CB40E2">
        <w:rPr>
          <w:vertAlign w:val="superscript"/>
        </w:rPr>
        <w:footnoteReference w:id="59"/>
      </w:r>
    </w:p>
    <w:p w:rsidR="00A711E6" w:rsidRPr="00CB40E2" w:rsidRDefault="009A3671" w:rsidP="00A711E6">
      <w:pPr>
        <w:pStyle w:val="standard"/>
      </w:pPr>
      <w:r w:rsidRPr="00CB40E2">
        <w:t>Tech Exchange, CETF, TURN, Frontier, Chico</w:t>
      </w:r>
      <w:r>
        <w:t>,</w:t>
      </w:r>
      <w:r w:rsidRPr="00CB40E2">
        <w:t xml:space="preserve"> and ORA </w:t>
      </w:r>
      <w:r>
        <w:t xml:space="preserve">all </w:t>
      </w:r>
      <w:r w:rsidR="00A711E6" w:rsidRPr="00CB40E2">
        <w:t xml:space="preserve">support extending </w:t>
      </w:r>
      <w:r>
        <w:t xml:space="preserve">the </w:t>
      </w:r>
      <w:r w:rsidR="00A711E6" w:rsidRPr="00CB40E2">
        <w:t>project timeframe to two years to ensure sustainable programs</w:t>
      </w:r>
      <w:r>
        <w:t>.</w:t>
      </w:r>
      <w:r w:rsidR="00A711E6" w:rsidRPr="00CB40E2">
        <w:t xml:space="preserve">  </w:t>
      </w:r>
    </w:p>
    <w:p w:rsidR="00A711E6" w:rsidRPr="00CB40E2" w:rsidRDefault="00A711E6" w:rsidP="00A711E6">
      <w:pPr>
        <w:pStyle w:val="standard"/>
      </w:pPr>
      <w:r w:rsidRPr="00CB40E2">
        <w:t xml:space="preserve">Chico recommends </w:t>
      </w:r>
      <w:r w:rsidR="009A3671">
        <w:t xml:space="preserve">that </w:t>
      </w:r>
      <w:r w:rsidRPr="00CB40E2">
        <w:t>the Commission consider regional collaborative digital literacy/broadband access projects in order to maximize effectiveness.</w:t>
      </w:r>
      <w:r>
        <w:rPr>
          <w:rStyle w:val="FootnoteReference"/>
        </w:rPr>
        <w:footnoteReference w:id="60"/>
      </w:r>
      <w:r w:rsidRPr="00CB40E2">
        <w:t xml:space="preserve"> NBNCBC expressed concern with smaller</w:t>
      </w:r>
      <w:r w:rsidR="00B60775">
        <w:t xml:space="preserve"> </w:t>
      </w:r>
      <w:r w:rsidRPr="00CB40E2">
        <w:t>capacity applicants such as non</w:t>
      </w:r>
      <w:r w:rsidR="00B34BCE">
        <w:noBreakHyphen/>
      </w:r>
      <w:r w:rsidRPr="00CB40E2">
        <w:t>profits and community</w:t>
      </w:r>
      <w:r w:rsidR="00B60775">
        <w:t xml:space="preserve"> </w:t>
      </w:r>
      <w:r w:rsidRPr="00CB40E2">
        <w:t>based organizations being able to navigate the application and grant process.</w:t>
      </w:r>
      <w:r>
        <w:rPr>
          <w:rStyle w:val="FootnoteReference"/>
        </w:rPr>
        <w:footnoteReference w:id="61"/>
      </w:r>
      <w:r w:rsidRPr="00CB40E2">
        <w:t xml:space="preserve">  </w:t>
      </w:r>
    </w:p>
    <w:p w:rsidR="00A711E6" w:rsidRPr="00CB40E2" w:rsidRDefault="00A711E6" w:rsidP="00A711E6">
      <w:pPr>
        <w:pStyle w:val="standard"/>
      </w:pPr>
      <w:r w:rsidRPr="00CB40E2">
        <w:t xml:space="preserve">Numerous parties, such as CCTA, Central Sierra Connect, and CETF, believe </w:t>
      </w:r>
      <w:r w:rsidR="00332B28">
        <w:t xml:space="preserve">that </w:t>
      </w:r>
      <w:r w:rsidRPr="00CB40E2">
        <w:t xml:space="preserve">the Commission should require applicants to include </w:t>
      </w:r>
      <w:r w:rsidR="00CA19C0">
        <w:t xml:space="preserve">a </w:t>
      </w:r>
      <w:r w:rsidRPr="00CB40E2">
        <w:t xml:space="preserve">description </w:t>
      </w:r>
      <w:r w:rsidR="00CA19C0">
        <w:t xml:space="preserve">of </w:t>
      </w:r>
      <w:r w:rsidRPr="00CB40E2">
        <w:t>their strategy for ensuring new residential broadband subscriptions</w:t>
      </w:r>
      <w:r w:rsidR="00CA19C0" w:rsidRPr="00CA19C0">
        <w:t xml:space="preserve"> </w:t>
      </w:r>
      <w:r w:rsidR="00CA19C0" w:rsidRPr="00CB40E2">
        <w:t>in their project</w:t>
      </w:r>
      <w:r w:rsidRPr="00CB40E2">
        <w:t xml:space="preserve">.  However, San Francisco argues </w:t>
      </w:r>
      <w:r w:rsidR="00332B28">
        <w:t xml:space="preserve">that </w:t>
      </w:r>
      <w:r w:rsidRPr="00CB40E2">
        <w:t>projection of new subscriptions be deleted from the grant application as it is “speculative.”</w:t>
      </w:r>
      <w:r w:rsidRPr="00CB40E2">
        <w:rPr>
          <w:vertAlign w:val="superscript"/>
        </w:rPr>
        <w:footnoteReference w:id="62"/>
      </w:r>
      <w:r w:rsidRPr="00CB40E2">
        <w:t xml:space="preserve">  Other parties, CETF</w:t>
      </w:r>
      <w:r w:rsidRPr="00CB40E2">
        <w:rPr>
          <w:vertAlign w:val="superscript"/>
        </w:rPr>
        <w:footnoteReference w:id="63"/>
      </w:r>
      <w:r w:rsidRPr="00CB40E2">
        <w:t xml:space="preserve"> </w:t>
      </w:r>
      <w:r w:rsidRPr="00CB40E2">
        <w:lastRenderedPageBreak/>
        <w:t>and ORA,</w:t>
      </w:r>
      <w:r w:rsidRPr="00CB40E2">
        <w:rPr>
          <w:vertAlign w:val="superscript"/>
        </w:rPr>
        <w:footnoteReference w:id="64"/>
      </w:r>
      <w:r w:rsidRPr="00CB40E2">
        <w:t xml:space="preserve"> support performance based projects with verifiable outcomes and/or require grantees to conduct pre</w:t>
      </w:r>
      <w:r w:rsidR="00B34BCE">
        <w:noBreakHyphen/>
      </w:r>
      <w:r w:rsidRPr="00CB40E2">
        <w:t xml:space="preserve"> and </w:t>
      </w:r>
      <w:r w:rsidR="00CA19C0" w:rsidRPr="00CB40E2">
        <w:t>post</w:t>
      </w:r>
      <w:r w:rsidR="00B34BCE">
        <w:noBreakHyphen/>
      </w:r>
      <w:r w:rsidRPr="00CB40E2">
        <w:t xml:space="preserve">implementation surveys. </w:t>
      </w:r>
    </w:p>
    <w:p w:rsidR="00A711E6" w:rsidRPr="00CB40E2" w:rsidRDefault="00A711E6" w:rsidP="00A711E6">
      <w:pPr>
        <w:pStyle w:val="standard"/>
      </w:pPr>
      <w:r w:rsidRPr="00CB40E2">
        <w:t>Both ORA and CETF state that the Commission should ensure</w:t>
      </w:r>
      <w:r w:rsidR="00C74BA6">
        <w:t xml:space="preserve"> that</w:t>
      </w:r>
      <w:r w:rsidRPr="00CB40E2">
        <w:t xml:space="preserve"> “eligible ‘educational efforts and materials’ must exclusively focus on digital literacy and/or broadband adoption.”</w:t>
      </w:r>
      <w:r w:rsidRPr="00CB40E2">
        <w:rPr>
          <w:vertAlign w:val="superscript"/>
        </w:rPr>
        <w:footnoteReference w:id="65"/>
      </w:r>
    </w:p>
    <w:p w:rsidR="00A711E6" w:rsidRPr="00A711E6" w:rsidRDefault="00A711E6" w:rsidP="00A711E6">
      <w:pPr>
        <w:pStyle w:val="sub2"/>
      </w:pPr>
      <w:r w:rsidRPr="00CB40E2">
        <w:t>Both TURN</w:t>
      </w:r>
      <w:r w:rsidRPr="00CB40E2">
        <w:rPr>
          <w:vertAlign w:val="superscript"/>
        </w:rPr>
        <w:footnoteReference w:id="66"/>
      </w:r>
      <w:r w:rsidRPr="00CB40E2">
        <w:t xml:space="preserve"> and CETF</w:t>
      </w:r>
      <w:r w:rsidRPr="00CB40E2">
        <w:rPr>
          <w:vertAlign w:val="superscript"/>
        </w:rPr>
        <w:footnoteReference w:id="67"/>
      </w:r>
      <w:r w:rsidRPr="00CB40E2">
        <w:t xml:space="preserve"> recommend </w:t>
      </w:r>
      <w:r w:rsidR="00C74BA6">
        <w:t xml:space="preserve">that </w:t>
      </w:r>
      <w:r w:rsidRPr="00CB40E2">
        <w:t xml:space="preserve">the Commission ensure project proponents are not obligated to and do not market or otherwise exclusively promote </w:t>
      </w:r>
      <w:r w:rsidR="00CA19C0">
        <w:t>a particular</w:t>
      </w:r>
      <w:r w:rsidR="00CA19C0" w:rsidRPr="00CB40E2">
        <w:t xml:space="preserve"> </w:t>
      </w:r>
      <w:r w:rsidRPr="00CB40E2">
        <w:t>carrier’s service.  The Adoption Account should be competitively neutral and not give preference to any specific ISP low</w:t>
      </w:r>
      <w:r w:rsidR="00B34BCE">
        <w:noBreakHyphen/>
      </w:r>
      <w:r w:rsidRPr="00CB40E2">
        <w:t>income program.</w:t>
      </w:r>
    </w:p>
    <w:p w:rsidR="00AF1C22" w:rsidRDefault="00A711E6" w:rsidP="005D7D31">
      <w:pPr>
        <w:pStyle w:val="Heading3"/>
      </w:pPr>
      <w:bookmarkStart w:id="29" w:name="_Toc514152997"/>
      <w:r>
        <w:t>Discussion</w:t>
      </w:r>
      <w:bookmarkEnd w:id="29"/>
    </w:p>
    <w:p w:rsidR="00A711E6" w:rsidRPr="00CB40E2" w:rsidRDefault="00A711E6" w:rsidP="00A711E6">
      <w:pPr>
        <w:pStyle w:val="standard"/>
      </w:pPr>
      <w:r w:rsidRPr="00CB40E2">
        <w:t xml:space="preserve">Appendix 1 </w:t>
      </w:r>
      <w:r w:rsidR="00C74BA6">
        <w:t xml:space="preserve">has been updated </w:t>
      </w:r>
      <w:r w:rsidRPr="00CB40E2">
        <w:t xml:space="preserve">to add </w:t>
      </w:r>
      <w:r w:rsidR="00C74BA6">
        <w:t xml:space="preserve">the following </w:t>
      </w:r>
      <w:r w:rsidRPr="00CB40E2">
        <w:t>additional requirements:</w:t>
      </w:r>
    </w:p>
    <w:p w:rsidR="00A711E6" w:rsidRPr="00CB40E2" w:rsidRDefault="00A711E6" w:rsidP="00B93DB0">
      <w:pPr>
        <w:pStyle w:val="standard"/>
        <w:numPr>
          <w:ilvl w:val="0"/>
          <w:numId w:val="9"/>
        </w:numPr>
        <w:spacing w:after="160" w:line="240" w:lineRule="auto"/>
        <w:ind w:left="1080" w:right="720"/>
      </w:pPr>
      <w:r w:rsidRPr="00CB40E2">
        <w:t>Performance Metrics Plan for tracking outcomes (e.g. surveys, subscription verification/bill, etc.)</w:t>
      </w:r>
      <w:r w:rsidR="00CC0E69">
        <w:t>;</w:t>
      </w:r>
    </w:p>
    <w:p w:rsidR="00A711E6" w:rsidRPr="00CB40E2" w:rsidRDefault="00A711E6" w:rsidP="00B93DB0">
      <w:pPr>
        <w:pStyle w:val="standard"/>
        <w:numPr>
          <w:ilvl w:val="0"/>
          <w:numId w:val="9"/>
        </w:numPr>
        <w:spacing w:after="160" w:line="240" w:lineRule="auto"/>
        <w:ind w:left="1080" w:right="720"/>
      </w:pPr>
      <w:r w:rsidRPr="00CB40E2">
        <w:t>Community Support and Endorsements to demonstrate local and relevant experience and outreach</w:t>
      </w:r>
      <w:r w:rsidR="00CC0E69">
        <w:t xml:space="preserve">; </w:t>
      </w:r>
    </w:p>
    <w:p w:rsidR="00A711E6" w:rsidRDefault="00A711E6" w:rsidP="00B93DB0">
      <w:pPr>
        <w:pStyle w:val="standard"/>
        <w:numPr>
          <w:ilvl w:val="0"/>
          <w:numId w:val="9"/>
        </w:numPr>
        <w:spacing w:after="160" w:line="240" w:lineRule="auto"/>
        <w:ind w:left="1080" w:right="720"/>
      </w:pPr>
      <w:r w:rsidRPr="00CB40E2">
        <w:t>Partnerships with other organizations, such as media and marketing groups and ISPs</w:t>
      </w:r>
      <w:r w:rsidR="00D209D1">
        <w:t>; a</w:t>
      </w:r>
      <w:r w:rsidR="0008193D">
        <w:t>nd</w:t>
      </w:r>
    </w:p>
    <w:p w:rsidR="0008193D" w:rsidRPr="00CB40E2" w:rsidRDefault="00D209D1" w:rsidP="00B93DB0">
      <w:pPr>
        <w:pStyle w:val="standard"/>
        <w:numPr>
          <w:ilvl w:val="0"/>
          <w:numId w:val="9"/>
        </w:numPr>
        <w:spacing w:after="160" w:line="240" w:lineRule="auto"/>
        <w:ind w:left="1080" w:right="720"/>
      </w:pPr>
      <w:r>
        <w:t>P</w:t>
      </w:r>
      <w:r w:rsidR="0008193D" w:rsidRPr="00CB40E2">
        <w:t>re</w:t>
      </w:r>
      <w:r w:rsidR="00B34BCE">
        <w:noBreakHyphen/>
      </w:r>
      <w:r w:rsidR="0008193D" w:rsidRPr="00CB40E2">
        <w:t xml:space="preserve"> and post</w:t>
      </w:r>
      <w:r w:rsidR="00B34BCE">
        <w:noBreakHyphen/>
      </w:r>
      <w:r w:rsidR="0008193D" w:rsidRPr="00CB40E2">
        <w:t>implementation survey</w:t>
      </w:r>
      <w:r w:rsidR="00C474F0">
        <w:t xml:space="preserve"> or report</w:t>
      </w:r>
      <w:r w:rsidR="004F15A2">
        <w:t>, developed by CD</w:t>
      </w:r>
      <w:r w:rsidR="00A01E09">
        <w:t>.</w:t>
      </w:r>
    </w:p>
    <w:p w:rsidR="00A711E6" w:rsidRDefault="00A711E6" w:rsidP="00A711E6">
      <w:pPr>
        <w:pStyle w:val="sub2"/>
      </w:pPr>
      <w:r w:rsidRPr="00CB40E2">
        <w:lastRenderedPageBreak/>
        <w:t xml:space="preserve">Where appropriate, </w:t>
      </w:r>
      <w:r w:rsidR="00CC0E69">
        <w:t xml:space="preserve">we </w:t>
      </w:r>
      <w:r w:rsidRPr="00CB40E2">
        <w:t xml:space="preserve">increase </w:t>
      </w:r>
      <w:r w:rsidR="002F73B6">
        <w:t xml:space="preserve">the </w:t>
      </w:r>
      <w:r w:rsidRPr="00CB40E2">
        <w:t>project timeframe to two years, following the ramp</w:t>
      </w:r>
      <w:r w:rsidR="00B34BCE">
        <w:noBreakHyphen/>
      </w:r>
      <w:r w:rsidRPr="00CB40E2">
        <w:t>up period</w:t>
      </w:r>
      <w:r w:rsidR="0008193D">
        <w:t>, and reiterate that</w:t>
      </w:r>
      <w:r w:rsidR="0008193D" w:rsidRPr="0008193D">
        <w:t xml:space="preserve"> </w:t>
      </w:r>
      <w:r w:rsidR="0008193D">
        <w:t>project</w:t>
      </w:r>
      <w:r w:rsidR="00C474F0">
        <w:t xml:space="preserve"> grantees</w:t>
      </w:r>
      <w:r w:rsidR="0008193D">
        <w:t xml:space="preserve"> will no</w:t>
      </w:r>
      <w:r w:rsidR="0008193D" w:rsidRPr="00CB40E2">
        <w:t xml:space="preserve">t market or promote </w:t>
      </w:r>
      <w:r w:rsidR="0008193D">
        <w:t>a particular</w:t>
      </w:r>
      <w:r w:rsidR="0008193D" w:rsidRPr="00CB40E2">
        <w:t xml:space="preserve"> carrier’s service</w:t>
      </w:r>
      <w:r w:rsidR="0008193D">
        <w:t>, or give</w:t>
      </w:r>
      <w:r w:rsidR="0008193D" w:rsidRPr="00CB40E2">
        <w:t xml:space="preserve"> preference to any specific ISP low</w:t>
      </w:r>
      <w:r w:rsidR="00B34BCE">
        <w:noBreakHyphen/>
      </w:r>
      <w:r w:rsidR="0008193D" w:rsidRPr="00CB40E2">
        <w:t>income program.</w:t>
      </w:r>
      <w:r w:rsidR="0008193D">
        <w:t xml:space="preserve"> </w:t>
      </w:r>
    </w:p>
    <w:p w:rsidR="00A711E6" w:rsidRDefault="00A711E6" w:rsidP="009A00FB">
      <w:pPr>
        <w:pStyle w:val="Heading2"/>
      </w:pPr>
      <w:bookmarkStart w:id="30" w:name="_Toc514152998"/>
      <w:r>
        <w:t>Evaluation Criteria</w:t>
      </w:r>
      <w:bookmarkEnd w:id="30"/>
    </w:p>
    <w:p w:rsidR="00A711E6" w:rsidRDefault="00A711E6" w:rsidP="00A711E6">
      <w:pPr>
        <w:pStyle w:val="sub2"/>
      </w:pPr>
      <w:r w:rsidRPr="00CB40E2">
        <w:t>The draft Staff Proposal included proposed evaluation and scoring criteria for scoring applications/projects.</w:t>
      </w:r>
    </w:p>
    <w:p w:rsidR="00AF1C22" w:rsidRDefault="00A711E6" w:rsidP="005D7D31">
      <w:pPr>
        <w:pStyle w:val="Heading3"/>
      </w:pPr>
      <w:bookmarkStart w:id="31" w:name="_Toc514152999"/>
      <w:r>
        <w:t>Parties’ Comments</w:t>
      </w:r>
      <w:bookmarkEnd w:id="31"/>
    </w:p>
    <w:p w:rsidR="00A711E6" w:rsidRPr="00CB40E2" w:rsidRDefault="00A711E6" w:rsidP="00A711E6">
      <w:pPr>
        <w:pStyle w:val="standard"/>
      </w:pPr>
      <w:r w:rsidRPr="00CB40E2">
        <w:t>CETF, Chico, and NBNCBC all highlighted the need to prioritize projects located in rural communities with low broadband access which may not result in high participation numbers.</w:t>
      </w:r>
      <w:r w:rsidR="00CC0E69" w:rsidRPr="00CB40E2">
        <w:rPr>
          <w:vertAlign w:val="superscript"/>
        </w:rPr>
        <w:footnoteReference w:id="68"/>
      </w:r>
      <w:r w:rsidRPr="00CB40E2">
        <w:t xml:space="preserve"> </w:t>
      </w:r>
    </w:p>
    <w:p w:rsidR="00A711E6" w:rsidRPr="00CB40E2" w:rsidRDefault="00A711E6" w:rsidP="00A711E6">
      <w:pPr>
        <w:pStyle w:val="standard"/>
      </w:pPr>
      <w:r w:rsidRPr="00CB40E2">
        <w:t xml:space="preserve">ORA states </w:t>
      </w:r>
      <w:r w:rsidR="009478BB">
        <w:t xml:space="preserve">that </w:t>
      </w:r>
      <w:r w:rsidRPr="00CB40E2">
        <w:t>“after giving priority to projects that serve communities with low broadband access, the Commission should also assess the subscription rates of communities to determine whether a project is eligible or to rank eligible programs by subscription rates.”</w:t>
      </w:r>
      <w:r w:rsidRPr="00CB40E2">
        <w:rPr>
          <w:vertAlign w:val="superscript"/>
        </w:rPr>
        <w:footnoteReference w:id="69"/>
      </w:r>
      <w:r w:rsidRPr="00CB40E2">
        <w:t xml:space="preserve">  Additionally, ORA suggests </w:t>
      </w:r>
      <w:r w:rsidR="009478BB">
        <w:t xml:space="preserve">that the </w:t>
      </w:r>
      <w:r w:rsidRPr="00CB40E2">
        <w:t>evaluation criteria include verifiable demonstrations of program necessity, the applicant’s ability/capacity, community support and collaboration, and financial feasibility.</w:t>
      </w:r>
      <w:r w:rsidRPr="00CB40E2">
        <w:rPr>
          <w:vertAlign w:val="superscript"/>
        </w:rPr>
        <w:footnoteReference w:id="70"/>
      </w:r>
    </w:p>
    <w:p w:rsidR="00A711E6" w:rsidRPr="00A711E6" w:rsidRDefault="00B4735F" w:rsidP="00A711E6">
      <w:pPr>
        <w:pStyle w:val="sub2"/>
      </w:pPr>
      <w:r>
        <w:lastRenderedPageBreak/>
        <w:t xml:space="preserve">The </w:t>
      </w:r>
      <w:r w:rsidRPr="00903571">
        <w:t>Central Coast Broadband Consortium</w:t>
      </w:r>
      <w:r>
        <w:rPr>
          <w:rStyle w:val="st1"/>
          <w:rFonts w:ascii="Arial" w:hAnsi="Arial" w:cs="Arial"/>
          <w:color w:val="545454"/>
          <w:lang w:val="en"/>
        </w:rPr>
        <w:t xml:space="preserve"> (</w:t>
      </w:r>
      <w:r w:rsidR="00A711E6" w:rsidRPr="00CB40E2">
        <w:t>CCBC</w:t>
      </w:r>
      <w:r>
        <w:t>)</w:t>
      </w:r>
      <w:r w:rsidR="00A711E6" w:rsidRPr="00CB40E2">
        <w:t xml:space="preserve"> suggests </w:t>
      </w:r>
      <w:r w:rsidR="009478BB">
        <w:t xml:space="preserve">that </w:t>
      </w:r>
      <w:r w:rsidR="00A711E6" w:rsidRPr="00CB40E2">
        <w:t>the Commission award and assess projects based on minimum performance requirements and adopt</w:t>
      </w:r>
      <w:r>
        <w:t xml:space="preserve"> an</w:t>
      </w:r>
      <w:r w:rsidR="00A711E6" w:rsidRPr="00CB40E2">
        <w:t xml:space="preserve"> outcome based payment process.</w:t>
      </w:r>
      <w:r w:rsidR="00A711E6" w:rsidRPr="00CB40E2">
        <w:rPr>
          <w:vertAlign w:val="superscript"/>
        </w:rPr>
        <w:footnoteReference w:id="71"/>
      </w:r>
      <w:r w:rsidR="00A711E6" w:rsidRPr="00CB40E2">
        <w:t xml:space="preserve">  </w:t>
      </w:r>
    </w:p>
    <w:p w:rsidR="00AF1C22" w:rsidRDefault="00A711E6" w:rsidP="005D7D31">
      <w:pPr>
        <w:pStyle w:val="Heading3"/>
      </w:pPr>
      <w:bookmarkStart w:id="32" w:name="_Toc514153000"/>
      <w:r>
        <w:t>Discussion</w:t>
      </w:r>
      <w:bookmarkEnd w:id="32"/>
    </w:p>
    <w:p w:rsidR="00A711E6" w:rsidRPr="00CB40E2" w:rsidRDefault="00A711E6" w:rsidP="00A711E6">
      <w:pPr>
        <w:pStyle w:val="standard"/>
      </w:pPr>
      <w:r w:rsidRPr="00CB40E2">
        <w:t>Based on comments and the fact that having both scoring criteria and prioritization requirements is duplicative, we cho</w:t>
      </w:r>
      <w:r w:rsidR="004303D3">
        <w:t>o</w:t>
      </w:r>
      <w:r w:rsidRPr="00CB40E2">
        <w:t xml:space="preserve">se to eliminate the scoring/evaluation criteria in favor of adding </w:t>
      </w:r>
      <w:r w:rsidR="00C84297">
        <w:t xml:space="preserve">the following </w:t>
      </w:r>
      <w:r w:rsidRPr="00CB40E2">
        <w:t>items to the “Preference Checklist” to assist in the evaluation and prioritization of projects:</w:t>
      </w:r>
    </w:p>
    <w:p w:rsidR="00A711E6" w:rsidRPr="00CB40E2" w:rsidRDefault="00A711E6" w:rsidP="00B93DB0">
      <w:pPr>
        <w:pStyle w:val="standard"/>
        <w:numPr>
          <w:ilvl w:val="0"/>
          <w:numId w:val="10"/>
        </w:numPr>
        <w:spacing w:after="160" w:line="240" w:lineRule="auto"/>
        <w:ind w:left="1080" w:right="720"/>
      </w:pPr>
      <w:r w:rsidRPr="00CB40E2">
        <w:t>Projects that serve communities listed i</w:t>
      </w:r>
      <w:r w:rsidR="00E4254F">
        <w:t xml:space="preserve">n Pub. Util. </w:t>
      </w:r>
      <w:r w:rsidR="00267BC0">
        <w:t>Code, § </w:t>
      </w:r>
      <w:r w:rsidRPr="00CB40E2">
        <w:t xml:space="preserve">281(j)(5); </w:t>
      </w:r>
    </w:p>
    <w:p w:rsidR="00A711E6" w:rsidRDefault="00A711E6" w:rsidP="00B93DB0">
      <w:pPr>
        <w:pStyle w:val="standard"/>
        <w:numPr>
          <w:ilvl w:val="0"/>
          <w:numId w:val="10"/>
        </w:numPr>
        <w:spacing w:after="160" w:line="240" w:lineRule="auto"/>
        <w:ind w:left="1080" w:right="720"/>
      </w:pPr>
      <w:r w:rsidRPr="00CB40E2">
        <w:t>Projects that serve rural communities; and</w:t>
      </w:r>
    </w:p>
    <w:p w:rsidR="00AF1C22" w:rsidRDefault="00A711E6" w:rsidP="00B93DB0">
      <w:pPr>
        <w:pStyle w:val="standard"/>
        <w:numPr>
          <w:ilvl w:val="0"/>
          <w:numId w:val="10"/>
        </w:numPr>
        <w:spacing w:after="160" w:line="240" w:lineRule="auto"/>
        <w:ind w:left="1080" w:right="720"/>
      </w:pPr>
      <w:r w:rsidRPr="00CB40E2">
        <w:t>Projects that include Community Support, Endorsements, and Partnerships.</w:t>
      </w:r>
    </w:p>
    <w:p w:rsidR="00CD169A" w:rsidRDefault="00CD169A" w:rsidP="005D0855">
      <w:pPr>
        <w:pStyle w:val="standard"/>
        <w:spacing w:after="160"/>
        <w:ind w:right="720"/>
      </w:pPr>
      <w:r>
        <w:t xml:space="preserve">As part of the evaluation criteria, we will also require applicants to submit a work plan, project milestones, </w:t>
      </w:r>
      <w:r w:rsidR="00424F12">
        <w:t xml:space="preserve">a </w:t>
      </w:r>
      <w:r>
        <w:t>pre</w:t>
      </w:r>
      <w:r w:rsidR="00B34BCE">
        <w:noBreakHyphen/>
      </w:r>
      <w:r w:rsidR="009A00FB">
        <w:t xml:space="preserve"> </w:t>
      </w:r>
      <w:r>
        <w:t>and post</w:t>
      </w:r>
      <w:r w:rsidR="00B34BCE">
        <w:noBreakHyphen/>
      </w:r>
      <w:r>
        <w:t>implementation survey</w:t>
      </w:r>
      <w:r w:rsidR="00C474F0">
        <w:t xml:space="preserve"> or report, </w:t>
      </w:r>
      <w:r>
        <w:t>as well as implement additional reporting requirements</w:t>
      </w:r>
      <w:r w:rsidR="002A0DCE">
        <w:t xml:space="preserve"> as discussed above</w:t>
      </w:r>
      <w:r>
        <w:t xml:space="preserve">. </w:t>
      </w:r>
    </w:p>
    <w:p w:rsidR="00A711E6" w:rsidRDefault="00A711E6" w:rsidP="009A00FB">
      <w:pPr>
        <w:pStyle w:val="Heading2"/>
      </w:pPr>
      <w:bookmarkStart w:id="33" w:name="_Toc514153001"/>
      <w:r>
        <w:t>Submission and Timelines</w:t>
      </w:r>
      <w:bookmarkEnd w:id="33"/>
    </w:p>
    <w:p w:rsidR="00A711E6" w:rsidRPr="00A711E6" w:rsidRDefault="00A711E6" w:rsidP="00903571">
      <w:pPr>
        <w:pStyle w:val="standard"/>
      </w:pPr>
      <w:r w:rsidRPr="00CB40E2">
        <w:t>The draft Staff Proposal proposed application windows for adoption projects.</w:t>
      </w:r>
      <w:r w:rsidR="00CC0E69">
        <w:t xml:space="preserve"> </w:t>
      </w:r>
      <w:r w:rsidR="00B34BCE">
        <w:t xml:space="preserve"> </w:t>
      </w:r>
      <w:r w:rsidRPr="00CB40E2">
        <w:rPr>
          <w:bCs/>
        </w:rPr>
        <w:t>Both CSU Chico</w:t>
      </w:r>
      <w:r w:rsidRPr="00CB40E2">
        <w:rPr>
          <w:bCs/>
          <w:vertAlign w:val="superscript"/>
        </w:rPr>
        <w:footnoteReference w:id="72"/>
      </w:r>
      <w:r w:rsidRPr="00CB40E2">
        <w:rPr>
          <w:bCs/>
        </w:rPr>
        <w:t xml:space="preserve"> and CETF</w:t>
      </w:r>
      <w:r w:rsidRPr="00CB40E2">
        <w:rPr>
          <w:bCs/>
          <w:vertAlign w:val="superscript"/>
        </w:rPr>
        <w:footnoteReference w:id="73"/>
      </w:r>
      <w:r w:rsidRPr="00CB40E2">
        <w:rPr>
          <w:bCs/>
        </w:rPr>
        <w:t xml:space="preserve"> ask for a review time to be set forth for </w:t>
      </w:r>
      <w:r w:rsidR="00CC0E69">
        <w:rPr>
          <w:bCs/>
        </w:rPr>
        <w:t xml:space="preserve">both expedited </w:t>
      </w:r>
      <w:r w:rsidR="00CC0E69" w:rsidRPr="00CB40E2">
        <w:rPr>
          <w:bCs/>
        </w:rPr>
        <w:t>and non</w:t>
      </w:r>
      <w:r w:rsidR="00B34BCE">
        <w:rPr>
          <w:bCs/>
        </w:rPr>
        <w:noBreakHyphen/>
      </w:r>
      <w:r w:rsidR="00CC0E69" w:rsidRPr="00CB40E2">
        <w:rPr>
          <w:bCs/>
        </w:rPr>
        <w:t xml:space="preserve">expedited </w:t>
      </w:r>
      <w:r w:rsidRPr="00CB40E2">
        <w:rPr>
          <w:bCs/>
        </w:rPr>
        <w:t>pro</w:t>
      </w:r>
      <w:r w:rsidR="00E4254F">
        <w:rPr>
          <w:bCs/>
        </w:rPr>
        <w:t>ject proposals</w:t>
      </w:r>
      <w:r w:rsidRPr="00CB40E2">
        <w:rPr>
          <w:bCs/>
        </w:rPr>
        <w:t>.</w:t>
      </w:r>
      <w:r w:rsidR="00CC0E69">
        <w:rPr>
          <w:bCs/>
        </w:rPr>
        <w:t xml:space="preserve"> </w:t>
      </w:r>
      <w:r w:rsidR="00B34BCE">
        <w:rPr>
          <w:bCs/>
        </w:rPr>
        <w:t xml:space="preserve"> </w:t>
      </w:r>
      <w:r w:rsidR="003F549A" w:rsidRPr="00CB40E2">
        <w:t xml:space="preserve">Given that the Adoption </w:t>
      </w:r>
      <w:r w:rsidR="003F549A" w:rsidRPr="00CB40E2">
        <w:lastRenderedPageBreak/>
        <w:t>Account is new and the uncertainty in the number of applications</w:t>
      </w:r>
      <w:r w:rsidR="00033729">
        <w:t xml:space="preserve"> to be received</w:t>
      </w:r>
      <w:r w:rsidR="003F549A" w:rsidRPr="00CB40E2">
        <w:t xml:space="preserve">, we decline to set forth a review time for project proposals at this time.  </w:t>
      </w:r>
      <w:r w:rsidR="007D0BD1">
        <w:t>However the Commission</w:t>
      </w:r>
      <w:r w:rsidR="003F549A" w:rsidRPr="00CB40E2">
        <w:t xml:space="preserve"> will post a list of applicants and projects submitted by the deadline on the </w:t>
      </w:r>
      <w:r w:rsidR="007D0BD1">
        <w:t>Commission</w:t>
      </w:r>
      <w:r w:rsidR="00AA10E5">
        <w:t>’s</w:t>
      </w:r>
      <w:r w:rsidR="007D0BD1">
        <w:t xml:space="preserve"> </w:t>
      </w:r>
      <w:r w:rsidR="003F549A" w:rsidRPr="00CB40E2">
        <w:t xml:space="preserve">CASF webpage.  Further, where possible, </w:t>
      </w:r>
      <w:r w:rsidR="007D0BD1">
        <w:t>the Commission</w:t>
      </w:r>
      <w:r w:rsidR="007D0BD1" w:rsidRPr="00CB40E2">
        <w:t xml:space="preserve"> </w:t>
      </w:r>
      <w:r w:rsidR="003F549A" w:rsidRPr="00CB40E2">
        <w:t>will post regular updates on applications on the CASF webpage.</w:t>
      </w:r>
    </w:p>
    <w:p w:rsidR="00A711E6" w:rsidRDefault="003F549A" w:rsidP="009A00FB">
      <w:pPr>
        <w:pStyle w:val="Heading2"/>
      </w:pPr>
      <w:bookmarkStart w:id="34" w:name="_Toc514153002"/>
      <w:r>
        <w:t>Expedited Review</w:t>
      </w:r>
      <w:bookmarkEnd w:id="34"/>
    </w:p>
    <w:p w:rsidR="003F549A" w:rsidRDefault="003F549A" w:rsidP="00903571">
      <w:pPr>
        <w:pStyle w:val="sub1"/>
      </w:pPr>
      <w:r w:rsidRPr="00CB40E2">
        <w:t>The draft Staff Proposal included criteria in which the Commission assigns to staff the task of approving applications that meet certain criteria</w:t>
      </w:r>
      <w:r w:rsidR="00555094">
        <w:t xml:space="preserve"> for expedited review</w:t>
      </w:r>
      <w:r w:rsidRPr="00CB40E2">
        <w:t>.</w:t>
      </w:r>
      <w:r w:rsidR="00B34BCE">
        <w:t xml:space="preserve"> </w:t>
      </w:r>
      <w:r w:rsidR="00CC0E69">
        <w:t xml:space="preserve"> </w:t>
      </w:r>
      <w:r w:rsidRPr="00CB40E2">
        <w:t xml:space="preserve">Parties generally agreed with this approach, but various parties, including Tech Exchange, TNDC, and CETF, request </w:t>
      </w:r>
      <w:r w:rsidR="00D46249">
        <w:t xml:space="preserve">that </w:t>
      </w:r>
      <w:r w:rsidRPr="00CB40E2">
        <w:t xml:space="preserve">the Commission increase the </w:t>
      </w:r>
      <w:r w:rsidR="00D46249">
        <w:t xml:space="preserve">limit to which projects are eligible for </w:t>
      </w:r>
      <w:r w:rsidRPr="00CB40E2">
        <w:t>expedited review to $100,000 per project.</w:t>
      </w:r>
      <w:r w:rsidRPr="00CB40E2">
        <w:rPr>
          <w:vertAlign w:val="superscript"/>
        </w:rPr>
        <w:footnoteReference w:id="74"/>
      </w:r>
      <w:r w:rsidR="00CC0E69">
        <w:t xml:space="preserve"> </w:t>
      </w:r>
      <w:r w:rsidR="009C3B26">
        <w:t xml:space="preserve"> </w:t>
      </w:r>
      <w:r w:rsidRPr="00CB40E2">
        <w:t>We agree and ha</w:t>
      </w:r>
      <w:r>
        <w:t>ve</w:t>
      </w:r>
      <w:r w:rsidRPr="00CB40E2">
        <w:t xml:space="preserve"> updated Appendix 1 to increase the threshold for Expedited Review from $50,000 to $100,000</w:t>
      </w:r>
      <w:r>
        <w:t>.</w:t>
      </w:r>
    </w:p>
    <w:p w:rsidR="003F549A" w:rsidRDefault="003F549A" w:rsidP="009A00FB">
      <w:pPr>
        <w:pStyle w:val="Heading2"/>
      </w:pPr>
      <w:bookmarkStart w:id="35" w:name="_Toc514153003"/>
      <w:r>
        <w:t>Reporting and Payment</w:t>
      </w:r>
      <w:bookmarkEnd w:id="35"/>
    </w:p>
    <w:p w:rsidR="003F549A" w:rsidRDefault="003F549A" w:rsidP="003F549A">
      <w:pPr>
        <w:pStyle w:val="sub1"/>
      </w:pPr>
      <w:r w:rsidRPr="00CB40E2">
        <w:t>The draft Staff Proposal included Reporting and Payment reimbursement requirements, which included both a ramp</w:t>
      </w:r>
      <w:r w:rsidR="00B34BCE">
        <w:noBreakHyphen/>
      </w:r>
      <w:r w:rsidRPr="00CB40E2">
        <w:t>up period and biennial payment.</w:t>
      </w:r>
    </w:p>
    <w:p w:rsidR="003F549A" w:rsidRDefault="003F549A" w:rsidP="005D7D31">
      <w:pPr>
        <w:pStyle w:val="Heading3"/>
      </w:pPr>
      <w:bookmarkStart w:id="36" w:name="_Toc514153004"/>
      <w:r>
        <w:t>Parties’ Comments</w:t>
      </w:r>
      <w:bookmarkEnd w:id="36"/>
    </w:p>
    <w:p w:rsidR="003F549A" w:rsidRPr="003F549A" w:rsidRDefault="003F549A" w:rsidP="003F549A">
      <w:pPr>
        <w:pStyle w:val="sub2"/>
      </w:pPr>
      <w:r w:rsidRPr="00CB40E2">
        <w:rPr>
          <w:bCs/>
        </w:rPr>
        <w:t>TNDC proposes a performance</w:t>
      </w:r>
      <w:r w:rsidR="00E968F1">
        <w:rPr>
          <w:bCs/>
        </w:rPr>
        <w:t xml:space="preserve"> </w:t>
      </w:r>
      <w:r w:rsidRPr="00CB40E2">
        <w:rPr>
          <w:bCs/>
        </w:rPr>
        <w:t>based approach for payments,</w:t>
      </w:r>
      <w:r w:rsidRPr="00CB40E2">
        <w:rPr>
          <w:bCs/>
          <w:vertAlign w:val="superscript"/>
        </w:rPr>
        <w:footnoteReference w:id="75"/>
      </w:r>
      <w:r w:rsidRPr="00CB40E2">
        <w:rPr>
          <w:bCs/>
        </w:rPr>
        <w:t xml:space="preserve"> similar to CETF’s recommended payment regime: Provide the first quarterly payment at the time the grant is issued; a second quarterly payment based on good</w:t>
      </w:r>
      <w:r w:rsidR="00E968F1">
        <w:rPr>
          <w:bCs/>
        </w:rPr>
        <w:t xml:space="preserve"> </w:t>
      </w:r>
      <w:r w:rsidRPr="00CB40E2">
        <w:rPr>
          <w:bCs/>
        </w:rPr>
        <w:t>faith progress in implementing the work</w:t>
      </w:r>
      <w:r w:rsidR="00E968F1">
        <w:rPr>
          <w:bCs/>
        </w:rPr>
        <w:t xml:space="preserve"> </w:t>
      </w:r>
      <w:r w:rsidRPr="00CB40E2">
        <w:rPr>
          <w:bCs/>
        </w:rPr>
        <w:t xml:space="preserve">plan; </w:t>
      </w:r>
      <w:r w:rsidR="00797306">
        <w:rPr>
          <w:bCs/>
        </w:rPr>
        <w:t xml:space="preserve">and </w:t>
      </w:r>
      <w:r w:rsidRPr="00CB40E2">
        <w:rPr>
          <w:bCs/>
        </w:rPr>
        <w:t xml:space="preserve">quarterly payments thereafter </w:t>
      </w:r>
      <w:r w:rsidRPr="00CB40E2">
        <w:rPr>
          <w:bCs/>
        </w:rPr>
        <w:lastRenderedPageBreak/>
        <w:t>pursuant to performance reconciled to funding per number of agreed</w:t>
      </w:r>
      <w:r w:rsidR="00E968F1">
        <w:rPr>
          <w:bCs/>
        </w:rPr>
        <w:t xml:space="preserve"> </w:t>
      </w:r>
      <w:r w:rsidRPr="00CB40E2">
        <w:rPr>
          <w:bCs/>
        </w:rPr>
        <w:t xml:space="preserve">upon outcomes.  The last payment should be made only after the completion report is submitted to the </w:t>
      </w:r>
      <w:r w:rsidR="00CC0E69">
        <w:rPr>
          <w:bCs/>
        </w:rPr>
        <w:t>Commission</w:t>
      </w:r>
      <w:r w:rsidRPr="00CB40E2">
        <w:rPr>
          <w:bCs/>
        </w:rPr>
        <w:t>.</w:t>
      </w:r>
      <w:r w:rsidRPr="00CB40E2">
        <w:rPr>
          <w:bCs/>
          <w:vertAlign w:val="superscript"/>
        </w:rPr>
        <w:footnoteReference w:id="76"/>
      </w:r>
    </w:p>
    <w:p w:rsidR="003F549A" w:rsidRDefault="003F549A" w:rsidP="005D7D31">
      <w:pPr>
        <w:pStyle w:val="Heading3"/>
      </w:pPr>
      <w:bookmarkStart w:id="37" w:name="_Toc514153005"/>
      <w:r>
        <w:t>Discussion</w:t>
      </w:r>
      <w:bookmarkEnd w:id="37"/>
    </w:p>
    <w:p w:rsidR="003F549A" w:rsidRPr="00CB40E2" w:rsidRDefault="003F549A" w:rsidP="003F549A">
      <w:pPr>
        <w:pStyle w:val="standard"/>
      </w:pPr>
      <w:r w:rsidRPr="00CB40E2">
        <w:t xml:space="preserve">We generally agree with parties’ recommendations and </w:t>
      </w:r>
      <w:r w:rsidR="00E968F1">
        <w:t>will</w:t>
      </w:r>
      <w:r w:rsidRPr="00CB40E2">
        <w:t xml:space="preserve"> implement a performance/outcome based payment regime by requiring </w:t>
      </w:r>
      <w:r w:rsidR="00BF01A2">
        <w:t xml:space="preserve">that the </w:t>
      </w:r>
      <w:r w:rsidRPr="00CB40E2">
        <w:t>reporting and payment requests include documentation of performance/outcomes, including but not limited to, a summary of subscription result</w:t>
      </w:r>
      <w:r w:rsidR="00CC0E69">
        <w:t>s</w:t>
      </w:r>
      <w:r w:rsidRPr="00CB40E2">
        <w:t xml:space="preserve"> from the project, hours of training, etc.</w:t>
      </w:r>
      <w:r w:rsidR="00CC0E69">
        <w:t>,</w:t>
      </w:r>
      <w:r w:rsidRPr="00CB40E2">
        <w:t xml:space="preserve"> consistent with application Performance Metrics Plan and Work Plan. </w:t>
      </w:r>
    </w:p>
    <w:p w:rsidR="003F549A" w:rsidRDefault="003F549A" w:rsidP="003F549A">
      <w:pPr>
        <w:pStyle w:val="sub2"/>
      </w:pPr>
      <w:r w:rsidRPr="00CB40E2">
        <w:t xml:space="preserve">In addition, the Commission </w:t>
      </w:r>
      <w:r w:rsidR="000E53B7">
        <w:t>can</w:t>
      </w:r>
      <w:r w:rsidRPr="00CB40E2">
        <w:t xml:space="preserve"> pay ramp</w:t>
      </w:r>
      <w:r w:rsidR="00B34BCE">
        <w:noBreakHyphen/>
      </w:r>
      <w:r w:rsidRPr="00CB40E2">
        <w:t xml:space="preserve">up costs (up to 25%) upfront </w:t>
      </w:r>
      <w:r w:rsidR="00253DA2">
        <w:t>as well as</w:t>
      </w:r>
      <w:r w:rsidR="00253DA2" w:rsidRPr="00CB40E2">
        <w:t xml:space="preserve"> </w:t>
      </w:r>
      <w:r w:rsidRPr="00CB40E2">
        <w:t>require documentation of performance/outcome thereafter.</w:t>
      </w:r>
    </w:p>
    <w:p w:rsidR="003F549A" w:rsidRDefault="003F549A" w:rsidP="009A00FB">
      <w:pPr>
        <w:pStyle w:val="Heading2"/>
      </w:pPr>
      <w:bookmarkStart w:id="38" w:name="_Toc514153006"/>
      <w:r>
        <w:t>Other Issues</w:t>
      </w:r>
      <w:bookmarkEnd w:id="38"/>
    </w:p>
    <w:p w:rsidR="003F549A" w:rsidRPr="00CB40E2" w:rsidRDefault="003F549A" w:rsidP="003F549A">
      <w:pPr>
        <w:pStyle w:val="standard"/>
      </w:pPr>
      <w:r w:rsidRPr="00CB40E2">
        <w:t>The draft Staff Proposal included questions related to other Adoption Account implementation issues.  Based on comments/reply comments and feedback on workshops/public forums, we have updated Appendix 1 to address the following issues</w:t>
      </w:r>
      <w:r w:rsidR="00507559">
        <w:t>.</w:t>
      </w:r>
    </w:p>
    <w:p w:rsidR="003F549A" w:rsidRPr="00CB40E2" w:rsidRDefault="003F549A" w:rsidP="005D7D31">
      <w:pPr>
        <w:pStyle w:val="Heading3"/>
      </w:pPr>
      <w:bookmarkStart w:id="39" w:name="_Toc514153007"/>
      <w:r w:rsidRPr="00CB40E2">
        <w:t>Data collection</w:t>
      </w:r>
      <w:bookmarkEnd w:id="39"/>
    </w:p>
    <w:p w:rsidR="003F549A" w:rsidRPr="00CB40E2" w:rsidRDefault="003F549A" w:rsidP="003F549A">
      <w:pPr>
        <w:pStyle w:val="standard"/>
      </w:pPr>
      <w:r w:rsidRPr="00CB40E2">
        <w:t xml:space="preserve">We agree with </w:t>
      </w:r>
      <w:r w:rsidR="00CC0E69">
        <w:t>San Francisco</w:t>
      </w:r>
      <w:r w:rsidRPr="00CB40E2">
        <w:t>, CETF, Chico, and TURN regarding the benefits of having pre</w:t>
      </w:r>
      <w:r w:rsidR="00B34BCE">
        <w:noBreakHyphen/>
      </w:r>
      <w:r w:rsidRPr="00CB40E2">
        <w:t xml:space="preserve"> and </w:t>
      </w:r>
      <w:r w:rsidR="00CC0E69" w:rsidRPr="00CB40E2">
        <w:t>post</w:t>
      </w:r>
      <w:r w:rsidR="00B34BCE">
        <w:noBreakHyphen/>
      </w:r>
      <w:r w:rsidRPr="00CB40E2">
        <w:t xml:space="preserve">implementation information regarding program participants and community level adoption to measure broadband adoption.  The Commission is statutorily required to track new subscriptions and certain </w:t>
      </w:r>
      <w:r w:rsidRPr="00CB40E2">
        <w:lastRenderedPageBreak/>
        <w:t>metrics.</w:t>
      </w:r>
      <w:r w:rsidRPr="00CB40E2">
        <w:rPr>
          <w:vertAlign w:val="superscript"/>
        </w:rPr>
        <w:footnoteReference w:id="77"/>
      </w:r>
      <w:r w:rsidRPr="00CB40E2">
        <w:t xml:space="preserve">  Specifically, the Commission must report the “number of subscriptions resulting from the broadband adoption program funded” by the CASF.  The Commission already reports broadband availability and adoption data throughout California both on its State Broadband Map</w:t>
      </w:r>
      <w:r w:rsidRPr="00CB40E2">
        <w:rPr>
          <w:vertAlign w:val="superscript"/>
        </w:rPr>
        <w:footnoteReference w:id="78"/>
      </w:r>
      <w:r w:rsidRPr="00CB40E2">
        <w:t xml:space="preserve"> and will soon provide baseline broadband availability and adoption data by state, county and consortia region as of January 1, 2018 on its website.</w:t>
      </w:r>
      <w:r w:rsidRPr="00CB40E2">
        <w:rPr>
          <w:vertAlign w:val="superscript"/>
        </w:rPr>
        <w:footnoteReference w:id="79"/>
      </w:r>
      <w:r w:rsidRPr="00CB40E2">
        <w:t xml:space="preserve">  While comparison can and will be made between the baseline data and progress thereafter, the increased number of subscriptions will not all be directly attributable to the CASF program.  </w:t>
      </w:r>
      <w:r w:rsidR="006349AD">
        <w:t>Therefore a</w:t>
      </w:r>
      <w:r w:rsidRPr="00CB40E2">
        <w:t xml:space="preserve">lternatives to gather adoption specific project subscription progress are necessary.  </w:t>
      </w:r>
    </w:p>
    <w:p w:rsidR="003F549A" w:rsidRPr="00CB40E2" w:rsidRDefault="003F549A" w:rsidP="003F549A">
      <w:pPr>
        <w:pStyle w:val="standard"/>
      </w:pPr>
      <w:r w:rsidRPr="00CB40E2">
        <w:t>AT&amp;T opposes a Commission requirement that incumbent ISPs regularly and publicly report their progress in signing up low</w:t>
      </w:r>
      <w:r w:rsidR="00B34BCE">
        <w:noBreakHyphen/>
      </w:r>
      <w:r w:rsidRPr="00CB40E2">
        <w:t>income households in California for their available broadband offers.</w:t>
      </w:r>
      <w:r w:rsidRPr="00CB40E2">
        <w:rPr>
          <w:vertAlign w:val="superscript"/>
        </w:rPr>
        <w:footnoteReference w:id="80"/>
      </w:r>
      <w:r w:rsidRPr="00CB40E2">
        <w:t xml:space="preserve">  According to AT&amp;T, “[i]t would be especially inappropriate since subscribership data are some of the most competitively sensitive and proprietary information an ISP has.  These are trade </w:t>
      </w:r>
      <w:r w:rsidRPr="00CB40E2">
        <w:lastRenderedPageBreak/>
        <w:t>secrets and, if publicly disclosed, would put the company in a competitively</w:t>
      </w:r>
      <w:r w:rsidR="00B34BCE">
        <w:noBreakHyphen/>
      </w:r>
      <w:r w:rsidRPr="00CB40E2">
        <w:t>disadvantaged place and create an unnecessary burden.”</w:t>
      </w:r>
      <w:r w:rsidRPr="00CB40E2">
        <w:rPr>
          <w:vertAlign w:val="superscript"/>
        </w:rPr>
        <w:footnoteReference w:id="81"/>
      </w:r>
    </w:p>
    <w:p w:rsidR="003F549A" w:rsidRPr="00CB40E2" w:rsidRDefault="003F549A" w:rsidP="003F549A">
      <w:pPr>
        <w:pStyle w:val="standard"/>
      </w:pPr>
      <w:r w:rsidRPr="00CB40E2">
        <w:t xml:space="preserve">We </w:t>
      </w:r>
      <w:r w:rsidR="005E07D1">
        <w:t xml:space="preserve">will </w:t>
      </w:r>
      <w:r w:rsidRPr="00CB40E2">
        <w:t xml:space="preserve">require adoption program recipients to </w:t>
      </w:r>
      <w:r w:rsidR="003958A6">
        <w:t>conduct a pre</w:t>
      </w:r>
      <w:r w:rsidR="00B34BCE">
        <w:noBreakHyphen/>
      </w:r>
      <w:r w:rsidR="008540A6">
        <w:t xml:space="preserve"> </w:t>
      </w:r>
      <w:r w:rsidR="003958A6">
        <w:t>and post</w:t>
      </w:r>
      <w:r w:rsidR="00B34BCE">
        <w:noBreakHyphen/>
      </w:r>
      <w:r w:rsidR="003958A6">
        <w:t>implementation survey</w:t>
      </w:r>
      <w:r w:rsidR="00C474F0">
        <w:t xml:space="preserve"> or report</w:t>
      </w:r>
      <w:r w:rsidR="003958A6">
        <w:t xml:space="preserve">, in addition to </w:t>
      </w:r>
      <w:r w:rsidRPr="00CB40E2">
        <w:t>provid</w:t>
      </w:r>
      <w:r w:rsidR="003958A6">
        <w:t>ing</w:t>
      </w:r>
      <w:r w:rsidRPr="00CB40E2">
        <w:t xml:space="preserve"> a summary of broadband enrollment/subscription information to the Commission as a result of the CASF funded project in their payment request reports. </w:t>
      </w:r>
      <w:r w:rsidR="00E54131">
        <w:t xml:space="preserve"> CD will develop a non</w:t>
      </w:r>
      <w:r w:rsidR="00B34BCE">
        <w:noBreakHyphen/>
      </w:r>
      <w:r w:rsidR="00E54131">
        <w:t>disc</w:t>
      </w:r>
      <w:r w:rsidR="00EA02CD">
        <w:t>losure</w:t>
      </w:r>
      <w:r w:rsidR="00E54131">
        <w:t xml:space="preserve"> agreement for grant recipients to obtain such enrollment/subscription information from ISPs. </w:t>
      </w:r>
      <w:r w:rsidRPr="00CB40E2">
        <w:t xml:space="preserve"> Such enrollment information could include: </w:t>
      </w:r>
    </w:p>
    <w:p w:rsidR="003F549A" w:rsidRPr="00CB40E2" w:rsidRDefault="00194866" w:rsidP="00194866">
      <w:pPr>
        <w:pStyle w:val="standard"/>
        <w:spacing w:after="160" w:line="240" w:lineRule="auto"/>
        <w:ind w:left="1080" w:right="720" w:hanging="360"/>
      </w:pPr>
      <w:r>
        <w:t>•</w:t>
      </w:r>
      <w:r>
        <w:tab/>
      </w:r>
      <w:r w:rsidR="003F549A" w:rsidRPr="00CB40E2">
        <w:t>The welcome letter or welcome e</w:t>
      </w:r>
      <w:r w:rsidR="00B34BCE">
        <w:noBreakHyphen/>
      </w:r>
      <w:r w:rsidR="003F549A" w:rsidRPr="00CB40E2">
        <w:t>mail from the ISP after installation with a date on it; or</w:t>
      </w:r>
    </w:p>
    <w:p w:rsidR="003F549A" w:rsidRPr="00CB40E2" w:rsidRDefault="00194866" w:rsidP="00194866">
      <w:pPr>
        <w:pStyle w:val="standard"/>
        <w:spacing w:after="160" w:line="240" w:lineRule="auto"/>
        <w:ind w:left="1080" w:right="720" w:hanging="360"/>
      </w:pPr>
      <w:r>
        <w:t>•</w:t>
      </w:r>
      <w:r>
        <w:tab/>
      </w:r>
      <w:r w:rsidR="003F549A" w:rsidRPr="00CB40E2">
        <w:t>A copy of the first ISP bill showing the new service activation; or</w:t>
      </w:r>
    </w:p>
    <w:p w:rsidR="003F549A" w:rsidRPr="00CB40E2" w:rsidRDefault="00194866" w:rsidP="00194866">
      <w:pPr>
        <w:pStyle w:val="standard"/>
        <w:spacing w:after="160" w:line="240" w:lineRule="auto"/>
        <w:ind w:left="1080" w:right="720" w:hanging="360"/>
      </w:pPr>
      <w:r>
        <w:t>•</w:t>
      </w:r>
      <w:r>
        <w:tab/>
      </w:r>
      <w:r w:rsidR="003F549A" w:rsidRPr="00CB40E2">
        <w:t>Verification or data from ISPs.</w:t>
      </w:r>
    </w:p>
    <w:p w:rsidR="003F549A" w:rsidRPr="00CB40E2" w:rsidRDefault="003F549A" w:rsidP="003F549A">
      <w:pPr>
        <w:pStyle w:val="standard"/>
      </w:pPr>
      <w:r w:rsidRPr="00CB40E2">
        <w:t>While adoption program recipients are required to provide a summary of the broadband enrollment/subscription information to the Commission as a result of the CASF funded project, recipients are required to keep copies of all enrollment information and are subject to audits.  In addition, recipients must certify that each summary is true and correct under penalty of perjury.</w:t>
      </w:r>
      <w:r w:rsidRPr="00CB40E2">
        <w:rPr>
          <w:vertAlign w:val="superscript"/>
        </w:rPr>
        <w:footnoteReference w:id="82"/>
      </w:r>
      <w:r w:rsidRPr="00CB40E2">
        <w:t xml:space="preserve">  </w:t>
      </w:r>
    </w:p>
    <w:p w:rsidR="003F549A" w:rsidRPr="00CB40E2" w:rsidRDefault="003F549A" w:rsidP="005D7D31">
      <w:pPr>
        <w:pStyle w:val="Heading3"/>
      </w:pPr>
      <w:bookmarkStart w:id="40" w:name="_Toc514153008"/>
      <w:r w:rsidRPr="00CB40E2">
        <w:t>Collaboration and Sustainable Funding</w:t>
      </w:r>
      <w:bookmarkEnd w:id="40"/>
    </w:p>
    <w:p w:rsidR="003F549A" w:rsidRPr="00CB40E2" w:rsidRDefault="003F549A" w:rsidP="003F549A">
      <w:pPr>
        <w:pStyle w:val="standard"/>
      </w:pPr>
      <w:r w:rsidRPr="00CB40E2">
        <w:t xml:space="preserve">Parties such as GCBC state that ISPs should be required to increase media advertising and marketing of affordable offers to reach eligible households and </w:t>
      </w:r>
      <w:r w:rsidRPr="00CB40E2">
        <w:lastRenderedPageBreak/>
        <w:t xml:space="preserve">increase adoption.  </w:t>
      </w:r>
      <w:r w:rsidR="00A66ED4">
        <w:t>The Commission</w:t>
      </w:r>
      <w:r w:rsidR="00A66ED4" w:rsidRPr="00CB40E2">
        <w:t xml:space="preserve"> </w:t>
      </w:r>
      <w:r w:rsidRPr="00CB40E2">
        <w:t>do</w:t>
      </w:r>
      <w:r w:rsidR="00A66ED4">
        <w:t>es</w:t>
      </w:r>
      <w:r w:rsidRPr="00CB40E2">
        <w:t xml:space="preserve"> not have authority to compel an ISP to do so, but we agree that marketing may help with increasing adoption.  </w:t>
      </w:r>
      <w:bookmarkStart w:id="41" w:name="_Hlk512954259"/>
      <w:r w:rsidRPr="00CB40E2">
        <w:t>We direct staff to conduct at least one workshop on ways to maximize participation in existing low</w:t>
      </w:r>
      <w:r w:rsidR="00B34BCE">
        <w:noBreakHyphen/>
      </w:r>
      <w:r w:rsidRPr="00CB40E2">
        <w:t>income broadband subscription offerings including coordination with grantees.</w:t>
      </w:r>
      <w:bookmarkEnd w:id="41"/>
    </w:p>
    <w:p w:rsidR="003F549A" w:rsidRPr="003F549A" w:rsidRDefault="003F549A" w:rsidP="003F549A">
      <w:pPr>
        <w:pStyle w:val="sub1"/>
      </w:pPr>
      <w:r w:rsidRPr="00CB40E2">
        <w:t xml:space="preserve">We encourage applicants to consider coordination with incumbent carrier affordable offerings, </w:t>
      </w:r>
      <w:r w:rsidR="00CC0E69">
        <w:t xml:space="preserve">and </w:t>
      </w:r>
      <w:r w:rsidRPr="00CB40E2">
        <w:t>other public purpose programs and funding sources.  Such collaboration could include considering the availability of other funding sources for the project, any financial contribution from the broadband service provider to the project, the availability of any other public or private broadband adoption program</w:t>
      </w:r>
      <w:r w:rsidR="00A66ED4">
        <w:t>s</w:t>
      </w:r>
      <w:r w:rsidRPr="00CB40E2">
        <w:t>, including the California Teleconnect Fund (CTF) or any reasonably available program.</w:t>
      </w:r>
      <w:r w:rsidRPr="00CB40E2">
        <w:rPr>
          <w:vertAlign w:val="superscript"/>
        </w:rPr>
        <w:footnoteReference w:id="83"/>
      </w:r>
      <w:r w:rsidRPr="00CB40E2">
        <w:t xml:space="preserve">  For example, eligible schools, libraries, and other nonprofit organizations receiving CTF discounts may also consider applying for CASF adoption funding to increase publicly available or after</w:t>
      </w:r>
      <w:r w:rsidR="00B34BCE">
        <w:noBreakHyphen/>
      </w:r>
      <w:r w:rsidRPr="00CB40E2">
        <w:t>school broadband a</w:t>
      </w:r>
      <w:r w:rsidR="005C53A8">
        <w:t xml:space="preserve">ccess and digital inclusion.  </w:t>
      </w:r>
      <w:r w:rsidRPr="00CB40E2">
        <w:t>Collaboration receives preference pursuant to the sample preference checklist (Attachment 1).</w:t>
      </w:r>
    </w:p>
    <w:p w:rsidR="003F549A" w:rsidRDefault="003F549A" w:rsidP="002776AA">
      <w:pPr>
        <w:pStyle w:val="Heading1"/>
        <w:keepLines/>
        <w:widowControl w:val="0"/>
        <w:tabs>
          <w:tab w:val="clear" w:pos="450"/>
          <w:tab w:val="num" w:pos="720"/>
        </w:tabs>
        <w:ind w:left="720" w:hanging="720"/>
      </w:pPr>
      <w:bookmarkStart w:id="42" w:name="_Toc514153009"/>
      <w:bookmarkEnd w:id="6"/>
      <w:r>
        <w:t>Revisions to the Public Housing Account</w:t>
      </w:r>
      <w:bookmarkEnd w:id="42"/>
    </w:p>
    <w:p w:rsidR="003F549A" w:rsidRDefault="003F549A" w:rsidP="003F549A">
      <w:pPr>
        <w:pStyle w:val="standard"/>
      </w:pPr>
      <w:r>
        <w:t xml:space="preserve">In this decision, we adopt revisions to the existing Public Housing Account, as summarized below.  There are no major changes to the application requirements and guidelines, </w:t>
      </w:r>
      <w:r w:rsidR="00CC0E69">
        <w:t xml:space="preserve">except </w:t>
      </w:r>
      <w:r>
        <w:t xml:space="preserve">for minor clarification to the challenge </w:t>
      </w:r>
      <w:r>
        <w:lastRenderedPageBreak/>
        <w:t>process and the proposed project description.  Our updated adopted guidelines for the Public Housing Account are set forth in Appendix 2.</w:t>
      </w:r>
    </w:p>
    <w:p w:rsidR="003F549A" w:rsidRDefault="003F549A" w:rsidP="009A00FB">
      <w:pPr>
        <w:pStyle w:val="Heading2"/>
      </w:pPr>
      <w:bookmarkStart w:id="43" w:name="_Toc514153010"/>
      <w:r>
        <w:t>Challenge Process for Public Housing Infrastructure Projects</w:t>
      </w:r>
      <w:bookmarkEnd w:id="43"/>
    </w:p>
    <w:p w:rsidR="003F549A" w:rsidRPr="003F549A" w:rsidRDefault="003F549A" w:rsidP="003F549A">
      <w:pPr>
        <w:pStyle w:val="sub1"/>
      </w:pPr>
      <w:r>
        <w:t>Existing guidelines state that staff will post all application forms (but not the supporting materials that accompany the application) on its website after the date of submission, whereby ISPs may challenge an application</w:t>
      </w:r>
      <w:r w:rsidR="00CC0E69" w:rsidRPr="00CC0E69">
        <w:t xml:space="preserve"> </w:t>
      </w:r>
      <w:r w:rsidR="00CC0E69">
        <w:t>within two weeks</w:t>
      </w:r>
      <w:r>
        <w:t>.  The challenge is only for Public Housing infrastructure projects (not Public Housing adoption projects) and will continue to apply only</w:t>
      </w:r>
      <w:r w:rsidR="00CC0E69">
        <w:t xml:space="preserve"> to</w:t>
      </w:r>
      <w:r>
        <w:t xml:space="preserve"> Public Housing infrastructure projects.</w:t>
      </w:r>
    </w:p>
    <w:p w:rsidR="003F549A" w:rsidRDefault="003F549A" w:rsidP="005D7D31">
      <w:pPr>
        <w:pStyle w:val="Heading3"/>
      </w:pPr>
      <w:bookmarkStart w:id="44" w:name="_Toc514153011"/>
      <w:r>
        <w:t>Parties’ Comments</w:t>
      </w:r>
      <w:bookmarkEnd w:id="44"/>
    </w:p>
    <w:p w:rsidR="003F549A" w:rsidRDefault="003F549A" w:rsidP="003F549A">
      <w:pPr>
        <w:pStyle w:val="sub2"/>
      </w:pPr>
      <w:r>
        <w:t xml:space="preserve">CCTA stated that parties on the CASF service list should be served notice after the applications are posted on </w:t>
      </w:r>
      <w:r w:rsidR="005C53A8">
        <w:t xml:space="preserve">the CASF webpage.  </w:t>
      </w:r>
      <w:r>
        <w:t>CCTA requested additional changes to the challenge process for Public Housing Account Infrastructure projects.</w:t>
      </w:r>
    </w:p>
    <w:p w:rsidR="0069462A" w:rsidRPr="0069462A" w:rsidRDefault="0069462A" w:rsidP="005D7D31">
      <w:pPr>
        <w:pStyle w:val="Heading3"/>
      </w:pPr>
      <w:bookmarkStart w:id="45" w:name="_Toc514153012"/>
      <w:r w:rsidRPr="00DD1806">
        <w:t>Discussion</w:t>
      </w:r>
      <w:bookmarkEnd w:id="45"/>
    </w:p>
    <w:p w:rsidR="0069462A" w:rsidRDefault="0069462A" w:rsidP="0069462A">
      <w:pPr>
        <w:pStyle w:val="standard"/>
      </w:pPr>
      <w:r>
        <w:t>The Commission has been sending the CASF Distribution List a notice of availability regarding applications received.  However, we agree that the existing Guidelines do not explicitly state this practice.  We have modified the Guidelines to clarify this practice and require that a notice of availability be sent to the CASF Distribution List.</w:t>
      </w:r>
    </w:p>
    <w:p w:rsidR="0069462A" w:rsidRDefault="0069462A" w:rsidP="00903571">
      <w:pPr>
        <w:pStyle w:val="standard"/>
      </w:pPr>
      <w:r>
        <w:t xml:space="preserve">We disagree with CCTA that additional changes are needed because the challenge process already complies with the statutory requirement.   </w:t>
      </w:r>
    </w:p>
    <w:p w:rsidR="003F549A" w:rsidRDefault="003F549A" w:rsidP="009A00FB">
      <w:pPr>
        <w:pStyle w:val="Heading2"/>
      </w:pPr>
      <w:bookmarkStart w:id="46" w:name="_Toc514153013"/>
      <w:r>
        <w:lastRenderedPageBreak/>
        <w:t>Proposed Project Description for Public Housing Account Adoption Projects</w:t>
      </w:r>
      <w:bookmarkEnd w:id="46"/>
    </w:p>
    <w:p w:rsidR="003F549A" w:rsidRPr="003F549A" w:rsidRDefault="003F549A" w:rsidP="00903571">
      <w:pPr>
        <w:pStyle w:val="sub1"/>
      </w:pPr>
      <w:r>
        <w:t>The draft Staff Proposal state</w:t>
      </w:r>
      <w:r w:rsidR="00CC0E69">
        <w:t>s</w:t>
      </w:r>
      <w:r>
        <w:t xml:space="preserve"> that an applicant for Public Housing adoption projects needs to provide a detailed description of its proposed project, including a description of the activities the Commission will fund, such as education and outreach efforts.</w:t>
      </w:r>
      <w:r w:rsidR="00CC0E69">
        <w:t xml:space="preserve"> </w:t>
      </w:r>
      <w:r w:rsidR="00B34BCE">
        <w:t xml:space="preserve"> </w:t>
      </w:r>
      <w:r>
        <w:t>CCTA recommends that the Commission ask the applicant to include in their project description the applicant’s strategy for ensuring new residential broadband subscriptions.</w:t>
      </w:r>
      <w:r w:rsidR="00CC0E69">
        <w:t xml:space="preserve"> </w:t>
      </w:r>
      <w:r w:rsidR="00B34BCE">
        <w:t xml:space="preserve"> </w:t>
      </w:r>
      <w:r w:rsidR="009E4162">
        <w:t>The Commission</w:t>
      </w:r>
      <w:r>
        <w:t xml:space="preserve"> agrees with CCTA and has modified the guidelines to require that applicants include a strategy for ensuring new residential broadband subscriptions.</w:t>
      </w:r>
    </w:p>
    <w:p w:rsidR="003F549A" w:rsidRDefault="003F549A" w:rsidP="009A00FB">
      <w:pPr>
        <w:pStyle w:val="Heading2"/>
      </w:pPr>
      <w:bookmarkStart w:id="47" w:name="_Toc514153014"/>
      <w:r>
        <w:t>Other Issues</w:t>
      </w:r>
      <w:bookmarkEnd w:id="47"/>
    </w:p>
    <w:p w:rsidR="003F549A" w:rsidRPr="00DD1806" w:rsidRDefault="003F549A" w:rsidP="005D7D31">
      <w:pPr>
        <w:pStyle w:val="Heading3"/>
      </w:pPr>
      <w:bookmarkStart w:id="48" w:name="_Toc514153015"/>
      <w:r w:rsidRPr="00DD1806">
        <w:t>Eligible Applicants</w:t>
      </w:r>
      <w:bookmarkEnd w:id="48"/>
    </w:p>
    <w:p w:rsidR="003F549A" w:rsidRDefault="003F549A" w:rsidP="007770FC">
      <w:pPr>
        <w:pStyle w:val="standard"/>
      </w:pPr>
      <w:r>
        <w:t>Pub. Util. Code, § 281(i)(1) outlines eligible applicants for the Public Housing A</w:t>
      </w:r>
      <w:r w:rsidR="00E4254F">
        <w:t xml:space="preserve">ccount.  </w:t>
      </w:r>
      <w:r w:rsidR="007770FC">
        <w:t xml:space="preserve">The </w:t>
      </w:r>
      <w:r w:rsidR="00E4254F">
        <w:t>SAHA, NBNCBC</w:t>
      </w:r>
      <w:r w:rsidR="00CC0E69">
        <w:t>,</w:t>
      </w:r>
      <w:r w:rsidR="00E4254F">
        <w:t xml:space="preserve"> and</w:t>
      </w:r>
      <w:r w:rsidR="007770FC">
        <w:t xml:space="preserve"> </w:t>
      </w:r>
      <w:r w:rsidR="00E4254F">
        <w:t xml:space="preserve">CCTA </w:t>
      </w:r>
      <w:r>
        <w:t xml:space="preserve">requested modifications to the eligibility rules.  SAHA recommended a deviation from the “unserved” requirement for housing developments with </w:t>
      </w:r>
      <w:r w:rsidR="005C53A8">
        <w:t>residents who are extremely low</w:t>
      </w:r>
      <w:r w:rsidR="00B34BCE">
        <w:noBreakHyphen/>
      </w:r>
      <w:r>
        <w:t>income, senior</w:t>
      </w:r>
      <w:r w:rsidR="00CC0E69">
        <w:t>,</w:t>
      </w:r>
      <w:r>
        <w:t xml:space="preserve"> or disabled.</w:t>
      </w:r>
      <w:r>
        <w:rPr>
          <w:rStyle w:val="FootnoteReference"/>
        </w:rPr>
        <w:footnoteReference w:id="84"/>
      </w:r>
      <w:r w:rsidR="005C53A8">
        <w:t xml:space="preserve">  </w:t>
      </w:r>
      <w:r>
        <w:t>NBNCBC stated that farm worker housing should be eligible for the Public Housing Account.</w:t>
      </w:r>
      <w:r>
        <w:rPr>
          <w:rStyle w:val="FootnoteReference"/>
        </w:rPr>
        <w:footnoteReference w:id="85"/>
      </w:r>
      <w:r>
        <w:t xml:space="preserve">   CCT</w:t>
      </w:r>
      <w:r w:rsidR="005C53A8">
        <w:t>A proposed that non</w:t>
      </w:r>
      <w:r w:rsidR="00B34BCE">
        <w:noBreakHyphen/>
      </w:r>
      <w:r>
        <w:t>facilities based applicants be required to attest that they have the requisite right from the underlying facilities</w:t>
      </w:r>
      <w:r w:rsidR="00B34BCE">
        <w:noBreakHyphen/>
      </w:r>
      <w:r>
        <w:t xml:space="preserve">based provider to provide broadband service </w:t>
      </w:r>
      <w:r>
        <w:lastRenderedPageBreak/>
        <w:t>to the project.</w:t>
      </w:r>
      <w:r>
        <w:rPr>
          <w:rStyle w:val="FootnoteReference"/>
        </w:rPr>
        <w:footnoteReference w:id="86"/>
      </w:r>
      <w:r w:rsidR="00CC50F3">
        <w:t xml:space="preserve">  </w:t>
      </w:r>
      <w:r>
        <w:t xml:space="preserve">However, these recommendations were not supported by statue enacted by AB 1665.  Therefore, no changes </w:t>
      </w:r>
      <w:r w:rsidR="00500C19">
        <w:t xml:space="preserve">are </w:t>
      </w:r>
      <w:r>
        <w:t xml:space="preserve">made to this section.  </w:t>
      </w:r>
    </w:p>
    <w:p w:rsidR="003F549A" w:rsidRPr="00DD1806" w:rsidRDefault="003F549A" w:rsidP="005D7D31">
      <w:pPr>
        <w:pStyle w:val="Heading3"/>
      </w:pPr>
      <w:bookmarkStart w:id="49" w:name="_Toc514153016"/>
      <w:r w:rsidRPr="00DD1806">
        <w:t>Expedited Review</w:t>
      </w:r>
      <w:bookmarkEnd w:id="49"/>
    </w:p>
    <w:p w:rsidR="003F549A" w:rsidRDefault="003F549A" w:rsidP="003F549A">
      <w:pPr>
        <w:pStyle w:val="sub1"/>
      </w:pPr>
      <w:r>
        <w:t>CCTA recommended that Public Housing infrastructure projects for wireline technology be priori</w:t>
      </w:r>
      <w:r w:rsidR="005C53A8">
        <w:t xml:space="preserve">tized over wireless projects.  </w:t>
      </w:r>
      <w:r>
        <w:t>CCBC recommended that the Commission establish a minimum of 10</w:t>
      </w:r>
      <w:r w:rsidR="00F15C87">
        <w:t xml:space="preserve"> m</w:t>
      </w:r>
      <w:r w:rsidR="00F15C87" w:rsidRPr="00903571">
        <w:t>egabits per second</w:t>
      </w:r>
      <w:r w:rsidR="00CC0E69">
        <w:t xml:space="preserve"> </w:t>
      </w:r>
      <w:r w:rsidR="00F15C87">
        <w:t>(</w:t>
      </w:r>
      <w:r>
        <w:t>Mbps</w:t>
      </w:r>
      <w:r w:rsidR="00F15C87">
        <w:t>)</w:t>
      </w:r>
      <w:r>
        <w:t xml:space="preserve"> down and</w:t>
      </w:r>
      <w:r w:rsidR="005C53A8">
        <w:t xml:space="preserve"> 1 Mbps up for such projects.  </w:t>
      </w:r>
      <w:r>
        <w:t>We disagree with both recommendations because CASF is a technology neutral program, as stated in the statute.  Further, Public Housing infrastructure projects in themselves are not intended t</w:t>
      </w:r>
      <w:r w:rsidR="005C53A8">
        <w:t xml:space="preserve">o replicate the </w:t>
      </w:r>
      <w:r w:rsidR="00E4254F">
        <w:t>robust level of connectivity of a</w:t>
      </w:r>
      <w:r>
        <w:t xml:space="preserve"> commercial provider.</w:t>
      </w:r>
    </w:p>
    <w:p w:rsidR="003F549A" w:rsidRDefault="003F549A" w:rsidP="003F549A">
      <w:pPr>
        <w:pStyle w:val="Heading1"/>
      </w:pPr>
      <w:bookmarkStart w:id="50" w:name="_Toc514153017"/>
      <w:r>
        <w:t>Loan Account</w:t>
      </w:r>
      <w:bookmarkEnd w:id="50"/>
    </w:p>
    <w:p w:rsidR="003F549A" w:rsidRPr="003F549A" w:rsidRDefault="003F549A" w:rsidP="003F549A">
      <w:pPr>
        <w:pStyle w:val="standard"/>
      </w:pPr>
      <w:r>
        <w:t xml:space="preserve">In this decision, we address the change in treatment of the three existing loans </w:t>
      </w:r>
      <w:r w:rsidRPr="002B297B">
        <w:t>as a result of the program changes implemented by AB 1665</w:t>
      </w:r>
      <w:r>
        <w:t xml:space="preserve"> to the</w:t>
      </w:r>
      <w:r w:rsidRPr="002B297B">
        <w:t xml:space="preserve"> Broadband Infrastructure Revolving Loan</w:t>
      </w:r>
      <w:r>
        <w:t xml:space="preserve"> Account.</w:t>
      </w:r>
    </w:p>
    <w:p w:rsidR="003F549A" w:rsidRDefault="003F549A" w:rsidP="009A00FB">
      <w:pPr>
        <w:pStyle w:val="Heading2"/>
      </w:pPr>
      <w:bookmarkStart w:id="51" w:name="_Toc514153018"/>
      <w:r>
        <w:t>Treatment of Existing Loans</w:t>
      </w:r>
      <w:bookmarkEnd w:id="51"/>
    </w:p>
    <w:p w:rsidR="003F549A" w:rsidRDefault="003F549A" w:rsidP="003F549A">
      <w:pPr>
        <w:pStyle w:val="sub1"/>
      </w:pPr>
      <w:r>
        <w:t xml:space="preserve">In the draft Staff Proposal, staff </w:t>
      </w:r>
      <w:r w:rsidR="00F6614F">
        <w:t xml:space="preserve">would </w:t>
      </w:r>
      <w:r>
        <w:t xml:space="preserve">perform due diligence </w:t>
      </w:r>
      <w:r w:rsidR="00F6614F">
        <w:t>in</w:t>
      </w:r>
      <w:r>
        <w:t xml:space="preserve"> establish</w:t>
      </w:r>
      <w:r w:rsidR="00F6614F">
        <w:t>ing</w:t>
      </w:r>
      <w:r>
        <w:t xml:space="preserve"> a loan process for grantees with the chosen financing authority to facilitate the servicing of the CASF loan fund disbursement and repayment processes.</w:t>
      </w:r>
      <w:r w:rsidR="00CC0E69">
        <w:t xml:space="preserve"> </w:t>
      </w:r>
      <w:r w:rsidR="00B34BCE">
        <w:t xml:space="preserve"> </w:t>
      </w:r>
      <w:r>
        <w:t>The GCBC agrees with staff's recommendation of selecting the financial services that would be provided by The California Infrastructure and Economic Development Bank (iBank) to facilitate loan processing.  CETF and Bright Fiber also agree that existing loans be honored.</w:t>
      </w:r>
      <w:r w:rsidR="000F1172">
        <w:t xml:space="preserve">  When necessary, t</w:t>
      </w:r>
      <w:r>
        <w:t xml:space="preserve">he </w:t>
      </w:r>
      <w:r>
        <w:lastRenderedPageBreak/>
        <w:t xml:space="preserve">Commission </w:t>
      </w:r>
      <w:r w:rsidR="000F1172">
        <w:t>may</w:t>
      </w:r>
      <w:r>
        <w:t xml:space="preserve"> work with another financing authority, such as The California Infrastructure and Economic Development Bank (iBa</w:t>
      </w:r>
      <w:r w:rsidR="008540A6">
        <w:t>nk) to service existing loans.</w:t>
      </w:r>
    </w:p>
    <w:p w:rsidR="003F549A" w:rsidRDefault="003F549A" w:rsidP="009A00FB">
      <w:pPr>
        <w:pStyle w:val="Heading2"/>
      </w:pPr>
      <w:bookmarkStart w:id="52" w:name="_Toc514153019"/>
      <w:r>
        <w:t>Treatment Pending Loan Application</w:t>
      </w:r>
      <w:bookmarkEnd w:id="52"/>
    </w:p>
    <w:p w:rsidR="003F549A" w:rsidRDefault="003F549A" w:rsidP="00903571">
      <w:pPr>
        <w:pStyle w:val="sub1"/>
      </w:pPr>
      <w:r>
        <w:t xml:space="preserve">In the draft Staff Proposal, </w:t>
      </w:r>
      <w:r w:rsidR="008B124A">
        <w:t xml:space="preserve">Staff </w:t>
      </w:r>
      <w:r>
        <w:t xml:space="preserve">recommended that </w:t>
      </w:r>
      <w:r w:rsidR="006F38C0">
        <w:t xml:space="preserve">pending </w:t>
      </w:r>
      <w:r>
        <w:t>loan applicants may modify their applications in order to be awarded additional grant funds.</w:t>
      </w:r>
      <w:r w:rsidR="006F38C0">
        <w:t xml:space="preserve"> </w:t>
      </w:r>
      <w:r w:rsidR="008540A6">
        <w:t xml:space="preserve"> </w:t>
      </w:r>
      <w:r>
        <w:t>Parties did not comment on this issue.</w:t>
      </w:r>
      <w:r w:rsidR="006F38C0">
        <w:t xml:space="preserve"> </w:t>
      </w:r>
      <w:r w:rsidR="008540A6">
        <w:t xml:space="preserve"> </w:t>
      </w:r>
      <w:r w:rsidR="000F1172">
        <w:t xml:space="preserve">On June 4, CD denied </w:t>
      </w:r>
      <w:r>
        <w:t>the application for the Surfnet Communications, Inc. Las Cumbres project</w:t>
      </w:r>
      <w:r w:rsidR="000F1172">
        <w:t xml:space="preserve"> because staff </w:t>
      </w:r>
      <w:r w:rsidR="000843C1">
        <w:t>found</w:t>
      </w:r>
      <w:r w:rsidR="000F1172">
        <w:t xml:space="preserve"> that the project area has broadband available at served speeds.  Therefore, there is no pending loan application.  </w:t>
      </w:r>
    </w:p>
    <w:p w:rsidR="000F1172" w:rsidRPr="000F1172" w:rsidRDefault="000F1172" w:rsidP="000F1172">
      <w:pPr>
        <w:pStyle w:val="sub1"/>
      </w:pPr>
      <w:r>
        <w:t>Appendix 3 has been updated accordingly</w:t>
      </w:r>
      <w:r w:rsidRPr="000F1172">
        <w:t>.</w:t>
      </w:r>
    </w:p>
    <w:p w:rsidR="00617664" w:rsidRDefault="00617664" w:rsidP="00903571">
      <w:pPr>
        <w:pStyle w:val="Heading1"/>
      </w:pPr>
      <w:bookmarkStart w:id="53" w:name="_Toc514153020"/>
      <w:r w:rsidRPr="006F38C0">
        <w:t>Comments</w:t>
      </w:r>
      <w:r>
        <w:t xml:space="preserve"> on Proposed Decision</w:t>
      </w:r>
      <w:bookmarkEnd w:id="53"/>
    </w:p>
    <w:p w:rsidR="00617664" w:rsidRDefault="00FE2EBC">
      <w:pPr>
        <w:pStyle w:val="standard"/>
      </w:pPr>
      <w:r w:rsidRPr="00275CB8">
        <w:t xml:space="preserve">The proposed decision of Commissioner </w:t>
      </w:r>
      <w:r>
        <w:t xml:space="preserve">Martha </w:t>
      </w:r>
      <w:r w:rsidRPr="00275CB8">
        <w:t xml:space="preserve">Guzman Aceves in this matter was mailed to the parties in accordance with Section 311 of the Pub. Util. Code and comments were allowed under Rule 14.3 of the Commission’s Rules of Practice and Procedure.  Comments were filed on </w:t>
      </w:r>
      <w:r w:rsidR="00D01D69">
        <w:t>June 7, 2018</w:t>
      </w:r>
      <w:r w:rsidR="00D01D69" w:rsidRPr="00275CB8">
        <w:t xml:space="preserve"> </w:t>
      </w:r>
      <w:r w:rsidR="00545289">
        <w:t>by CETF</w:t>
      </w:r>
      <w:r w:rsidR="00346E72">
        <w:t>,</w:t>
      </w:r>
      <w:r w:rsidR="00545289">
        <w:t xml:space="preserve"> ORA, CCBC, and TURN &amp; Greenling with</w:t>
      </w:r>
      <w:r w:rsidR="00545289" w:rsidRPr="00275CB8">
        <w:t xml:space="preserve"> </w:t>
      </w:r>
      <w:r w:rsidRPr="00275CB8">
        <w:t xml:space="preserve">reply comments filed on </w:t>
      </w:r>
      <w:r w:rsidR="00545289" w:rsidRPr="002B5547">
        <w:t xml:space="preserve">June 12, 2018 </w:t>
      </w:r>
      <w:r w:rsidR="005C53A8" w:rsidRPr="002B5547">
        <w:t xml:space="preserve">by </w:t>
      </w:r>
      <w:r w:rsidR="00681BFA">
        <w:t xml:space="preserve">CETF, </w:t>
      </w:r>
      <w:r w:rsidR="00346E72">
        <w:t xml:space="preserve">AT&amp;T, </w:t>
      </w:r>
      <w:r w:rsidR="00681BFA">
        <w:t xml:space="preserve">and </w:t>
      </w:r>
      <w:r w:rsidR="00545289" w:rsidRPr="002B5547">
        <w:t>TURN and Greenlining</w:t>
      </w:r>
      <w:r w:rsidR="005C53A8" w:rsidRPr="002B5547">
        <w:t>.</w:t>
      </w:r>
    </w:p>
    <w:p w:rsidR="00681BFA" w:rsidRDefault="009B1CEF" w:rsidP="008540A6">
      <w:pPr>
        <w:pStyle w:val="Default"/>
        <w:ind w:firstLine="720"/>
        <w:rPr>
          <w:rFonts w:ascii="Palatino" w:eastAsia="Times New Roman" w:hAnsi="Palatino"/>
          <w:color w:val="auto"/>
          <w:sz w:val="26"/>
          <w:szCs w:val="20"/>
        </w:rPr>
      </w:pPr>
      <w:r w:rsidRPr="002B5547">
        <w:rPr>
          <w:rFonts w:ascii="Palatino" w:eastAsia="Times New Roman" w:hAnsi="Palatino"/>
          <w:color w:val="auto"/>
          <w:sz w:val="26"/>
          <w:szCs w:val="20"/>
        </w:rPr>
        <w:t>In response to comments, we make the following revisions and clarifications:</w:t>
      </w:r>
      <w:r w:rsidR="00545289" w:rsidRPr="002B5547">
        <w:rPr>
          <w:rFonts w:ascii="Palatino" w:eastAsia="Times New Roman" w:hAnsi="Palatino"/>
          <w:color w:val="auto"/>
          <w:sz w:val="26"/>
          <w:szCs w:val="20"/>
        </w:rPr>
        <w:t xml:space="preserve"> </w:t>
      </w:r>
    </w:p>
    <w:p w:rsidR="00545289" w:rsidRPr="00681BFA" w:rsidRDefault="00545289" w:rsidP="00681BFA">
      <w:pPr>
        <w:pStyle w:val="Default"/>
        <w:rPr>
          <w:rFonts w:ascii="Palatino" w:eastAsia="Times New Roman" w:hAnsi="Palatino"/>
          <w:color w:val="auto"/>
          <w:sz w:val="26"/>
          <w:szCs w:val="20"/>
        </w:rPr>
      </w:pPr>
    </w:p>
    <w:p w:rsidR="009B1CEF" w:rsidRDefault="00346E72" w:rsidP="009B1CEF">
      <w:pPr>
        <w:pStyle w:val="standard"/>
        <w:numPr>
          <w:ilvl w:val="0"/>
          <w:numId w:val="54"/>
        </w:numPr>
        <w:spacing w:after="160" w:line="240" w:lineRule="auto"/>
        <w:ind w:right="720"/>
      </w:pPr>
      <w:r>
        <w:t xml:space="preserve">Allow </w:t>
      </w:r>
      <w:r w:rsidRPr="00346E72">
        <w:t>reimbursement of in</w:t>
      </w:r>
      <w:r w:rsidR="00B34BCE">
        <w:noBreakHyphen/>
      </w:r>
      <w:r w:rsidRPr="00346E72">
        <w:t>classroom computing devices and related software for Digital Literacy</w:t>
      </w:r>
      <w:r>
        <w:t xml:space="preserve"> programs; </w:t>
      </w:r>
    </w:p>
    <w:p w:rsidR="00440EDE" w:rsidRDefault="00440EDE" w:rsidP="009B1CEF">
      <w:pPr>
        <w:pStyle w:val="standard"/>
        <w:numPr>
          <w:ilvl w:val="0"/>
          <w:numId w:val="54"/>
        </w:numPr>
        <w:spacing w:after="160" w:line="240" w:lineRule="auto"/>
        <w:ind w:right="720"/>
      </w:pPr>
      <w:r>
        <w:t xml:space="preserve">Allow reimbursement </w:t>
      </w:r>
      <w:r w:rsidR="00DC343A">
        <w:t>of</w:t>
      </w:r>
      <w:r>
        <w:t xml:space="preserve"> take</w:t>
      </w:r>
      <w:r w:rsidR="00B34BCE">
        <w:noBreakHyphen/>
      </w:r>
      <w:r>
        <w:t xml:space="preserve">home computing devices with limitation for </w:t>
      </w:r>
      <w:r w:rsidRPr="00346E72">
        <w:t>Digital Literacy</w:t>
      </w:r>
      <w:r>
        <w:t xml:space="preserve"> programs;</w:t>
      </w:r>
    </w:p>
    <w:p w:rsidR="00346E72" w:rsidRDefault="00346E72" w:rsidP="009B1CEF">
      <w:pPr>
        <w:pStyle w:val="standard"/>
        <w:numPr>
          <w:ilvl w:val="0"/>
          <w:numId w:val="54"/>
        </w:numPr>
        <w:spacing w:after="160" w:line="240" w:lineRule="auto"/>
        <w:ind w:right="720"/>
      </w:pPr>
      <w:r w:rsidRPr="00346E72">
        <w:t xml:space="preserve">Extend the first application deadline </w:t>
      </w:r>
      <w:r>
        <w:t xml:space="preserve">for the Adoption Account </w:t>
      </w:r>
      <w:r w:rsidRPr="00346E72">
        <w:t>to August 31, 2018</w:t>
      </w:r>
      <w:r w:rsidR="00C474F0">
        <w:t>;</w:t>
      </w:r>
    </w:p>
    <w:p w:rsidR="00346E72" w:rsidRDefault="00346E72" w:rsidP="009B1CEF">
      <w:pPr>
        <w:pStyle w:val="standard"/>
        <w:numPr>
          <w:ilvl w:val="0"/>
          <w:numId w:val="54"/>
        </w:numPr>
        <w:spacing w:after="160" w:line="240" w:lineRule="auto"/>
        <w:ind w:right="720"/>
      </w:pPr>
      <w:r w:rsidRPr="00346E72">
        <w:t>Require applicants to complete a standardized pre</w:t>
      </w:r>
      <w:r w:rsidR="00B34BCE">
        <w:noBreakHyphen/>
      </w:r>
      <w:r w:rsidRPr="00346E72">
        <w:t xml:space="preserve"> and post</w:t>
      </w:r>
      <w:r w:rsidR="00B34BCE">
        <w:noBreakHyphen/>
      </w:r>
      <w:r w:rsidRPr="00346E72">
        <w:t xml:space="preserve"> project </w:t>
      </w:r>
      <w:r w:rsidR="00733DE6">
        <w:t>survey</w:t>
      </w:r>
      <w:r w:rsidR="005D3A41">
        <w:t xml:space="preserve"> </w:t>
      </w:r>
      <w:r w:rsidR="00733DE6">
        <w:t>or report</w:t>
      </w:r>
      <w:r w:rsidRPr="00346E72">
        <w:t xml:space="preserve"> before and after participation</w:t>
      </w:r>
      <w:r>
        <w:t>;</w:t>
      </w:r>
    </w:p>
    <w:p w:rsidR="00346E72" w:rsidRDefault="00346E72" w:rsidP="009B1CEF">
      <w:pPr>
        <w:pStyle w:val="standard"/>
        <w:numPr>
          <w:ilvl w:val="0"/>
          <w:numId w:val="54"/>
        </w:numPr>
        <w:spacing w:after="160" w:line="240" w:lineRule="auto"/>
        <w:ind w:right="720"/>
      </w:pPr>
      <w:r w:rsidRPr="00346E72">
        <w:lastRenderedPageBreak/>
        <w:t>Allow modifications to curriculums and permit applicants to create new curriculum</w:t>
      </w:r>
      <w:r>
        <w:t xml:space="preserve">; </w:t>
      </w:r>
    </w:p>
    <w:p w:rsidR="00346E72" w:rsidRPr="003E252B" w:rsidRDefault="00346E72" w:rsidP="009B1CEF">
      <w:pPr>
        <w:pStyle w:val="standard"/>
        <w:numPr>
          <w:ilvl w:val="0"/>
          <w:numId w:val="54"/>
        </w:numPr>
        <w:spacing w:after="160" w:line="240" w:lineRule="auto"/>
        <w:ind w:right="720"/>
      </w:pPr>
      <w:r w:rsidRPr="00346E72">
        <w:t>Require applicants to notify the Commission that it is or it intends to apply for multiple</w:t>
      </w:r>
      <w:r>
        <w:t xml:space="preserve"> grants within th</w:t>
      </w:r>
      <w:r w:rsidR="00AA5BA4">
        <w:t>e</w:t>
      </w:r>
      <w:r>
        <w:t xml:space="preserve"> CASF program; </w:t>
      </w:r>
    </w:p>
    <w:p w:rsidR="00733DE6" w:rsidRDefault="00A32935" w:rsidP="009B1CEF">
      <w:pPr>
        <w:pStyle w:val="standard"/>
        <w:numPr>
          <w:ilvl w:val="0"/>
          <w:numId w:val="54"/>
        </w:numPr>
        <w:spacing w:after="160" w:line="240" w:lineRule="auto"/>
        <w:ind w:right="720"/>
      </w:pPr>
      <w:r>
        <w:t>Streamline the application and reporting process for Applicants</w:t>
      </w:r>
      <w:r w:rsidR="00733DE6">
        <w:t>;</w:t>
      </w:r>
    </w:p>
    <w:p w:rsidR="005D3A41" w:rsidRDefault="00733DE6" w:rsidP="00733DE6">
      <w:pPr>
        <w:pStyle w:val="standard"/>
        <w:numPr>
          <w:ilvl w:val="0"/>
          <w:numId w:val="54"/>
        </w:numPr>
        <w:spacing w:after="160" w:line="240" w:lineRule="auto"/>
        <w:ind w:right="720"/>
      </w:pPr>
      <w:r>
        <w:t>Direct staff to develop a non</w:t>
      </w:r>
      <w:r w:rsidR="00B34BCE">
        <w:noBreakHyphen/>
      </w:r>
      <w:r>
        <w:t xml:space="preserve">disclosure agreement for project grantees to obtain </w:t>
      </w:r>
      <w:r w:rsidR="00EC7EE3">
        <w:t>enrollment/</w:t>
      </w:r>
      <w:r>
        <w:t xml:space="preserve">subscription </w:t>
      </w:r>
      <w:r w:rsidR="00EC7EE3">
        <w:t xml:space="preserve">information </w:t>
      </w:r>
      <w:r>
        <w:t xml:space="preserve">from </w:t>
      </w:r>
      <w:r w:rsidR="00EC7EE3">
        <w:t>ISPs</w:t>
      </w:r>
      <w:r w:rsidR="008540A6">
        <w:t>; and</w:t>
      </w:r>
    </w:p>
    <w:p w:rsidR="009B1CEF" w:rsidRPr="00565510" w:rsidRDefault="00AA5BA4" w:rsidP="009B1CEF">
      <w:pPr>
        <w:pStyle w:val="standard"/>
        <w:numPr>
          <w:ilvl w:val="0"/>
          <w:numId w:val="54"/>
        </w:numPr>
        <w:spacing w:after="160" w:line="240" w:lineRule="auto"/>
        <w:ind w:right="720"/>
      </w:pPr>
      <w:r>
        <w:t>C</w:t>
      </w:r>
      <w:r w:rsidRPr="002B5547">
        <w:t>orrect various non</w:t>
      </w:r>
      <w:r w:rsidR="00B34BCE">
        <w:noBreakHyphen/>
      </w:r>
      <w:r w:rsidRPr="002B5547">
        <w:t xml:space="preserve">substantive typographical errors and </w:t>
      </w:r>
      <w:r w:rsidR="007C615D">
        <w:t xml:space="preserve">provides further </w:t>
      </w:r>
      <w:r w:rsidR="00E17BBB">
        <w:t xml:space="preserve">clarity and consistency </w:t>
      </w:r>
      <w:r w:rsidRPr="002B5547">
        <w:t>throughout the document</w:t>
      </w:r>
      <w:r>
        <w:t>.</w:t>
      </w:r>
    </w:p>
    <w:p w:rsidR="00617664" w:rsidRDefault="00617664" w:rsidP="00903571">
      <w:pPr>
        <w:pStyle w:val="Heading1"/>
      </w:pPr>
      <w:bookmarkStart w:id="54" w:name="_Toc514153021"/>
      <w:r w:rsidRPr="006F38C0">
        <w:t>Assignment</w:t>
      </w:r>
      <w:r>
        <w:t xml:space="preserve"> of Proceeding</w:t>
      </w:r>
      <w:bookmarkEnd w:id="54"/>
    </w:p>
    <w:p w:rsidR="00617664" w:rsidRDefault="00FE2EBC">
      <w:pPr>
        <w:pStyle w:val="standard"/>
      </w:pPr>
      <w:r w:rsidRPr="00275CB8">
        <w:t>Martha Guzman Aceves is the assigned Commissioner and W. Anthony Colbert is the assigned Administrative Law Judge in this proceeding.</w:t>
      </w:r>
    </w:p>
    <w:p w:rsidR="00617664" w:rsidRDefault="00617664">
      <w:pPr>
        <w:pStyle w:val="dummy"/>
      </w:pPr>
      <w:bookmarkStart w:id="55" w:name="_Toc450990219"/>
      <w:bookmarkStart w:id="56" w:name="_Toc451151266"/>
      <w:bookmarkStart w:id="57" w:name="_Toc514153022"/>
      <w:r>
        <w:t>Findings of Fact</w:t>
      </w:r>
      <w:bookmarkEnd w:id="55"/>
      <w:bookmarkEnd w:id="56"/>
      <w:bookmarkEnd w:id="57"/>
    </w:p>
    <w:p w:rsidR="00FE2EBC" w:rsidRPr="0073232A" w:rsidRDefault="00FE2EBC" w:rsidP="00587E63">
      <w:pPr>
        <w:pStyle w:val="standard"/>
        <w:numPr>
          <w:ilvl w:val="0"/>
          <w:numId w:val="1"/>
        </w:numPr>
        <w:ind w:firstLine="360"/>
      </w:pPr>
      <w:r w:rsidRPr="0073232A">
        <w:t>On October 15, 2017, the Governor signed AB 1665 into law which amended Pub</w:t>
      </w:r>
      <w:r w:rsidR="006F38C0">
        <w:t>.</w:t>
      </w:r>
      <w:r w:rsidRPr="0073232A">
        <w:t xml:space="preserve"> Util</w:t>
      </w:r>
      <w:r w:rsidR="006F38C0">
        <w:t>.</w:t>
      </w:r>
      <w:r w:rsidRPr="0073232A">
        <w:t xml:space="preserve"> Code </w:t>
      </w:r>
      <w:r w:rsidR="00587E63">
        <w:t>§§ </w:t>
      </w:r>
      <w:r w:rsidRPr="0073232A">
        <w:t>281, 912.2, and 914.7, the statutes governing the CASF program.</w:t>
      </w:r>
    </w:p>
    <w:p w:rsidR="00FE2EBC" w:rsidRPr="0073232A" w:rsidRDefault="00FE2EBC" w:rsidP="00587E63">
      <w:pPr>
        <w:pStyle w:val="standard"/>
        <w:numPr>
          <w:ilvl w:val="0"/>
          <w:numId w:val="1"/>
        </w:numPr>
        <w:ind w:firstLine="360"/>
      </w:pPr>
      <w:r w:rsidRPr="0073232A">
        <w:t xml:space="preserve">The </w:t>
      </w:r>
      <w:r w:rsidR="006F38C0" w:rsidRPr="0073232A">
        <w:t>February 14, 2018</w:t>
      </w:r>
      <w:r w:rsidR="006F38C0">
        <w:t xml:space="preserve"> </w:t>
      </w:r>
      <w:r>
        <w:t>A</w:t>
      </w:r>
      <w:r w:rsidRPr="0073232A">
        <w:t xml:space="preserve">mended </w:t>
      </w:r>
      <w:r>
        <w:t>S</w:t>
      </w:r>
      <w:r w:rsidRPr="0073232A">
        <w:t xml:space="preserve">coping </w:t>
      </w:r>
      <w:r>
        <w:t>R</w:t>
      </w:r>
      <w:r w:rsidRPr="0073232A">
        <w:t>uling bifurcated the proceeding, into Phase</w:t>
      </w:r>
      <w:r>
        <w:t xml:space="preserve"> I</w:t>
      </w:r>
      <w:r w:rsidRPr="0073232A">
        <w:t xml:space="preserve"> and Phase </w:t>
      </w:r>
      <w:r>
        <w:t>II</w:t>
      </w:r>
      <w:r w:rsidRPr="0073232A">
        <w:t xml:space="preserve">, in order to focus on </w:t>
      </w:r>
      <w:r w:rsidR="00EA0275">
        <w:t>the A</w:t>
      </w:r>
      <w:r w:rsidRPr="0073232A">
        <w:t>doption</w:t>
      </w:r>
      <w:r w:rsidR="00EA0275">
        <w:t xml:space="preserve"> Account</w:t>
      </w:r>
      <w:r w:rsidRPr="0073232A">
        <w:t xml:space="preserve"> first.</w:t>
      </w:r>
    </w:p>
    <w:p w:rsidR="00FE2EBC" w:rsidRPr="0073232A" w:rsidRDefault="00FE2EBC" w:rsidP="00587E63">
      <w:pPr>
        <w:pStyle w:val="standard"/>
        <w:numPr>
          <w:ilvl w:val="0"/>
          <w:numId w:val="1"/>
        </w:numPr>
        <w:ind w:firstLine="360"/>
      </w:pPr>
      <w:r w:rsidRPr="0073232A">
        <w:t xml:space="preserve">Phase I of this proceeding addresses implementation issues related to the </w:t>
      </w:r>
      <w:r>
        <w:t xml:space="preserve">Adoption, </w:t>
      </w:r>
      <w:r w:rsidRPr="0073232A">
        <w:t>Public Housing and Loan Accounts.</w:t>
      </w:r>
    </w:p>
    <w:p w:rsidR="00FE2EBC" w:rsidRPr="0073232A" w:rsidRDefault="00FE2EBC" w:rsidP="00587E63">
      <w:pPr>
        <w:pStyle w:val="standard"/>
        <w:numPr>
          <w:ilvl w:val="0"/>
          <w:numId w:val="1"/>
        </w:numPr>
        <w:ind w:firstLine="360"/>
      </w:pPr>
      <w:r w:rsidRPr="0073232A">
        <w:t>Phase II will address Broadband Infrastructure, Line Extension and Rural and Urban Regional Broadband Consortia Grant Account issues.</w:t>
      </w:r>
    </w:p>
    <w:p w:rsidR="00FE2EBC" w:rsidRPr="0073232A" w:rsidRDefault="00FE2EBC" w:rsidP="00587E63">
      <w:pPr>
        <w:pStyle w:val="standard"/>
        <w:numPr>
          <w:ilvl w:val="0"/>
          <w:numId w:val="1"/>
        </w:numPr>
        <w:ind w:firstLine="360"/>
      </w:pPr>
      <w:r w:rsidRPr="0073232A">
        <w:t xml:space="preserve">The </w:t>
      </w:r>
      <w:r w:rsidR="006F38C0">
        <w:t xml:space="preserve">Amended </w:t>
      </w:r>
      <w:r w:rsidRPr="0073232A">
        <w:t xml:space="preserve">Scoping </w:t>
      </w:r>
      <w:r w:rsidR="006F38C0">
        <w:t>Ruling</w:t>
      </w:r>
      <w:r w:rsidRPr="0073232A">
        <w:t xml:space="preserve"> contained draft Staff Proposals, prepared by the Commission’s Communications Division</w:t>
      </w:r>
      <w:r w:rsidR="006F38C0">
        <w:t>,</w:t>
      </w:r>
      <w:r w:rsidRPr="0073232A">
        <w:t xml:space="preserve"> in order to implement Phas</w:t>
      </w:r>
      <w:r w:rsidR="00587E63">
        <w:t>es</w:t>
      </w:r>
      <w:r w:rsidRPr="0073232A">
        <w:t xml:space="preserve"> </w:t>
      </w:r>
      <w:r>
        <w:t>I</w:t>
      </w:r>
      <w:r w:rsidRPr="0073232A">
        <w:t xml:space="preserve"> and </w:t>
      </w:r>
      <w:r>
        <w:t>II</w:t>
      </w:r>
      <w:r w:rsidRPr="0073232A">
        <w:t xml:space="preserve"> of the program.</w:t>
      </w:r>
    </w:p>
    <w:p w:rsidR="00FE2EBC" w:rsidRPr="0073232A" w:rsidRDefault="00FE2EBC" w:rsidP="00587E63">
      <w:pPr>
        <w:pStyle w:val="standard"/>
        <w:numPr>
          <w:ilvl w:val="0"/>
          <w:numId w:val="1"/>
        </w:numPr>
        <w:ind w:firstLine="360"/>
      </w:pPr>
      <w:r w:rsidRPr="0073232A">
        <w:lastRenderedPageBreak/>
        <w:t xml:space="preserve">The Commission held workshops/public forums </w:t>
      </w:r>
      <w:r w:rsidR="00E24EC1">
        <w:t xml:space="preserve">throughout the state </w:t>
      </w:r>
      <w:r w:rsidRPr="0073232A">
        <w:t>in March 2018 in Oroville (Mar</w:t>
      </w:r>
      <w:r w:rsidR="004C1EF3">
        <w:t xml:space="preserve">ch 14), Madera (March 16), </w:t>
      </w:r>
      <w:r w:rsidRPr="0073232A">
        <w:t>El Cen</w:t>
      </w:r>
      <w:r w:rsidR="004C1EF3">
        <w:t xml:space="preserve">tro (March 28) and Los Angeles </w:t>
      </w:r>
      <w:r w:rsidR="005C53A8">
        <w:t>(March </w:t>
      </w:r>
      <w:r w:rsidRPr="0073232A">
        <w:t xml:space="preserve">30), in order to </w:t>
      </w:r>
      <w:r w:rsidR="00E24EC1">
        <w:t>solicit</w:t>
      </w:r>
      <w:r w:rsidR="00E24EC1" w:rsidRPr="0073232A">
        <w:t xml:space="preserve"> </w:t>
      </w:r>
      <w:r w:rsidRPr="0073232A">
        <w:t>input on the implementation of these program changes, learn of existing carrier commitments, and develop partnerships for regional solutions.</w:t>
      </w:r>
    </w:p>
    <w:p w:rsidR="00FE2EBC" w:rsidRPr="0073232A" w:rsidRDefault="00FE2EBC" w:rsidP="00587E63">
      <w:pPr>
        <w:pStyle w:val="standard"/>
        <w:numPr>
          <w:ilvl w:val="0"/>
          <w:numId w:val="1"/>
        </w:numPr>
        <w:ind w:firstLine="360"/>
      </w:pPr>
      <w:r w:rsidRPr="0073232A">
        <w:t>Appendices 1, 2</w:t>
      </w:r>
      <w:r w:rsidR="006F38C0">
        <w:t>,</w:t>
      </w:r>
      <w:r w:rsidRPr="0073232A">
        <w:t xml:space="preserve"> and 3 of this decision have been revised and updated in response to parties’ comments</w:t>
      </w:r>
      <w:r w:rsidR="006F38C0">
        <w:t xml:space="preserve"> and</w:t>
      </w:r>
      <w:r w:rsidRPr="0073232A">
        <w:t xml:space="preserve"> reply comments as well as </w:t>
      </w:r>
      <w:r w:rsidR="00E24EC1">
        <w:t xml:space="preserve">feedback from </w:t>
      </w:r>
      <w:r w:rsidRPr="0073232A">
        <w:t>the workshops/public forums held in this proceeding.</w:t>
      </w:r>
    </w:p>
    <w:p w:rsidR="00FE2EBC" w:rsidRPr="0073232A" w:rsidRDefault="006F38C0" w:rsidP="00587E63">
      <w:pPr>
        <w:pStyle w:val="standard"/>
        <w:numPr>
          <w:ilvl w:val="0"/>
          <w:numId w:val="1"/>
        </w:numPr>
        <w:ind w:firstLine="360"/>
      </w:pPr>
      <w:r>
        <w:t>R</w:t>
      </w:r>
      <w:r w:rsidR="00FE2EBC" w:rsidRPr="0073232A">
        <w:t>ules, application requirements</w:t>
      </w:r>
      <w:r>
        <w:t>,</w:t>
      </w:r>
      <w:r w:rsidR="00FE2EBC" w:rsidRPr="0073232A">
        <w:t xml:space="preserve"> and guidelines for the new </w:t>
      </w:r>
      <w:r w:rsidR="00FE2EBC">
        <w:t xml:space="preserve">Broadband </w:t>
      </w:r>
      <w:r w:rsidR="00FE2EBC" w:rsidRPr="0073232A">
        <w:t xml:space="preserve">Adoption Account </w:t>
      </w:r>
      <w:r>
        <w:t>are</w:t>
      </w:r>
      <w:r w:rsidRPr="0073232A">
        <w:t xml:space="preserve"> </w:t>
      </w:r>
      <w:r w:rsidR="00FE2EBC" w:rsidRPr="0073232A">
        <w:t>summarized in Appendix 1.</w:t>
      </w:r>
    </w:p>
    <w:p w:rsidR="00FE2EBC" w:rsidRPr="0073232A" w:rsidRDefault="00FE2EBC" w:rsidP="00587E63">
      <w:pPr>
        <w:pStyle w:val="standard"/>
        <w:numPr>
          <w:ilvl w:val="0"/>
          <w:numId w:val="1"/>
        </w:numPr>
        <w:ind w:firstLine="360"/>
      </w:pPr>
      <w:r w:rsidRPr="0073232A">
        <w:t>It is not necessary to adopt a specific goal for the Broadband Adoption Account.</w:t>
      </w:r>
    </w:p>
    <w:p w:rsidR="00FE2EBC" w:rsidRPr="0073232A" w:rsidRDefault="00FE2EBC" w:rsidP="00B93DB0">
      <w:pPr>
        <w:pStyle w:val="standard"/>
        <w:numPr>
          <w:ilvl w:val="0"/>
          <w:numId w:val="1"/>
        </w:numPr>
        <w:ind w:firstLine="230"/>
      </w:pPr>
      <w:r w:rsidRPr="0073232A">
        <w:t>The draft Staff Proposal includes definitions applicable to the Adoption Account</w:t>
      </w:r>
      <w:r>
        <w:t xml:space="preserve"> only</w:t>
      </w:r>
      <w:r w:rsidRPr="0073232A">
        <w:t>.</w:t>
      </w:r>
    </w:p>
    <w:p w:rsidR="00FE2EBC" w:rsidRPr="0073232A" w:rsidRDefault="00FE2EBC" w:rsidP="00B93DB0">
      <w:pPr>
        <w:pStyle w:val="standard"/>
        <w:numPr>
          <w:ilvl w:val="0"/>
          <w:numId w:val="1"/>
        </w:numPr>
        <w:ind w:firstLine="230"/>
      </w:pPr>
      <w:r w:rsidRPr="0073232A">
        <w:t>The draft Staff Proposal lists the activities and items eligible for funding in the Broadband Adoption Account including Broadband Access and Digital Literacy</w:t>
      </w:r>
      <w:r>
        <w:t>.</w:t>
      </w:r>
    </w:p>
    <w:p w:rsidR="00FE2EBC" w:rsidRPr="0073232A" w:rsidRDefault="00FE2EBC" w:rsidP="00B93DB0">
      <w:pPr>
        <w:pStyle w:val="standard"/>
        <w:numPr>
          <w:ilvl w:val="0"/>
          <w:numId w:val="1"/>
        </w:numPr>
        <w:ind w:firstLine="230"/>
      </w:pPr>
      <w:r w:rsidRPr="0073232A">
        <w:t>The draft Staff Proposal included a subsidy level for acceptable projects.</w:t>
      </w:r>
    </w:p>
    <w:p w:rsidR="00FE2EBC" w:rsidRPr="0073232A" w:rsidRDefault="00FE2EBC" w:rsidP="00B93DB0">
      <w:pPr>
        <w:pStyle w:val="standard"/>
        <w:numPr>
          <w:ilvl w:val="0"/>
          <w:numId w:val="1"/>
        </w:numPr>
        <w:ind w:firstLine="230"/>
      </w:pPr>
      <w:r w:rsidRPr="0073232A">
        <w:t>A school</w:t>
      </w:r>
      <w:r w:rsidR="00B34BCE">
        <w:noBreakHyphen/>
      </w:r>
      <w:r w:rsidRPr="0073232A">
        <w:t>provided device, such as “homework ready” mobile devices, or hotspot devices, may be useful to for students to complete homework at home.</w:t>
      </w:r>
    </w:p>
    <w:p w:rsidR="00FE2EBC" w:rsidRPr="0073232A" w:rsidRDefault="00FE2EBC" w:rsidP="00B93DB0">
      <w:pPr>
        <w:pStyle w:val="standard"/>
        <w:numPr>
          <w:ilvl w:val="0"/>
          <w:numId w:val="1"/>
        </w:numPr>
        <w:ind w:firstLine="230"/>
      </w:pPr>
      <w:r w:rsidRPr="0073232A">
        <w:t>The draft Staff Proposal included a list of information required from applicants as part of the application submission and review</w:t>
      </w:r>
      <w:r>
        <w:t>.</w:t>
      </w:r>
    </w:p>
    <w:p w:rsidR="00FE2EBC" w:rsidRPr="0073232A" w:rsidRDefault="00FE2EBC" w:rsidP="00B93DB0">
      <w:pPr>
        <w:pStyle w:val="standard"/>
        <w:numPr>
          <w:ilvl w:val="0"/>
          <w:numId w:val="1"/>
        </w:numPr>
        <w:ind w:firstLine="230"/>
      </w:pPr>
      <w:r w:rsidRPr="0073232A">
        <w:t>The draft Staff Proposal included proposed evaluation and scoring criteria for scoring applications/projects.</w:t>
      </w:r>
    </w:p>
    <w:p w:rsidR="00FE2EBC" w:rsidRPr="0073232A" w:rsidRDefault="00FE2EBC" w:rsidP="00B93DB0">
      <w:pPr>
        <w:pStyle w:val="standard"/>
        <w:numPr>
          <w:ilvl w:val="0"/>
          <w:numId w:val="1"/>
        </w:numPr>
        <w:ind w:firstLine="230"/>
      </w:pPr>
      <w:r w:rsidRPr="0073232A">
        <w:t>The draft Staff Proposal proposed application windows for adoption projects.</w:t>
      </w:r>
    </w:p>
    <w:p w:rsidR="00FE2EBC" w:rsidRPr="0073232A" w:rsidRDefault="00FE2EBC" w:rsidP="00B93DB0">
      <w:pPr>
        <w:pStyle w:val="standard"/>
        <w:numPr>
          <w:ilvl w:val="0"/>
          <w:numId w:val="1"/>
        </w:numPr>
        <w:ind w:firstLine="230"/>
      </w:pPr>
      <w:r w:rsidRPr="0073232A">
        <w:lastRenderedPageBreak/>
        <w:t>The draft Staff Proposal included criteria in which the Commission assigns to staff the task of approving applications that meet certain criteria.</w:t>
      </w:r>
    </w:p>
    <w:p w:rsidR="00FE2EBC" w:rsidRPr="0073232A" w:rsidRDefault="00FE2EBC" w:rsidP="00B93DB0">
      <w:pPr>
        <w:pStyle w:val="standard"/>
        <w:numPr>
          <w:ilvl w:val="0"/>
          <w:numId w:val="1"/>
        </w:numPr>
        <w:ind w:firstLine="230"/>
      </w:pPr>
      <w:r w:rsidRPr="0073232A">
        <w:t>The draft Staff Proposal included Reporting and Payment reimbursement requirements, which included both a ramp</w:t>
      </w:r>
      <w:r w:rsidR="00B34BCE">
        <w:noBreakHyphen/>
      </w:r>
      <w:r w:rsidRPr="0073232A">
        <w:t>up period and biennial payment.</w:t>
      </w:r>
    </w:p>
    <w:p w:rsidR="00FE2EBC" w:rsidRPr="0073232A" w:rsidRDefault="00FE2EBC" w:rsidP="00B93DB0">
      <w:pPr>
        <w:pStyle w:val="standard"/>
        <w:numPr>
          <w:ilvl w:val="0"/>
          <w:numId w:val="1"/>
        </w:numPr>
        <w:ind w:firstLine="230"/>
      </w:pPr>
      <w:r w:rsidRPr="0073232A">
        <w:t>Updated adopted guidelines for the Public Housing Account are set forth in Appendix 2.</w:t>
      </w:r>
    </w:p>
    <w:p w:rsidR="00FE2EBC" w:rsidRPr="0073232A" w:rsidRDefault="00FE2EBC" w:rsidP="00B93DB0">
      <w:pPr>
        <w:pStyle w:val="standard"/>
        <w:numPr>
          <w:ilvl w:val="0"/>
          <w:numId w:val="1"/>
        </w:numPr>
        <w:ind w:firstLine="230"/>
      </w:pPr>
      <w:r w:rsidRPr="0073232A">
        <w:t xml:space="preserve">Existing guidelines for </w:t>
      </w:r>
      <w:r w:rsidR="006D069D">
        <w:t xml:space="preserve">the </w:t>
      </w:r>
      <w:r w:rsidRPr="0073232A">
        <w:t>Public Housing Infrastructure Projects state that staff will post all applications forms (but not the supporting materials that accompany the application) on its website after the date of submission.</w:t>
      </w:r>
    </w:p>
    <w:p w:rsidR="00FE2EBC" w:rsidRPr="0073232A" w:rsidRDefault="00FE2EBC" w:rsidP="00B93DB0">
      <w:pPr>
        <w:pStyle w:val="standard"/>
        <w:numPr>
          <w:ilvl w:val="0"/>
          <w:numId w:val="1"/>
        </w:numPr>
        <w:ind w:firstLine="230"/>
      </w:pPr>
      <w:r w:rsidRPr="0073232A">
        <w:t>The draft Staff Proposals state that an applicant for Public Housing adoption projects needs to provide a detailed description of its proposed project, including a description of the activities the Commission will fund, such as education and outreach efforts.</w:t>
      </w:r>
    </w:p>
    <w:p w:rsidR="00FE2EBC" w:rsidRDefault="00FE2EBC" w:rsidP="00B93DB0">
      <w:pPr>
        <w:pStyle w:val="standard"/>
        <w:numPr>
          <w:ilvl w:val="0"/>
          <w:numId w:val="1"/>
        </w:numPr>
        <w:ind w:firstLine="230"/>
      </w:pPr>
      <w:r w:rsidRPr="0073232A">
        <w:t xml:space="preserve">There are three existing loans in the </w:t>
      </w:r>
      <w:r>
        <w:t xml:space="preserve">Revolving </w:t>
      </w:r>
      <w:r w:rsidRPr="004F18CA">
        <w:t>Broadband Infrastructure Revolving Loan Account</w:t>
      </w:r>
      <w:r>
        <w:t xml:space="preserve"> </w:t>
      </w:r>
      <w:r w:rsidRPr="0073232A">
        <w:t>program</w:t>
      </w:r>
      <w:r w:rsidR="00587E63">
        <w:t>.  N</w:t>
      </w:r>
      <w:r w:rsidRPr="0073232A">
        <w:t>o additional loan requests will be processed and no additional loans will be issued pursuant to AB 1665.</w:t>
      </w:r>
    </w:p>
    <w:p w:rsidR="002B4CB4" w:rsidRPr="0073232A" w:rsidRDefault="002B4CB4" w:rsidP="00AE60DE">
      <w:pPr>
        <w:pStyle w:val="ListParagraph"/>
        <w:numPr>
          <w:ilvl w:val="0"/>
          <w:numId w:val="1"/>
        </w:numPr>
        <w:spacing w:line="360" w:lineRule="auto"/>
        <w:ind w:left="230"/>
      </w:pPr>
      <w:r w:rsidRPr="002B4CB4">
        <w:t>There are no pending loan applications.</w:t>
      </w:r>
    </w:p>
    <w:p w:rsidR="00617664" w:rsidRDefault="00FE2EBC" w:rsidP="00B93DB0">
      <w:pPr>
        <w:pStyle w:val="num1"/>
        <w:numPr>
          <w:ilvl w:val="0"/>
          <w:numId w:val="1"/>
        </w:numPr>
        <w:ind w:firstLine="230"/>
      </w:pPr>
      <w:r w:rsidRPr="0073232A">
        <w:t xml:space="preserve">The Commission </w:t>
      </w:r>
      <w:r w:rsidR="00AA5BA4">
        <w:t>may work</w:t>
      </w:r>
      <w:r w:rsidRPr="0073232A">
        <w:t xml:space="preserve"> with a third party financing authority to service the existing loans</w:t>
      </w:r>
      <w:r w:rsidR="00AA5BA4">
        <w:t>, as necessary</w:t>
      </w:r>
      <w:r w:rsidRPr="0073232A">
        <w:t>.</w:t>
      </w:r>
    </w:p>
    <w:p w:rsidR="00617664" w:rsidRDefault="00617664">
      <w:pPr>
        <w:pStyle w:val="dummy"/>
      </w:pPr>
      <w:bookmarkStart w:id="58" w:name="_Toc370798914"/>
      <w:bookmarkStart w:id="59" w:name="_Toc450990220"/>
      <w:bookmarkStart w:id="60" w:name="_Toc451151267"/>
      <w:bookmarkStart w:id="61" w:name="_Toc514153023"/>
      <w:r>
        <w:t>Conclusions of Law</w:t>
      </w:r>
      <w:bookmarkEnd w:id="58"/>
      <w:bookmarkEnd w:id="59"/>
      <w:bookmarkEnd w:id="60"/>
      <w:bookmarkEnd w:id="61"/>
    </w:p>
    <w:p w:rsidR="00FE2EBC" w:rsidRPr="0073232A" w:rsidRDefault="00FE2EBC" w:rsidP="00B93DB0">
      <w:pPr>
        <w:pStyle w:val="standard"/>
        <w:numPr>
          <w:ilvl w:val="0"/>
          <w:numId w:val="2"/>
        </w:numPr>
        <w:ind w:firstLine="360"/>
      </w:pPr>
      <w:r w:rsidRPr="0073232A">
        <w:t>The Guidelines set forth in Appendix 1 are consistent with the intent and objectives of the Adoption Account as stated in i</w:t>
      </w:r>
      <w:r w:rsidR="004C1EF3">
        <w:t>n Pub. Util. Code § </w:t>
      </w:r>
      <w:r w:rsidRPr="0073232A">
        <w:t>281(j)(1)</w:t>
      </w:r>
      <w:r w:rsidR="00B34BCE">
        <w:noBreakHyphen/>
      </w:r>
      <w:r w:rsidRPr="0073232A">
        <w:t>(j)(5).</w:t>
      </w:r>
    </w:p>
    <w:p w:rsidR="00FE2EBC" w:rsidRPr="0073232A" w:rsidRDefault="00FE2EBC" w:rsidP="00B93DB0">
      <w:pPr>
        <w:pStyle w:val="standard"/>
        <w:numPr>
          <w:ilvl w:val="0"/>
          <w:numId w:val="2"/>
        </w:numPr>
        <w:ind w:firstLine="360"/>
      </w:pPr>
      <w:r w:rsidRPr="0073232A">
        <w:t>Pub. Util. Co</w:t>
      </w:r>
      <w:r w:rsidR="00E1646E">
        <w:t>de</w:t>
      </w:r>
      <w:r w:rsidRPr="0073232A">
        <w:t xml:space="preserve"> § 281(j)(5) requires the Commission to give preference to certain communities for the Adoption Account, includ</w:t>
      </w:r>
      <w:r>
        <w:t>ing</w:t>
      </w:r>
      <w:r w:rsidRPr="0073232A">
        <w:t xml:space="preserve"> low</w:t>
      </w:r>
      <w:r w:rsidR="00B34BCE">
        <w:noBreakHyphen/>
      </w:r>
      <w:r w:rsidRPr="0073232A">
        <w:t xml:space="preserve">income and senior </w:t>
      </w:r>
      <w:r w:rsidRPr="0073232A">
        <w:lastRenderedPageBreak/>
        <w:t>communities, and communities facing socioeconomic barriers to broadband adoption.</w:t>
      </w:r>
    </w:p>
    <w:p w:rsidR="00FE2EBC" w:rsidRPr="0073232A" w:rsidRDefault="00FE2EBC" w:rsidP="00B93DB0">
      <w:pPr>
        <w:pStyle w:val="standard"/>
        <w:numPr>
          <w:ilvl w:val="0"/>
          <w:numId w:val="2"/>
        </w:numPr>
        <w:ind w:firstLine="360"/>
      </w:pPr>
      <w:r w:rsidRPr="0073232A">
        <w:t>In order to ensure that Broadband Adoption Account Funds are allocated throughout the state</w:t>
      </w:r>
      <w:r w:rsidR="00DC3990">
        <w:t>,</w:t>
      </w:r>
      <w:r w:rsidRPr="0073232A">
        <w:t xml:space="preserve"> only $5 million of the $20 million authorized should be awarded in the first application window and should serve as a pilot to determine the effectiveness of the Adoption strategy.</w:t>
      </w:r>
    </w:p>
    <w:p w:rsidR="00FE2EBC" w:rsidRPr="0073232A" w:rsidRDefault="00FE2EBC" w:rsidP="00B93DB0">
      <w:pPr>
        <w:pStyle w:val="standard"/>
        <w:numPr>
          <w:ilvl w:val="0"/>
          <w:numId w:val="2"/>
        </w:numPr>
        <w:ind w:firstLine="360"/>
      </w:pPr>
      <w:r w:rsidRPr="0073232A">
        <w:t>In order to ensure that Adoption Account Funds are equitably distributed throughout the state</w:t>
      </w:r>
      <w:r>
        <w:t>,</w:t>
      </w:r>
      <w:r w:rsidRPr="0073232A">
        <w:t xml:space="preserve"> </w:t>
      </w:r>
      <w:r w:rsidR="00DC3990">
        <w:t>the Commission</w:t>
      </w:r>
      <w:r w:rsidRPr="0073232A">
        <w:t xml:space="preserve"> should consider factors specified in the statute to prioritize projects for funding.</w:t>
      </w:r>
    </w:p>
    <w:p w:rsidR="00FE2EBC" w:rsidRPr="0073232A" w:rsidRDefault="00FE2EBC" w:rsidP="00B93DB0">
      <w:pPr>
        <w:pStyle w:val="standard"/>
        <w:numPr>
          <w:ilvl w:val="0"/>
          <w:numId w:val="2"/>
        </w:numPr>
        <w:ind w:firstLine="360"/>
      </w:pPr>
      <w:r w:rsidRPr="0073232A">
        <w:t>Preference should be given for projects serving low</w:t>
      </w:r>
      <w:r w:rsidR="00B34BCE">
        <w:noBreakHyphen/>
      </w:r>
      <w:r w:rsidRPr="0073232A">
        <w:t>income communities with a medi</w:t>
      </w:r>
      <w:r w:rsidR="00E1646E">
        <w:t>an</w:t>
      </w:r>
      <w:r w:rsidRPr="0073232A">
        <w:t xml:space="preserve"> household income </w:t>
      </w:r>
      <w:r w:rsidR="00F72666">
        <w:t xml:space="preserve">at or </w:t>
      </w:r>
      <w:r w:rsidR="00F72666" w:rsidRPr="00EA7316">
        <w:t xml:space="preserve">below the </w:t>
      </w:r>
      <w:r w:rsidR="00F72666">
        <w:t>California Alternate Rates for Energy program income limits for</w:t>
      </w:r>
      <w:r w:rsidR="00F72666" w:rsidRPr="00EA7316">
        <w:t xml:space="preserve"> </w:t>
      </w:r>
      <w:r w:rsidR="00F72666">
        <w:t xml:space="preserve">a </w:t>
      </w:r>
      <w:r w:rsidR="00F72666" w:rsidRPr="00EA7316">
        <w:t>household of four</w:t>
      </w:r>
      <w:r w:rsidRPr="0073232A">
        <w:t>; projects serving a community with more than 50% of residents having limited English proficiency; projects serving a community with more than 50% of residents having only a high school diploma or less; projects serving a rural community; projects having community support, endorsements and/or partnerships; projects that offer internet access at low or no cost to the user; projects serving a community with some other demonstrated disadvantage which affects broadband adoption as documented by applicant</w:t>
      </w:r>
      <w:r w:rsidR="00822A99">
        <w:t xml:space="preserve">; and projects that consider </w:t>
      </w:r>
      <w:r w:rsidR="008C1AA1">
        <w:t>coordination</w:t>
      </w:r>
      <w:r w:rsidR="00822A99">
        <w:t xml:space="preserve"> with other public purpose programs and funding sources</w:t>
      </w:r>
      <w:r w:rsidRPr="0073232A">
        <w:t>.</w:t>
      </w:r>
    </w:p>
    <w:p w:rsidR="00FE2EBC" w:rsidRPr="0073232A" w:rsidRDefault="00FE2EBC" w:rsidP="00B93DB0">
      <w:pPr>
        <w:pStyle w:val="standard"/>
        <w:numPr>
          <w:ilvl w:val="0"/>
          <w:numId w:val="2"/>
        </w:numPr>
        <w:ind w:firstLine="360"/>
      </w:pPr>
      <w:r w:rsidRPr="0073232A">
        <w:t>Pub. Util. Code, § 281(j)(2) outlines eligible applicants for the Adoption Account.</w:t>
      </w:r>
    </w:p>
    <w:p w:rsidR="00FE2EBC" w:rsidRPr="0073232A" w:rsidRDefault="00FE2EBC" w:rsidP="00B93DB0">
      <w:pPr>
        <w:pStyle w:val="standard"/>
        <w:numPr>
          <w:ilvl w:val="0"/>
          <w:numId w:val="2"/>
        </w:numPr>
        <w:ind w:firstLine="360"/>
      </w:pPr>
      <w:r w:rsidRPr="0073232A">
        <w:t>The definition of “low broadband access” should be revised and apply to the Adoption Account only.</w:t>
      </w:r>
    </w:p>
    <w:p w:rsidR="00FE2EBC" w:rsidRPr="0073232A" w:rsidRDefault="00FE2EBC" w:rsidP="00B93DB0">
      <w:pPr>
        <w:pStyle w:val="standard"/>
        <w:numPr>
          <w:ilvl w:val="0"/>
          <w:numId w:val="2"/>
        </w:numPr>
        <w:ind w:firstLine="360"/>
      </w:pPr>
      <w:r w:rsidRPr="0073232A">
        <w:lastRenderedPageBreak/>
        <w:t xml:space="preserve">The </w:t>
      </w:r>
      <w:r w:rsidR="00A475E9">
        <w:t xml:space="preserve">income limits </w:t>
      </w:r>
      <w:r w:rsidR="00903571">
        <w:t>should</w:t>
      </w:r>
      <w:r w:rsidR="00A475E9">
        <w:t xml:space="preserve"> be updated to reflect those limits for a </w:t>
      </w:r>
      <w:r w:rsidRPr="0073232A">
        <w:t xml:space="preserve">“household of 4” </w:t>
      </w:r>
      <w:r w:rsidR="00346138">
        <w:t>as opposed to a “family of 4,”</w:t>
      </w:r>
      <w:r w:rsidRPr="0073232A">
        <w:t>consistent with  the CARE program.</w:t>
      </w:r>
    </w:p>
    <w:p w:rsidR="00FE2EBC" w:rsidRPr="0073232A" w:rsidRDefault="00023BFA" w:rsidP="00B93DB0">
      <w:pPr>
        <w:pStyle w:val="standard"/>
        <w:numPr>
          <w:ilvl w:val="0"/>
          <w:numId w:val="2"/>
        </w:numPr>
        <w:ind w:firstLine="360"/>
      </w:pPr>
      <w:r>
        <w:t>Applications</w:t>
      </w:r>
      <w:r w:rsidR="00FE2EBC" w:rsidRPr="0073232A">
        <w:t xml:space="preserve"> should </w:t>
      </w:r>
      <w:r w:rsidR="006F38C0">
        <w:t>include</w:t>
      </w:r>
      <w:r w:rsidR="00FE2EBC" w:rsidRPr="0073232A">
        <w:t xml:space="preserve"> “Community support and Endorsements” as well as “Partnerships” </w:t>
      </w:r>
      <w:r w:rsidR="006F38C0">
        <w:t>in</w:t>
      </w:r>
      <w:r w:rsidR="006F38C0" w:rsidRPr="0073232A">
        <w:t xml:space="preserve"> </w:t>
      </w:r>
      <w:r w:rsidR="00FE2EBC" w:rsidRPr="0073232A">
        <w:t xml:space="preserve">Information required from Applicant, and </w:t>
      </w:r>
      <w:r w:rsidR="006F38C0">
        <w:t>include</w:t>
      </w:r>
      <w:r w:rsidR="006F38C0" w:rsidRPr="0073232A">
        <w:t xml:space="preserve"> </w:t>
      </w:r>
      <w:r w:rsidR="00FE2EBC" w:rsidRPr="0073232A">
        <w:t xml:space="preserve">“Coordination” </w:t>
      </w:r>
      <w:r w:rsidR="006F38C0">
        <w:t>on</w:t>
      </w:r>
      <w:r w:rsidR="006F38C0" w:rsidRPr="0073232A">
        <w:t xml:space="preserve"> </w:t>
      </w:r>
      <w:r w:rsidR="00FE2EBC" w:rsidRPr="0073232A">
        <w:t>the sample “Preference Checklist” reflected in Appendix 1.</w:t>
      </w:r>
    </w:p>
    <w:p w:rsidR="00FE2EBC" w:rsidRPr="0073232A" w:rsidRDefault="00FE2EBC" w:rsidP="00B93DB0">
      <w:pPr>
        <w:pStyle w:val="standard"/>
        <w:numPr>
          <w:ilvl w:val="0"/>
          <w:numId w:val="2"/>
        </w:numPr>
        <w:ind w:firstLine="230"/>
      </w:pPr>
      <w:r w:rsidRPr="0073232A">
        <w:t xml:space="preserve">It is reasonable </w:t>
      </w:r>
      <w:r w:rsidR="006F38C0">
        <w:t>for</w:t>
      </w:r>
      <w:r w:rsidRPr="0073232A">
        <w:t xml:space="preserve"> Appendix 1 to address Broadband Adoption Account issues</w:t>
      </w:r>
      <w:r w:rsidR="006F38C0">
        <w:t xml:space="preserve"> as follows</w:t>
      </w:r>
      <w:r w:rsidRPr="0073232A">
        <w:t xml:space="preserve">:  </w:t>
      </w:r>
    </w:p>
    <w:p w:rsidR="00FE2EBC" w:rsidRPr="0073232A" w:rsidRDefault="006F38C0" w:rsidP="00B93DB0">
      <w:pPr>
        <w:pStyle w:val="standard"/>
        <w:numPr>
          <w:ilvl w:val="0"/>
          <w:numId w:val="8"/>
        </w:numPr>
        <w:spacing w:after="160" w:line="240" w:lineRule="auto"/>
        <w:ind w:left="1080" w:right="720"/>
      </w:pPr>
      <w:r>
        <w:t>Include</w:t>
      </w:r>
      <w:r w:rsidRPr="0073232A">
        <w:t xml:space="preserve"> </w:t>
      </w:r>
      <w:r w:rsidR="00FE2EBC" w:rsidRPr="0073232A">
        <w:t>language to require applicants and projects to be technology neutral and not favor one technology</w:t>
      </w:r>
      <w:r w:rsidR="00533A02">
        <w:t xml:space="preserve"> or broadband provider</w:t>
      </w:r>
      <w:r w:rsidR="00FE2EBC" w:rsidRPr="0073232A">
        <w:t xml:space="preserve"> over another</w:t>
      </w:r>
      <w:r>
        <w:t>;</w:t>
      </w:r>
    </w:p>
    <w:p w:rsidR="00FE2EBC" w:rsidRPr="0073232A" w:rsidRDefault="00FE2EBC" w:rsidP="00B93DB0">
      <w:pPr>
        <w:pStyle w:val="standard"/>
        <w:numPr>
          <w:ilvl w:val="0"/>
          <w:numId w:val="8"/>
        </w:numPr>
        <w:spacing w:after="160" w:line="240" w:lineRule="auto"/>
        <w:ind w:left="1080" w:right="720"/>
      </w:pPr>
      <w:r w:rsidRPr="0073232A">
        <w:t xml:space="preserve">For Digital Literacy and Broadband Access Projects, travel (up to 10% of the grant amount) </w:t>
      </w:r>
      <w:r w:rsidR="006F38C0">
        <w:t>is</w:t>
      </w:r>
      <w:r w:rsidRPr="0073232A">
        <w:t xml:space="preserve"> </w:t>
      </w:r>
      <w:r w:rsidR="00507559">
        <w:t xml:space="preserve">a </w:t>
      </w:r>
      <w:r w:rsidRPr="0073232A">
        <w:t>reimbursable cost</w:t>
      </w:r>
      <w:r w:rsidR="006F38C0">
        <w:t>;</w:t>
      </w:r>
    </w:p>
    <w:p w:rsidR="007C64F6" w:rsidRDefault="00FE2EBC" w:rsidP="00AE60DE">
      <w:pPr>
        <w:pStyle w:val="standard"/>
        <w:numPr>
          <w:ilvl w:val="0"/>
          <w:numId w:val="8"/>
        </w:numPr>
        <w:spacing w:after="160" w:line="240" w:lineRule="auto"/>
        <w:ind w:left="1080" w:right="720"/>
      </w:pPr>
      <w:r w:rsidRPr="0073232A">
        <w:t xml:space="preserve">For Digital Literacy </w:t>
      </w:r>
      <w:r w:rsidR="00530E5E" w:rsidRPr="0073232A">
        <w:t xml:space="preserve">and Broadband Access </w:t>
      </w:r>
      <w:r w:rsidRPr="0073232A">
        <w:t>Project</w:t>
      </w:r>
      <w:r w:rsidR="006F38C0">
        <w:t>s</w:t>
      </w:r>
      <w:r w:rsidRPr="0073232A">
        <w:t xml:space="preserve">, </w:t>
      </w:r>
      <w:r w:rsidR="00530E5E">
        <w:t xml:space="preserve">allow </w:t>
      </w:r>
      <w:r w:rsidRPr="0073232A">
        <w:t xml:space="preserve">funding for </w:t>
      </w:r>
      <w:r w:rsidR="00530E5E">
        <w:t>in</w:t>
      </w:r>
      <w:r w:rsidR="00B34BCE">
        <w:noBreakHyphen/>
      </w:r>
      <w:r w:rsidR="00530E5E">
        <w:t xml:space="preserve">classroom computing </w:t>
      </w:r>
      <w:r w:rsidRPr="0073232A">
        <w:t>devices</w:t>
      </w:r>
      <w:r w:rsidR="00440EDE">
        <w:t xml:space="preserve"> with limits</w:t>
      </w:r>
      <w:r w:rsidR="00587E63">
        <w:t>;</w:t>
      </w:r>
    </w:p>
    <w:p w:rsidR="00587E63" w:rsidRDefault="00587E63" w:rsidP="00587E63">
      <w:pPr>
        <w:pStyle w:val="standard"/>
        <w:numPr>
          <w:ilvl w:val="0"/>
          <w:numId w:val="8"/>
        </w:numPr>
        <w:spacing w:after="160" w:line="240" w:lineRule="auto"/>
        <w:ind w:left="1080" w:right="720"/>
      </w:pPr>
      <w:r w:rsidRPr="007C64F6">
        <w:t xml:space="preserve">For Digital Literacy Projects, households that participate in the Supplemental Nutritional Assistance Program, the National School Lunch Program, or the Women, Infants, and Children Program </w:t>
      </w:r>
      <w:r w:rsidR="00440EDE">
        <w:t>may be</w:t>
      </w:r>
      <w:r w:rsidRPr="007C64F6">
        <w:t xml:space="preserve"> eligible to receive computing devices to take home</w:t>
      </w:r>
      <w:r>
        <w:t xml:space="preserve"> after </w:t>
      </w:r>
      <w:r w:rsidR="00440EDE">
        <w:t xml:space="preserve">completing digital literacy </w:t>
      </w:r>
      <w:r>
        <w:t>training courses</w:t>
      </w:r>
      <w:r w:rsidRPr="007C64F6">
        <w:t xml:space="preserve">. </w:t>
      </w:r>
      <w:r w:rsidR="009A00FB">
        <w:t xml:space="preserve"> </w:t>
      </w:r>
      <w:r w:rsidR="00440EDE">
        <w:t xml:space="preserve">Reimbursement for </w:t>
      </w:r>
      <w:r w:rsidRPr="007C64F6">
        <w:t xml:space="preserve">take home </w:t>
      </w:r>
      <w:r w:rsidR="00440EDE">
        <w:t xml:space="preserve">computing devices </w:t>
      </w:r>
      <w:r w:rsidRPr="007C64F6">
        <w:t xml:space="preserve">is </w:t>
      </w:r>
      <w:r w:rsidR="00440EDE">
        <w:t xml:space="preserve">limited </w:t>
      </w:r>
      <w:r w:rsidRPr="007C64F6">
        <w:t>to $150 per device</w:t>
      </w:r>
      <w:r w:rsidR="00440EDE">
        <w:t xml:space="preserve">, is limited to </w:t>
      </w:r>
      <w:r w:rsidRPr="007C64F6">
        <w:t>one computing</w:t>
      </w:r>
      <w:r>
        <w:t xml:space="preserve"> device per eligible household, </w:t>
      </w:r>
      <w:r w:rsidR="00440EDE">
        <w:t xml:space="preserve">and is limited </w:t>
      </w:r>
      <w:r w:rsidRPr="007C64F6">
        <w:t>to $10,000 per application/project location.</w:t>
      </w:r>
      <w:r>
        <w:t xml:space="preserve">  </w:t>
      </w:r>
      <w:r w:rsidRPr="007C64F6">
        <w:t>Grantees should ensure proof of eligibility in their distribution of computing devices for households</w:t>
      </w:r>
      <w:r>
        <w:t>;</w:t>
      </w:r>
    </w:p>
    <w:p w:rsidR="00FE2EBC" w:rsidRPr="0073232A" w:rsidRDefault="00FE2EBC" w:rsidP="00B93DB0">
      <w:pPr>
        <w:pStyle w:val="standard"/>
        <w:numPr>
          <w:ilvl w:val="0"/>
          <w:numId w:val="8"/>
        </w:numPr>
        <w:spacing w:after="160" w:line="240" w:lineRule="auto"/>
        <w:ind w:left="1080" w:right="720"/>
      </w:pPr>
      <w:r w:rsidRPr="0073232A">
        <w:t>For Broadband Access Project</w:t>
      </w:r>
      <w:r w:rsidR="006F38C0">
        <w:t>s</w:t>
      </w:r>
      <w:r w:rsidRPr="0073232A">
        <w:t>, call centers that will increase broadband access and adoption are eligible</w:t>
      </w:r>
      <w:r w:rsidR="006F38C0">
        <w:t>; and</w:t>
      </w:r>
    </w:p>
    <w:p w:rsidR="00FE2EBC" w:rsidRPr="0073232A" w:rsidRDefault="00FE2EBC" w:rsidP="00B93DB0">
      <w:pPr>
        <w:pStyle w:val="standard"/>
        <w:numPr>
          <w:ilvl w:val="0"/>
          <w:numId w:val="8"/>
        </w:numPr>
        <w:spacing w:after="160" w:line="240" w:lineRule="auto"/>
        <w:ind w:left="1080" w:right="720"/>
      </w:pPr>
      <w:r w:rsidRPr="0073232A">
        <w:t xml:space="preserve">For </w:t>
      </w:r>
      <w:r w:rsidR="00004201" w:rsidRPr="0073232A">
        <w:t xml:space="preserve">Digital Literacy and </w:t>
      </w:r>
      <w:r w:rsidRPr="0073232A">
        <w:t>Broadband Access Project</w:t>
      </w:r>
      <w:r w:rsidR="006F38C0">
        <w:t>s</w:t>
      </w:r>
      <w:r w:rsidRPr="0073232A">
        <w:t>, general technical support beyond installation for the duration of the project</w:t>
      </w:r>
      <w:r w:rsidR="006F38C0">
        <w:t xml:space="preserve"> is allowed</w:t>
      </w:r>
      <w:r w:rsidRPr="0073232A">
        <w:t>.</w:t>
      </w:r>
    </w:p>
    <w:p w:rsidR="00FE2EBC" w:rsidRPr="0073232A" w:rsidRDefault="006F38C0" w:rsidP="00B93DB0">
      <w:pPr>
        <w:pStyle w:val="standard"/>
        <w:numPr>
          <w:ilvl w:val="0"/>
          <w:numId w:val="2"/>
        </w:numPr>
        <w:ind w:firstLine="230"/>
      </w:pPr>
      <w:r>
        <w:lastRenderedPageBreak/>
        <w:t>For</w:t>
      </w:r>
      <w:r w:rsidR="00FE2EBC" w:rsidRPr="0073232A">
        <w:t xml:space="preserve"> </w:t>
      </w:r>
      <w:r w:rsidR="00BE02F9">
        <w:t xml:space="preserve">both </w:t>
      </w:r>
      <w:r w:rsidR="00BE02F9" w:rsidRPr="0073232A">
        <w:t>Digital Literacy</w:t>
      </w:r>
      <w:r w:rsidR="00BE02F9">
        <w:t xml:space="preserve"> and</w:t>
      </w:r>
      <w:r w:rsidR="00BE02F9" w:rsidRPr="0073232A">
        <w:t xml:space="preserve"> </w:t>
      </w:r>
      <w:r w:rsidR="00FE2EBC" w:rsidRPr="0073232A">
        <w:t>Broadband Access Project</w:t>
      </w:r>
      <w:r>
        <w:t>s</w:t>
      </w:r>
      <w:r w:rsidR="00FE2EBC" w:rsidRPr="0073232A">
        <w:t xml:space="preserve">, it is reasonable to change the </w:t>
      </w:r>
      <w:r w:rsidR="00BE02F9">
        <w:t xml:space="preserve">reimbursable </w:t>
      </w:r>
      <w:r w:rsidR="00FE2EBC" w:rsidRPr="0073232A">
        <w:t xml:space="preserve">limits on </w:t>
      </w:r>
      <w:r w:rsidR="00440EDE">
        <w:t>in</w:t>
      </w:r>
      <w:r w:rsidR="00B34BCE">
        <w:noBreakHyphen/>
      </w:r>
      <w:r w:rsidR="00440EDE">
        <w:t xml:space="preserve">classroom </w:t>
      </w:r>
      <w:r w:rsidR="00FE2EBC" w:rsidRPr="0073232A">
        <w:t>computers from $1,000 to $750 per computer with a maximum of 15 computers per location.</w:t>
      </w:r>
    </w:p>
    <w:p w:rsidR="00FE2EBC" w:rsidRPr="0073232A" w:rsidRDefault="00FE2EBC" w:rsidP="00B93DB0">
      <w:pPr>
        <w:pStyle w:val="standard"/>
        <w:numPr>
          <w:ilvl w:val="0"/>
          <w:numId w:val="2"/>
        </w:numPr>
        <w:ind w:firstLine="230"/>
      </w:pPr>
      <w:r w:rsidRPr="0073232A">
        <w:t xml:space="preserve">It is reasonable that the information required from applicants as part of the application submission and review process </w:t>
      </w:r>
      <w:r w:rsidR="006F38C0">
        <w:t>include</w:t>
      </w:r>
      <w:r w:rsidRPr="0073232A">
        <w:t xml:space="preserve"> </w:t>
      </w:r>
      <w:r w:rsidR="00751006">
        <w:t xml:space="preserve">the </w:t>
      </w:r>
      <w:r w:rsidRPr="0073232A">
        <w:t>additional requirements:</w:t>
      </w:r>
    </w:p>
    <w:p w:rsidR="00FE2EBC" w:rsidRPr="0073232A" w:rsidRDefault="00FE2EBC" w:rsidP="00B93DB0">
      <w:pPr>
        <w:pStyle w:val="standard"/>
        <w:numPr>
          <w:ilvl w:val="0"/>
          <w:numId w:val="9"/>
        </w:numPr>
        <w:spacing w:after="160" w:line="240" w:lineRule="auto"/>
        <w:ind w:left="1080" w:right="720"/>
      </w:pPr>
      <w:r w:rsidRPr="0073232A">
        <w:t>Performance Metrics Plan for tracking outcomes (e.g. surveys, subscription verification/bill, etc.)</w:t>
      </w:r>
      <w:r w:rsidR="006F38C0">
        <w:t>;</w:t>
      </w:r>
    </w:p>
    <w:p w:rsidR="00FE2EBC" w:rsidRPr="0073232A" w:rsidRDefault="00FE2EBC" w:rsidP="00B93DB0">
      <w:pPr>
        <w:pStyle w:val="standard"/>
        <w:numPr>
          <w:ilvl w:val="0"/>
          <w:numId w:val="9"/>
        </w:numPr>
        <w:spacing w:after="160" w:line="240" w:lineRule="auto"/>
        <w:ind w:left="1080" w:right="720"/>
      </w:pPr>
      <w:r w:rsidRPr="0073232A">
        <w:t>Community Support and Endorsements to demonstrate local and relevant experience and outreach</w:t>
      </w:r>
      <w:r w:rsidR="006F38C0">
        <w:t>;</w:t>
      </w:r>
    </w:p>
    <w:p w:rsidR="00FE2EBC" w:rsidRPr="0073232A" w:rsidRDefault="00FE2EBC" w:rsidP="00B93DB0">
      <w:pPr>
        <w:pStyle w:val="standard"/>
        <w:numPr>
          <w:ilvl w:val="0"/>
          <w:numId w:val="9"/>
        </w:numPr>
        <w:spacing w:after="160" w:line="240" w:lineRule="auto"/>
        <w:ind w:left="1080" w:right="720"/>
      </w:pPr>
      <w:r w:rsidRPr="0073232A">
        <w:t>Partnerships with other organizations, such as media and marketing groups and ISPs</w:t>
      </w:r>
      <w:r w:rsidR="006F38C0">
        <w:t>; and</w:t>
      </w:r>
    </w:p>
    <w:p w:rsidR="00FE2EBC" w:rsidRPr="0073232A" w:rsidRDefault="00FE2EBC" w:rsidP="00B93DB0">
      <w:pPr>
        <w:pStyle w:val="standard"/>
        <w:numPr>
          <w:ilvl w:val="0"/>
          <w:numId w:val="9"/>
        </w:numPr>
        <w:spacing w:after="160" w:line="240" w:lineRule="auto"/>
        <w:ind w:left="1080" w:right="720"/>
      </w:pPr>
      <w:r w:rsidRPr="0073232A">
        <w:t xml:space="preserve">Where appropriate, increase project timeframe to two years, following the </w:t>
      </w:r>
      <w:r w:rsidR="00507559" w:rsidRPr="0073232A">
        <w:t>ramp</w:t>
      </w:r>
      <w:r w:rsidR="00B34BCE">
        <w:noBreakHyphen/>
      </w:r>
      <w:r w:rsidRPr="0073232A">
        <w:t>up period</w:t>
      </w:r>
      <w:r w:rsidR="006F38C0">
        <w:t>.</w:t>
      </w:r>
    </w:p>
    <w:p w:rsidR="00FE2EBC" w:rsidRPr="0073232A" w:rsidRDefault="00FE2EBC" w:rsidP="00B93DB0">
      <w:pPr>
        <w:pStyle w:val="standard"/>
        <w:numPr>
          <w:ilvl w:val="0"/>
          <w:numId w:val="2"/>
        </w:numPr>
        <w:ind w:firstLine="230"/>
      </w:pPr>
      <w:r w:rsidRPr="0073232A">
        <w:t>Given that the Broadband Adoption Account is new and the uncertainty in the number of applications</w:t>
      </w:r>
      <w:r w:rsidR="00D514E1">
        <w:t xml:space="preserve"> to be </w:t>
      </w:r>
      <w:r w:rsidR="000C4283">
        <w:t>received</w:t>
      </w:r>
      <w:r w:rsidRPr="0073232A">
        <w:t>, it would be unreasonable to set a review time for project proposals at this time.</w:t>
      </w:r>
    </w:p>
    <w:p w:rsidR="00FE2EBC" w:rsidRPr="0073232A" w:rsidRDefault="005E53E8" w:rsidP="00B93DB0">
      <w:pPr>
        <w:pStyle w:val="standard"/>
        <w:numPr>
          <w:ilvl w:val="0"/>
          <w:numId w:val="2"/>
        </w:numPr>
        <w:ind w:firstLine="230"/>
      </w:pPr>
      <w:r>
        <w:t>The</w:t>
      </w:r>
      <w:r w:rsidR="00FE2EBC" w:rsidRPr="0073232A">
        <w:t xml:space="preserve"> threshold for Expedited Review </w:t>
      </w:r>
      <w:r>
        <w:t>should be increased to</w:t>
      </w:r>
      <w:r w:rsidR="006F38C0">
        <w:t xml:space="preserve"> </w:t>
      </w:r>
      <w:r w:rsidR="00FE2EBC" w:rsidRPr="0073232A">
        <w:t>$100,000.</w:t>
      </w:r>
    </w:p>
    <w:p w:rsidR="00FE2EBC" w:rsidRPr="0073232A" w:rsidRDefault="005E53E8" w:rsidP="00B93DB0">
      <w:pPr>
        <w:pStyle w:val="standard"/>
        <w:numPr>
          <w:ilvl w:val="0"/>
          <w:numId w:val="2"/>
        </w:numPr>
        <w:ind w:firstLine="230"/>
      </w:pPr>
      <w:r>
        <w:t xml:space="preserve">A </w:t>
      </w:r>
      <w:r w:rsidR="00FE2EBC" w:rsidRPr="0073232A">
        <w:t xml:space="preserve">performance/outcome based payment regime </w:t>
      </w:r>
      <w:r>
        <w:t xml:space="preserve">should be implemented </w:t>
      </w:r>
      <w:r w:rsidR="00FE2EBC" w:rsidRPr="0073232A">
        <w:t xml:space="preserve">by requiring reporting and payment requests </w:t>
      </w:r>
      <w:r w:rsidR="00E1646E">
        <w:t xml:space="preserve">to </w:t>
      </w:r>
      <w:r w:rsidR="00FE2EBC" w:rsidRPr="0073232A">
        <w:t>include documentation of performance/outcomes, including but not limited to, a summary of subscription</w:t>
      </w:r>
      <w:r w:rsidR="00E1646E">
        <w:t>s</w:t>
      </w:r>
      <w:r w:rsidR="00FE2EBC" w:rsidRPr="0073232A">
        <w:t xml:space="preserve"> result</w:t>
      </w:r>
      <w:r w:rsidR="00E1646E">
        <w:t>ing</w:t>
      </w:r>
      <w:r w:rsidR="00FE2EBC" w:rsidRPr="0073232A">
        <w:t xml:space="preserve"> from the project, hours of training, etc. consistent with application Performance Metrics Plan and Work Plan. </w:t>
      </w:r>
    </w:p>
    <w:p w:rsidR="00FE2EBC" w:rsidRPr="0073232A" w:rsidRDefault="005E53E8" w:rsidP="00B93DB0">
      <w:pPr>
        <w:pStyle w:val="standard"/>
        <w:numPr>
          <w:ilvl w:val="0"/>
          <w:numId w:val="2"/>
        </w:numPr>
        <w:ind w:firstLine="230"/>
      </w:pPr>
      <w:r>
        <w:t>The</w:t>
      </w:r>
      <w:r w:rsidR="00FE2EBC" w:rsidRPr="0073232A">
        <w:t xml:space="preserve"> Commission </w:t>
      </w:r>
      <w:r w:rsidR="001D342D">
        <w:t xml:space="preserve">can </w:t>
      </w:r>
      <w:r w:rsidR="00FE2EBC" w:rsidRPr="0073232A">
        <w:t>pay ramp</w:t>
      </w:r>
      <w:r w:rsidR="00B34BCE">
        <w:noBreakHyphen/>
      </w:r>
      <w:r w:rsidR="00FE2EBC" w:rsidRPr="0073232A">
        <w:t>up costs (up to 25%) upfront and require documentation of performance/outcome thereafter</w:t>
      </w:r>
      <w:r w:rsidR="00FE2EBC">
        <w:t>.</w:t>
      </w:r>
    </w:p>
    <w:p w:rsidR="00FE2EBC" w:rsidRPr="0073232A" w:rsidRDefault="00FE2EBC" w:rsidP="00B93DB0">
      <w:pPr>
        <w:pStyle w:val="standard"/>
        <w:numPr>
          <w:ilvl w:val="0"/>
          <w:numId w:val="2"/>
        </w:numPr>
        <w:ind w:firstLine="230"/>
      </w:pPr>
      <w:r w:rsidRPr="0073232A">
        <w:t>Existing Public Housing Infrastructure Project guidelines should be modified to require that a notice of availability be sent to the CASF Distribution List.</w:t>
      </w:r>
    </w:p>
    <w:p w:rsidR="00FE2EBC" w:rsidRDefault="00FE2EBC" w:rsidP="00B93DB0">
      <w:pPr>
        <w:pStyle w:val="standard"/>
        <w:numPr>
          <w:ilvl w:val="0"/>
          <w:numId w:val="2"/>
        </w:numPr>
        <w:ind w:firstLine="230"/>
      </w:pPr>
      <w:r w:rsidRPr="0073232A">
        <w:lastRenderedPageBreak/>
        <w:t xml:space="preserve">It is reasonable to modify the Existing Public Housing Infrastructure Project </w:t>
      </w:r>
      <w:r>
        <w:t>G</w:t>
      </w:r>
      <w:r w:rsidRPr="0073232A">
        <w:t>uidelines to require that applicants include a strategy for ensuring new residential broadband subscriptions.</w:t>
      </w:r>
    </w:p>
    <w:p w:rsidR="003070AA" w:rsidRDefault="003070AA" w:rsidP="00B93DB0">
      <w:pPr>
        <w:pStyle w:val="standard"/>
        <w:numPr>
          <w:ilvl w:val="0"/>
          <w:numId w:val="2"/>
        </w:numPr>
        <w:ind w:firstLine="230"/>
      </w:pPr>
      <w:r>
        <w:t xml:space="preserve">It is reasonable for Staff to </w:t>
      </w:r>
      <w:r w:rsidRPr="003070AA">
        <w:t>develop</w:t>
      </w:r>
      <w:r>
        <w:t xml:space="preserve"> and </w:t>
      </w:r>
      <w:r w:rsidR="003B2130">
        <w:t xml:space="preserve">implement </w:t>
      </w:r>
      <w:r w:rsidR="003B2130" w:rsidRPr="003070AA">
        <w:t>a</w:t>
      </w:r>
      <w:r>
        <w:t xml:space="preserve"> </w:t>
      </w:r>
      <w:r w:rsidRPr="003070AA">
        <w:t>non</w:t>
      </w:r>
      <w:r w:rsidR="00B34BCE">
        <w:noBreakHyphen/>
      </w:r>
      <w:r w:rsidRPr="003070AA">
        <w:t xml:space="preserve">disclosure agreement for grant recipients to obtain subscription/enrollment data from </w:t>
      </w:r>
      <w:r w:rsidR="006B6A6E">
        <w:t>Internet Service P</w:t>
      </w:r>
      <w:r w:rsidRPr="003070AA">
        <w:t>roviders</w:t>
      </w:r>
      <w:r w:rsidR="003B2130">
        <w:t>.</w:t>
      </w:r>
    </w:p>
    <w:p w:rsidR="003B2130" w:rsidRDefault="003B2130" w:rsidP="00B93DB0">
      <w:pPr>
        <w:pStyle w:val="standard"/>
        <w:numPr>
          <w:ilvl w:val="0"/>
          <w:numId w:val="2"/>
        </w:numPr>
        <w:ind w:firstLine="230"/>
      </w:pPr>
      <w:r>
        <w:t xml:space="preserve">It is reasonable for Staff to conduct </w:t>
      </w:r>
      <w:r w:rsidRPr="003B2130">
        <w:t xml:space="preserve">a baseline adoption analysis and gap analysis by at least statewide average, consortia region, and county.  Staff </w:t>
      </w:r>
      <w:r>
        <w:t>should</w:t>
      </w:r>
      <w:r w:rsidRPr="003B2130">
        <w:t xml:space="preserve"> investigate whether this analysis can and should include other demographic barriers to adoption such as age, speaking a primary language other than English, income, and education</w:t>
      </w:r>
      <w:r>
        <w:t xml:space="preserve"> and any other relevant factors.</w:t>
      </w:r>
    </w:p>
    <w:p w:rsidR="00990C7F" w:rsidRDefault="00990C7F" w:rsidP="00B93DB0">
      <w:pPr>
        <w:pStyle w:val="standard"/>
        <w:numPr>
          <w:ilvl w:val="0"/>
          <w:numId w:val="2"/>
        </w:numPr>
        <w:ind w:firstLine="230"/>
      </w:pPr>
      <w:r>
        <w:t xml:space="preserve">It is reasonable to allow </w:t>
      </w:r>
      <w:r w:rsidRPr="00990C7F">
        <w:t xml:space="preserve">staff </w:t>
      </w:r>
      <w:r>
        <w:t xml:space="preserve">to </w:t>
      </w:r>
      <w:r w:rsidRPr="00990C7F">
        <w:t>solicit applications for an entity to conduct a single statewide adoption analysis not to exceed $1 million dollars</w:t>
      </w:r>
      <w:r>
        <w:t>, if necessary</w:t>
      </w:r>
      <w:r w:rsidRPr="00990C7F">
        <w:t>.</w:t>
      </w:r>
    </w:p>
    <w:p w:rsidR="00617664" w:rsidRDefault="00617664">
      <w:pPr>
        <w:spacing w:line="360" w:lineRule="auto"/>
      </w:pPr>
    </w:p>
    <w:p w:rsidR="00617664" w:rsidRDefault="00617664" w:rsidP="005D315C">
      <w:pPr>
        <w:pStyle w:val="mainex"/>
        <w:keepNext/>
        <w:keepLines/>
      </w:pPr>
      <w:bookmarkStart w:id="62" w:name="_Toc370798915"/>
      <w:bookmarkStart w:id="63" w:name="_Toc450990221"/>
      <w:bookmarkStart w:id="64" w:name="_Toc451151268"/>
      <w:bookmarkStart w:id="65" w:name="_Toc514153024"/>
      <w:bookmarkStart w:id="66" w:name="OLE_LINK1"/>
      <w:bookmarkStart w:id="67" w:name="OLE_LINK2"/>
      <w:r>
        <w:t>ORDER</w:t>
      </w:r>
      <w:bookmarkEnd w:id="62"/>
      <w:bookmarkEnd w:id="63"/>
      <w:bookmarkEnd w:id="64"/>
      <w:bookmarkEnd w:id="65"/>
    </w:p>
    <w:bookmarkEnd w:id="66"/>
    <w:bookmarkEnd w:id="67"/>
    <w:p w:rsidR="00617664" w:rsidRDefault="00617664" w:rsidP="005D315C">
      <w:pPr>
        <w:pStyle w:val="Quote1"/>
        <w:keepNext/>
        <w:keepLines/>
      </w:pPr>
    </w:p>
    <w:p w:rsidR="00617664" w:rsidRDefault="00617664">
      <w:pPr>
        <w:pStyle w:val="standard"/>
        <w:keepNext/>
      </w:pPr>
      <w:r>
        <w:rPr>
          <w:b/>
        </w:rPr>
        <w:t>IT IS ORDERED</w:t>
      </w:r>
      <w:r>
        <w:t xml:space="preserve"> that:</w:t>
      </w:r>
    </w:p>
    <w:p w:rsidR="00FE2EBC" w:rsidRDefault="00FE2EBC" w:rsidP="00B93DB0">
      <w:pPr>
        <w:pStyle w:val="standard"/>
        <w:numPr>
          <w:ilvl w:val="0"/>
          <w:numId w:val="3"/>
        </w:numPr>
        <w:ind w:firstLine="360"/>
      </w:pPr>
      <w:r w:rsidRPr="0073232A">
        <w:t>The programmatic changes to the California Advanced Services Fund program</w:t>
      </w:r>
      <w:r w:rsidRPr="0073232A" w:rsidDel="00736B95">
        <w:t xml:space="preserve"> </w:t>
      </w:r>
      <w:r w:rsidRPr="0073232A">
        <w:t>as set forth in Appendix 1 (</w:t>
      </w:r>
      <w:r w:rsidR="00F42E2B">
        <w:t xml:space="preserve">Broadband </w:t>
      </w:r>
      <w:r w:rsidRPr="0073232A">
        <w:t>Adoption Account Application Requirements and Guidelines), Appendix 2 (</w:t>
      </w:r>
      <w:r w:rsidR="00F42E2B">
        <w:t xml:space="preserve">Broadband </w:t>
      </w:r>
      <w:r w:rsidRPr="0073232A">
        <w:t>Public Housing Account Revised Application Requirements and Guidelines)</w:t>
      </w:r>
      <w:r w:rsidR="006B1A47">
        <w:t>,</w:t>
      </w:r>
      <w:r w:rsidRPr="0073232A">
        <w:t xml:space="preserve"> and </w:t>
      </w:r>
      <w:r w:rsidR="006B1A47">
        <w:t xml:space="preserve">Appendix </w:t>
      </w:r>
      <w:r w:rsidRPr="0073232A">
        <w:t>3 (</w:t>
      </w:r>
      <w:r w:rsidR="00F42E2B">
        <w:t xml:space="preserve">Broadband Revolving Loan Account </w:t>
      </w:r>
      <w:r w:rsidRPr="0073232A">
        <w:t>Treatment of Existing Loans and Pending Loan Applications</w:t>
      </w:r>
      <w:r w:rsidR="00805646">
        <w:t>)</w:t>
      </w:r>
      <w:r w:rsidRPr="0073232A">
        <w:t xml:space="preserve"> attached here</w:t>
      </w:r>
      <w:r w:rsidR="00E1646E">
        <w:t>to</w:t>
      </w:r>
      <w:r w:rsidRPr="0073232A">
        <w:t xml:space="preserve"> are hereby adopted.</w:t>
      </w:r>
    </w:p>
    <w:p w:rsidR="00AA5BA4" w:rsidRDefault="00FE2EBC" w:rsidP="00B93DB0">
      <w:pPr>
        <w:pStyle w:val="standard"/>
        <w:numPr>
          <w:ilvl w:val="0"/>
          <w:numId w:val="3"/>
        </w:numPr>
        <w:ind w:firstLine="360"/>
      </w:pPr>
      <w:r>
        <w:t xml:space="preserve">All </w:t>
      </w:r>
      <w:r w:rsidR="006B1A47">
        <w:t>e</w:t>
      </w:r>
      <w:r w:rsidR="006B1A47" w:rsidRPr="00B2169D">
        <w:t xml:space="preserve">ligible </w:t>
      </w:r>
      <w:r w:rsidRPr="00B2169D">
        <w:t xml:space="preserve">applicants are authorized to </w:t>
      </w:r>
      <w:r>
        <w:t xml:space="preserve">begin </w:t>
      </w:r>
      <w:r w:rsidRPr="00B2169D">
        <w:t xml:space="preserve">submitting applications for </w:t>
      </w:r>
      <w:r>
        <w:t xml:space="preserve">the </w:t>
      </w:r>
      <w:r w:rsidRPr="00B2169D">
        <w:t>California Advanced Services Fund program</w:t>
      </w:r>
      <w:r w:rsidRPr="00B2169D" w:rsidDel="00736B95">
        <w:t xml:space="preserve"> </w:t>
      </w:r>
      <w:r>
        <w:t xml:space="preserve">Broadband </w:t>
      </w:r>
      <w:r w:rsidRPr="00B2169D">
        <w:t>Adoption Account</w:t>
      </w:r>
      <w:r>
        <w:t xml:space="preserve"> </w:t>
      </w:r>
      <w:r>
        <w:lastRenderedPageBreak/>
        <w:t>and Broadband Public Housing Account</w:t>
      </w:r>
      <w:r w:rsidRPr="00B2169D">
        <w:t xml:space="preserve"> Application </w:t>
      </w:r>
      <w:r>
        <w:t xml:space="preserve">as </w:t>
      </w:r>
      <w:r w:rsidR="005C53A8">
        <w:t>set forth in Appendi</w:t>
      </w:r>
      <w:r w:rsidR="00675253">
        <w:t>c</w:t>
      </w:r>
      <w:r w:rsidR="005C53A8">
        <w:t>es </w:t>
      </w:r>
      <w:r w:rsidRPr="00B2169D">
        <w:t xml:space="preserve">1 </w:t>
      </w:r>
      <w:r>
        <w:t xml:space="preserve">and </w:t>
      </w:r>
      <w:r w:rsidRPr="00B2169D">
        <w:t>2</w:t>
      </w:r>
      <w:r w:rsidR="00E41D5E">
        <w:t>.</w:t>
      </w:r>
    </w:p>
    <w:p w:rsidR="00FE2EBC" w:rsidRDefault="003070AA" w:rsidP="00B93DB0">
      <w:pPr>
        <w:pStyle w:val="standard"/>
        <w:numPr>
          <w:ilvl w:val="0"/>
          <w:numId w:val="3"/>
        </w:numPr>
        <w:ind w:firstLine="360"/>
      </w:pPr>
      <w:r>
        <w:t xml:space="preserve">The </w:t>
      </w:r>
      <w:r w:rsidR="00142D6D">
        <w:t xml:space="preserve">deadline </w:t>
      </w:r>
      <w:r>
        <w:t xml:space="preserve">to file applications </w:t>
      </w:r>
      <w:r w:rsidR="00142D6D">
        <w:t xml:space="preserve">for </w:t>
      </w:r>
      <w:r w:rsidR="006843BC">
        <w:t xml:space="preserve">the first round of </w:t>
      </w:r>
      <w:r>
        <w:t xml:space="preserve">the </w:t>
      </w:r>
      <w:r w:rsidRPr="003070AA">
        <w:t xml:space="preserve">California Advanced Services Fund </w:t>
      </w:r>
      <w:r>
        <w:t xml:space="preserve">Broadband </w:t>
      </w:r>
      <w:r w:rsidR="00AA5BA4">
        <w:t xml:space="preserve">Adoption Account </w:t>
      </w:r>
      <w:r>
        <w:t xml:space="preserve">is </w:t>
      </w:r>
      <w:r w:rsidR="00142D6D">
        <w:t>August 31, 2018</w:t>
      </w:r>
      <w:r w:rsidR="006B1A47">
        <w:t>.</w:t>
      </w:r>
    </w:p>
    <w:p w:rsidR="003060CD" w:rsidRDefault="002752C2" w:rsidP="003060CD">
      <w:pPr>
        <w:pStyle w:val="standard"/>
        <w:numPr>
          <w:ilvl w:val="0"/>
          <w:numId w:val="3"/>
        </w:numPr>
        <w:ind w:firstLine="360"/>
      </w:pPr>
      <w:r>
        <w:t xml:space="preserve">Commission Communications Division </w:t>
      </w:r>
      <w:r w:rsidR="003060CD">
        <w:t xml:space="preserve">Staff </w:t>
      </w:r>
      <w:r>
        <w:t>sh</w:t>
      </w:r>
      <w:r w:rsidR="00990C7F">
        <w:t>all</w:t>
      </w:r>
      <w:r>
        <w:t xml:space="preserve"> develop and implement a </w:t>
      </w:r>
      <w:r w:rsidR="003060CD">
        <w:t>non</w:t>
      </w:r>
      <w:r w:rsidR="00B34BCE">
        <w:noBreakHyphen/>
      </w:r>
      <w:r w:rsidR="003060CD">
        <w:t xml:space="preserve">disclosure agreement for grant recipients </w:t>
      </w:r>
      <w:r w:rsidR="00DE6733">
        <w:t xml:space="preserve">from the </w:t>
      </w:r>
      <w:r w:rsidR="00DE6733" w:rsidRPr="00DE6733">
        <w:t>California Advanced Services Fund program</w:t>
      </w:r>
      <w:r w:rsidR="00DE6733" w:rsidRPr="00DE6733" w:rsidDel="00736B95">
        <w:t xml:space="preserve"> </w:t>
      </w:r>
      <w:r w:rsidR="00DE6733" w:rsidRPr="00DE6733">
        <w:t xml:space="preserve">Broadband Adoption Account and Broadband Public Housing Account </w:t>
      </w:r>
      <w:r w:rsidR="003060CD">
        <w:t>to obtain subscription</w:t>
      </w:r>
      <w:r w:rsidR="00E771BE">
        <w:t>/enrollment</w:t>
      </w:r>
      <w:r w:rsidR="003060CD">
        <w:t xml:space="preserve"> data from </w:t>
      </w:r>
      <w:r w:rsidR="00990C7F">
        <w:t>Internet Service Providers</w:t>
      </w:r>
      <w:r w:rsidR="003060CD">
        <w:t>.</w:t>
      </w:r>
    </w:p>
    <w:p w:rsidR="00990C7F" w:rsidRDefault="00DE6733" w:rsidP="00AE60DE">
      <w:pPr>
        <w:pStyle w:val="standard"/>
        <w:numPr>
          <w:ilvl w:val="0"/>
          <w:numId w:val="3"/>
        </w:numPr>
        <w:ind w:firstLine="426"/>
      </w:pPr>
      <w:r w:rsidRPr="00DE6733">
        <w:t xml:space="preserve">Commission Communications Division </w:t>
      </w:r>
      <w:r w:rsidR="00990C7F" w:rsidRPr="00DE6733">
        <w:t xml:space="preserve">Staff </w:t>
      </w:r>
      <w:r w:rsidR="00990C7F">
        <w:t>shall</w:t>
      </w:r>
      <w:r>
        <w:t xml:space="preserve"> </w:t>
      </w:r>
      <w:r w:rsidR="00990C7F" w:rsidRPr="00990C7F">
        <w:t xml:space="preserve">conduct a baseline </w:t>
      </w:r>
      <w:r w:rsidR="00990C7F">
        <w:t xml:space="preserve">broadband </w:t>
      </w:r>
      <w:r w:rsidR="00990C7F" w:rsidRPr="00990C7F">
        <w:t xml:space="preserve">adoption analysis and </w:t>
      </w:r>
      <w:r w:rsidR="00990C7F">
        <w:t xml:space="preserve">broadband adoption </w:t>
      </w:r>
      <w:r w:rsidR="00990C7F" w:rsidRPr="00990C7F">
        <w:t>gap analysis by at least statewide average, consortia region, and county</w:t>
      </w:r>
      <w:r w:rsidR="00777631">
        <w:t xml:space="preserve"> within one year of the adoption of this decision.</w:t>
      </w:r>
      <w:r w:rsidR="00990C7F" w:rsidRPr="00990C7F">
        <w:t xml:space="preserve">  </w:t>
      </w:r>
      <w:r w:rsidR="00990C7F">
        <w:t xml:space="preserve">Commission Communications Division </w:t>
      </w:r>
      <w:r w:rsidR="00990C7F" w:rsidRPr="00990C7F">
        <w:t>Staff sh</w:t>
      </w:r>
      <w:r w:rsidR="00990C7F">
        <w:t>all consider</w:t>
      </w:r>
      <w:r w:rsidR="00990C7F" w:rsidRPr="00990C7F">
        <w:t xml:space="preserve"> </w:t>
      </w:r>
      <w:r w:rsidR="00990C7F">
        <w:t>if</w:t>
      </w:r>
      <w:r w:rsidR="00990C7F" w:rsidRPr="00990C7F">
        <w:t xml:space="preserve"> this analysis can and should include other demographic barriers to adoption such as age, speaking a primary language other than English, income, and education and any other relevant factors</w:t>
      </w:r>
      <w:r w:rsidR="00B60E7B" w:rsidRPr="00B60E7B">
        <w:t xml:space="preserve"> </w:t>
      </w:r>
      <w:r w:rsidR="00B60E7B">
        <w:t>and to t</w:t>
      </w:r>
      <w:r w:rsidR="00B60E7B" w:rsidRPr="00B60E7B">
        <w:t xml:space="preserve">he extent feasible, the analysis </w:t>
      </w:r>
      <w:r w:rsidR="00B60E7B">
        <w:t>shall</w:t>
      </w:r>
      <w:r w:rsidR="00B60E7B" w:rsidRPr="00B60E7B">
        <w:t xml:space="preserve"> make available subscription and adoption data in disaggregated ranges less than 20</w:t>
      </w:r>
      <w:r w:rsidR="00B60E7B">
        <w:t>%.</w:t>
      </w:r>
    </w:p>
    <w:p w:rsidR="0040510A" w:rsidRDefault="00990C7F">
      <w:pPr>
        <w:pStyle w:val="standard"/>
        <w:numPr>
          <w:ilvl w:val="0"/>
          <w:numId w:val="3"/>
        </w:numPr>
        <w:ind w:firstLine="360"/>
      </w:pPr>
      <w:r>
        <w:t>Commission Communications Division S</w:t>
      </w:r>
      <w:r w:rsidR="00A2729F" w:rsidRPr="00A2729F">
        <w:t xml:space="preserve">taff may solicit applications for an </w:t>
      </w:r>
      <w:r w:rsidR="00A21D4C">
        <w:t xml:space="preserve">external </w:t>
      </w:r>
      <w:r w:rsidR="00A2729F" w:rsidRPr="00A2729F">
        <w:t xml:space="preserve">entity to conduct a single statewide </w:t>
      </w:r>
      <w:r>
        <w:t xml:space="preserve">broadband </w:t>
      </w:r>
      <w:r w:rsidR="00A2729F" w:rsidRPr="00A2729F">
        <w:t>adoption analysis not to exceed $1 million dollars.</w:t>
      </w:r>
    </w:p>
    <w:p w:rsidR="00FE2EBC" w:rsidRDefault="00FE2EBC" w:rsidP="00B93DB0">
      <w:pPr>
        <w:pStyle w:val="standard"/>
        <w:numPr>
          <w:ilvl w:val="0"/>
          <w:numId w:val="3"/>
        </w:numPr>
        <w:ind w:firstLine="360"/>
      </w:pPr>
      <w:r>
        <w:t xml:space="preserve">The remaining issues in this proceeding including </w:t>
      </w:r>
      <w:r w:rsidRPr="001453EE">
        <w:t>Broadband Infrastructure, Line Extension and Rural and Urban Regional Broadband Consortia Grant Account issues</w:t>
      </w:r>
      <w:r>
        <w:t xml:space="preserve"> will be addressed in </w:t>
      </w:r>
      <w:r w:rsidRPr="001453EE">
        <w:t xml:space="preserve">Phase II </w:t>
      </w:r>
      <w:r>
        <w:t>of this proceeding.</w:t>
      </w:r>
    </w:p>
    <w:p w:rsidR="00FE2EBC" w:rsidRDefault="00587E63" w:rsidP="007B76A7">
      <w:pPr>
        <w:pStyle w:val="standard"/>
        <w:keepNext/>
        <w:keepLines/>
        <w:numPr>
          <w:ilvl w:val="0"/>
          <w:numId w:val="3"/>
        </w:numPr>
        <w:ind w:firstLine="360"/>
      </w:pPr>
      <w:r>
        <w:lastRenderedPageBreak/>
        <w:t>Rulemaking 12</w:t>
      </w:r>
      <w:r w:rsidR="00B34BCE">
        <w:noBreakHyphen/>
      </w:r>
      <w:r>
        <w:t>10</w:t>
      </w:r>
      <w:r w:rsidR="00B34BCE">
        <w:noBreakHyphen/>
      </w:r>
      <w:r>
        <w:t>012</w:t>
      </w:r>
      <w:r w:rsidR="00FE2EBC">
        <w:t xml:space="preserve"> remains open.</w:t>
      </w:r>
    </w:p>
    <w:p w:rsidR="00617664" w:rsidRDefault="00617664" w:rsidP="007B76A7">
      <w:pPr>
        <w:pStyle w:val="standard"/>
        <w:keepNext/>
        <w:keepLines/>
      </w:pPr>
      <w:r>
        <w:t>This order is effective today.</w:t>
      </w:r>
    </w:p>
    <w:p w:rsidR="00617664" w:rsidRDefault="00133C0C">
      <w:pPr>
        <w:pStyle w:val="standard"/>
      </w:pPr>
      <w:r>
        <w:t>Dated June 21, 2018</w:t>
      </w:r>
      <w:r w:rsidR="00617664">
        <w:t xml:space="preserve">, at San Francisco, California. </w:t>
      </w:r>
    </w:p>
    <w:p w:rsidR="00133C0C" w:rsidRPr="00FD1B1B" w:rsidRDefault="00133C0C" w:rsidP="001B4CE1">
      <w:pPr>
        <w:pStyle w:val="standard"/>
        <w:keepNext/>
        <w:keepLines/>
        <w:rPr>
          <w:szCs w:val="26"/>
        </w:rPr>
      </w:pPr>
    </w:p>
    <w:tbl>
      <w:tblPr>
        <w:tblW w:w="0" w:type="auto"/>
        <w:tblLook w:val="04A0" w:firstRow="1" w:lastRow="0" w:firstColumn="1" w:lastColumn="0" w:noHBand="0" w:noVBand="1"/>
      </w:tblPr>
      <w:tblGrid>
        <w:gridCol w:w="5148"/>
        <w:gridCol w:w="270"/>
        <w:gridCol w:w="4158"/>
      </w:tblGrid>
      <w:tr w:rsidR="00133C0C" w:rsidRPr="00FD1B1B" w:rsidTr="001B4CE1">
        <w:tc>
          <w:tcPr>
            <w:tcW w:w="5148" w:type="dxa"/>
            <w:shd w:val="clear" w:color="auto" w:fill="auto"/>
          </w:tcPr>
          <w:p w:rsidR="00133C0C" w:rsidRPr="00FD1B1B" w:rsidRDefault="00133C0C" w:rsidP="001B4CE1">
            <w:pPr>
              <w:keepNext/>
              <w:keepLines/>
              <w:rPr>
                <w:rFonts w:cs="Palatino"/>
                <w:szCs w:val="26"/>
              </w:rPr>
            </w:pPr>
          </w:p>
        </w:tc>
        <w:tc>
          <w:tcPr>
            <w:tcW w:w="270" w:type="dxa"/>
            <w:shd w:val="clear" w:color="auto" w:fill="auto"/>
          </w:tcPr>
          <w:p w:rsidR="00133C0C" w:rsidRPr="00FD1B1B" w:rsidRDefault="00133C0C" w:rsidP="001B4CE1">
            <w:pPr>
              <w:keepNext/>
              <w:keepLines/>
              <w:rPr>
                <w:rFonts w:cs="Palatino"/>
                <w:szCs w:val="26"/>
              </w:rPr>
            </w:pPr>
          </w:p>
        </w:tc>
        <w:tc>
          <w:tcPr>
            <w:tcW w:w="4158" w:type="dxa"/>
            <w:shd w:val="clear" w:color="auto" w:fill="auto"/>
          </w:tcPr>
          <w:p w:rsidR="00133C0C" w:rsidRPr="00FD1B1B" w:rsidRDefault="00133C0C" w:rsidP="001B4CE1">
            <w:pPr>
              <w:keepNext/>
              <w:keepLines/>
              <w:ind w:left="72"/>
              <w:rPr>
                <w:rFonts w:cs="Palatino"/>
                <w:szCs w:val="26"/>
              </w:rPr>
            </w:pPr>
            <w:r w:rsidRPr="00FD1B1B">
              <w:rPr>
                <w:rFonts w:cs="Palatino"/>
                <w:szCs w:val="26"/>
              </w:rPr>
              <w:t>MICHAEL PICKER</w:t>
            </w:r>
          </w:p>
          <w:p w:rsidR="00133C0C" w:rsidRPr="00FD1B1B" w:rsidRDefault="00133C0C" w:rsidP="001B4CE1">
            <w:pPr>
              <w:keepNext/>
              <w:keepLines/>
              <w:ind w:left="72"/>
              <w:rPr>
                <w:rFonts w:cs="Palatino"/>
                <w:szCs w:val="26"/>
              </w:rPr>
            </w:pPr>
            <w:r w:rsidRPr="00FD1B1B">
              <w:rPr>
                <w:rFonts w:cs="Palatino"/>
                <w:szCs w:val="26"/>
              </w:rPr>
              <w:t xml:space="preserve">      </w:t>
            </w:r>
            <w:r w:rsidRPr="00FD1B1B">
              <w:rPr>
                <w:rFonts w:cs="Palatino"/>
                <w:sz w:val="20"/>
                <w:szCs w:val="26"/>
              </w:rPr>
              <w:t xml:space="preserve"> </w:t>
            </w:r>
            <w:r w:rsidRPr="00FD1B1B">
              <w:rPr>
                <w:rFonts w:cs="Palatino"/>
                <w:szCs w:val="26"/>
              </w:rPr>
              <w:t xml:space="preserve">        </w:t>
            </w:r>
            <w:r w:rsidRPr="00FD1B1B">
              <w:rPr>
                <w:rFonts w:cs="Palatino"/>
                <w:sz w:val="24"/>
                <w:szCs w:val="26"/>
              </w:rPr>
              <w:t xml:space="preserve"> </w:t>
            </w:r>
            <w:r w:rsidRPr="00FD1B1B">
              <w:rPr>
                <w:rFonts w:cs="Palatino"/>
                <w:szCs w:val="26"/>
              </w:rPr>
              <w:t xml:space="preserve"> </w:t>
            </w:r>
            <w:r w:rsidRPr="00FD1B1B">
              <w:rPr>
                <w:rFonts w:cs="Palatino"/>
                <w:sz w:val="24"/>
                <w:szCs w:val="26"/>
              </w:rPr>
              <w:t xml:space="preserve"> </w:t>
            </w:r>
            <w:r w:rsidRPr="00FD1B1B">
              <w:rPr>
                <w:rFonts w:cs="Palatino"/>
                <w:szCs w:val="26"/>
              </w:rPr>
              <w:t xml:space="preserve"> President</w:t>
            </w:r>
          </w:p>
          <w:p w:rsidR="00133C0C" w:rsidRPr="00FD1B1B" w:rsidRDefault="00133C0C" w:rsidP="001B4CE1">
            <w:pPr>
              <w:keepNext/>
              <w:keepLines/>
              <w:ind w:left="72"/>
              <w:rPr>
                <w:rFonts w:cs="Courier New"/>
                <w:szCs w:val="26"/>
              </w:rPr>
            </w:pPr>
            <w:r w:rsidRPr="00FD1B1B">
              <w:rPr>
                <w:rFonts w:cs="Courier New"/>
                <w:szCs w:val="26"/>
              </w:rPr>
              <w:t>CARLA J. PETERMAN</w:t>
            </w:r>
          </w:p>
          <w:p w:rsidR="00133C0C" w:rsidRPr="00FD1B1B" w:rsidRDefault="00133C0C" w:rsidP="001B4CE1">
            <w:pPr>
              <w:keepNext/>
              <w:keepLines/>
              <w:ind w:left="72"/>
              <w:rPr>
                <w:rFonts w:cs="Courier New"/>
                <w:szCs w:val="26"/>
              </w:rPr>
            </w:pPr>
            <w:r w:rsidRPr="00FD1B1B">
              <w:rPr>
                <w:rFonts w:cs="Courier New"/>
                <w:szCs w:val="26"/>
              </w:rPr>
              <w:t>LIANE M. RANDOLPH</w:t>
            </w:r>
          </w:p>
          <w:p w:rsidR="00133C0C" w:rsidRPr="00FD1B1B" w:rsidRDefault="00133C0C" w:rsidP="001B4CE1">
            <w:pPr>
              <w:keepNext/>
              <w:keepLines/>
              <w:ind w:left="72"/>
              <w:rPr>
                <w:rFonts w:cs="Courier New"/>
                <w:szCs w:val="26"/>
              </w:rPr>
            </w:pPr>
            <w:r w:rsidRPr="00FD1B1B">
              <w:rPr>
                <w:rFonts w:cs="Courier New"/>
                <w:szCs w:val="26"/>
              </w:rPr>
              <w:t>MARTHA GUZMAN ACEVES</w:t>
            </w:r>
          </w:p>
          <w:p w:rsidR="00133C0C" w:rsidRPr="00FD1B1B" w:rsidRDefault="00133C0C" w:rsidP="001B4CE1">
            <w:pPr>
              <w:keepNext/>
              <w:keepLines/>
              <w:ind w:left="72"/>
              <w:rPr>
                <w:rFonts w:cs="Courier New"/>
                <w:szCs w:val="26"/>
              </w:rPr>
            </w:pPr>
            <w:r w:rsidRPr="00FD1B1B">
              <w:rPr>
                <w:rFonts w:cs="Courier New"/>
                <w:szCs w:val="26"/>
              </w:rPr>
              <w:t>CLIFFORD RECHTSCHAFFEN</w:t>
            </w:r>
          </w:p>
          <w:p w:rsidR="00133C0C" w:rsidRPr="00FD1B1B" w:rsidRDefault="00133C0C" w:rsidP="001B4CE1">
            <w:pPr>
              <w:keepNext/>
              <w:keepLines/>
              <w:ind w:left="72"/>
            </w:pPr>
            <w:r w:rsidRPr="00FD1B1B">
              <w:t xml:space="preserve">            </w:t>
            </w:r>
            <w:r w:rsidRPr="00FD1B1B">
              <w:rPr>
                <w:sz w:val="22"/>
              </w:rPr>
              <w:t xml:space="preserve"> </w:t>
            </w:r>
            <w:r w:rsidRPr="00FD1B1B">
              <w:t xml:space="preserve">              </w:t>
            </w:r>
            <w:r w:rsidRPr="00FD1B1B">
              <w:rPr>
                <w:sz w:val="32"/>
              </w:rPr>
              <w:t xml:space="preserve"> </w:t>
            </w:r>
            <w:r w:rsidRPr="00FD1B1B">
              <w:rPr>
                <w:sz w:val="24"/>
              </w:rPr>
              <w:t xml:space="preserve"> </w:t>
            </w:r>
            <w:r w:rsidRPr="00FD1B1B">
              <w:t>Commissioners</w:t>
            </w:r>
          </w:p>
        </w:tc>
      </w:tr>
    </w:tbl>
    <w:p w:rsidR="00133C0C" w:rsidRPr="00FD1B1B" w:rsidRDefault="00133C0C" w:rsidP="001B4CE1">
      <w:pPr>
        <w:pStyle w:val="standard"/>
        <w:rPr>
          <w:sz w:val="10"/>
          <w:szCs w:val="26"/>
        </w:rPr>
      </w:pPr>
      <w:r w:rsidRPr="00FD1B1B">
        <w:rPr>
          <w:sz w:val="10"/>
          <w:szCs w:val="26"/>
        </w:rPr>
        <w:t xml:space="preserve"> </w:t>
      </w:r>
    </w:p>
    <w:p w:rsidR="00617664" w:rsidRDefault="00617664">
      <w:pPr>
        <w:pStyle w:val="main"/>
      </w:pPr>
    </w:p>
    <w:p w:rsidR="00C610C7" w:rsidRDefault="00C610C7" w:rsidP="00DB5FD5">
      <w:pPr>
        <w:sectPr w:rsidR="00C610C7" w:rsidSect="00FD0A64">
          <w:headerReference w:type="default" r:id="rId15"/>
          <w:footerReference w:type="first" r:id="rId16"/>
          <w:footnotePr>
            <w:numRestart w:val="eachSect"/>
          </w:footnotePr>
          <w:pgSz w:w="12240" w:h="15840" w:code="1"/>
          <w:pgMar w:top="1728" w:right="1440" w:bottom="1440" w:left="1440" w:header="720" w:footer="720" w:gutter="0"/>
          <w:pgNumType w:start="2"/>
          <w:cols w:space="720"/>
          <w:titlePg/>
        </w:sectPr>
      </w:pPr>
    </w:p>
    <w:p w:rsidR="00016A82" w:rsidRDefault="00016A82" w:rsidP="00016A82">
      <w:pPr>
        <w:keepNext/>
        <w:keepLines/>
        <w:jc w:val="center"/>
      </w:pPr>
      <w:bookmarkStart w:id="68" w:name="_Toc372208405"/>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Pr="0043698B" w:rsidRDefault="00016A82" w:rsidP="00016A82">
      <w:pPr>
        <w:keepNext/>
        <w:keepLines/>
        <w:jc w:val="center"/>
        <w:rPr>
          <w:b/>
          <w:sz w:val="64"/>
          <w:szCs w:val="72"/>
        </w:rPr>
      </w:pPr>
      <w:r w:rsidRPr="0043698B">
        <w:rPr>
          <w:b/>
          <w:sz w:val="64"/>
          <w:szCs w:val="72"/>
        </w:rPr>
        <w:t xml:space="preserve">Appendix </w:t>
      </w:r>
      <w:r>
        <w:rPr>
          <w:b/>
          <w:sz w:val="64"/>
          <w:szCs w:val="72"/>
        </w:rPr>
        <w:t>1</w:t>
      </w:r>
    </w:p>
    <w:p w:rsidR="00016A82" w:rsidRDefault="00016A82" w:rsidP="00016A82">
      <w:pPr>
        <w:jc w:val="center"/>
        <w:rPr>
          <w:b/>
        </w:rPr>
      </w:pPr>
    </w:p>
    <w:p w:rsidR="00016A82" w:rsidRDefault="00016A82" w:rsidP="00016A82">
      <w:pPr>
        <w:jc w:val="center"/>
        <w:rPr>
          <w:b/>
        </w:rPr>
      </w:pPr>
    </w:p>
    <w:p w:rsidR="00016A82" w:rsidRDefault="00016A82" w:rsidP="00016A82">
      <w:pPr>
        <w:jc w:val="center"/>
        <w:rPr>
          <w:b/>
        </w:rPr>
      </w:pPr>
    </w:p>
    <w:p w:rsidR="00016A82" w:rsidRDefault="00016A82" w:rsidP="00016A82">
      <w:pPr>
        <w:jc w:val="center"/>
        <w:rPr>
          <w:b/>
        </w:rPr>
      </w:pPr>
    </w:p>
    <w:p w:rsidR="0080429F" w:rsidRDefault="0080429F">
      <w:pPr>
        <w:rPr>
          <w:b/>
        </w:rPr>
      </w:pPr>
      <w:r>
        <w:rPr>
          <w:b/>
        </w:rPr>
        <w:br w:type="page"/>
      </w:r>
    </w:p>
    <w:p w:rsidR="00016A82" w:rsidRDefault="00016A82" w:rsidP="00016A82">
      <w:pPr>
        <w:jc w:val="center"/>
        <w:rPr>
          <w:b/>
        </w:rPr>
        <w:sectPr w:rsidR="00016A82" w:rsidSect="0080429F">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code="1"/>
          <w:pgMar w:top="1728" w:right="1440" w:bottom="1440" w:left="1440" w:header="720" w:footer="720" w:gutter="0"/>
          <w:pgNumType w:start="1"/>
          <w:cols w:space="720"/>
          <w:titlePg/>
        </w:sectPr>
      </w:pPr>
    </w:p>
    <w:p w:rsidR="00C610C7" w:rsidRPr="00AF35A5" w:rsidRDefault="00C610C7" w:rsidP="00C610C7">
      <w:pPr>
        <w:jc w:val="center"/>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lastRenderedPageBreak/>
        <w:t>APPENDIX 1</w:t>
      </w:r>
    </w:p>
    <w:p w:rsidR="00C610C7" w:rsidRPr="00AF35A5" w:rsidRDefault="00C610C7" w:rsidP="00C610C7">
      <w:pPr>
        <w:jc w:val="center"/>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 xml:space="preserve">Broadband Adoption Account </w:t>
      </w:r>
    </w:p>
    <w:p w:rsidR="00C610C7" w:rsidRPr="00AF35A5" w:rsidRDefault="00C610C7" w:rsidP="00C610C7">
      <w:pPr>
        <w:jc w:val="center"/>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Application Requirements and Guidelines</w:t>
      </w:r>
    </w:p>
    <w:p w:rsidR="00C610C7" w:rsidRPr="00AF35A5" w:rsidRDefault="00C610C7" w:rsidP="00C610C7">
      <w:pPr>
        <w:rPr>
          <w:rFonts w:ascii="Palatino Linotype" w:hAnsi="Palatino Linotype"/>
          <w:color w:val="000000" w:themeColor="text1"/>
          <w:sz w:val="24"/>
          <w:szCs w:val="24"/>
        </w:rPr>
      </w:pPr>
      <w:bookmarkStart w:id="69" w:name="_Toc505695019"/>
      <w:bookmarkStart w:id="70" w:name="_Toc505695071"/>
      <w:bookmarkEnd w:id="69"/>
      <w:bookmarkEnd w:id="70"/>
    </w:p>
    <w:p w:rsidR="00C610C7" w:rsidRPr="00AF35A5" w:rsidRDefault="00C610C7" w:rsidP="009A00FB">
      <w:pPr>
        <w:pStyle w:val="Heading2"/>
        <w:numPr>
          <w:ilvl w:val="1"/>
          <w:numId w:val="35"/>
        </w:numPr>
      </w:pPr>
      <w:bookmarkStart w:id="71" w:name="_Toc505695284"/>
      <w:bookmarkStart w:id="72" w:name="_Toc505695337"/>
      <w:bookmarkStart w:id="73" w:name="_Toc505695391"/>
      <w:bookmarkStart w:id="74" w:name="_Toc505695445"/>
      <w:bookmarkStart w:id="75" w:name="_Toc505695495"/>
      <w:bookmarkStart w:id="76" w:name="_Toc505695545"/>
      <w:bookmarkStart w:id="77" w:name="_Toc505695596"/>
      <w:bookmarkStart w:id="78" w:name="_Toc505695643"/>
      <w:bookmarkStart w:id="79" w:name="_Toc505695696"/>
      <w:bookmarkStart w:id="80" w:name="_Toc505695743"/>
      <w:bookmarkStart w:id="81" w:name="_Toc505695790"/>
      <w:bookmarkStart w:id="82" w:name="_Toc505695838"/>
      <w:bookmarkStart w:id="83" w:name="_Toc505695887"/>
      <w:bookmarkStart w:id="84" w:name="_Toc505695937"/>
      <w:bookmarkStart w:id="85" w:name="_Toc505696043"/>
      <w:bookmarkStart w:id="86" w:name="_Toc505691312"/>
      <w:bookmarkStart w:id="87" w:name="_Toc505691366"/>
      <w:bookmarkStart w:id="88" w:name="_Toc505691426"/>
      <w:bookmarkStart w:id="89" w:name="_Toc505691614"/>
      <w:bookmarkStart w:id="90" w:name="_Toc505691668"/>
      <w:bookmarkStart w:id="91" w:name="_Toc505691722"/>
      <w:bookmarkStart w:id="92" w:name="_Toc505691782"/>
      <w:bookmarkStart w:id="93" w:name="_Toc505691830"/>
      <w:bookmarkStart w:id="94" w:name="_Toc505693982"/>
      <w:bookmarkStart w:id="95" w:name="_Toc505694034"/>
      <w:bookmarkStart w:id="96" w:name="_Toc505694138"/>
      <w:bookmarkStart w:id="97" w:name="_Toc505694192"/>
      <w:bookmarkStart w:id="98" w:name="_Toc505694245"/>
      <w:bookmarkStart w:id="99" w:name="_Toc505694309"/>
      <w:bookmarkStart w:id="100" w:name="_Toc505694367"/>
      <w:bookmarkStart w:id="101" w:name="_Toc505694425"/>
      <w:bookmarkStart w:id="102" w:name="_Toc505694483"/>
      <w:bookmarkStart w:id="103" w:name="_Toc505694535"/>
      <w:bookmarkStart w:id="104" w:name="_Toc505694587"/>
      <w:bookmarkStart w:id="105" w:name="_Toc505694690"/>
      <w:bookmarkStart w:id="106" w:name="_Toc505694742"/>
      <w:bookmarkStart w:id="107" w:name="_Toc505694794"/>
      <w:bookmarkStart w:id="108" w:name="_Toc505694852"/>
      <w:bookmarkStart w:id="109" w:name="_Toc505694916"/>
      <w:bookmarkStart w:id="110" w:name="_Toc505694968"/>
      <w:bookmarkStart w:id="111" w:name="_Toc505695020"/>
      <w:bookmarkStart w:id="112" w:name="_Toc505695072"/>
      <w:bookmarkStart w:id="113" w:name="_Toc505695124"/>
      <w:bookmarkStart w:id="114" w:name="_Toc505695176"/>
      <w:bookmarkStart w:id="115" w:name="_Toc505695229"/>
      <w:bookmarkStart w:id="116" w:name="_Toc505695285"/>
      <w:bookmarkStart w:id="117" w:name="_Toc505695338"/>
      <w:bookmarkStart w:id="118" w:name="_Toc505695392"/>
      <w:bookmarkStart w:id="119" w:name="_Toc505695446"/>
      <w:bookmarkStart w:id="120" w:name="_Toc505695496"/>
      <w:bookmarkStart w:id="121" w:name="_Toc505695546"/>
      <w:bookmarkStart w:id="122" w:name="_Toc505695597"/>
      <w:bookmarkStart w:id="123" w:name="_Toc505695644"/>
      <w:bookmarkStart w:id="124" w:name="_Toc505695697"/>
      <w:bookmarkStart w:id="125" w:name="_Toc505695744"/>
      <w:bookmarkStart w:id="126" w:name="_Toc505695791"/>
      <w:bookmarkStart w:id="127" w:name="_Toc505695839"/>
      <w:bookmarkStart w:id="128" w:name="_Toc505695888"/>
      <w:bookmarkStart w:id="129" w:name="_Toc505695938"/>
      <w:bookmarkStart w:id="130" w:name="_Toc505696044"/>
      <w:bookmarkStart w:id="131" w:name="_Toc505691313"/>
      <w:bookmarkStart w:id="132" w:name="_Toc505691367"/>
      <w:bookmarkStart w:id="133" w:name="_Toc505691427"/>
      <w:bookmarkStart w:id="134" w:name="_Toc505691615"/>
      <w:bookmarkStart w:id="135" w:name="_Toc505691669"/>
      <w:bookmarkStart w:id="136" w:name="_Toc505691723"/>
      <w:bookmarkStart w:id="137" w:name="_Toc505691783"/>
      <w:bookmarkStart w:id="138" w:name="_Toc505691831"/>
      <w:bookmarkStart w:id="139" w:name="_Toc505693983"/>
      <w:bookmarkStart w:id="140" w:name="_Toc505694035"/>
      <w:bookmarkStart w:id="141" w:name="_Toc505694139"/>
      <w:bookmarkStart w:id="142" w:name="_Toc505694193"/>
      <w:bookmarkStart w:id="143" w:name="_Toc505694246"/>
      <w:bookmarkStart w:id="144" w:name="_Toc505694310"/>
      <w:bookmarkStart w:id="145" w:name="_Toc505694368"/>
      <w:bookmarkStart w:id="146" w:name="_Toc505694426"/>
      <w:bookmarkStart w:id="147" w:name="_Toc505694484"/>
      <w:bookmarkStart w:id="148" w:name="_Toc505694536"/>
      <w:bookmarkStart w:id="149" w:name="_Toc505694588"/>
      <w:bookmarkStart w:id="150" w:name="_Toc505694639"/>
      <w:bookmarkStart w:id="151" w:name="_Toc505694691"/>
      <w:bookmarkStart w:id="152" w:name="_Toc505694743"/>
      <w:bookmarkStart w:id="153" w:name="_Toc505694795"/>
      <w:bookmarkStart w:id="154" w:name="_Toc505694853"/>
      <w:bookmarkStart w:id="155" w:name="_Toc505694917"/>
      <w:bookmarkStart w:id="156" w:name="_Toc505694969"/>
      <w:bookmarkStart w:id="157" w:name="_Toc505695021"/>
      <w:bookmarkStart w:id="158" w:name="_Toc505695073"/>
      <w:bookmarkStart w:id="159" w:name="_Toc505695125"/>
      <w:bookmarkStart w:id="160" w:name="_Toc505695177"/>
      <w:bookmarkStart w:id="161" w:name="_Toc505695230"/>
      <w:bookmarkStart w:id="162" w:name="_Toc505695286"/>
      <w:bookmarkStart w:id="163" w:name="_Toc505695339"/>
      <w:bookmarkStart w:id="164" w:name="_Toc505695393"/>
      <w:bookmarkStart w:id="165" w:name="_Toc505695447"/>
      <w:bookmarkStart w:id="166" w:name="_Toc505695497"/>
      <w:bookmarkStart w:id="167" w:name="_Toc505695547"/>
      <w:bookmarkStart w:id="168" w:name="_Toc505695598"/>
      <w:bookmarkStart w:id="169" w:name="_Toc505695645"/>
      <w:bookmarkStart w:id="170" w:name="_Toc505695698"/>
      <w:bookmarkStart w:id="171" w:name="_Toc505695745"/>
      <w:bookmarkStart w:id="172" w:name="_Toc505695792"/>
      <w:bookmarkStart w:id="173" w:name="_Toc505695840"/>
      <w:bookmarkStart w:id="174" w:name="_Toc505695889"/>
      <w:bookmarkStart w:id="175" w:name="_Toc505695939"/>
      <w:bookmarkStart w:id="176" w:name="_Toc505696045"/>
      <w:bookmarkStart w:id="177" w:name="_Toc505691314"/>
      <w:bookmarkStart w:id="178" w:name="_Toc505691368"/>
      <w:bookmarkStart w:id="179" w:name="_Toc505691428"/>
      <w:bookmarkStart w:id="180" w:name="_Toc505691616"/>
      <w:bookmarkStart w:id="181" w:name="_Toc505691670"/>
      <w:bookmarkStart w:id="182" w:name="_Toc505691724"/>
      <w:bookmarkStart w:id="183" w:name="_Toc505691784"/>
      <w:bookmarkStart w:id="184" w:name="_Toc505691832"/>
      <w:bookmarkStart w:id="185" w:name="_Toc505693984"/>
      <w:bookmarkStart w:id="186" w:name="_Toc505694036"/>
      <w:bookmarkStart w:id="187" w:name="_Toc505694140"/>
      <w:bookmarkStart w:id="188" w:name="_Toc505694194"/>
      <w:bookmarkStart w:id="189" w:name="_Toc505694247"/>
      <w:bookmarkStart w:id="190" w:name="_Toc505694311"/>
      <w:bookmarkStart w:id="191" w:name="_Toc505694369"/>
      <w:bookmarkStart w:id="192" w:name="_Toc505694427"/>
      <w:bookmarkStart w:id="193" w:name="_Toc505694485"/>
      <w:bookmarkStart w:id="194" w:name="_Toc505694537"/>
      <w:bookmarkStart w:id="195" w:name="_Toc505694589"/>
      <w:bookmarkStart w:id="196" w:name="_Toc505694640"/>
      <w:bookmarkStart w:id="197" w:name="_Toc505694692"/>
      <w:bookmarkStart w:id="198" w:name="_Toc505694744"/>
      <w:bookmarkStart w:id="199" w:name="_Toc505694796"/>
      <w:bookmarkStart w:id="200" w:name="_Toc505694854"/>
      <w:bookmarkStart w:id="201" w:name="_Toc505694918"/>
      <w:bookmarkStart w:id="202" w:name="_Toc505694970"/>
      <w:bookmarkStart w:id="203" w:name="_Toc505695022"/>
      <w:bookmarkStart w:id="204" w:name="_Toc505695074"/>
      <w:bookmarkStart w:id="205" w:name="_Toc505695126"/>
      <w:bookmarkStart w:id="206" w:name="_Toc505695178"/>
      <w:bookmarkStart w:id="207" w:name="_Toc505695231"/>
      <w:bookmarkStart w:id="208" w:name="_Toc505695287"/>
      <w:bookmarkStart w:id="209" w:name="_Toc505695340"/>
      <w:bookmarkStart w:id="210" w:name="_Toc505695394"/>
      <w:bookmarkStart w:id="211" w:name="_Toc505695448"/>
      <w:bookmarkStart w:id="212" w:name="_Toc505695498"/>
      <w:bookmarkStart w:id="213" w:name="_Toc505695548"/>
      <w:bookmarkStart w:id="214" w:name="_Toc505695599"/>
      <w:bookmarkStart w:id="215" w:name="_Toc505695646"/>
      <w:bookmarkStart w:id="216" w:name="_Toc505695699"/>
      <w:bookmarkStart w:id="217" w:name="_Toc505695746"/>
      <w:bookmarkStart w:id="218" w:name="_Toc505695793"/>
      <w:bookmarkStart w:id="219" w:name="_Toc505695841"/>
      <w:bookmarkStart w:id="220" w:name="_Toc505695890"/>
      <w:bookmarkStart w:id="221" w:name="_Toc505695940"/>
      <w:bookmarkStart w:id="222" w:name="_Toc505696046"/>
      <w:bookmarkStart w:id="223" w:name="_Toc505691315"/>
      <w:bookmarkStart w:id="224" w:name="_Toc505691369"/>
      <w:bookmarkStart w:id="225" w:name="_Toc505691429"/>
      <w:bookmarkStart w:id="226" w:name="_Toc505691617"/>
      <w:bookmarkStart w:id="227" w:name="_Toc505691671"/>
      <w:bookmarkStart w:id="228" w:name="_Toc505691725"/>
      <w:bookmarkStart w:id="229" w:name="_Toc505691785"/>
      <w:bookmarkStart w:id="230" w:name="_Toc505691833"/>
      <w:bookmarkStart w:id="231" w:name="_Toc505693985"/>
      <w:bookmarkStart w:id="232" w:name="_Toc505694037"/>
      <w:bookmarkStart w:id="233" w:name="_Toc505694141"/>
      <w:bookmarkStart w:id="234" w:name="_Toc505694195"/>
      <w:bookmarkStart w:id="235" w:name="_Toc505694248"/>
      <w:bookmarkStart w:id="236" w:name="_Toc505694312"/>
      <w:bookmarkStart w:id="237" w:name="_Toc505694370"/>
      <w:bookmarkStart w:id="238" w:name="_Toc505694428"/>
      <w:bookmarkStart w:id="239" w:name="_Toc505694486"/>
      <w:bookmarkStart w:id="240" w:name="_Toc505694538"/>
      <w:bookmarkStart w:id="241" w:name="_Toc505694590"/>
      <w:bookmarkStart w:id="242" w:name="_Toc505694641"/>
      <w:bookmarkStart w:id="243" w:name="_Toc505694693"/>
      <w:bookmarkStart w:id="244" w:name="_Toc505694745"/>
      <w:bookmarkStart w:id="245" w:name="_Toc505694797"/>
      <w:bookmarkStart w:id="246" w:name="_Toc505694855"/>
      <w:bookmarkStart w:id="247" w:name="_Toc505694919"/>
      <w:bookmarkStart w:id="248" w:name="_Toc505694971"/>
      <w:bookmarkStart w:id="249" w:name="_Toc505695023"/>
      <w:bookmarkStart w:id="250" w:name="_Toc505695075"/>
      <w:bookmarkStart w:id="251" w:name="_Toc505695127"/>
      <w:bookmarkStart w:id="252" w:name="_Toc505695179"/>
      <w:bookmarkStart w:id="253" w:name="_Toc505695232"/>
      <w:bookmarkStart w:id="254" w:name="_Toc505695288"/>
      <w:bookmarkStart w:id="255" w:name="_Toc505695341"/>
      <w:bookmarkStart w:id="256" w:name="_Toc505695395"/>
      <w:bookmarkStart w:id="257" w:name="_Toc505695449"/>
      <w:bookmarkStart w:id="258" w:name="_Toc505695499"/>
      <w:bookmarkStart w:id="259" w:name="_Toc505695549"/>
      <w:bookmarkStart w:id="260" w:name="_Toc505695600"/>
      <w:bookmarkStart w:id="261" w:name="_Toc505695647"/>
      <w:bookmarkStart w:id="262" w:name="_Toc505695700"/>
      <w:bookmarkStart w:id="263" w:name="_Toc505695747"/>
      <w:bookmarkStart w:id="264" w:name="_Toc505695794"/>
      <w:bookmarkStart w:id="265" w:name="_Toc505695842"/>
      <w:bookmarkStart w:id="266" w:name="_Toc505695891"/>
      <w:bookmarkStart w:id="267" w:name="_Toc505695941"/>
      <w:bookmarkStart w:id="268" w:name="_Toc505696047"/>
      <w:bookmarkStart w:id="269" w:name="_Toc505691316"/>
      <w:bookmarkStart w:id="270" w:name="_Toc505691370"/>
      <w:bookmarkStart w:id="271" w:name="_Toc505691430"/>
      <w:bookmarkStart w:id="272" w:name="_Toc505691618"/>
      <w:bookmarkStart w:id="273" w:name="_Toc505691672"/>
      <w:bookmarkStart w:id="274" w:name="_Toc505691726"/>
      <w:bookmarkStart w:id="275" w:name="_Toc505691786"/>
      <w:bookmarkStart w:id="276" w:name="_Toc505691834"/>
      <w:bookmarkStart w:id="277" w:name="_Toc505693986"/>
      <w:bookmarkStart w:id="278" w:name="_Toc505694038"/>
      <w:bookmarkStart w:id="279" w:name="_Toc505694142"/>
      <w:bookmarkStart w:id="280" w:name="_Toc505694196"/>
      <w:bookmarkStart w:id="281" w:name="_Toc505694249"/>
      <w:bookmarkStart w:id="282" w:name="_Toc505694313"/>
      <w:bookmarkStart w:id="283" w:name="_Toc505694371"/>
      <w:bookmarkStart w:id="284" w:name="_Toc505694429"/>
      <w:bookmarkStart w:id="285" w:name="_Toc505694487"/>
      <w:bookmarkStart w:id="286" w:name="_Toc505694539"/>
      <w:bookmarkStart w:id="287" w:name="_Toc505694591"/>
      <w:bookmarkStart w:id="288" w:name="_Toc505694642"/>
      <w:bookmarkStart w:id="289" w:name="_Toc505694694"/>
      <w:bookmarkStart w:id="290" w:name="_Toc505694746"/>
      <w:bookmarkStart w:id="291" w:name="_Toc505694798"/>
      <w:bookmarkStart w:id="292" w:name="_Toc505694856"/>
      <w:bookmarkStart w:id="293" w:name="_Toc505694920"/>
      <w:bookmarkStart w:id="294" w:name="_Toc505694972"/>
      <w:bookmarkStart w:id="295" w:name="_Toc505695024"/>
      <w:bookmarkStart w:id="296" w:name="_Toc505695076"/>
      <w:bookmarkStart w:id="297" w:name="_Toc505695128"/>
      <w:bookmarkStart w:id="298" w:name="_Toc505695180"/>
      <w:bookmarkStart w:id="299" w:name="_Toc505695233"/>
      <w:bookmarkStart w:id="300" w:name="_Toc505695289"/>
      <w:bookmarkStart w:id="301" w:name="_Toc505695342"/>
      <w:bookmarkStart w:id="302" w:name="_Toc505695396"/>
      <w:bookmarkStart w:id="303" w:name="_Toc505695450"/>
      <w:bookmarkStart w:id="304" w:name="_Toc505695500"/>
      <w:bookmarkStart w:id="305" w:name="_Toc505695550"/>
      <w:bookmarkStart w:id="306" w:name="_Toc505695601"/>
      <w:bookmarkStart w:id="307" w:name="_Toc505695648"/>
      <w:bookmarkStart w:id="308" w:name="_Toc505695701"/>
      <w:bookmarkStart w:id="309" w:name="_Toc505695748"/>
      <w:bookmarkStart w:id="310" w:name="_Toc505695795"/>
      <w:bookmarkStart w:id="311" w:name="_Toc505695843"/>
      <w:bookmarkStart w:id="312" w:name="_Toc505695892"/>
      <w:bookmarkStart w:id="313" w:name="_Toc505695942"/>
      <w:bookmarkStart w:id="314" w:name="_Toc505696048"/>
      <w:bookmarkStart w:id="315" w:name="_Toc505691317"/>
      <w:bookmarkStart w:id="316" w:name="_Toc505691371"/>
      <w:bookmarkStart w:id="317" w:name="_Toc505691431"/>
      <w:bookmarkStart w:id="318" w:name="_Toc505691619"/>
      <w:bookmarkStart w:id="319" w:name="_Toc505691673"/>
      <w:bookmarkStart w:id="320" w:name="_Toc505691727"/>
      <w:bookmarkStart w:id="321" w:name="_Toc505691787"/>
      <w:bookmarkStart w:id="322" w:name="_Toc505691835"/>
      <w:bookmarkStart w:id="323" w:name="_Toc505693987"/>
      <w:bookmarkStart w:id="324" w:name="_Toc505694039"/>
      <w:bookmarkStart w:id="325" w:name="_Toc505694143"/>
      <w:bookmarkStart w:id="326" w:name="_Toc505694197"/>
      <w:bookmarkStart w:id="327" w:name="_Toc505694250"/>
      <w:bookmarkStart w:id="328" w:name="_Toc505694314"/>
      <w:bookmarkStart w:id="329" w:name="_Toc505694372"/>
      <w:bookmarkStart w:id="330" w:name="_Toc505694430"/>
      <w:bookmarkStart w:id="331" w:name="_Toc505694488"/>
      <w:bookmarkStart w:id="332" w:name="_Toc505694540"/>
      <w:bookmarkStart w:id="333" w:name="_Toc505694592"/>
      <w:bookmarkStart w:id="334" w:name="_Toc505694643"/>
      <w:bookmarkStart w:id="335" w:name="_Toc505694695"/>
      <w:bookmarkStart w:id="336" w:name="_Toc505694747"/>
      <w:bookmarkStart w:id="337" w:name="_Toc505694799"/>
      <w:bookmarkStart w:id="338" w:name="_Toc505694857"/>
      <w:bookmarkStart w:id="339" w:name="_Toc505694921"/>
      <w:bookmarkStart w:id="340" w:name="_Toc505694973"/>
      <w:bookmarkStart w:id="341" w:name="_Toc505695025"/>
      <w:bookmarkStart w:id="342" w:name="_Toc505695077"/>
      <w:bookmarkStart w:id="343" w:name="_Toc505695129"/>
      <w:bookmarkStart w:id="344" w:name="_Toc505695181"/>
      <w:bookmarkStart w:id="345" w:name="_Toc505695234"/>
      <w:bookmarkStart w:id="346" w:name="_Toc505695290"/>
      <w:bookmarkStart w:id="347" w:name="_Toc505695343"/>
      <w:bookmarkStart w:id="348" w:name="_Toc505695397"/>
      <w:bookmarkStart w:id="349" w:name="_Toc505695451"/>
      <w:bookmarkStart w:id="350" w:name="_Toc505695501"/>
      <w:bookmarkStart w:id="351" w:name="_Toc505695551"/>
      <w:bookmarkStart w:id="352" w:name="_Toc505695602"/>
      <w:bookmarkStart w:id="353" w:name="_Toc505695649"/>
      <w:bookmarkStart w:id="354" w:name="_Toc505695702"/>
      <w:bookmarkStart w:id="355" w:name="_Toc505695749"/>
      <w:bookmarkStart w:id="356" w:name="_Toc505695796"/>
      <w:bookmarkStart w:id="357" w:name="_Toc505695844"/>
      <w:bookmarkStart w:id="358" w:name="_Toc505695893"/>
      <w:bookmarkStart w:id="359" w:name="_Toc505695943"/>
      <w:bookmarkStart w:id="360" w:name="_Toc505696049"/>
      <w:bookmarkStart w:id="361" w:name="_Toc505691318"/>
      <w:bookmarkStart w:id="362" w:name="_Toc505691372"/>
      <w:bookmarkStart w:id="363" w:name="_Toc505691432"/>
      <w:bookmarkStart w:id="364" w:name="_Toc505691620"/>
      <w:bookmarkStart w:id="365" w:name="_Toc505691674"/>
      <w:bookmarkStart w:id="366" w:name="_Toc505691728"/>
      <w:bookmarkStart w:id="367" w:name="_Toc505691788"/>
      <w:bookmarkStart w:id="368" w:name="_Toc505691836"/>
      <w:bookmarkStart w:id="369" w:name="_Toc505693988"/>
      <w:bookmarkStart w:id="370" w:name="_Toc505694040"/>
      <w:bookmarkStart w:id="371" w:name="_Toc505694144"/>
      <w:bookmarkStart w:id="372" w:name="_Toc505694198"/>
      <w:bookmarkStart w:id="373" w:name="_Toc505694251"/>
      <w:bookmarkStart w:id="374" w:name="_Toc505694315"/>
      <w:bookmarkStart w:id="375" w:name="_Toc505694373"/>
      <w:bookmarkStart w:id="376" w:name="_Toc505694431"/>
      <w:bookmarkStart w:id="377" w:name="_Toc505694489"/>
      <w:bookmarkStart w:id="378" w:name="_Toc505694541"/>
      <w:bookmarkStart w:id="379" w:name="_Toc505694593"/>
      <w:bookmarkStart w:id="380" w:name="_Toc505694644"/>
      <w:bookmarkStart w:id="381" w:name="_Toc505694696"/>
      <w:bookmarkStart w:id="382" w:name="_Toc505694748"/>
      <w:bookmarkStart w:id="383" w:name="_Toc505694800"/>
      <w:bookmarkStart w:id="384" w:name="_Toc505694858"/>
      <w:bookmarkStart w:id="385" w:name="_Toc505694922"/>
      <w:bookmarkStart w:id="386" w:name="_Toc505694974"/>
      <w:bookmarkStart w:id="387" w:name="_Toc505695026"/>
      <w:bookmarkStart w:id="388" w:name="_Toc505695078"/>
      <w:bookmarkStart w:id="389" w:name="_Toc505695130"/>
      <w:bookmarkStart w:id="390" w:name="_Toc505695182"/>
      <w:bookmarkStart w:id="391" w:name="_Toc505695235"/>
      <w:bookmarkStart w:id="392" w:name="_Toc505695291"/>
      <w:bookmarkStart w:id="393" w:name="_Toc505695344"/>
      <w:bookmarkStart w:id="394" w:name="_Toc505695398"/>
      <w:bookmarkStart w:id="395" w:name="_Toc505695452"/>
      <w:bookmarkStart w:id="396" w:name="_Toc505695502"/>
      <w:bookmarkStart w:id="397" w:name="_Toc505695552"/>
      <w:bookmarkStart w:id="398" w:name="_Toc505695603"/>
      <w:bookmarkStart w:id="399" w:name="_Toc505695650"/>
      <w:bookmarkStart w:id="400" w:name="_Toc505695703"/>
      <w:bookmarkStart w:id="401" w:name="_Toc505695750"/>
      <w:bookmarkStart w:id="402" w:name="_Toc505695797"/>
      <w:bookmarkStart w:id="403" w:name="_Toc505695845"/>
      <w:bookmarkStart w:id="404" w:name="_Toc505695894"/>
      <w:bookmarkStart w:id="405" w:name="_Toc505695944"/>
      <w:bookmarkStart w:id="406" w:name="_Toc505696050"/>
      <w:bookmarkStart w:id="407" w:name="_Toc505691319"/>
      <w:bookmarkStart w:id="408" w:name="_Toc505691373"/>
      <w:bookmarkStart w:id="409" w:name="_Toc505691433"/>
      <w:bookmarkStart w:id="410" w:name="_Toc505691621"/>
      <w:bookmarkStart w:id="411" w:name="_Toc505691675"/>
      <w:bookmarkStart w:id="412" w:name="_Toc505691729"/>
      <w:bookmarkStart w:id="413" w:name="_Toc505691789"/>
      <w:bookmarkStart w:id="414" w:name="_Toc505691837"/>
      <w:bookmarkStart w:id="415" w:name="_Toc505693989"/>
      <w:bookmarkStart w:id="416" w:name="_Toc505694041"/>
      <w:bookmarkStart w:id="417" w:name="_Toc505694145"/>
      <w:bookmarkStart w:id="418" w:name="_Toc505694199"/>
      <w:bookmarkStart w:id="419" w:name="_Toc505694252"/>
      <w:bookmarkStart w:id="420" w:name="_Toc505694316"/>
      <w:bookmarkStart w:id="421" w:name="_Toc505694374"/>
      <w:bookmarkStart w:id="422" w:name="_Toc505694432"/>
      <w:bookmarkStart w:id="423" w:name="_Toc505694490"/>
      <w:bookmarkStart w:id="424" w:name="_Toc505694542"/>
      <w:bookmarkStart w:id="425" w:name="_Toc505694594"/>
      <w:bookmarkStart w:id="426" w:name="_Toc505694645"/>
      <w:bookmarkStart w:id="427" w:name="_Toc505694697"/>
      <w:bookmarkStart w:id="428" w:name="_Toc505694749"/>
      <w:bookmarkStart w:id="429" w:name="_Toc505694801"/>
      <w:bookmarkStart w:id="430" w:name="_Toc505694859"/>
      <w:bookmarkStart w:id="431" w:name="_Toc505694923"/>
      <w:bookmarkStart w:id="432" w:name="_Toc505694975"/>
      <w:bookmarkStart w:id="433" w:name="_Toc505695027"/>
      <w:bookmarkStart w:id="434" w:name="_Toc505695079"/>
      <w:bookmarkStart w:id="435" w:name="_Toc505695131"/>
      <w:bookmarkStart w:id="436" w:name="_Toc505695183"/>
      <w:bookmarkStart w:id="437" w:name="_Toc505695236"/>
      <w:bookmarkStart w:id="438" w:name="_Toc505695292"/>
      <w:bookmarkStart w:id="439" w:name="_Toc505695345"/>
      <w:bookmarkStart w:id="440" w:name="_Toc505695399"/>
      <w:bookmarkStart w:id="441" w:name="_Toc505695453"/>
      <w:bookmarkStart w:id="442" w:name="_Toc505695503"/>
      <w:bookmarkStart w:id="443" w:name="_Toc505695553"/>
      <w:bookmarkStart w:id="444" w:name="_Toc505695604"/>
      <w:bookmarkStart w:id="445" w:name="_Toc505695651"/>
      <w:bookmarkStart w:id="446" w:name="_Toc505695704"/>
      <w:bookmarkStart w:id="447" w:name="_Toc505695751"/>
      <w:bookmarkStart w:id="448" w:name="_Toc505695798"/>
      <w:bookmarkStart w:id="449" w:name="_Toc505695846"/>
      <w:bookmarkStart w:id="450" w:name="_Toc505695895"/>
      <w:bookmarkStart w:id="451" w:name="_Toc505695945"/>
      <w:bookmarkStart w:id="452" w:name="_Toc505696051"/>
      <w:bookmarkStart w:id="453" w:name="_Toc505691320"/>
      <w:bookmarkStart w:id="454" w:name="_Toc505691374"/>
      <w:bookmarkStart w:id="455" w:name="_Toc505691434"/>
      <w:bookmarkStart w:id="456" w:name="_Toc505691622"/>
      <w:bookmarkStart w:id="457" w:name="_Toc505691676"/>
      <w:bookmarkStart w:id="458" w:name="_Toc505691730"/>
      <w:bookmarkStart w:id="459" w:name="_Toc505691790"/>
      <w:bookmarkStart w:id="460" w:name="_Toc505691838"/>
      <w:bookmarkStart w:id="461" w:name="_Toc505693990"/>
      <w:bookmarkStart w:id="462" w:name="_Toc505694042"/>
      <w:bookmarkStart w:id="463" w:name="_Toc505694146"/>
      <w:bookmarkStart w:id="464" w:name="_Toc505694200"/>
      <w:bookmarkStart w:id="465" w:name="_Toc505694253"/>
      <w:bookmarkStart w:id="466" w:name="_Toc505694317"/>
      <w:bookmarkStart w:id="467" w:name="_Toc505694375"/>
      <w:bookmarkStart w:id="468" w:name="_Toc505694433"/>
      <w:bookmarkStart w:id="469" w:name="_Toc505694491"/>
      <w:bookmarkStart w:id="470" w:name="_Toc505694543"/>
      <w:bookmarkStart w:id="471" w:name="_Toc505694595"/>
      <w:bookmarkStart w:id="472" w:name="_Toc505694646"/>
      <w:bookmarkStart w:id="473" w:name="_Toc505694698"/>
      <w:bookmarkStart w:id="474" w:name="_Toc505694750"/>
      <w:bookmarkStart w:id="475" w:name="_Toc505694802"/>
      <w:bookmarkStart w:id="476" w:name="_Toc505694860"/>
      <w:bookmarkStart w:id="477" w:name="_Toc505694924"/>
      <w:bookmarkStart w:id="478" w:name="_Toc505694976"/>
      <w:bookmarkStart w:id="479" w:name="_Toc505695028"/>
      <w:bookmarkStart w:id="480" w:name="_Toc505695080"/>
      <w:bookmarkStart w:id="481" w:name="_Toc505695132"/>
      <w:bookmarkStart w:id="482" w:name="_Toc505695184"/>
      <w:bookmarkStart w:id="483" w:name="_Toc505695237"/>
      <w:bookmarkStart w:id="484" w:name="_Toc505695293"/>
      <w:bookmarkStart w:id="485" w:name="_Toc505695346"/>
      <w:bookmarkStart w:id="486" w:name="_Toc505695400"/>
      <w:bookmarkStart w:id="487" w:name="_Toc505695454"/>
      <w:bookmarkStart w:id="488" w:name="_Toc505695504"/>
      <w:bookmarkStart w:id="489" w:name="_Toc505695554"/>
      <w:bookmarkStart w:id="490" w:name="_Toc505695605"/>
      <w:bookmarkStart w:id="491" w:name="_Toc505695652"/>
      <w:bookmarkStart w:id="492" w:name="_Toc505695705"/>
      <w:bookmarkStart w:id="493" w:name="_Toc505695752"/>
      <w:bookmarkStart w:id="494" w:name="_Toc505695799"/>
      <w:bookmarkStart w:id="495" w:name="_Toc505695847"/>
      <w:bookmarkStart w:id="496" w:name="_Toc505695896"/>
      <w:bookmarkStart w:id="497" w:name="_Toc505695946"/>
      <w:bookmarkStart w:id="498" w:name="_Toc505696052"/>
      <w:bookmarkStart w:id="499" w:name="_Toc505691321"/>
      <w:bookmarkStart w:id="500" w:name="_Toc505691375"/>
      <w:bookmarkStart w:id="501" w:name="_Toc505691435"/>
      <w:bookmarkStart w:id="502" w:name="_Toc505691623"/>
      <w:bookmarkStart w:id="503" w:name="_Toc505691677"/>
      <w:bookmarkStart w:id="504" w:name="_Toc505691731"/>
      <w:bookmarkStart w:id="505" w:name="_Toc505691791"/>
      <w:bookmarkStart w:id="506" w:name="_Toc505691839"/>
      <w:bookmarkStart w:id="507" w:name="_Toc505693991"/>
      <w:bookmarkStart w:id="508" w:name="_Toc505694043"/>
      <w:bookmarkStart w:id="509" w:name="_Toc505694147"/>
      <w:bookmarkStart w:id="510" w:name="_Toc505694201"/>
      <w:bookmarkStart w:id="511" w:name="_Toc505694254"/>
      <w:bookmarkStart w:id="512" w:name="_Toc505694318"/>
      <w:bookmarkStart w:id="513" w:name="_Toc505694376"/>
      <w:bookmarkStart w:id="514" w:name="_Toc505694434"/>
      <w:bookmarkStart w:id="515" w:name="_Toc505694492"/>
      <w:bookmarkStart w:id="516" w:name="_Toc505694544"/>
      <w:bookmarkStart w:id="517" w:name="_Toc505694596"/>
      <w:bookmarkStart w:id="518" w:name="_Toc505694647"/>
      <w:bookmarkStart w:id="519" w:name="_Toc505694699"/>
      <w:bookmarkStart w:id="520" w:name="_Toc505694751"/>
      <w:bookmarkStart w:id="521" w:name="_Toc505694803"/>
      <w:bookmarkStart w:id="522" w:name="_Toc505694861"/>
      <w:bookmarkStart w:id="523" w:name="_Toc505694925"/>
      <w:bookmarkStart w:id="524" w:name="_Toc505694977"/>
      <w:bookmarkStart w:id="525" w:name="_Toc505695029"/>
      <w:bookmarkStart w:id="526" w:name="_Toc505695081"/>
      <w:bookmarkStart w:id="527" w:name="_Toc505695133"/>
      <w:bookmarkStart w:id="528" w:name="_Toc505695185"/>
      <w:bookmarkStart w:id="529" w:name="_Toc505695238"/>
      <w:bookmarkStart w:id="530" w:name="_Toc505695294"/>
      <w:bookmarkStart w:id="531" w:name="_Toc505695347"/>
      <w:bookmarkStart w:id="532" w:name="_Toc505695401"/>
      <w:bookmarkStart w:id="533" w:name="_Toc505695455"/>
      <w:bookmarkStart w:id="534" w:name="_Toc505695505"/>
      <w:bookmarkStart w:id="535" w:name="_Toc505695555"/>
      <w:bookmarkStart w:id="536" w:name="_Toc505695606"/>
      <w:bookmarkStart w:id="537" w:name="_Toc505695653"/>
      <w:bookmarkStart w:id="538" w:name="_Toc505695706"/>
      <w:bookmarkStart w:id="539" w:name="_Toc505695753"/>
      <w:bookmarkStart w:id="540" w:name="_Toc505695800"/>
      <w:bookmarkStart w:id="541" w:name="_Toc505695848"/>
      <w:bookmarkStart w:id="542" w:name="_Toc505695897"/>
      <w:bookmarkStart w:id="543" w:name="_Toc505695947"/>
      <w:bookmarkStart w:id="544" w:name="_Toc505696053"/>
      <w:bookmarkStart w:id="545" w:name="_Toc505691322"/>
      <w:bookmarkStart w:id="546" w:name="_Toc505691376"/>
      <w:bookmarkStart w:id="547" w:name="_Toc505691436"/>
      <w:bookmarkStart w:id="548" w:name="_Toc505691624"/>
      <w:bookmarkStart w:id="549" w:name="_Toc505691678"/>
      <w:bookmarkStart w:id="550" w:name="_Toc505691732"/>
      <w:bookmarkStart w:id="551" w:name="_Toc505691792"/>
      <w:bookmarkStart w:id="552" w:name="_Toc505691840"/>
      <w:bookmarkStart w:id="553" w:name="_Toc505693992"/>
      <w:bookmarkStart w:id="554" w:name="_Toc505694044"/>
      <w:bookmarkStart w:id="555" w:name="_Toc505694148"/>
      <w:bookmarkStart w:id="556" w:name="_Toc505694202"/>
      <w:bookmarkStart w:id="557" w:name="_Toc505694255"/>
      <w:bookmarkStart w:id="558" w:name="_Toc505694319"/>
      <w:bookmarkStart w:id="559" w:name="_Toc505694377"/>
      <w:bookmarkStart w:id="560" w:name="_Toc505694435"/>
      <w:bookmarkStart w:id="561" w:name="_Toc505694493"/>
      <w:bookmarkStart w:id="562" w:name="_Toc505694545"/>
      <w:bookmarkStart w:id="563" w:name="_Toc505694597"/>
      <w:bookmarkStart w:id="564" w:name="_Toc505694648"/>
      <w:bookmarkStart w:id="565" w:name="_Toc505694700"/>
      <w:bookmarkStart w:id="566" w:name="_Toc505694752"/>
      <w:bookmarkStart w:id="567" w:name="_Toc505694804"/>
      <w:bookmarkStart w:id="568" w:name="_Toc505694862"/>
      <w:bookmarkStart w:id="569" w:name="_Toc505694926"/>
      <w:bookmarkStart w:id="570" w:name="_Toc505694978"/>
      <w:bookmarkStart w:id="571" w:name="_Toc505695030"/>
      <w:bookmarkStart w:id="572" w:name="_Toc505695082"/>
      <w:bookmarkStart w:id="573" w:name="_Toc505695134"/>
      <w:bookmarkStart w:id="574" w:name="_Toc505695186"/>
      <w:bookmarkStart w:id="575" w:name="_Toc505695239"/>
      <w:bookmarkStart w:id="576" w:name="_Toc505695295"/>
      <w:bookmarkStart w:id="577" w:name="_Toc505695348"/>
      <w:bookmarkStart w:id="578" w:name="_Toc505695402"/>
      <w:bookmarkStart w:id="579" w:name="_Toc505695456"/>
      <w:bookmarkStart w:id="580" w:name="_Toc505695506"/>
      <w:bookmarkStart w:id="581" w:name="_Toc505695556"/>
      <w:bookmarkStart w:id="582" w:name="_Toc505695607"/>
      <w:bookmarkStart w:id="583" w:name="_Toc505695654"/>
      <w:bookmarkStart w:id="584" w:name="_Toc505695707"/>
      <w:bookmarkStart w:id="585" w:name="_Toc505695754"/>
      <w:bookmarkStart w:id="586" w:name="_Toc505695801"/>
      <w:bookmarkStart w:id="587" w:name="_Toc505695849"/>
      <w:bookmarkStart w:id="588" w:name="_Toc505695898"/>
      <w:bookmarkStart w:id="589" w:name="_Toc505695948"/>
      <w:bookmarkStart w:id="590" w:name="_Toc505696054"/>
      <w:bookmarkStart w:id="591" w:name="_Toc505695135"/>
      <w:bookmarkStart w:id="592" w:name="_Toc505695187"/>
      <w:bookmarkStart w:id="593" w:name="_Toc505695240"/>
      <w:bookmarkStart w:id="594" w:name="_Toc505695296"/>
      <w:bookmarkStart w:id="595" w:name="_Toc505695349"/>
      <w:bookmarkStart w:id="596" w:name="_Toc505695403"/>
      <w:bookmarkStart w:id="597" w:name="_Toc505695457"/>
      <w:bookmarkStart w:id="598" w:name="_Toc505695507"/>
      <w:bookmarkStart w:id="599" w:name="_Toc505695557"/>
      <w:bookmarkStart w:id="600" w:name="_Toc505695608"/>
      <w:bookmarkStart w:id="601" w:name="_Toc505695655"/>
      <w:bookmarkStart w:id="602" w:name="_Toc505695708"/>
      <w:bookmarkStart w:id="603" w:name="_Toc505695755"/>
      <w:bookmarkStart w:id="604" w:name="_Toc505695802"/>
      <w:bookmarkStart w:id="605" w:name="_Toc505695850"/>
      <w:bookmarkStart w:id="606" w:name="_Toc505695899"/>
      <w:bookmarkStart w:id="607" w:name="_Toc505695949"/>
      <w:bookmarkStart w:id="608" w:name="_Toc505696055"/>
      <w:bookmarkStart w:id="609" w:name="_Toc505695297"/>
      <w:bookmarkStart w:id="610" w:name="_Toc505695350"/>
      <w:bookmarkStart w:id="611" w:name="_Toc505695404"/>
      <w:bookmarkStart w:id="612" w:name="_Toc505695458"/>
      <w:bookmarkStart w:id="613" w:name="_Toc505695508"/>
      <w:bookmarkStart w:id="614" w:name="_Toc505695558"/>
      <w:bookmarkStart w:id="615" w:name="_Toc505695609"/>
      <w:bookmarkStart w:id="616" w:name="_Toc505695656"/>
      <w:bookmarkStart w:id="617" w:name="_Toc505695709"/>
      <w:bookmarkStart w:id="618" w:name="_Toc505695756"/>
      <w:bookmarkStart w:id="619" w:name="_Toc505695803"/>
      <w:bookmarkStart w:id="620" w:name="_Toc505695851"/>
      <w:bookmarkStart w:id="621" w:name="_Toc505695900"/>
      <w:bookmarkStart w:id="622" w:name="_Toc505695950"/>
      <w:bookmarkStart w:id="623" w:name="_Toc505696056"/>
      <w:bookmarkStart w:id="624" w:name="_Toc505786730"/>
      <w:bookmarkStart w:id="625" w:name="_Toc514153025"/>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AF35A5">
        <w:t>Background</w:t>
      </w:r>
      <w:bookmarkEnd w:id="624"/>
      <w:bookmarkEnd w:id="625"/>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On October 15, 2017, Governor Brown signed AB 1665, directing the Commission to create the new Broadband Adoption Account within </w:t>
      </w:r>
      <w:r w:rsidR="00BB559C">
        <w:rPr>
          <w:rFonts w:ascii="Palatino Linotype" w:hAnsi="Palatino Linotype"/>
          <w:color w:val="000000" w:themeColor="text1"/>
          <w:sz w:val="24"/>
          <w:szCs w:val="24"/>
        </w:rPr>
        <w:t xml:space="preserve">the </w:t>
      </w:r>
      <w:r w:rsidRPr="00AF35A5">
        <w:rPr>
          <w:rFonts w:ascii="Palatino Linotype" w:hAnsi="Palatino Linotype"/>
          <w:color w:val="000000" w:themeColor="text1"/>
          <w:sz w:val="24"/>
          <w:szCs w:val="24"/>
        </w:rPr>
        <w:t>C</w:t>
      </w:r>
      <w:r w:rsidR="00BB559C">
        <w:rPr>
          <w:rFonts w:ascii="Palatino Linotype" w:hAnsi="Palatino Linotype"/>
          <w:color w:val="000000" w:themeColor="text1"/>
          <w:sz w:val="24"/>
          <w:szCs w:val="24"/>
        </w:rPr>
        <w:t xml:space="preserve">alifornia </w:t>
      </w:r>
      <w:r w:rsidRPr="00AF35A5">
        <w:rPr>
          <w:rFonts w:ascii="Palatino Linotype" w:hAnsi="Palatino Linotype"/>
          <w:color w:val="000000" w:themeColor="text1"/>
          <w:sz w:val="24"/>
          <w:szCs w:val="24"/>
        </w:rPr>
        <w:t>A</w:t>
      </w:r>
      <w:r w:rsidR="00BB559C">
        <w:rPr>
          <w:rFonts w:ascii="Palatino Linotype" w:hAnsi="Palatino Linotype"/>
          <w:color w:val="000000" w:themeColor="text1"/>
          <w:sz w:val="24"/>
          <w:szCs w:val="24"/>
        </w:rPr>
        <w:t xml:space="preserve">dvanced </w:t>
      </w:r>
      <w:r w:rsidRPr="00AF35A5">
        <w:rPr>
          <w:rFonts w:ascii="Palatino Linotype" w:hAnsi="Palatino Linotype"/>
          <w:color w:val="000000" w:themeColor="text1"/>
          <w:sz w:val="24"/>
          <w:szCs w:val="24"/>
        </w:rPr>
        <w:t>S</w:t>
      </w:r>
      <w:r w:rsidR="00BB559C">
        <w:rPr>
          <w:rFonts w:ascii="Palatino Linotype" w:hAnsi="Palatino Linotype"/>
          <w:color w:val="000000" w:themeColor="text1"/>
          <w:sz w:val="24"/>
          <w:szCs w:val="24"/>
        </w:rPr>
        <w:t xml:space="preserve">ervices </w:t>
      </w:r>
      <w:r w:rsidRPr="00AF35A5">
        <w:rPr>
          <w:rFonts w:ascii="Palatino Linotype" w:hAnsi="Palatino Linotype"/>
          <w:color w:val="000000" w:themeColor="text1"/>
          <w:sz w:val="24"/>
          <w:szCs w:val="24"/>
        </w:rPr>
        <w:t>F</w:t>
      </w:r>
      <w:r w:rsidR="00BB559C">
        <w:rPr>
          <w:rFonts w:ascii="Palatino Linotype" w:hAnsi="Palatino Linotype"/>
          <w:color w:val="000000" w:themeColor="text1"/>
          <w:sz w:val="24"/>
          <w:szCs w:val="24"/>
        </w:rPr>
        <w:t>und (CASF)</w:t>
      </w:r>
      <w:r w:rsidRPr="00AF35A5">
        <w:rPr>
          <w:rFonts w:ascii="Palatino Linotype" w:hAnsi="Palatino Linotype"/>
          <w:color w:val="000000" w:themeColor="text1"/>
          <w:sz w:val="24"/>
          <w:szCs w:val="24"/>
        </w:rPr>
        <w:t>.  Moneys in the Broadband Adoption Account are available to the Commission to award grants to increase publicly available or after</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school broadband access and digital inclusion, such as grants for digital literacy training programs and public education to communities with limited broadband adoption, including low</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income communities, senior communities, and communities facing socioeconomic barriers to broadband adoption. Moneys in the Broadband Adoption Account shall not be used to subsidize the costs of providing broadband service to households.</w:t>
      </w:r>
      <w:r w:rsidRPr="00AF35A5">
        <w:rPr>
          <w:rStyle w:val="FootnoteReference"/>
          <w:rFonts w:ascii="Palatino Linotype" w:hAnsi="Palatino Linotype"/>
          <w:color w:val="000000" w:themeColor="text1"/>
          <w:szCs w:val="24"/>
        </w:rPr>
        <w:footnoteReference w:id="87"/>
      </w:r>
      <w:r w:rsidRPr="00AF35A5">
        <w:rPr>
          <w:rFonts w:ascii="Palatino Linotype" w:hAnsi="Palatino Linotype"/>
          <w:color w:val="000000" w:themeColor="text1"/>
          <w:sz w:val="24"/>
          <w:szCs w:val="24"/>
        </w:rPr>
        <w:t xml:space="preserve"> </w:t>
      </w:r>
    </w:p>
    <w:p w:rsidR="00C610C7" w:rsidRPr="00AF35A5" w:rsidRDefault="00C610C7" w:rsidP="00C610C7">
      <w:pPr>
        <w:pStyle w:val="ListParagraph"/>
        <w:ind w:left="360"/>
        <w:rPr>
          <w:rFonts w:ascii="Palatino Linotype" w:hAnsi="Palatino Linotype"/>
          <w:b/>
          <w:color w:val="000000" w:themeColor="text1"/>
          <w:sz w:val="24"/>
          <w:szCs w:val="24"/>
        </w:rPr>
      </w:pPr>
    </w:p>
    <w:p w:rsidR="00C610C7" w:rsidRPr="00AF35A5" w:rsidRDefault="00C610C7" w:rsidP="009A00FB">
      <w:pPr>
        <w:pStyle w:val="Heading2"/>
        <w:numPr>
          <w:ilvl w:val="1"/>
          <w:numId w:val="35"/>
        </w:numPr>
      </w:pPr>
      <w:bookmarkStart w:id="626" w:name="_Toc505786731"/>
      <w:bookmarkStart w:id="627" w:name="_Toc514153026"/>
      <w:r w:rsidRPr="00AF35A5">
        <w:t>Amount Available for Grants</w:t>
      </w:r>
      <w:bookmarkEnd w:id="626"/>
      <w:bookmarkEnd w:id="627"/>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$20 million will be available through the Broadband Adoption Account, although some may be used for publicly supported communities (PSCs) otherwise eligible to submit an application for funding from the Broadband Public Housing Account (BPHA) in the event that all monies in that account are exhausted.  </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No more than $5 million will be awarded in the first application window </w:t>
      </w:r>
      <w:r w:rsidR="00127046">
        <w:rPr>
          <w:rFonts w:ascii="Palatino Linotype" w:hAnsi="Palatino Linotype"/>
          <w:color w:val="000000" w:themeColor="text1"/>
          <w:sz w:val="24"/>
          <w:szCs w:val="24"/>
        </w:rPr>
        <w:t>(July</w:t>
      </w:r>
      <w:r w:rsidR="00B34BCE">
        <w:rPr>
          <w:rFonts w:ascii="Palatino Linotype" w:hAnsi="Palatino Linotype"/>
          <w:color w:val="000000" w:themeColor="text1"/>
          <w:sz w:val="24"/>
          <w:szCs w:val="24"/>
        </w:rPr>
        <w:noBreakHyphen/>
      </w:r>
      <w:r w:rsidR="000F1172">
        <w:rPr>
          <w:rFonts w:ascii="Palatino Linotype" w:hAnsi="Palatino Linotype"/>
          <w:color w:val="000000" w:themeColor="text1"/>
          <w:sz w:val="24"/>
          <w:szCs w:val="24"/>
        </w:rPr>
        <w:t>August 31,</w:t>
      </w:r>
      <w:r w:rsidR="00451B24">
        <w:rPr>
          <w:rFonts w:ascii="Palatino Linotype" w:hAnsi="Palatino Linotype"/>
          <w:color w:val="000000" w:themeColor="text1"/>
          <w:sz w:val="24"/>
          <w:szCs w:val="24"/>
        </w:rPr>
        <w:t xml:space="preserve"> </w:t>
      </w:r>
      <w:r w:rsidR="00127046">
        <w:rPr>
          <w:rFonts w:ascii="Palatino Linotype" w:hAnsi="Palatino Linotype"/>
          <w:color w:val="000000" w:themeColor="text1"/>
          <w:sz w:val="24"/>
          <w:szCs w:val="24"/>
        </w:rPr>
        <w:t xml:space="preserve">2018) </w:t>
      </w:r>
      <w:r w:rsidRPr="00AF35A5">
        <w:rPr>
          <w:rFonts w:ascii="Palatino Linotype" w:hAnsi="Palatino Linotype"/>
          <w:color w:val="000000" w:themeColor="text1"/>
          <w:sz w:val="24"/>
          <w:szCs w:val="24"/>
        </w:rPr>
        <w:t xml:space="preserve">in order to evaluate the effectiveness of the </w:t>
      </w:r>
      <w:r w:rsidR="00593F55">
        <w:rPr>
          <w:rFonts w:ascii="Palatino Linotype" w:hAnsi="Palatino Linotype"/>
          <w:color w:val="000000" w:themeColor="text1"/>
          <w:sz w:val="24"/>
          <w:szCs w:val="24"/>
        </w:rPr>
        <w:t xml:space="preserve">Adoption </w:t>
      </w:r>
      <w:r w:rsidRPr="00AF35A5">
        <w:rPr>
          <w:rFonts w:ascii="Palatino Linotype" w:hAnsi="Palatino Linotype"/>
          <w:color w:val="000000" w:themeColor="text1"/>
          <w:sz w:val="24"/>
          <w:szCs w:val="24"/>
        </w:rPr>
        <w:t>Account, assess demand, and allow continuous improvement with the opportunity to reflect and improve the program.</w:t>
      </w:r>
    </w:p>
    <w:p w:rsidR="00127046" w:rsidRPr="00903571" w:rsidRDefault="00127046" w:rsidP="00B93DB0">
      <w:pPr>
        <w:pStyle w:val="Heading5"/>
        <w:numPr>
          <w:ilvl w:val="4"/>
          <w:numId w:val="35"/>
        </w:numPr>
        <w:spacing w:before="0" w:after="0"/>
        <w:ind w:left="360"/>
        <w:rPr>
          <w:rFonts w:ascii="Palatino Linotype" w:hAnsi="Palatino Linotype"/>
          <w:b w:val="0"/>
          <w:color w:val="000000" w:themeColor="text1"/>
          <w:sz w:val="24"/>
          <w:szCs w:val="24"/>
        </w:rPr>
      </w:pPr>
    </w:p>
    <w:p w:rsidR="00C610C7" w:rsidRPr="00AE60DE" w:rsidRDefault="00C610C7" w:rsidP="009A00FB">
      <w:pPr>
        <w:pStyle w:val="Heading2"/>
        <w:numPr>
          <w:ilvl w:val="1"/>
          <w:numId w:val="35"/>
        </w:numPr>
      </w:pPr>
      <w:bookmarkStart w:id="628" w:name="_Toc514153027"/>
      <w:r w:rsidRPr="00AF35A5">
        <w:lastRenderedPageBreak/>
        <w:t>Preference</w:t>
      </w:r>
      <w:bookmarkEnd w:id="628"/>
    </w:p>
    <w:p w:rsidR="00C610C7" w:rsidRPr="00AF35A5" w:rsidRDefault="00C610C7" w:rsidP="00C610C7">
      <w:pPr>
        <w:ind w:left="360"/>
        <w:rPr>
          <w:rFonts w:ascii="Palatino Linotype" w:hAnsi="Palatino Linotype"/>
          <w:b/>
          <w:color w:val="000000" w:themeColor="text1"/>
          <w:sz w:val="24"/>
          <w:szCs w:val="24"/>
        </w:rPr>
      </w:pPr>
      <w:r w:rsidRPr="00AF35A5">
        <w:rPr>
          <w:rFonts w:ascii="Palatino Linotype" w:hAnsi="Palatino Linotype"/>
          <w:color w:val="000000" w:themeColor="text1"/>
          <w:sz w:val="24"/>
          <w:szCs w:val="24"/>
        </w:rPr>
        <w:t>AB 1665 requires the Commission to give preference to programs in communities with demonstrated low broadband access, including low</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income communities, senior communities, and communities facing socioeconomic barriers to broadband adoption.  </w:t>
      </w:r>
    </w:p>
    <w:p w:rsidR="00C610C7" w:rsidRPr="00AF35A5" w:rsidRDefault="00C610C7" w:rsidP="00C610C7">
      <w:pPr>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Applicants must complete a “Preference Checklist,” and </w:t>
      </w:r>
      <w:r w:rsidR="00A25C52">
        <w:rPr>
          <w:rFonts w:ascii="Palatino Linotype" w:hAnsi="Palatino Linotype"/>
          <w:color w:val="000000" w:themeColor="text1"/>
          <w:sz w:val="24"/>
          <w:szCs w:val="24"/>
        </w:rPr>
        <w:t>the Commission</w:t>
      </w:r>
      <w:r w:rsidR="00A25C52" w:rsidRPr="00AF35A5">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will prioritize projects for funding based on preferences met (e.g. number of preferences checked).</w:t>
      </w:r>
    </w:p>
    <w:p w:rsidR="00C610C7" w:rsidRPr="00AF35A5" w:rsidRDefault="00C610C7" w:rsidP="00C610C7">
      <w:pPr>
        <w:ind w:left="360"/>
        <w:rPr>
          <w:rFonts w:ascii="Palatino Linotype" w:hAnsi="Palatino Linotype"/>
          <w:b/>
          <w:color w:val="000000" w:themeColor="text1"/>
          <w:sz w:val="24"/>
          <w:szCs w:val="24"/>
        </w:rPr>
      </w:pPr>
    </w:p>
    <w:p w:rsidR="00C610C7" w:rsidRPr="00AF35A5" w:rsidRDefault="00C610C7" w:rsidP="009A00FB">
      <w:pPr>
        <w:pStyle w:val="Heading2"/>
        <w:numPr>
          <w:ilvl w:val="1"/>
          <w:numId w:val="35"/>
        </w:numPr>
      </w:pPr>
      <w:bookmarkStart w:id="629" w:name="_Toc505786732"/>
      <w:bookmarkStart w:id="630" w:name="_Toc514153028"/>
      <w:r w:rsidRPr="00AF35A5">
        <w:t>Definitions</w:t>
      </w:r>
      <w:bookmarkEnd w:id="629"/>
      <w:bookmarkEnd w:id="630"/>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“Basic Internet Skills”</w:t>
      </w:r>
      <w:r w:rsidRPr="00AF35A5">
        <w:rPr>
          <w:rStyle w:val="FootnoteReference"/>
          <w:rFonts w:ascii="Palatino Linotype" w:hAnsi="Palatino Linotype"/>
          <w:color w:val="000000" w:themeColor="text1"/>
          <w:szCs w:val="24"/>
        </w:rPr>
        <w:footnoteReference w:id="88"/>
      </w:r>
      <w:r w:rsidRPr="00AF35A5">
        <w:rPr>
          <w:rFonts w:ascii="Palatino Linotype" w:hAnsi="Palatino Linotype"/>
          <w:color w:val="000000" w:themeColor="text1"/>
          <w:sz w:val="24"/>
          <w:szCs w:val="24"/>
        </w:rPr>
        <w:t xml:space="preserve"> </w:t>
      </w:r>
      <w:r w:rsidR="00474BE7">
        <w:rPr>
          <w:rFonts w:ascii="Palatino Linotype" w:hAnsi="Palatino Linotype"/>
          <w:color w:val="000000" w:themeColor="text1"/>
          <w:sz w:val="24"/>
          <w:szCs w:val="24"/>
        </w:rPr>
        <w:t xml:space="preserve">may </w:t>
      </w:r>
      <w:r w:rsidRPr="00AF35A5">
        <w:rPr>
          <w:rFonts w:ascii="Palatino Linotype" w:hAnsi="Palatino Linotype"/>
          <w:color w:val="000000" w:themeColor="text1"/>
          <w:sz w:val="24"/>
          <w:szCs w:val="24"/>
        </w:rPr>
        <w:t xml:space="preserve">include the following: </w:t>
      </w:r>
    </w:p>
    <w:p w:rsidR="00C610C7" w:rsidRPr="00AF35A5" w:rsidRDefault="00C610C7" w:rsidP="00AE60DE">
      <w:pPr>
        <w:pStyle w:val="ListParagraph"/>
        <w:numPr>
          <w:ilvl w:val="0"/>
          <w:numId w:val="41"/>
        </w:numPr>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Computer Basics</w:t>
      </w:r>
    </w:p>
    <w:p w:rsidR="00C610C7" w:rsidRPr="00AF35A5" w:rsidRDefault="00C610C7" w:rsidP="00AE60DE">
      <w:pPr>
        <w:pStyle w:val="ListParagraph"/>
        <w:numPr>
          <w:ilvl w:val="1"/>
          <w:numId w:val="65"/>
        </w:numPr>
        <w:ind w:left="1440"/>
        <w:rPr>
          <w:rFonts w:ascii="Palatino Linotype" w:hAnsi="Palatino Linotype"/>
          <w:color w:val="000000" w:themeColor="text1"/>
          <w:sz w:val="24"/>
          <w:szCs w:val="24"/>
        </w:rPr>
      </w:pPr>
      <w:r w:rsidRPr="00AF35A5">
        <w:rPr>
          <w:rFonts w:ascii="Palatino Linotype" w:hAnsi="Palatino Linotype"/>
          <w:color w:val="000000" w:themeColor="text1"/>
          <w:sz w:val="24"/>
          <w:szCs w:val="24"/>
        </w:rPr>
        <w:t>How to use the mouse and keyboard</w:t>
      </w:r>
    </w:p>
    <w:p w:rsidR="00C610C7" w:rsidRPr="00AF35A5" w:rsidRDefault="00C610C7" w:rsidP="00AE60DE">
      <w:pPr>
        <w:pStyle w:val="ListParagraph"/>
        <w:numPr>
          <w:ilvl w:val="1"/>
          <w:numId w:val="65"/>
        </w:numPr>
        <w:ind w:left="1440"/>
        <w:rPr>
          <w:rFonts w:ascii="Palatino Linotype" w:hAnsi="Palatino Linotype"/>
          <w:color w:val="000000" w:themeColor="text1"/>
          <w:sz w:val="24"/>
          <w:szCs w:val="24"/>
        </w:rPr>
      </w:pPr>
      <w:r w:rsidRPr="00AF35A5">
        <w:rPr>
          <w:rFonts w:ascii="Palatino Linotype" w:hAnsi="Palatino Linotype"/>
          <w:color w:val="000000" w:themeColor="text1"/>
          <w:sz w:val="24"/>
          <w:szCs w:val="24"/>
        </w:rPr>
        <w:t>How to use the operating system and important services such as email</w:t>
      </w:r>
    </w:p>
    <w:p w:rsidR="00C610C7" w:rsidRPr="00AF35A5" w:rsidRDefault="00C610C7" w:rsidP="00AE60DE">
      <w:pPr>
        <w:pStyle w:val="ListParagraph"/>
        <w:numPr>
          <w:ilvl w:val="0"/>
          <w:numId w:val="41"/>
        </w:numPr>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Internet Basics</w:t>
      </w:r>
    </w:p>
    <w:p w:rsidR="00C610C7" w:rsidRPr="00AF35A5" w:rsidRDefault="00C610C7" w:rsidP="00AE60DE">
      <w:pPr>
        <w:pStyle w:val="ListParagraph"/>
        <w:numPr>
          <w:ilvl w:val="0"/>
          <w:numId w:val="66"/>
        </w:numPr>
        <w:ind w:left="1440"/>
        <w:rPr>
          <w:rFonts w:ascii="Palatino Linotype" w:hAnsi="Palatino Linotype"/>
          <w:color w:val="000000" w:themeColor="text1"/>
          <w:sz w:val="24"/>
          <w:szCs w:val="24"/>
        </w:rPr>
      </w:pPr>
      <w:r w:rsidRPr="00AF35A5">
        <w:rPr>
          <w:rFonts w:ascii="Palatino Linotype" w:hAnsi="Palatino Linotype"/>
          <w:color w:val="000000" w:themeColor="text1"/>
          <w:sz w:val="24"/>
          <w:szCs w:val="24"/>
        </w:rPr>
        <w:t>How to use the browser</w:t>
      </w:r>
    </w:p>
    <w:p w:rsidR="00C610C7" w:rsidRPr="00AF35A5" w:rsidRDefault="00C610C7" w:rsidP="00AE60DE">
      <w:pPr>
        <w:pStyle w:val="ListParagraph"/>
        <w:numPr>
          <w:ilvl w:val="0"/>
          <w:numId w:val="66"/>
        </w:numPr>
        <w:ind w:left="1440"/>
        <w:rPr>
          <w:rFonts w:ascii="Palatino Linotype" w:hAnsi="Palatino Linotype"/>
          <w:color w:val="000000" w:themeColor="text1"/>
          <w:sz w:val="24"/>
          <w:szCs w:val="24"/>
        </w:rPr>
      </w:pPr>
      <w:r w:rsidRPr="00AF35A5">
        <w:rPr>
          <w:rFonts w:ascii="Palatino Linotype" w:hAnsi="Palatino Linotype"/>
          <w:color w:val="000000" w:themeColor="text1"/>
          <w:sz w:val="24"/>
          <w:szCs w:val="24"/>
        </w:rPr>
        <w:t>How to search the internet</w:t>
      </w:r>
    </w:p>
    <w:p w:rsidR="00C610C7" w:rsidRPr="00AF35A5" w:rsidRDefault="00C610C7" w:rsidP="00AE60DE">
      <w:pPr>
        <w:pStyle w:val="ListParagraph"/>
        <w:numPr>
          <w:ilvl w:val="0"/>
          <w:numId w:val="66"/>
        </w:numPr>
        <w:ind w:left="1440"/>
        <w:rPr>
          <w:rFonts w:ascii="Palatino Linotype" w:hAnsi="Palatino Linotype"/>
          <w:color w:val="000000" w:themeColor="text1"/>
          <w:sz w:val="24"/>
          <w:szCs w:val="24"/>
        </w:rPr>
      </w:pPr>
      <w:r w:rsidRPr="00AF35A5">
        <w:rPr>
          <w:rFonts w:ascii="Palatino Linotype" w:hAnsi="Palatino Linotype"/>
          <w:color w:val="000000" w:themeColor="text1"/>
          <w:sz w:val="24"/>
          <w:szCs w:val="24"/>
        </w:rPr>
        <w:t>How to evaluate information sources</w:t>
      </w:r>
    </w:p>
    <w:p w:rsidR="00C610C7" w:rsidRPr="00AF35A5" w:rsidRDefault="00C610C7" w:rsidP="00AE60DE">
      <w:pPr>
        <w:pStyle w:val="ListParagraph"/>
        <w:numPr>
          <w:ilvl w:val="0"/>
          <w:numId w:val="41"/>
        </w:numPr>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Internet Safety Basics</w:t>
      </w:r>
    </w:p>
    <w:p w:rsidR="00C610C7" w:rsidRPr="00AF35A5" w:rsidRDefault="00C610C7" w:rsidP="00AE60DE">
      <w:pPr>
        <w:pStyle w:val="ListParagraph"/>
        <w:numPr>
          <w:ilvl w:val="0"/>
          <w:numId w:val="67"/>
        </w:numPr>
        <w:ind w:left="1440"/>
        <w:rPr>
          <w:rFonts w:ascii="Palatino Linotype" w:hAnsi="Palatino Linotype"/>
          <w:color w:val="000000" w:themeColor="text1"/>
          <w:sz w:val="24"/>
          <w:szCs w:val="24"/>
        </w:rPr>
      </w:pPr>
      <w:r w:rsidRPr="00AF35A5">
        <w:rPr>
          <w:rFonts w:ascii="Palatino Linotype" w:hAnsi="Palatino Linotype"/>
          <w:color w:val="000000" w:themeColor="text1"/>
          <w:sz w:val="24"/>
          <w:szCs w:val="24"/>
        </w:rPr>
        <w:t>How to identify a scam</w:t>
      </w:r>
    </w:p>
    <w:p w:rsidR="00C610C7" w:rsidRPr="00AF35A5" w:rsidRDefault="00C610C7" w:rsidP="00AE60DE">
      <w:pPr>
        <w:pStyle w:val="ListParagraph"/>
        <w:numPr>
          <w:ilvl w:val="0"/>
          <w:numId w:val="67"/>
        </w:numPr>
        <w:ind w:left="1440"/>
        <w:rPr>
          <w:rFonts w:ascii="Palatino Linotype" w:hAnsi="Palatino Linotype"/>
          <w:color w:val="000000" w:themeColor="text1"/>
          <w:sz w:val="24"/>
          <w:szCs w:val="24"/>
        </w:rPr>
      </w:pPr>
      <w:r w:rsidRPr="00AF35A5">
        <w:rPr>
          <w:rFonts w:ascii="Palatino Linotype" w:hAnsi="Palatino Linotype"/>
          <w:color w:val="000000" w:themeColor="text1"/>
          <w:sz w:val="24"/>
          <w:szCs w:val="24"/>
        </w:rPr>
        <w:t>How to maintain online privacy</w:t>
      </w:r>
    </w:p>
    <w:p w:rsidR="00C610C7" w:rsidRPr="00AF35A5" w:rsidRDefault="00C610C7" w:rsidP="00AE60DE">
      <w:pPr>
        <w:pStyle w:val="ListParagraph"/>
        <w:numPr>
          <w:ilvl w:val="0"/>
          <w:numId w:val="67"/>
        </w:numPr>
        <w:ind w:left="144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How to protect your online identity </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bookmarkStart w:id="631" w:name="_Hlk512883268"/>
      <w:r w:rsidRPr="00AF35A5">
        <w:rPr>
          <w:rFonts w:ascii="Palatino Linotype" w:hAnsi="Palatino Linotype"/>
          <w:color w:val="000000" w:themeColor="text1"/>
          <w:sz w:val="24"/>
          <w:szCs w:val="24"/>
        </w:rPr>
        <w:t xml:space="preserve">Communities with demonstrated “low broadband access” for the Adoption Account are defined as communities or areas having low broadband subscription rates (a.k.a., low broadband adoption) relative to the statewide </w:t>
      </w:r>
      <w:r w:rsidRPr="00AF35A5">
        <w:rPr>
          <w:rFonts w:ascii="Palatino Linotype" w:hAnsi="Palatino Linotype"/>
          <w:color w:val="000000" w:themeColor="text1"/>
          <w:sz w:val="24"/>
          <w:szCs w:val="24"/>
        </w:rPr>
        <w:lastRenderedPageBreak/>
        <w:t>average</w:t>
      </w:r>
      <w:r w:rsidRPr="00AF35A5">
        <w:rPr>
          <w:rStyle w:val="FootnoteReference"/>
          <w:rFonts w:ascii="Palatino Linotype" w:hAnsi="Palatino Linotype"/>
          <w:color w:val="000000" w:themeColor="text1"/>
          <w:szCs w:val="24"/>
        </w:rPr>
        <w:footnoteReference w:id="89"/>
      </w:r>
      <w:r w:rsidRPr="00AF35A5">
        <w:rPr>
          <w:rFonts w:ascii="Palatino Linotype" w:hAnsi="Palatino Linotype"/>
          <w:color w:val="000000" w:themeColor="text1"/>
          <w:sz w:val="24"/>
          <w:szCs w:val="24"/>
        </w:rPr>
        <w:t xml:space="preserve"> including communities facing socioeconomic barriers to broadband and adoption.   </w:t>
      </w:r>
    </w:p>
    <w:bookmarkEnd w:id="631"/>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“Communities facing socioeconomic barriers to broadband adoption” </w:t>
      </w:r>
      <w:r w:rsidR="006751D0">
        <w:rPr>
          <w:rFonts w:ascii="Palatino Linotype" w:hAnsi="Palatino Linotype"/>
          <w:color w:val="000000" w:themeColor="text1"/>
          <w:sz w:val="24"/>
          <w:szCs w:val="24"/>
        </w:rPr>
        <w:t>include</w:t>
      </w:r>
      <w:r w:rsidR="006751D0" w:rsidRPr="00AF35A5">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low</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income communities, communities with a high percentage of residents with limited English Proficiency, , communities with a high percentage of residents with limited educational attainment, or communities with some other demonstrated disadvantage which affects broadband adoption.</w:t>
      </w:r>
      <w:r w:rsidRPr="00AF35A5">
        <w:rPr>
          <w:rStyle w:val="FootnoteReference"/>
          <w:rFonts w:ascii="Palatino Linotype" w:hAnsi="Palatino Linotype"/>
          <w:color w:val="000000" w:themeColor="text1"/>
          <w:szCs w:val="24"/>
        </w:rPr>
        <w:footnoteReference w:id="90"/>
      </w:r>
      <w:r w:rsidRPr="00AF35A5">
        <w:rPr>
          <w:rFonts w:ascii="Palatino Linotype" w:hAnsi="Palatino Linotype"/>
          <w:color w:val="000000" w:themeColor="text1"/>
          <w:sz w:val="24"/>
          <w:szCs w:val="24"/>
        </w:rPr>
        <w:t xml:space="preserve"> </w:t>
      </w:r>
    </w:p>
    <w:p w:rsidR="00C610C7" w:rsidRPr="00AF35A5" w:rsidRDefault="00C610C7" w:rsidP="00C610C7">
      <w:pPr>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“Low</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income communities” </w:t>
      </w:r>
      <w:r w:rsidR="006B2BB4">
        <w:rPr>
          <w:rFonts w:ascii="Palatino Linotype" w:hAnsi="Palatino Linotype"/>
          <w:color w:val="000000" w:themeColor="text1"/>
          <w:sz w:val="24"/>
          <w:szCs w:val="24"/>
        </w:rPr>
        <w:t>include</w:t>
      </w:r>
      <w:r w:rsidR="006B2BB4" w:rsidRPr="00AF35A5">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 xml:space="preserve">those communities with a median household income </w:t>
      </w:r>
      <w:r w:rsidR="006B2BB4">
        <w:rPr>
          <w:rFonts w:ascii="Palatino Linotype" w:hAnsi="Palatino Linotype"/>
          <w:color w:val="000000" w:themeColor="text1"/>
          <w:sz w:val="24"/>
          <w:szCs w:val="24"/>
        </w:rPr>
        <w:t xml:space="preserve">at or </w:t>
      </w:r>
      <w:r w:rsidR="006B2BB4" w:rsidRPr="00AF35A5">
        <w:rPr>
          <w:rFonts w:ascii="Palatino Linotype" w:hAnsi="Palatino Linotype"/>
          <w:color w:val="000000" w:themeColor="text1"/>
          <w:sz w:val="24"/>
          <w:szCs w:val="24"/>
        </w:rPr>
        <w:t xml:space="preserve">below the </w:t>
      </w:r>
      <w:r w:rsidR="007C403D" w:rsidRPr="00AF35A5">
        <w:rPr>
          <w:rFonts w:ascii="Palatino Linotype" w:hAnsi="Palatino Linotype"/>
          <w:color w:val="000000" w:themeColor="text1"/>
          <w:sz w:val="24"/>
          <w:szCs w:val="24"/>
        </w:rPr>
        <w:t>California Alternate Rates for Energy (CARE) program</w:t>
      </w:r>
      <w:r w:rsidR="007C403D" w:rsidRPr="00927177">
        <w:rPr>
          <w:rFonts w:ascii="Palatino Linotype" w:hAnsi="Palatino Linotype"/>
          <w:color w:val="000000" w:themeColor="text1"/>
          <w:sz w:val="24"/>
          <w:szCs w:val="24"/>
        </w:rPr>
        <w:t xml:space="preserve"> </w:t>
      </w:r>
      <w:r w:rsidR="006B2BB4" w:rsidRPr="00927177">
        <w:rPr>
          <w:rFonts w:ascii="Palatino Linotype" w:hAnsi="Palatino Linotype"/>
          <w:color w:val="000000" w:themeColor="text1"/>
          <w:sz w:val="24"/>
          <w:szCs w:val="24"/>
        </w:rPr>
        <w:t>income limits for a household of four</w:t>
      </w:r>
      <w:r w:rsidR="006B2BB4" w:rsidRPr="00127FEC">
        <w:rPr>
          <w:rStyle w:val="FootnoteReference"/>
          <w:rFonts w:ascii="Palatino Linotype" w:hAnsi="Palatino Linotype"/>
          <w:color w:val="000000" w:themeColor="text1"/>
          <w:szCs w:val="24"/>
        </w:rPr>
        <w:footnoteReference w:id="91"/>
      </w:r>
      <w:r w:rsidRPr="00AF35A5">
        <w:rPr>
          <w:rFonts w:ascii="Palatino Linotype" w:hAnsi="Palatino Linotype"/>
          <w:color w:val="000000" w:themeColor="text1"/>
          <w:sz w:val="24"/>
          <w:szCs w:val="24"/>
        </w:rPr>
        <w:t xml:space="preserve">  “Communities” can be geographically defined by a political or US Census geographic extent (such as a city or county boundary, or a census tract/block or designated place), by location (such as a public housing complex or senior center) or by the class or category of people served (such as disadvantaged youth).  Income information provided by the applicant must be for the designated community. </w:t>
      </w:r>
    </w:p>
    <w:p w:rsidR="00C610C7" w:rsidRPr="00AF35A5" w:rsidRDefault="00C610C7" w:rsidP="00C610C7">
      <w:pPr>
        <w:pStyle w:val="ListParagraph"/>
        <w:tabs>
          <w:tab w:val="left" w:pos="7400"/>
        </w:tabs>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b/>
      </w: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 project is located in a "rural" area if it meets one of the following criteria; it is </w:t>
      </w:r>
      <w:r w:rsidR="00AC622F">
        <w:rPr>
          <w:rFonts w:ascii="Palatino Linotype" w:hAnsi="Palatino Linotype"/>
          <w:color w:val="000000" w:themeColor="text1"/>
          <w:sz w:val="24"/>
          <w:szCs w:val="24"/>
        </w:rPr>
        <w:t xml:space="preserve">located </w:t>
      </w:r>
      <w:r w:rsidRPr="00AF35A5">
        <w:rPr>
          <w:rFonts w:ascii="Palatino Linotype" w:hAnsi="Palatino Linotype"/>
          <w:color w:val="000000" w:themeColor="text1"/>
          <w:sz w:val="24"/>
          <w:szCs w:val="24"/>
        </w:rPr>
        <w:t>in</w:t>
      </w:r>
      <w:r w:rsidR="00AC622F">
        <w:rPr>
          <w:rFonts w:ascii="Palatino Linotype" w:hAnsi="Palatino Linotype"/>
          <w:color w:val="000000" w:themeColor="text1"/>
          <w:sz w:val="24"/>
          <w:szCs w:val="24"/>
        </w:rPr>
        <w:t xml:space="preserve"> one of the following</w:t>
      </w:r>
      <w:r w:rsidRPr="00AF35A5">
        <w:rPr>
          <w:rFonts w:ascii="Palatino Linotype" w:hAnsi="Palatino Linotype"/>
          <w:color w:val="000000" w:themeColor="text1"/>
          <w:sz w:val="24"/>
          <w:szCs w:val="24"/>
        </w:rPr>
        <w:t xml:space="preserve">: </w:t>
      </w:r>
    </w:p>
    <w:p w:rsidR="00C610C7" w:rsidRPr="00AF35A5" w:rsidRDefault="00C610C7" w:rsidP="00AE60DE">
      <w:pPr>
        <w:pStyle w:val="ListParagraph"/>
        <w:numPr>
          <w:ilvl w:val="0"/>
          <w:numId w:val="69"/>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an area that is eligible for federal program under the United States Department of Agriculture (USDA) Section 515 program; </w:t>
      </w:r>
    </w:p>
    <w:p w:rsidR="00C610C7" w:rsidRPr="00AF35A5" w:rsidRDefault="00C610C7" w:rsidP="00AE60DE">
      <w:pPr>
        <w:pStyle w:val="ListParagraph"/>
        <w:numPr>
          <w:ilvl w:val="0"/>
          <w:numId w:val="69"/>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a city with a population of 40,000 or less or in a non</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urban area; </w:t>
      </w:r>
      <w:r w:rsidR="006C7454">
        <w:rPr>
          <w:rFonts w:ascii="Palatino Linotype" w:hAnsi="Palatino Linotype"/>
          <w:color w:val="000000" w:themeColor="text1"/>
          <w:sz w:val="24"/>
          <w:szCs w:val="24"/>
        </w:rPr>
        <w:t>or</w:t>
      </w:r>
    </w:p>
    <w:p w:rsidR="00C610C7" w:rsidRPr="00AF35A5" w:rsidRDefault="00C610C7" w:rsidP="00AE60DE">
      <w:pPr>
        <w:pStyle w:val="ListParagraph"/>
        <w:numPr>
          <w:ilvl w:val="0"/>
          <w:numId w:val="69"/>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an unincorporated area of a county and is not in an urban area.</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9A00FB">
      <w:pPr>
        <w:pStyle w:val="Heading2"/>
        <w:numPr>
          <w:ilvl w:val="1"/>
          <w:numId w:val="35"/>
        </w:numPr>
      </w:pPr>
      <w:bookmarkStart w:id="632" w:name="_Toc505786733"/>
      <w:bookmarkStart w:id="633" w:name="_Toc514153029"/>
      <w:r w:rsidRPr="00AF35A5">
        <w:lastRenderedPageBreak/>
        <w:t>Eligible Applicants</w:t>
      </w:r>
      <w:bookmarkEnd w:id="632"/>
      <w:bookmarkEnd w:id="633"/>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Pursuant to AB 1665, eligible applicants are local governments, senior centers, schools, public libraries, nonprofit organizations, and community</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based organizations with programs to increase publicly available or after school broadband access and digital inclusion, such as digital literacy training programs.  </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Further, AB 1665 authorizes </w:t>
      </w:r>
      <w:r w:rsidR="00F16039">
        <w:rPr>
          <w:rFonts w:ascii="Palatino Linotype" w:hAnsi="Palatino Linotype"/>
          <w:color w:val="000000" w:themeColor="text1"/>
          <w:sz w:val="24"/>
          <w:szCs w:val="24"/>
        </w:rPr>
        <w:t>P</w:t>
      </w:r>
      <w:r w:rsidR="00F16039" w:rsidRPr="00AF35A5">
        <w:rPr>
          <w:rFonts w:ascii="Palatino Linotype" w:hAnsi="Palatino Linotype"/>
          <w:color w:val="000000" w:themeColor="text1"/>
          <w:sz w:val="24"/>
          <w:szCs w:val="24"/>
        </w:rPr>
        <w:t xml:space="preserve">ublicly supported communities </w:t>
      </w:r>
      <w:r w:rsidR="00F16039">
        <w:rPr>
          <w:rFonts w:ascii="Palatino Linotype" w:hAnsi="Palatino Linotype"/>
          <w:color w:val="000000" w:themeColor="text1"/>
          <w:sz w:val="24"/>
          <w:szCs w:val="24"/>
        </w:rPr>
        <w:t>(</w:t>
      </w:r>
      <w:r w:rsidRPr="00AF35A5">
        <w:rPr>
          <w:rFonts w:ascii="Palatino Linotype" w:hAnsi="Palatino Linotype"/>
          <w:color w:val="000000" w:themeColor="text1"/>
          <w:sz w:val="24"/>
          <w:szCs w:val="24"/>
        </w:rPr>
        <w:t>PSCs</w:t>
      </w:r>
      <w:r w:rsidR="00F16039">
        <w:rPr>
          <w:rFonts w:ascii="Palatino Linotype" w:hAnsi="Palatino Linotype"/>
          <w:color w:val="000000" w:themeColor="text1"/>
          <w:sz w:val="24"/>
          <w:szCs w:val="24"/>
        </w:rPr>
        <w:t>)</w:t>
      </w:r>
      <w:r w:rsidRPr="00AF35A5">
        <w:rPr>
          <w:rFonts w:ascii="Palatino Linotype" w:hAnsi="Palatino Linotype"/>
          <w:color w:val="000000" w:themeColor="text1"/>
          <w:sz w:val="24"/>
          <w:szCs w:val="24"/>
        </w:rPr>
        <w:t xml:space="preserve"> </w:t>
      </w:r>
      <w:r w:rsidR="001750EB">
        <w:rPr>
          <w:rFonts w:ascii="Palatino Linotype" w:hAnsi="Palatino Linotype"/>
          <w:color w:val="000000" w:themeColor="text1"/>
          <w:sz w:val="24"/>
          <w:szCs w:val="24"/>
        </w:rPr>
        <w:t xml:space="preserve">to be </w:t>
      </w:r>
      <w:r w:rsidRPr="00AF35A5">
        <w:rPr>
          <w:rFonts w:ascii="Palatino Linotype" w:hAnsi="Palatino Linotype"/>
          <w:color w:val="000000" w:themeColor="text1"/>
          <w:sz w:val="24"/>
          <w:szCs w:val="24"/>
        </w:rPr>
        <w:t>eligible to submit an application for funding from the Broadband Adoption Account only after all funds available for adoption projects from the BPHA have been awarded.</w:t>
      </w:r>
      <w:r w:rsidRPr="00AF35A5">
        <w:rPr>
          <w:rStyle w:val="FootnoteReference"/>
          <w:rFonts w:ascii="Palatino Linotype" w:hAnsi="Palatino Linotype"/>
          <w:color w:val="000000" w:themeColor="text1"/>
          <w:szCs w:val="24"/>
        </w:rPr>
        <w:footnoteReference w:id="92"/>
      </w:r>
      <w:r w:rsidRPr="00AF35A5">
        <w:rPr>
          <w:rFonts w:ascii="Palatino Linotype" w:hAnsi="Palatino Linotype"/>
          <w:color w:val="000000" w:themeColor="text1"/>
          <w:sz w:val="24"/>
          <w:szCs w:val="24"/>
        </w:rPr>
        <w:t xml:space="preserve">  </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No adoption grant recipient can charge for classes (funded by a grant) or make a profit of any kind from the grant funds.</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9A00FB">
      <w:pPr>
        <w:pStyle w:val="Heading2"/>
        <w:numPr>
          <w:ilvl w:val="1"/>
          <w:numId w:val="35"/>
        </w:numPr>
      </w:pPr>
      <w:bookmarkStart w:id="634" w:name="_Toc505786734"/>
      <w:bookmarkStart w:id="635" w:name="_Toc514153030"/>
      <w:r w:rsidRPr="00AF35A5">
        <w:t>Eligible Projects</w:t>
      </w:r>
      <w:bookmarkEnd w:id="634"/>
      <w:bookmarkEnd w:id="635"/>
    </w:p>
    <w:p w:rsidR="003479B7" w:rsidRPr="00AF35A5" w:rsidRDefault="00C610C7" w:rsidP="003479B7">
      <w:pPr>
        <w:pStyle w:val="Heading5"/>
        <w:numPr>
          <w:ilvl w:val="4"/>
          <w:numId w:val="35"/>
        </w:numPr>
        <w:spacing w:before="0" w:after="0"/>
        <w:ind w:left="360"/>
        <w:rPr>
          <w:rFonts w:ascii="Palatino Linotype" w:hAnsi="Palatino Linotype"/>
          <w:color w:val="000000" w:themeColor="text1"/>
          <w:sz w:val="24"/>
          <w:szCs w:val="24"/>
        </w:rPr>
      </w:pPr>
      <w:bookmarkStart w:id="636" w:name="_Toc514153031"/>
      <w:r w:rsidRPr="00AF35A5">
        <w:rPr>
          <w:rFonts w:ascii="Palatino Linotype" w:hAnsi="Palatino Linotype"/>
          <w:color w:val="000000" w:themeColor="text1"/>
          <w:sz w:val="24"/>
          <w:szCs w:val="24"/>
        </w:rPr>
        <w:t>Digital Literacy Project</w:t>
      </w:r>
      <w:bookmarkEnd w:id="636"/>
      <w:r w:rsidR="003479B7">
        <w:rPr>
          <w:rFonts w:ascii="Palatino Linotype" w:hAnsi="Palatino Linotype"/>
          <w:color w:val="000000" w:themeColor="text1"/>
          <w:sz w:val="24"/>
          <w:szCs w:val="24"/>
        </w:rPr>
        <w:t xml:space="preserve">s &amp; </w:t>
      </w:r>
      <w:r w:rsidR="003479B7" w:rsidRPr="00AF35A5">
        <w:rPr>
          <w:rFonts w:ascii="Palatino Linotype" w:hAnsi="Palatino Linotype"/>
          <w:color w:val="000000" w:themeColor="text1"/>
          <w:sz w:val="24"/>
          <w:szCs w:val="24"/>
        </w:rPr>
        <w:t>Broadband Access Project</w:t>
      </w:r>
      <w:r w:rsidR="003479B7">
        <w:rPr>
          <w:rFonts w:ascii="Palatino Linotype" w:hAnsi="Palatino Linotype"/>
          <w:color w:val="000000" w:themeColor="text1"/>
          <w:sz w:val="24"/>
          <w:szCs w:val="24"/>
        </w:rPr>
        <w:t>s</w:t>
      </w:r>
    </w:p>
    <w:p w:rsidR="00C610C7" w:rsidRPr="00AF35A5" w:rsidRDefault="00C610C7" w:rsidP="00C610C7">
      <w:pPr>
        <w:pStyle w:val="ListParagraph"/>
        <w:ind w:left="360"/>
        <w:rPr>
          <w:rFonts w:ascii="Palatino Linotype" w:hAnsi="Palatino Linotype"/>
          <w:color w:val="000000" w:themeColor="text1"/>
          <w:sz w:val="24"/>
          <w:szCs w:val="24"/>
        </w:rPr>
      </w:pPr>
    </w:p>
    <w:p w:rsidR="003479B7"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Digital inclusion projects </w:t>
      </w:r>
      <w:r w:rsidR="009964CE">
        <w:rPr>
          <w:rFonts w:ascii="Palatino Linotype" w:hAnsi="Palatino Linotype"/>
          <w:color w:val="000000" w:themeColor="text1"/>
          <w:sz w:val="24"/>
          <w:szCs w:val="24"/>
        </w:rPr>
        <w:t>may</w:t>
      </w:r>
      <w:r w:rsidR="009964CE" w:rsidRPr="00AF35A5">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include digital literacy training programs and public education to communities with limited broadband adoption, including low</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income communities, senior communities, and communities facing socioeconomic barriers to broadband adoption, consistent with the adoption projects of the Public Housing Account.  </w:t>
      </w:r>
    </w:p>
    <w:p w:rsidR="003479B7" w:rsidRDefault="003479B7" w:rsidP="00C610C7">
      <w:pPr>
        <w:pStyle w:val="ListParagraph"/>
        <w:ind w:left="360"/>
        <w:rPr>
          <w:rFonts w:ascii="Palatino Linotype" w:hAnsi="Palatino Linotype"/>
          <w:color w:val="000000" w:themeColor="text1"/>
          <w:sz w:val="24"/>
          <w:szCs w:val="24"/>
        </w:rPr>
      </w:pPr>
    </w:p>
    <w:p w:rsidR="003479B7" w:rsidRDefault="003479B7" w:rsidP="00C610C7">
      <w:pPr>
        <w:pStyle w:val="ListParagraph"/>
        <w:ind w:left="360"/>
        <w:rPr>
          <w:rFonts w:ascii="Palatino Linotype" w:hAnsi="Palatino Linotype"/>
          <w:color w:val="000000" w:themeColor="text1"/>
          <w:sz w:val="24"/>
          <w:szCs w:val="24"/>
        </w:rPr>
      </w:pPr>
      <w:r>
        <w:rPr>
          <w:rFonts w:ascii="Palatino Linotype" w:hAnsi="Palatino Linotype"/>
          <w:color w:val="000000" w:themeColor="text1"/>
          <w:sz w:val="24"/>
          <w:szCs w:val="24"/>
        </w:rPr>
        <w:t xml:space="preserve">Broadband Access projects may include those </w:t>
      </w:r>
      <w:r w:rsidRPr="00AF35A5">
        <w:rPr>
          <w:rFonts w:ascii="Palatino Linotype" w:hAnsi="Palatino Linotype"/>
          <w:color w:val="000000" w:themeColor="text1"/>
          <w:sz w:val="24"/>
          <w:szCs w:val="24"/>
        </w:rPr>
        <w:t>that provide free broadband access in community training rooms or other public space, such as local government centers, senior centers, schools, public libraries, nonprofit organizations, and community</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based organizations.  The Commission </w:t>
      </w:r>
      <w:r>
        <w:rPr>
          <w:rFonts w:ascii="Palatino Linotype" w:hAnsi="Palatino Linotype"/>
          <w:color w:val="000000" w:themeColor="text1"/>
          <w:sz w:val="24"/>
          <w:szCs w:val="24"/>
        </w:rPr>
        <w:t>may</w:t>
      </w:r>
      <w:r w:rsidRPr="00AF35A5">
        <w:rPr>
          <w:rFonts w:ascii="Palatino Linotype" w:hAnsi="Palatino Linotype"/>
          <w:color w:val="000000" w:themeColor="text1"/>
          <w:sz w:val="24"/>
          <w:szCs w:val="24"/>
        </w:rPr>
        <w:t xml:space="preserve"> also fund community outreach, such as analysis, comparison of Internet plans within the community, and call centers that will increase broadband access and adoption.</w:t>
      </w:r>
    </w:p>
    <w:p w:rsidR="00451B24" w:rsidRDefault="00451B24" w:rsidP="00C610C7">
      <w:pPr>
        <w:pStyle w:val="ListParagraph"/>
        <w:ind w:left="360"/>
        <w:rPr>
          <w:rFonts w:ascii="Palatino Linotype" w:hAnsi="Palatino Linotype"/>
          <w:color w:val="000000" w:themeColor="text1"/>
          <w:sz w:val="24"/>
          <w:szCs w:val="24"/>
        </w:rPr>
      </w:pPr>
    </w:p>
    <w:p w:rsidR="00C610C7" w:rsidRPr="00AF35A5" w:rsidRDefault="003479B7" w:rsidP="00C610C7">
      <w:pPr>
        <w:pStyle w:val="ListParagraph"/>
        <w:ind w:left="360"/>
        <w:rPr>
          <w:rFonts w:ascii="Palatino Linotype" w:hAnsi="Palatino Linotype"/>
          <w:color w:val="000000" w:themeColor="text1"/>
          <w:sz w:val="24"/>
          <w:szCs w:val="24"/>
        </w:rPr>
      </w:pPr>
      <w:r>
        <w:rPr>
          <w:rFonts w:ascii="Palatino Linotype" w:hAnsi="Palatino Linotype"/>
          <w:color w:val="000000" w:themeColor="text1"/>
          <w:sz w:val="24"/>
          <w:szCs w:val="24"/>
        </w:rPr>
        <w:lastRenderedPageBreak/>
        <w:t>The</w:t>
      </w:r>
      <w:r w:rsidR="00C610C7" w:rsidRPr="00AF35A5">
        <w:rPr>
          <w:rFonts w:ascii="Palatino Linotype" w:hAnsi="Palatino Linotype"/>
          <w:color w:val="000000" w:themeColor="text1"/>
          <w:sz w:val="24"/>
          <w:szCs w:val="24"/>
        </w:rPr>
        <w:t xml:space="preserve"> Commission </w:t>
      </w:r>
      <w:r w:rsidR="00B02ECD">
        <w:rPr>
          <w:rFonts w:ascii="Palatino Linotype" w:hAnsi="Palatino Linotype"/>
          <w:color w:val="000000" w:themeColor="text1"/>
          <w:sz w:val="24"/>
          <w:szCs w:val="24"/>
        </w:rPr>
        <w:t>may</w:t>
      </w:r>
      <w:r w:rsidR="009964CE">
        <w:rPr>
          <w:rFonts w:ascii="Palatino Linotype" w:hAnsi="Palatino Linotype"/>
          <w:color w:val="000000" w:themeColor="text1"/>
          <w:sz w:val="24"/>
          <w:szCs w:val="24"/>
        </w:rPr>
        <w:t xml:space="preserve"> </w:t>
      </w:r>
      <w:r w:rsidR="00C610C7" w:rsidRPr="00AF35A5">
        <w:rPr>
          <w:rFonts w:ascii="Palatino Linotype" w:hAnsi="Palatino Linotype"/>
          <w:color w:val="000000" w:themeColor="text1"/>
          <w:sz w:val="24"/>
          <w:szCs w:val="24"/>
        </w:rPr>
        <w:t xml:space="preserve">fund up to 85 percent of the </w:t>
      </w:r>
      <w:r w:rsidR="009964CE">
        <w:rPr>
          <w:rFonts w:ascii="Palatino Linotype" w:hAnsi="Palatino Linotype"/>
          <w:color w:val="000000" w:themeColor="text1"/>
          <w:sz w:val="24"/>
          <w:szCs w:val="24"/>
        </w:rPr>
        <w:t xml:space="preserve">program </w:t>
      </w:r>
      <w:r w:rsidR="00C610C7" w:rsidRPr="00AF35A5">
        <w:rPr>
          <w:rFonts w:ascii="Palatino Linotype" w:hAnsi="Palatino Linotype"/>
          <w:color w:val="000000" w:themeColor="text1"/>
          <w:sz w:val="24"/>
          <w:szCs w:val="24"/>
        </w:rPr>
        <w:t xml:space="preserve">costs and </w:t>
      </w:r>
      <w:r w:rsidR="00451B24">
        <w:rPr>
          <w:rFonts w:ascii="Palatino Linotype" w:hAnsi="Palatino Linotype"/>
          <w:color w:val="000000" w:themeColor="text1"/>
          <w:sz w:val="24"/>
          <w:szCs w:val="24"/>
        </w:rPr>
        <w:t xml:space="preserve">may </w:t>
      </w:r>
      <w:r w:rsidR="00C610C7" w:rsidRPr="00AF35A5">
        <w:rPr>
          <w:rFonts w:ascii="Palatino Linotype" w:hAnsi="Palatino Linotype"/>
          <w:color w:val="000000" w:themeColor="text1"/>
          <w:sz w:val="24"/>
          <w:szCs w:val="24"/>
        </w:rPr>
        <w:t xml:space="preserve">reimburse the following: </w:t>
      </w:r>
    </w:p>
    <w:p w:rsidR="00C610C7" w:rsidRPr="00AF35A5" w:rsidRDefault="00C610C7" w:rsidP="00C610C7">
      <w:pPr>
        <w:pStyle w:val="ListParagraph"/>
        <w:rPr>
          <w:rFonts w:ascii="Palatino Linotype" w:hAnsi="Palatino Linotype"/>
          <w:color w:val="000000" w:themeColor="text1"/>
          <w:sz w:val="24"/>
          <w:szCs w:val="24"/>
        </w:rPr>
      </w:pPr>
    </w:p>
    <w:p w:rsidR="00C610C7" w:rsidRPr="00AF35A5" w:rsidRDefault="00C610C7" w:rsidP="00AE60DE">
      <w:pPr>
        <w:pStyle w:val="ListParagraph"/>
        <w:numPr>
          <w:ilvl w:val="0"/>
          <w:numId w:val="59"/>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Education and outreach efforts (including travel, up to 10% of grant amount) and materials; </w:t>
      </w:r>
    </w:p>
    <w:p w:rsidR="00114A26" w:rsidRDefault="00114A26" w:rsidP="00114A26">
      <w:pPr>
        <w:pStyle w:val="ListParagraph"/>
        <w:numPr>
          <w:ilvl w:val="0"/>
          <w:numId w:val="59"/>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Acceptable devices (does not include smartphones) and software</w:t>
      </w:r>
      <w:r w:rsidR="00A06ACC">
        <w:rPr>
          <w:rFonts w:ascii="Palatino Linotype" w:hAnsi="Palatino Linotype"/>
          <w:color w:val="000000" w:themeColor="text1"/>
          <w:sz w:val="24"/>
          <w:szCs w:val="24"/>
        </w:rPr>
        <w:t xml:space="preserve"> within limits</w:t>
      </w:r>
      <w:r w:rsidRPr="00AF35A5">
        <w:rPr>
          <w:rFonts w:ascii="Palatino Linotype" w:hAnsi="Palatino Linotype"/>
          <w:color w:val="000000" w:themeColor="text1"/>
          <w:sz w:val="24"/>
          <w:szCs w:val="24"/>
        </w:rPr>
        <w:t xml:space="preserve">; </w:t>
      </w:r>
    </w:p>
    <w:p w:rsidR="00A06ACC" w:rsidRDefault="00A06ACC" w:rsidP="007C64F6">
      <w:pPr>
        <w:pStyle w:val="ListParagraph"/>
        <w:numPr>
          <w:ilvl w:val="1"/>
          <w:numId w:val="59"/>
        </w:numPr>
        <w:rPr>
          <w:rFonts w:ascii="Palatino Linotype" w:hAnsi="Palatino Linotype"/>
          <w:color w:val="000000" w:themeColor="text1"/>
          <w:sz w:val="24"/>
          <w:szCs w:val="24"/>
        </w:rPr>
      </w:pPr>
      <w:r>
        <w:rPr>
          <w:rFonts w:ascii="Palatino Linotype" w:hAnsi="Palatino Linotype"/>
          <w:color w:val="000000" w:themeColor="text1"/>
          <w:sz w:val="24"/>
          <w:szCs w:val="24"/>
        </w:rPr>
        <w:t>In</w:t>
      </w:r>
      <w:r w:rsidR="00B34BCE">
        <w:rPr>
          <w:rFonts w:ascii="Palatino Linotype" w:hAnsi="Palatino Linotype"/>
          <w:color w:val="000000" w:themeColor="text1"/>
          <w:sz w:val="24"/>
          <w:szCs w:val="24"/>
        </w:rPr>
        <w:noBreakHyphen/>
      </w:r>
      <w:r>
        <w:rPr>
          <w:rFonts w:ascii="Palatino Linotype" w:hAnsi="Palatino Linotype"/>
          <w:color w:val="000000" w:themeColor="text1"/>
          <w:sz w:val="24"/>
          <w:szCs w:val="24"/>
        </w:rPr>
        <w:t>Classroom computing devices</w:t>
      </w:r>
    </w:p>
    <w:p w:rsidR="00A43F2E" w:rsidRPr="00A43F2E" w:rsidRDefault="00A06ACC" w:rsidP="007C64F6">
      <w:pPr>
        <w:pStyle w:val="ListParagraph"/>
        <w:numPr>
          <w:ilvl w:val="1"/>
          <w:numId w:val="59"/>
        </w:numPr>
        <w:rPr>
          <w:rFonts w:ascii="Palatino Linotype" w:hAnsi="Palatino Linotype"/>
          <w:color w:val="000000" w:themeColor="text1"/>
          <w:sz w:val="24"/>
          <w:szCs w:val="24"/>
        </w:rPr>
      </w:pPr>
      <w:r>
        <w:rPr>
          <w:rFonts w:ascii="Palatino Linotype" w:hAnsi="Palatino Linotype"/>
          <w:color w:val="000000" w:themeColor="text1"/>
          <w:sz w:val="24"/>
          <w:szCs w:val="24"/>
        </w:rPr>
        <w:t>Take</w:t>
      </w:r>
      <w:r w:rsidR="00B34BCE">
        <w:rPr>
          <w:rFonts w:ascii="Palatino Linotype" w:hAnsi="Palatino Linotype"/>
          <w:color w:val="000000" w:themeColor="text1"/>
          <w:sz w:val="24"/>
          <w:szCs w:val="24"/>
        </w:rPr>
        <w:noBreakHyphen/>
      </w:r>
      <w:r>
        <w:rPr>
          <w:rFonts w:ascii="Palatino Linotype" w:hAnsi="Palatino Linotype"/>
          <w:color w:val="000000" w:themeColor="text1"/>
          <w:sz w:val="24"/>
          <w:szCs w:val="24"/>
        </w:rPr>
        <w:t>home computing devices (For Digital Literacy Projects only)</w:t>
      </w:r>
      <w:r w:rsidR="00A43F2E" w:rsidRPr="00A43F2E">
        <w:rPr>
          <w:rFonts w:ascii="Palatino Linotype" w:hAnsi="Palatino Linotype"/>
          <w:color w:val="000000" w:themeColor="text1"/>
          <w:sz w:val="24"/>
          <w:szCs w:val="24"/>
        </w:rPr>
        <w:t>.</w:t>
      </w:r>
      <w:r w:rsidR="007C64F6">
        <w:rPr>
          <w:rFonts w:ascii="Palatino Linotype" w:hAnsi="Palatino Linotype"/>
          <w:color w:val="000000" w:themeColor="text1"/>
          <w:sz w:val="24"/>
          <w:szCs w:val="24"/>
        </w:rPr>
        <w:t xml:space="preserve">  </w:t>
      </w:r>
      <w:r w:rsidR="00FA7E7F">
        <w:rPr>
          <w:rFonts w:ascii="Palatino Linotype" w:hAnsi="Palatino Linotype"/>
          <w:color w:val="000000" w:themeColor="text1"/>
          <w:sz w:val="24"/>
          <w:szCs w:val="24"/>
        </w:rPr>
        <w:t xml:space="preserve">  </w:t>
      </w:r>
    </w:p>
    <w:p w:rsidR="00C610C7" w:rsidRPr="00AF35A5" w:rsidRDefault="00C610C7" w:rsidP="00AE60DE">
      <w:pPr>
        <w:pStyle w:val="ListParagraph"/>
        <w:numPr>
          <w:ilvl w:val="0"/>
          <w:numId w:val="59"/>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Printers; </w:t>
      </w:r>
    </w:p>
    <w:p w:rsidR="00C610C7" w:rsidRPr="00AF35A5" w:rsidRDefault="00C610C7" w:rsidP="00AE60DE">
      <w:pPr>
        <w:pStyle w:val="ListParagraph"/>
        <w:numPr>
          <w:ilvl w:val="0"/>
          <w:numId w:val="59"/>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Routers; </w:t>
      </w:r>
    </w:p>
    <w:p w:rsidR="00C610C7" w:rsidRPr="00AF35A5" w:rsidRDefault="00C610C7" w:rsidP="00AE60DE">
      <w:pPr>
        <w:pStyle w:val="ListParagraph"/>
        <w:numPr>
          <w:ilvl w:val="0"/>
          <w:numId w:val="59"/>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Provision of technical support for the installation of equipment subsidized through this program; </w:t>
      </w:r>
    </w:p>
    <w:p w:rsidR="00C610C7" w:rsidRPr="00AF35A5" w:rsidRDefault="00C610C7" w:rsidP="00AE60DE">
      <w:pPr>
        <w:pStyle w:val="ListParagraph"/>
        <w:numPr>
          <w:ilvl w:val="0"/>
          <w:numId w:val="59"/>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Desks and chairs to furnish a designated space for digital literacy</w:t>
      </w:r>
      <w:r w:rsidR="003479B7">
        <w:rPr>
          <w:rFonts w:ascii="Palatino Linotype" w:hAnsi="Palatino Linotype"/>
          <w:color w:val="000000" w:themeColor="text1"/>
          <w:sz w:val="24"/>
          <w:szCs w:val="24"/>
        </w:rPr>
        <w:t xml:space="preserve"> or broadband access</w:t>
      </w:r>
      <w:r w:rsidRPr="00AF35A5">
        <w:rPr>
          <w:rFonts w:ascii="Palatino Linotype" w:hAnsi="Palatino Linotype"/>
          <w:color w:val="000000" w:themeColor="text1"/>
          <w:sz w:val="24"/>
          <w:szCs w:val="24"/>
        </w:rPr>
        <w:t xml:space="preserve">; </w:t>
      </w:r>
    </w:p>
    <w:p w:rsidR="00C610C7" w:rsidRPr="00AF35A5" w:rsidRDefault="003479B7" w:rsidP="00AE60DE">
      <w:pPr>
        <w:pStyle w:val="ListParagraph"/>
        <w:numPr>
          <w:ilvl w:val="0"/>
          <w:numId w:val="59"/>
        </w:numPr>
        <w:rPr>
          <w:rFonts w:ascii="Palatino Linotype" w:hAnsi="Palatino Linotype"/>
          <w:color w:val="000000" w:themeColor="text1"/>
          <w:sz w:val="24"/>
          <w:szCs w:val="24"/>
        </w:rPr>
      </w:pPr>
      <w:r>
        <w:rPr>
          <w:rFonts w:ascii="Palatino Linotype" w:hAnsi="Palatino Linotype"/>
          <w:color w:val="000000" w:themeColor="text1"/>
          <w:sz w:val="24"/>
          <w:szCs w:val="24"/>
        </w:rPr>
        <w:t xml:space="preserve">For Digital Literacy Projects, </w:t>
      </w:r>
      <w:r w:rsidR="00C610C7" w:rsidRPr="00AF35A5">
        <w:rPr>
          <w:rFonts w:ascii="Palatino Linotype" w:hAnsi="Palatino Linotype"/>
          <w:color w:val="000000" w:themeColor="text1"/>
          <w:sz w:val="24"/>
          <w:szCs w:val="24"/>
        </w:rPr>
        <w:t>Gathering, preparing</w:t>
      </w:r>
      <w:r w:rsidR="00114A26">
        <w:rPr>
          <w:rFonts w:ascii="Palatino Linotype" w:hAnsi="Palatino Linotype"/>
          <w:color w:val="000000" w:themeColor="text1"/>
          <w:sz w:val="24"/>
          <w:szCs w:val="24"/>
        </w:rPr>
        <w:t>, creating</w:t>
      </w:r>
      <w:r w:rsidR="00C610C7" w:rsidRPr="00AF35A5">
        <w:rPr>
          <w:rFonts w:ascii="Palatino Linotype" w:hAnsi="Palatino Linotype"/>
          <w:color w:val="000000" w:themeColor="text1"/>
          <w:sz w:val="24"/>
          <w:szCs w:val="24"/>
        </w:rPr>
        <w:t xml:space="preserve"> and distributing digital literacy curriculum; </w:t>
      </w:r>
      <w:r w:rsidR="00211489">
        <w:rPr>
          <w:rFonts w:ascii="Palatino Linotype" w:hAnsi="Palatino Linotype"/>
          <w:color w:val="000000" w:themeColor="text1"/>
          <w:sz w:val="24"/>
          <w:szCs w:val="24"/>
        </w:rPr>
        <w:t>and</w:t>
      </w:r>
    </w:p>
    <w:p w:rsidR="00C610C7" w:rsidRPr="00AF35A5" w:rsidRDefault="008D1A4E" w:rsidP="00AE60DE">
      <w:pPr>
        <w:pStyle w:val="ListParagraph"/>
        <w:numPr>
          <w:ilvl w:val="0"/>
          <w:numId w:val="59"/>
        </w:numPr>
        <w:rPr>
          <w:rFonts w:ascii="Palatino Linotype" w:hAnsi="Palatino Linotype"/>
          <w:color w:val="000000" w:themeColor="text1"/>
          <w:sz w:val="24"/>
          <w:szCs w:val="24"/>
        </w:rPr>
      </w:pPr>
      <w:r>
        <w:rPr>
          <w:rFonts w:ascii="Palatino Linotype" w:hAnsi="Palatino Linotype"/>
          <w:color w:val="000000" w:themeColor="text1"/>
          <w:sz w:val="24"/>
          <w:szCs w:val="24"/>
        </w:rPr>
        <w:t>D</w:t>
      </w:r>
      <w:r w:rsidR="00C610C7" w:rsidRPr="00AF35A5">
        <w:rPr>
          <w:rFonts w:ascii="Palatino Linotype" w:hAnsi="Palatino Linotype"/>
          <w:color w:val="000000" w:themeColor="text1"/>
          <w:sz w:val="24"/>
          <w:szCs w:val="24"/>
        </w:rPr>
        <w:t>igital literacy instructors</w:t>
      </w:r>
      <w:r w:rsidR="003479B7" w:rsidRPr="003479B7">
        <w:rPr>
          <w:rFonts w:ascii="Palatino Linotype" w:hAnsi="Palatino Linotype"/>
          <w:color w:val="000000" w:themeColor="text1"/>
          <w:sz w:val="24"/>
          <w:szCs w:val="24"/>
        </w:rPr>
        <w:t xml:space="preserve"> </w:t>
      </w:r>
      <w:r w:rsidR="003479B7">
        <w:rPr>
          <w:rFonts w:ascii="Palatino Linotype" w:hAnsi="Palatino Linotype"/>
          <w:color w:val="000000" w:themeColor="text1"/>
          <w:sz w:val="24"/>
          <w:szCs w:val="24"/>
        </w:rPr>
        <w:t>or S</w:t>
      </w:r>
      <w:r w:rsidR="003479B7" w:rsidRPr="00AF35A5">
        <w:rPr>
          <w:rFonts w:ascii="Palatino Linotype" w:hAnsi="Palatino Linotype"/>
          <w:color w:val="000000" w:themeColor="text1"/>
          <w:sz w:val="24"/>
          <w:szCs w:val="24"/>
        </w:rPr>
        <w:t>taffing for monitoring the designated space or staffing for call centers</w:t>
      </w:r>
      <w:r w:rsidR="003479B7">
        <w:rPr>
          <w:rFonts w:ascii="Palatino Linotype" w:hAnsi="Palatino Linotype"/>
          <w:color w:val="000000" w:themeColor="text1"/>
          <w:sz w:val="24"/>
          <w:szCs w:val="24"/>
        </w:rPr>
        <w:t xml:space="preserve"> (if applicable)</w:t>
      </w:r>
      <w:r w:rsidR="00C610C7" w:rsidRPr="00AF35A5">
        <w:rPr>
          <w:rFonts w:ascii="Palatino Linotype" w:hAnsi="Palatino Linotype"/>
          <w:color w:val="000000" w:themeColor="text1"/>
          <w:sz w:val="24"/>
          <w:szCs w:val="24"/>
        </w:rPr>
        <w:t>.</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9A00FB">
      <w:pPr>
        <w:pStyle w:val="Heading2"/>
      </w:pPr>
      <w:bookmarkStart w:id="637" w:name="_Toc505786735"/>
      <w:bookmarkStart w:id="638" w:name="_Toc514153033"/>
      <w:r w:rsidRPr="00AF35A5">
        <w:t>Subsidy Level</w:t>
      </w:r>
      <w:bookmarkEnd w:id="637"/>
      <w:bookmarkEnd w:id="638"/>
      <w:r w:rsidR="00114BC9">
        <w:t>s</w:t>
      </w:r>
    </w:p>
    <w:p w:rsidR="00C610C7" w:rsidRDefault="00627881">
      <w:pPr>
        <w:pStyle w:val="ListParagraph"/>
        <w:ind w:left="360"/>
        <w:rPr>
          <w:rFonts w:ascii="Palatino Linotype" w:hAnsi="Palatino Linotype"/>
          <w:color w:val="000000" w:themeColor="text1"/>
          <w:sz w:val="24"/>
          <w:szCs w:val="24"/>
        </w:rPr>
      </w:pPr>
      <w:r>
        <w:rPr>
          <w:rFonts w:ascii="Palatino Linotype" w:hAnsi="Palatino Linotype"/>
          <w:color w:val="000000" w:themeColor="text1"/>
          <w:sz w:val="24"/>
          <w:szCs w:val="24"/>
        </w:rPr>
        <w:t>T</w:t>
      </w:r>
      <w:r w:rsidRPr="00AF35A5">
        <w:rPr>
          <w:rFonts w:ascii="Palatino Linotype" w:hAnsi="Palatino Linotype"/>
          <w:color w:val="000000" w:themeColor="text1"/>
          <w:sz w:val="24"/>
          <w:szCs w:val="24"/>
        </w:rPr>
        <w:t xml:space="preserve">he Commission </w:t>
      </w:r>
      <w:r>
        <w:rPr>
          <w:rFonts w:ascii="Palatino Linotype" w:hAnsi="Palatino Linotype"/>
          <w:color w:val="000000" w:themeColor="text1"/>
          <w:sz w:val="24"/>
          <w:szCs w:val="24"/>
        </w:rPr>
        <w:t xml:space="preserve">may </w:t>
      </w:r>
      <w:r w:rsidRPr="00AF35A5">
        <w:rPr>
          <w:rFonts w:ascii="Palatino Linotype" w:hAnsi="Palatino Linotype"/>
          <w:color w:val="000000" w:themeColor="text1"/>
          <w:sz w:val="24"/>
          <w:szCs w:val="24"/>
        </w:rPr>
        <w:t xml:space="preserve">fund up to 85 percent of the </w:t>
      </w:r>
      <w:r w:rsidR="00CB74A7">
        <w:rPr>
          <w:rFonts w:ascii="Palatino Linotype" w:hAnsi="Palatino Linotype"/>
          <w:color w:val="000000" w:themeColor="text1"/>
          <w:sz w:val="24"/>
          <w:szCs w:val="24"/>
        </w:rPr>
        <w:t xml:space="preserve">total </w:t>
      </w:r>
      <w:r>
        <w:rPr>
          <w:rFonts w:ascii="Palatino Linotype" w:hAnsi="Palatino Linotype"/>
          <w:color w:val="000000" w:themeColor="text1"/>
          <w:sz w:val="24"/>
          <w:szCs w:val="24"/>
        </w:rPr>
        <w:t xml:space="preserve">program costs. </w:t>
      </w:r>
      <w:r w:rsidR="00CC1C64">
        <w:rPr>
          <w:rFonts w:ascii="Palatino Linotype" w:hAnsi="Palatino Linotype"/>
          <w:color w:val="000000" w:themeColor="text1"/>
          <w:sz w:val="24"/>
          <w:szCs w:val="24"/>
        </w:rPr>
        <w:t>R</w:t>
      </w:r>
      <w:r w:rsidR="00114BC9">
        <w:rPr>
          <w:rFonts w:ascii="Palatino Linotype" w:hAnsi="Palatino Linotype"/>
          <w:color w:val="000000" w:themeColor="text1"/>
          <w:sz w:val="24"/>
          <w:szCs w:val="24"/>
        </w:rPr>
        <w:t xml:space="preserve">eimbursement for </w:t>
      </w:r>
      <w:r w:rsidR="00C610C7" w:rsidRPr="00AF35A5">
        <w:rPr>
          <w:rFonts w:ascii="Palatino Linotype" w:hAnsi="Palatino Linotype"/>
          <w:color w:val="000000" w:themeColor="text1"/>
          <w:sz w:val="24"/>
          <w:szCs w:val="24"/>
        </w:rPr>
        <w:t>computing devices used in community training rooms or other public space, such as local government centers, senior centers, schools, public libraries, nonprofit organizations, and community</w:t>
      </w:r>
      <w:r w:rsidR="00B34BCE">
        <w:rPr>
          <w:rFonts w:ascii="Palatino Linotype" w:hAnsi="Palatino Linotype"/>
          <w:color w:val="000000" w:themeColor="text1"/>
          <w:sz w:val="24"/>
          <w:szCs w:val="24"/>
        </w:rPr>
        <w:noBreakHyphen/>
      </w:r>
      <w:r w:rsidR="00C610C7" w:rsidRPr="00AF35A5">
        <w:rPr>
          <w:rFonts w:ascii="Palatino Linotype" w:hAnsi="Palatino Linotype"/>
          <w:color w:val="000000" w:themeColor="text1"/>
          <w:sz w:val="24"/>
          <w:szCs w:val="24"/>
        </w:rPr>
        <w:t xml:space="preserve">based organizations, </w:t>
      </w:r>
      <w:r w:rsidR="00494EEC">
        <w:rPr>
          <w:rFonts w:ascii="Palatino Linotype" w:hAnsi="Palatino Linotype"/>
          <w:color w:val="000000" w:themeColor="text1"/>
          <w:sz w:val="24"/>
          <w:szCs w:val="24"/>
        </w:rPr>
        <w:t xml:space="preserve">are </w:t>
      </w:r>
      <w:r w:rsidR="00711437">
        <w:rPr>
          <w:rFonts w:ascii="Palatino Linotype" w:hAnsi="Palatino Linotype"/>
          <w:color w:val="000000" w:themeColor="text1"/>
          <w:sz w:val="24"/>
          <w:szCs w:val="24"/>
        </w:rPr>
        <w:t>limited</w:t>
      </w:r>
      <w:r w:rsidR="00B02ECD">
        <w:rPr>
          <w:rFonts w:ascii="Palatino Linotype" w:hAnsi="Palatino Linotype"/>
          <w:color w:val="000000" w:themeColor="text1"/>
          <w:sz w:val="24"/>
          <w:szCs w:val="24"/>
        </w:rPr>
        <w:t xml:space="preserve"> to</w:t>
      </w:r>
      <w:r w:rsidR="00957152">
        <w:rPr>
          <w:rFonts w:ascii="Palatino Linotype" w:hAnsi="Palatino Linotype"/>
          <w:color w:val="000000" w:themeColor="text1"/>
          <w:sz w:val="24"/>
          <w:szCs w:val="24"/>
        </w:rPr>
        <w:t xml:space="preserve"> </w:t>
      </w:r>
      <w:r w:rsidR="00C610C7" w:rsidRPr="00AF35A5">
        <w:rPr>
          <w:rFonts w:ascii="Palatino Linotype" w:hAnsi="Palatino Linotype"/>
          <w:color w:val="000000" w:themeColor="text1"/>
          <w:sz w:val="24"/>
          <w:szCs w:val="24"/>
        </w:rPr>
        <w:t xml:space="preserve">$750 </w:t>
      </w:r>
      <w:r w:rsidR="00B02ECD">
        <w:rPr>
          <w:rFonts w:ascii="Palatino Linotype" w:hAnsi="Palatino Linotype"/>
          <w:color w:val="000000" w:themeColor="text1"/>
          <w:sz w:val="24"/>
          <w:szCs w:val="24"/>
        </w:rPr>
        <w:t>per</w:t>
      </w:r>
      <w:r w:rsidR="00C610C7" w:rsidRPr="00AF35A5">
        <w:rPr>
          <w:rFonts w:ascii="Palatino Linotype" w:hAnsi="Palatino Linotype"/>
          <w:color w:val="000000" w:themeColor="text1"/>
          <w:sz w:val="24"/>
          <w:szCs w:val="24"/>
        </w:rPr>
        <w:t xml:space="preserve"> device, with a cap of 15 devices per designated space or project (device software costs will be considered a separate expense).  </w:t>
      </w:r>
    </w:p>
    <w:p w:rsidR="00260670" w:rsidRDefault="00260670">
      <w:pPr>
        <w:pStyle w:val="ListParagraph"/>
        <w:ind w:left="360"/>
        <w:rPr>
          <w:rFonts w:ascii="Palatino Linotype" w:hAnsi="Palatino Linotype"/>
          <w:color w:val="000000" w:themeColor="text1"/>
          <w:sz w:val="24"/>
          <w:szCs w:val="24"/>
        </w:rPr>
      </w:pPr>
    </w:p>
    <w:p w:rsidR="00A43F2E" w:rsidRDefault="00A43F2E" w:rsidP="00AE60DE">
      <w:pPr>
        <w:pStyle w:val="ListParagraph"/>
        <w:ind w:left="360"/>
        <w:rPr>
          <w:rFonts w:ascii="Palatino Linotype" w:hAnsi="Palatino Linotype"/>
          <w:color w:val="000000" w:themeColor="text1"/>
          <w:sz w:val="24"/>
          <w:szCs w:val="24"/>
        </w:rPr>
      </w:pPr>
      <w:r w:rsidRPr="00A43F2E">
        <w:rPr>
          <w:rFonts w:ascii="Palatino Linotype" w:hAnsi="Palatino Linotype"/>
          <w:color w:val="000000" w:themeColor="text1"/>
          <w:sz w:val="24"/>
          <w:szCs w:val="24"/>
        </w:rPr>
        <w:t>For Digital Literacy Projects, only households that participate in the Supplemental Nutritional Assistance Program, the National School Lunch Program, or the Women, Infants, and Children Program are eligible to receive computing devices to take home</w:t>
      </w:r>
      <w:r w:rsidR="007C64F6" w:rsidRPr="007C64F6">
        <w:t xml:space="preserve"> </w:t>
      </w:r>
      <w:r w:rsidR="007C64F6" w:rsidRPr="007C64F6">
        <w:rPr>
          <w:rFonts w:ascii="Palatino Linotype" w:hAnsi="Palatino Linotype"/>
          <w:color w:val="000000" w:themeColor="text1"/>
          <w:sz w:val="24"/>
          <w:szCs w:val="24"/>
        </w:rPr>
        <w:t>after</w:t>
      </w:r>
      <w:r w:rsidR="00202E22">
        <w:rPr>
          <w:rFonts w:ascii="Palatino Linotype" w:hAnsi="Palatino Linotype"/>
          <w:color w:val="000000" w:themeColor="text1"/>
          <w:sz w:val="24"/>
          <w:szCs w:val="24"/>
        </w:rPr>
        <w:t xml:space="preserve"> completing digital literacy</w:t>
      </w:r>
      <w:r w:rsidR="007C64F6" w:rsidRPr="007C64F6">
        <w:rPr>
          <w:rFonts w:ascii="Palatino Linotype" w:hAnsi="Palatino Linotype"/>
          <w:color w:val="000000" w:themeColor="text1"/>
          <w:sz w:val="24"/>
          <w:szCs w:val="24"/>
        </w:rPr>
        <w:t xml:space="preserve"> training courses</w:t>
      </w:r>
      <w:r w:rsidR="007C64F6">
        <w:rPr>
          <w:rFonts w:ascii="Palatino Linotype" w:hAnsi="Palatino Linotype"/>
          <w:color w:val="000000" w:themeColor="text1"/>
          <w:sz w:val="24"/>
          <w:szCs w:val="24"/>
        </w:rPr>
        <w:t>.</w:t>
      </w:r>
      <w:r w:rsidRPr="00A43F2E">
        <w:rPr>
          <w:rFonts w:ascii="Palatino Linotype" w:hAnsi="Palatino Linotype"/>
          <w:color w:val="000000" w:themeColor="text1"/>
          <w:sz w:val="24"/>
          <w:szCs w:val="24"/>
        </w:rPr>
        <w:t xml:space="preserve">   </w:t>
      </w:r>
      <w:r w:rsidR="00202E22">
        <w:rPr>
          <w:rFonts w:ascii="Palatino Linotype" w:hAnsi="Palatino Linotype"/>
          <w:color w:val="000000" w:themeColor="text1"/>
          <w:sz w:val="24"/>
          <w:szCs w:val="24"/>
        </w:rPr>
        <w:t>Reimbursement for take</w:t>
      </w:r>
      <w:r w:rsidR="00B34BCE">
        <w:rPr>
          <w:rFonts w:ascii="Palatino Linotype" w:hAnsi="Palatino Linotype"/>
          <w:color w:val="000000" w:themeColor="text1"/>
          <w:sz w:val="24"/>
          <w:szCs w:val="24"/>
        </w:rPr>
        <w:noBreakHyphen/>
      </w:r>
      <w:r w:rsidR="00202E22">
        <w:rPr>
          <w:rFonts w:ascii="Palatino Linotype" w:hAnsi="Palatino Linotype"/>
          <w:color w:val="000000" w:themeColor="text1"/>
          <w:sz w:val="24"/>
          <w:szCs w:val="24"/>
        </w:rPr>
        <w:t>home c</w:t>
      </w:r>
      <w:r w:rsidR="00FA7E7F" w:rsidRPr="00FA7E7F">
        <w:rPr>
          <w:rFonts w:ascii="Palatino Linotype" w:hAnsi="Palatino Linotype"/>
          <w:color w:val="000000" w:themeColor="text1"/>
          <w:sz w:val="24"/>
          <w:szCs w:val="24"/>
        </w:rPr>
        <w:t xml:space="preserve">omputing devices </w:t>
      </w:r>
      <w:r w:rsidR="00202E22">
        <w:rPr>
          <w:rFonts w:ascii="Palatino Linotype" w:hAnsi="Palatino Linotype"/>
          <w:color w:val="000000" w:themeColor="text1"/>
          <w:sz w:val="24"/>
          <w:szCs w:val="24"/>
        </w:rPr>
        <w:t xml:space="preserve">are </w:t>
      </w:r>
      <w:r w:rsidR="00FA7E7F" w:rsidRPr="00FA7E7F">
        <w:rPr>
          <w:rFonts w:ascii="Palatino Linotype" w:hAnsi="Palatino Linotype"/>
          <w:color w:val="000000" w:themeColor="text1"/>
          <w:sz w:val="24"/>
          <w:szCs w:val="24"/>
        </w:rPr>
        <w:t>capped at $150 per device</w:t>
      </w:r>
      <w:r w:rsidR="00202E22">
        <w:rPr>
          <w:rFonts w:ascii="Palatino Linotype" w:hAnsi="Palatino Linotype"/>
          <w:color w:val="000000" w:themeColor="text1"/>
          <w:sz w:val="24"/>
          <w:szCs w:val="24"/>
        </w:rPr>
        <w:t xml:space="preserve">, limited to </w:t>
      </w:r>
      <w:r w:rsidR="00FA7E7F" w:rsidRPr="00FA7E7F">
        <w:rPr>
          <w:rFonts w:ascii="Palatino Linotype" w:hAnsi="Palatino Linotype"/>
          <w:color w:val="000000" w:themeColor="text1"/>
          <w:sz w:val="24"/>
          <w:szCs w:val="24"/>
        </w:rPr>
        <w:t xml:space="preserve">one computing device per eligible household, </w:t>
      </w:r>
      <w:r w:rsidR="00202E22">
        <w:rPr>
          <w:rFonts w:ascii="Palatino Linotype" w:hAnsi="Palatino Linotype"/>
          <w:color w:val="000000" w:themeColor="text1"/>
          <w:sz w:val="24"/>
          <w:szCs w:val="24"/>
        </w:rPr>
        <w:t xml:space="preserve">and limited to </w:t>
      </w:r>
      <w:r w:rsidR="00FA7E7F" w:rsidRPr="00FA7E7F">
        <w:rPr>
          <w:rFonts w:ascii="Palatino Linotype" w:hAnsi="Palatino Linotype"/>
          <w:color w:val="000000" w:themeColor="text1"/>
          <w:sz w:val="24"/>
          <w:szCs w:val="24"/>
        </w:rPr>
        <w:t>$10,000 per</w:t>
      </w:r>
      <w:r w:rsidR="00FA7E7F">
        <w:rPr>
          <w:rFonts w:ascii="Palatino Linotype" w:hAnsi="Palatino Linotype"/>
          <w:color w:val="000000" w:themeColor="text1"/>
          <w:sz w:val="24"/>
          <w:szCs w:val="24"/>
        </w:rPr>
        <w:t xml:space="preserve"> application/project location.  </w:t>
      </w:r>
      <w:r>
        <w:rPr>
          <w:rFonts w:ascii="Palatino Linotype" w:hAnsi="Palatino Linotype"/>
          <w:color w:val="000000" w:themeColor="text1"/>
          <w:sz w:val="24"/>
          <w:szCs w:val="24"/>
        </w:rPr>
        <w:t>Grantees should ensure proof of eligibility in their distribution of computing devices for households.</w:t>
      </w:r>
    </w:p>
    <w:p w:rsidR="00C610C7" w:rsidRPr="00AF35A5" w:rsidRDefault="00C610C7" w:rsidP="00C610C7">
      <w:pPr>
        <w:ind w:left="360"/>
        <w:rPr>
          <w:rFonts w:ascii="Palatino Linotype" w:hAnsi="Palatino Linotype"/>
          <w:color w:val="000000" w:themeColor="text1"/>
          <w:sz w:val="24"/>
          <w:szCs w:val="24"/>
        </w:rPr>
      </w:pPr>
    </w:p>
    <w:p w:rsidR="00C610C7" w:rsidRPr="00AF35A5" w:rsidRDefault="00C610C7" w:rsidP="009A00FB">
      <w:pPr>
        <w:pStyle w:val="Heading2"/>
        <w:numPr>
          <w:ilvl w:val="1"/>
          <w:numId w:val="35"/>
        </w:numPr>
      </w:pPr>
      <w:bookmarkStart w:id="639" w:name="_Toc505786736"/>
      <w:bookmarkStart w:id="640" w:name="_Toc514153034"/>
      <w:r w:rsidRPr="00AF35A5">
        <w:lastRenderedPageBreak/>
        <w:t>Information Required from Applicants</w:t>
      </w:r>
      <w:bookmarkEnd w:id="639"/>
      <w:bookmarkEnd w:id="640"/>
    </w:p>
    <w:p w:rsidR="00C610C7" w:rsidRPr="00AF35A5" w:rsidRDefault="00C610C7" w:rsidP="00C610C7">
      <w:pPr>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Applicants must complete and submit a project application form, which will be available on the Commission’s website.  Staff will post the application descriptions submitted by the deadline on the CASF webpage.</w:t>
      </w:r>
      <w:r w:rsidR="00B72AF7">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Applicants must submit the following information to the Commission for each proposed project:</w:t>
      </w:r>
    </w:p>
    <w:p w:rsidR="00C610C7" w:rsidRPr="00AF35A5" w:rsidRDefault="00C610C7" w:rsidP="00C610C7">
      <w:pPr>
        <w:ind w:left="360"/>
        <w:rPr>
          <w:rFonts w:ascii="Palatino Linotype" w:hAnsi="Palatino Linotype"/>
          <w:color w:val="000000" w:themeColor="text1"/>
          <w:sz w:val="24"/>
          <w:szCs w:val="24"/>
        </w:rPr>
      </w:pPr>
    </w:p>
    <w:p w:rsidR="00C610C7" w:rsidRPr="00AF35A5" w:rsidRDefault="00C610C7" w:rsidP="00B93DB0">
      <w:pPr>
        <w:pStyle w:val="Heading5"/>
        <w:numPr>
          <w:ilvl w:val="4"/>
          <w:numId w:val="35"/>
        </w:numPr>
        <w:spacing w:before="0" w:after="0"/>
        <w:ind w:left="360"/>
        <w:rPr>
          <w:rFonts w:ascii="Palatino Linotype" w:hAnsi="Palatino Linotype"/>
          <w:color w:val="000000" w:themeColor="text1"/>
          <w:sz w:val="24"/>
          <w:szCs w:val="24"/>
        </w:rPr>
      </w:pPr>
      <w:bookmarkStart w:id="641" w:name="_Toc514153035"/>
      <w:r w:rsidRPr="00AF35A5">
        <w:rPr>
          <w:rFonts w:ascii="Palatino Linotype" w:hAnsi="Palatino Linotype"/>
          <w:color w:val="000000" w:themeColor="text1"/>
          <w:sz w:val="24"/>
          <w:szCs w:val="24"/>
        </w:rPr>
        <w:t>Digital Literacy Project</w:t>
      </w:r>
      <w:bookmarkEnd w:id="641"/>
      <w:r w:rsidR="00334134">
        <w:rPr>
          <w:rFonts w:ascii="Palatino Linotype" w:hAnsi="Palatino Linotype"/>
          <w:color w:val="000000" w:themeColor="text1"/>
          <w:sz w:val="24"/>
          <w:szCs w:val="24"/>
        </w:rPr>
        <w:t>s &amp; Broadband Access Projects</w:t>
      </w:r>
    </w:p>
    <w:p w:rsidR="00C610C7" w:rsidRPr="00AF35A5" w:rsidRDefault="00C610C7" w:rsidP="00C610C7">
      <w:pPr>
        <w:ind w:left="360"/>
        <w:rPr>
          <w:rFonts w:ascii="Palatino Linotype" w:hAnsi="Palatino Linotype"/>
          <w:color w:val="000000" w:themeColor="text1"/>
          <w:sz w:val="24"/>
          <w:szCs w:val="24"/>
        </w:rPr>
      </w:pPr>
    </w:p>
    <w:p w:rsidR="00C610C7" w:rsidRPr="00AF35A5" w:rsidRDefault="00C610C7" w:rsidP="00AE60DE">
      <w:pPr>
        <w:pStyle w:val="ListParagraph"/>
        <w:numPr>
          <w:ilvl w:val="0"/>
          <w:numId w:val="70"/>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Project Description </w:t>
      </w:r>
    </w:p>
    <w:p w:rsidR="00C610C7" w:rsidRPr="00350EE8" w:rsidRDefault="00C610C7" w:rsidP="00AE60DE">
      <w:pPr>
        <w:pStyle w:val="ListParagraph"/>
        <w:numPr>
          <w:ilvl w:val="0"/>
          <w:numId w:val="71"/>
        </w:numPr>
        <w:rPr>
          <w:rFonts w:ascii="Palatino Linotype" w:hAnsi="Palatino Linotype"/>
          <w:color w:val="000000" w:themeColor="text1"/>
          <w:sz w:val="24"/>
          <w:szCs w:val="24"/>
        </w:rPr>
      </w:pPr>
      <w:r w:rsidRPr="00350EE8">
        <w:rPr>
          <w:rFonts w:ascii="Palatino Linotype" w:hAnsi="Palatino Linotype"/>
          <w:color w:val="000000" w:themeColor="text1"/>
          <w:sz w:val="24"/>
          <w:szCs w:val="24"/>
        </w:rPr>
        <w:t>Applicant’s name, description of organization;</w:t>
      </w:r>
    </w:p>
    <w:p w:rsidR="00C610C7" w:rsidRPr="00350EE8" w:rsidRDefault="00C610C7" w:rsidP="00AE60DE">
      <w:pPr>
        <w:pStyle w:val="ListParagraph"/>
        <w:numPr>
          <w:ilvl w:val="0"/>
          <w:numId w:val="71"/>
        </w:numPr>
        <w:rPr>
          <w:rFonts w:ascii="Palatino Linotype" w:hAnsi="Palatino Linotype"/>
          <w:color w:val="000000" w:themeColor="text1"/>
          <w:sz w:val="24"/>
          <w:szCs w:val="24"/>
        </w:rPr>
      </w:pPr>
      <w:r w:rsidRPr="00350EE8">
        <w:rPr>
          <w:rFonts w:ascii="Palatino Linotype" w:hAnsi="Palatino Linotype"/>
          <w:color w:val="000000" w:themeColor="text1"/>
          <w:sz w:val="24"/>
          <w:szCs w:val="24"/>
        </w:rPr>
        <w:t>Applicant’s non</w:t>
      </w:r>
      <w:r w:rsidR="00B34BCE">
        <w:rPr>
          <w:rFonts w:ascii="Palatino Linotype" w:hAnsi="Palatino Linotype"/>
          <w:color w:val="000000" w:themeColor="text1"/>
          <w:sz w:val="24"/>
          <w:szCs w:val="24"/>
        </w:rPr>
        <w:noBreakHyphen/>
      </w:r>
      <w:r w:rsidRPr="00350EE8">
        <w:rPr>
          <w:rFonts w:ascii="Palatino Linotype" w:hAnsi="Palatino Linotype"/>
          <w:color w:val="000000" w:themeColor="text1"/>
          <w:sz w:val="24"/>
          <w:szCs w:val="24"/>
        </w:rPr>
        <w:t>profit designation, if applicable;</w:t>
      </w:r>
    </w:p>
    <w:p w:rsidR="00C610C7" w:rsidRPr="00AF35A5" w:rsidRDefault="00C610C7" w:rsidP="00AE60DE">
      <w:pPr>
        <w:pStyle w:val="ListParagraph"/>
        <w:numPr>
          <w:ilvl w:val="0"/>
          <w:numId w:val="71"/>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Applicant’s experience in providing digital literacy instruction</w:t>
      </w:r>
      <w:r w:rsidR="00334134">
        <w:rPr>
          <w:rFonts w:ascii="Palatino Linotype" w:hAnsi="Palatino Linotype"/>
          <w:color w:val="000000" w:themeColor="text1"/>
          <w:sz w:val="24"/>
          <w:szCs w:val="24"/>
        </w:rPr>
        <w:t xml:space="preserve"> </w:t>
      </w:r>
      <w:r w:rsidR="00D16521">
        <w:rPr>
          <w:rFonts w:ascii="Palatino Linotype" w:hAnsi="Palatino Linotype"/>
          <w:color w:val="000000" w:themeColor="text1"/>
          <w:sz w:val="24"/>
          <w:szCs w:val="24"/>
        </w:rPr>
        <w:t>or</w:t>
      </w:r>
      <w:r w:rsidR="00334134">
        <w:rPr>
          <w:rFonts w:ascii="Palatino Linotype" w:hAnsi="Palatino Linotype"/>
          <w:color w:val="000000" w:themeColor="text1"/>
          <w:sz w:val="24"/>
          <w:szCs w:val="24"/>
        </w:rPr>
        <w:t xml:space="preserve"> broadband access</w:t>
      </w:r>
      <w:r w:rsidRPr="00AF35A5">
        <w:rPr>
          <w:rFonts w:ascii="Palatino Linotype" w:hAnsi="Palatino Linotype"/>
          <w:color w:val="000000" w:themeColor="text1"/>
          <w:sz w:val="24"/>
          <w:szCs w:val="24"/>
        </w:rPr>
        <w:t>;</w:t>
      </w:r>
    </w:p>
    <w:p w:rsidR="00C610C7" w:rsidRPr="00AF35A5" w:rsidRDefault="00C610C7" w:rsidP="00AE60DE">
      <w:pPr>
        <w:pStyle w:val="ListParagraph"/>
        <w:numPr>
          <w:ilvl w:val="0"/>
          <w:numId w:val="71"/>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Contact person, title, address, e</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mail, phone;</w:t>
      </w:r>
    </w:p>
    <w:p w:rsidR="00C610C7" w:rsidRPr="00AF35A5" w:rsidRDefault="00C610C7" w:rsidP="00AE60DE">
      <w:pPr>
        <w:pStyle w:val="ListParagraph"/>
        <w:numPr>
          <w:ilvl w:val="0"/>
          <w:numId w:val="71"/>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Project title;</w:t>
      </w:r>
    </w:p>
    <w:p w:rsidR="00C610C7" w:rsidRPr="00AF35A5" w:rsidRDefault="00C610C7" w:rsidP="00AE60DE">
      <w:pPr>
        <w:pStyle w:val="ListParagraph"/>
        <w:numPr>
          <w:ilvl w:val="0"/>
          <w:numId w:val="71"/>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Proposed Project Area</w:t>
      </w:r>
      <w:r w:rsidR="00F47049">
        <w:rPr>
          <w:rFonts w:ascii="Palatino Linotype" w:hAnsi="Palatino Linotype"/>
          <w:color w:val="000000" w:themeColor="text1"/>
          <w:sz w:val="24"/>
          <w:szCs w:val="24"/>
        </w:rPr>
        <w:t>/Community/</w:t>
      </w:r>
      <w:r w:rsidRPr="00AF35A5">
        <w:rPr>
          <w:rFonts w:ascii="Palatino Linotype" w:hAnsi="Palatino Linotype"/>
          <w:color w:val="000000" w:themeColor="text1"/>
          <w:sz w:val="24"/>
          <w:szCs w:val="24"/>
        </w:rPr>
        <w:t xml:space="preserve"> Location (Community / County / Census Block(s)) including address (if applicable);</w:t>
      </w:r>
    </w:p>
    <w:p w:rsidR="00C610C7" w:rsidRPr="00AF35A5" w:rsidRDefault="00C610C7" w:rsidP="00AE60DE">
      <w:pPr>
        <w:pStyle w:val="ListParagraph"/>
        <w:numPr>
          <w:ilvl w:val="0"/>
          <w:numId w:val="71"/>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CASF Funding Requested (Amount of Grant);</w:t>
      </w:r>
    </w:p>
    <w:p w:rsidR="00C610C7" w:rsidRPr="00AF35A5" w:rsidRDefault="00C610C7" w:rsidP="00AE60DE">
      <w:pPr>
        <w:pStyle w:val="ListParagraph"/>
        <w:numPr>
          <w:ilvl w:val="0"/>
          <w:numId w:val="71"/>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Efforts to leverage</w:t>
      </w:r>
      <w:r w:rsidR="005D2E3E">
        <w:rPr>
          <w:rFonts w:ascii="Palatino Linotype" w:hAnsi="Palatino Linotype"/>
          <w:color w:val="000000" w:themeColor="text1"/>
          <w:sz w:val="24"/>
          <w:szCs w:val="24"/>
        </w:rPr>
        <w:t xml:space="preserve"> funds from other sources</w:t>
      </w:r>
      <w:r w:rsidRPr="00AF35A5">
        <w:rPr>
          <w:rFonts w:ascii="Palatino Linotype" w:hAnsi="Palatino Linotype"/>
          <w:color w:val="000000" w:themeColor="text1"/>
          <w:sz w:val="24"/>
          <w:szCs w:val="24"/>
        </w:rPr>
        <w:t xml:space="preserve"> </w:t>
      </w:r>
      <w:r w:rsidR="005D2E3E">
        <w:rPr>
          <w:rFonts w:ascii="Palatino Linotype" w:hAnsi="Palatino Linotype"/>
          <w:color w:val="000000" w:themeColor="text1"/>
          <w:sz w:val="24"/>
          <w:szCs w:val="24"/>
        </w:rPr>
        <w:t>(</w:t>
      </w:r>
      <w:r w:rsidRPr="00AF35A5">
        <w:rPr>
          <w:rFonts w:ascii="Palatino Linotype" w:hAnsi="Palatino Linotype"/>
          <w:color w:val="000000" w:themeColor="text1"/>
          <w:sz w:val="24"/>
          <w:szCs w:val="24"/>
        </w:rPr>
        <w:t>non</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CASF moneys</w:t>
      </w:r>
      <w:r w:rsidR="005D2E3E">
        <w:rPr>
          <w:rFonts w:ascii="Palatino Linotype" w:hAnsi="Palatino Linotype"/>
          <w:color w:val="000000" w:themeColor="text1"/>
          <w:sz w:val="24"/>
          <w:szCs w:val="24"/>
        </w:rPr>
        <w:t>)</w:t>
      </w:r>
      <w:r w:rsidRPr="00AF35A5">
        <w:rPr>
          <w:rFonts w:ascii="Palatino Linotype" w:hAnsi="Palatino Linotype"/>
          <w:color w:val="000000" w:themeColor="text1"/>
          <w:sz w:val="24"/>
          <w:szCs w:val="24"/>
        </w:rPr>
        <w:t>;</w:t>
      </w:r>
    </w:p>
    <w:p w:rsidR="00C610C7" w:rsidRPr="00AF35A5" w:rsidRDefault="00F47049" w:rsidP="00AE60DE">
      <w:pPr>
        <w:pStyle w:val="ListParagraph"/>
        <w:numPr>
          <w:ilvl w:val="0"/>
          <w:numId w:val="71"/>
        </w:numPr>
        <w:rPr>
          <w:rFonts w:ascii="Palatino Linotype" w:hAnsi="Palatino Linotype"/>
          <w:color w:val="000000" w:themeColor="text1"/>
          <w:sz w:val="24"/>
          <w:szCs w:val="24"/>
        </w:rPr>
      </w:pPr>
      <w:r>
        <w:rPr>
          <w:rFonts w:ascii="Palatino Linotype" w:hAnsi="Palatino Linotype"/>
          <w:color w:val="000000" w:themeColor="text1"/>
          <w:sz w:val="24"/>
          <w:szCs w:val="24"/>
        </w:rPr>
        <w:t xml:space="preserve">Area/ </w:t>
      </w:r>
      <w:r w:rsidR="00C610C7" w:rsidRPr="00AF35A5">
        <w:rPr>
          <w:rFonts w:ascii="Palatino Linotype" w:hAnsi="Palatino Linotype"/>
          <w:color w:val="000000" w:themeColor="text1"/>
          <w:sz w:val="24"/>
          <w:szCs w:val="24"/>
        </w:rPr>
        <w:t>Community</w:t>
      </w:r>
      <w:r>
        <w:rPr>
          <w:rFonts w:ascii="Palatino Linotype" w:hAnsi="Palatino Linotype"/>
          <w:color w:val="000000" w:themeColor="text1"/>
          <w:sz w:val="24"/>
          <w:szCs w:val="24"/>
        </w:rPr>
        <w:t>/</w:t>
      </w:r>
      <w:r w:rsidR="00C610C7" w:rsidRPr="00AF35A5">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L</w:t>
      </w:r>
      <w:r w:rsidR="00C610C7" w:rsidRPr="00AF35A5">
        <w:rPr>
          <w:rFonts w:ascii="Palatino Linotype" w:hAnsi="Palatino Linotype"/>
          <w:color w:val="000000" w:themeColor="text1"/>
          <w:sz w:val="24"/>
          <w:szCs w:val="24"/>
        </w:rPr>
        <w:t>ocation</w:t>
      </w:r>
      <w:r>
        <w:rPr>
          <w:rFonts w:ascii="Palatino Linotype" w:hAnsi="Palatino Linotype"/>
          <w:color w:val="000000" w:themeColor="text1"/>
          <w:sz w:val="24"/>
          <w:szCs w:val="24"/>
        </w:rPr>
        <w:t>’s</w:t>
      </w:r>
      <w:r w:rsidR="00C610C7" w:rsidRPr="00AF35A5">
        <w:rPr>
          <w:rFonts w:ascii="Palatino Linotype" w:hAnsi="Palatino Linotype"/>
          <w:color w:val="000000" w:themeColor="text1"/>
          <w:sz w:val="24"/>
          <w:szCs w:val="24"/>
        </w:rPr>
        <w:t xml:space="preserve"> (by census tract or other delineation), adoption levels, income, demographics;</w:t>
      </w:r>
    </w:p>
    <w:p w:rsidR="00C610C7" w:rsidRPr="00AF35A5" w:rsidRDefault="00C610C7" w:rsidP="00AE60DE">
      <w:pPr>
        <w:pStyle w:val="ListParagraph"/>
        <w:numPr>
          <w:ilvl w:val="0"/>
          <w:numId w:val="71"/>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Needs Assessment. Description of the need for this project: Does the community have low broadband adoption relative to the statewide average?  Does the community face socioeconomic barriers to broadband access and adoption? For example, see NTIA Toolkit “Understand Community Needs and Opportunities”</w:t>
      </w:r>
      <w:r w:rsidRPr="00AE60DE">
        <w:rPr>
          <w:sz w:val="16"/>
          <w:szCs w:val="16"/>
        </w:rPr>
        <w:footnoteReference w:id="93"/>
      </w:r>
    </w:p>
    <w:p w:rsidR="00C610C7" w:rsidRPr="00AF35A5" w:rsidRDefault="00B770A6" w:rsidP="00AE60DE">
      <w:pPr>
        <w:pStyle w:val="ListParagraph"/>
        <w:numPr>
          <w:ilvl w:val="0"/>
          <w:numId w:val="71"/>
        </w:numPr>
        <w:rPr>
          <w:rFonts w:ascii="Palatino Linotype" w:hAnsi="Palatino Linotype"/>
          <w:color w:val="000000" w:themeColor="text1"/>
          <w:sz w:val="24"/>
          <w:szCs w:val="24"/>
        </w:rPr>
      </w:pPr>
      <w:r>
        <w:rPr>
          <w:rFonts w:ascii="Palatino Linotype" w:hAnsi="Palatino Linotype"/>
          <w:color w:val="000000" w:themeColor="text1"/>
          <w:sz w:val="24"/>
          <w:szCs w:val="24"/>
        </w:rPr>
        <w:t xml:space="preserve">Completed </w:t>
      </w:r>
      <w:r w:rsidR="00C610C7" w:rsidRPr="00AF35A5">
        <w:rPr>
          <w:rFonts w:ascii="Palatino Linotype" w:hAnsi="Palatino Linotype"/>
          <w:color w:val="000000" w:themeColor="text1"/>
          <w:sz w:val="24"/>
          <w:szCs w:val="24"/>
        </w:rPr>
        <w:t>Preferences Checklist</w:t>
      </w:r>
    </w:p>
    <w:p w:rsidR="00C610C7" w:rsidRPr="00AF35A5" w:rsidRDefault="00C610C7" w:rsidP="00AE60DE">
      <w:pPr>
        <w:pStyle w:val="ListParagraph"/>
        <w:numPr>
          <w:ilvl w:val="0"/>
          <w:numId w:val="71"/>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Demonstration </w:t>
      </w:r>
      <w:r w:rsidR="00B770A6">
        <w:rPr>
          <w:rFonts w:ascii="Palatino Linotype" w:hAnsi="Palatino Linotype"/>
          <w:color w:val="000000" w:themeColor="text1"/>
          <w:sz w:val="24"/>
          <w:szCs w:val="24"/>
        </w:rPr>
        <w:t xml:space="preserve">of </w:t>
      </w:r>
      <w:r w:rsidRPr="00AF35A5">
        <w:rPr>
          <w:rFonts w:ascii="Palatino Linotype" w:hAnsi="Palatino Linotype"/>
          <w:color w:val="000000" w:themeColor="text1"/>
          <w:sz w:val="24"/>
          <w:szCs w:val="24"/>
        </w:rPr>
        <w:t>community support: examples could include letters of endorsements should be obtained from community</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based </w:t>
      </w:r>
      <w:r w:rsidRPr="00AF35A5">
        <w:rPr>
          <w:rFonts w:ascii="Palatino Linotype" w:hAnsi="Palatino Linotype"/>
          <w:color w:val="000000" w:themeColor="text1"/>
          <w:sz w:val="24"/>
          <w:szCs w:val="24"/>
        </w:rPr>
        <w:lastRenderedPageBreak/>
        <w:t xml:space="preserve">organizations, schools, hospitals, libraries, businesses and consumers;  </w:t>
      </w:r>
    </w:p>
    <w:p w:rsidR="00C610C7" w:rsidRPr="00AF35A5" w:rsidRDefault="00C610C7" w:rsidP="00AE60DE">
      <w:pPr>
        <w:pStyle w:val="ListParagraph"/>
        <w:numPr>
          <w:ilvl w:val="0"/>
          <w:numId w:val="71"/>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Description of partnerships with local C</w:t>
      </w:r>
      <w:r w:rsidR="00B770A6">
        <w:rPr>
          <w:rFonts w:ascii="Palatino Linotype" w:hAnsi="Palatino Linotype"/>
          <w:color w:val="000000" w:themeColor="text1"/>
          <w:sz w:val="24"/>
          <w:szCs w:val="24"/>
        </w:rPr>
        <w:t xml:space="preserve">ommunity </w:t>
      </w:r>
      <w:r w:rsidRPr="00AF35A5">
        <w:rPr>
          <w:rFonts w:ascii="Palatino Linotype" w:hAnsi="Palatino Linotype"/>
          <w:color w:val="000000" w:themeColor="text1"/>
          <w:sz w:val="24"/>
          <w:szCs w:val="24"/>
        </w:rPr>
        <w:t>B</w:t>
      </w:r>
      <w:r w:rsidR="00B770A6">
        <w:rPr>
          <w:rFonts w:ascii="Palatino Linotype" w:hAnsi="Palatino Linotype"/>
          <w:color w:val="000000" w:themeColor="text1"/>
          <w:sz w:val="24"/>
          <w:szCs w:val="24"/>
        </w:rPr>
        <w:t xml:space="preserve">ased </w:t>
      </w:r>
      <w:r w:rsidRPr="00AF35A5">
        <w:rPr>
          <w:rFonts w:ascii="Palatino Linotype" w:hAnsi="Palatino Linotype"/>
          <w:color w:val="000000" w:themeColor="text1"/>
          <w:sz w:val="24"/>
          <w:szCs w:val="24"/>
        </w:rPr>
        <w:t>O</w:t>
      </w:r>
      <w:r w:rsidR="00B770A6">
        <w:rPr>
          <w:rFonts w:ascii="Palatino Linotype" w:hAnsi="Palatino Linotype"/>
          <w:color w:val="000000" w:themeColor="text1"/>
          <w:sz w:val="24"/>
          <w:szCs w:val="24"/>
        </w:rPr>
        <w:t>rganizations (CBOs)</w:t>
      </w:r>
      <w:r w:rsidRPr="00AF35A5">
        <w:rPr>
          <w:rFonts w:ascii="Palatino Linotype" w:hAnsi="Palatino Linotype"/>
          <w:color w:val="000000" w:themeColor="text1"/>
          <w:sz w:val="24"/>
          <w:szCs w:val="24"/>
        </w:rPr>
        <w:t>s, I</w:t>
      </w:r>
      <w:r w:rsidR="00B35CE5">
        <w:rPr>
          <w:rFonts w:ascii="Palatino Linotype" w:hAnsi="Palatino Linotype"/>
          <w:color w:val="000000" w:themeColor="text1"/>
          <w:sz w:val="24"/>
          <w:szCs w:val="24"/>
        </w:rPr>
        <w:t xml:space="preserve">nternet </w:t>
      </w:r>
      <w:r w:rsidRPr="00AF35A5">
        <w:rPr>
          <w:rFonts w:ascii="Palatino Linotype" w:hAnsi="Palatino Linotype"/>
          <w:color w:val="000000" w:themeColor="text1"/>
          <w:sz w:val="24"/>
          <w:szCs w:val="24"/>
        </w:rPr>
        <w:t>S</w:t>
      </w:r>
      <w:r w:rsidR="00B35CE5">
        <w:rPr>
          <w:rFonts w:ascii="Palatino Linotype" w:hAnsi="Palatino Linotype"/>
          <w:color w:val="000000" w:themeColor="text1"/>
          <w:sz w:val="24"/>
          <w:szCs w:val="24"/>
        </w:rPr>
        <w:t xml:space="preserve">ervice </w:t>
      </w:r>
      <w:r w:rsidR="0088530B" w:rsidRPr="00AF35A5">
        <w:rPr>
          <w:rFonts w:ascii="Palatino Linotype" w:hAnsi="Palatino Linotype"/>
          <w:color w:val="000000" w:themeColor="text1"/>
          <w:sz w:val="24"/>
          <w:szCs w:val="24"/>
        </w:rPr>
        <w:t>P</w:t>
      </w:r>
      <w:r w:rsidR="0088530B">
        <w:rPr>
          <w:rFonts w:ascii="Palatino Linotype" w:hAnsi="Palatino Linotype"/>
          <w:color w:val="000000" w:themeColor="text1"/>
          <w:sz w:val="24"/>
          <w:szCs w:val="24"/>
        </w:rPr>
        <w:t>roviders</w:t>
      </w:r>
      <w:r w:rsidRPr="00AF35A5">
        <w:rPr>
          <w:rFonts w:ascii="Palatino Linotype" w:hAnsi="Palatino Linotype"/>
          <w:color w:val="000000" w:themeColor="text1"/>
          <w:sz w:val="24"/>
          <w:szCs w:val="24"/>
        </w:rPr>
        <w:t>, media groups, for</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profit companies and other applicable organizations;</w:t>
      </w:r>
    </w:p>
    <w:p w:rsidR="00C610C7" w:rsidRPr="00AF35A5" w:rsidRDefault="00C610C7" w:rsidP="00AE60DE">
      <w:pPr>
        <w:pStyle w:val="ListParagraph"/>
        <w:numPr>
          <w:ilvl w:val="0"/>
          <w:numId w:val="71"/>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Description of planned outreach efforts, including sample promotional material, planned community events, volunteer recruitment or any other relevant materials;</w:t>
      </w:r>
    </w:p>
    <w:p w:rsidR="00C610C7" w:rsidRPr="00AF35A5" w:rsidRDefault="00C610C7" w:rsidP="00AE60DE">
      <w:pPr>
        <w:pStyle w:val="ListParagraph"/>
        <w:numPr>
          <w:ilvl w:val="0"/>
          <w:numId w:val="71"/>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Projected number of participants reached through outreach activities;</w:t>
      </w:r>
    </w:p>
    <w:p w:rsidR="00C610C7" w:rsidRPr="00AF35A5" w:rsidRDefault="00C610C7" w:rsidP="00AE60DE">
      <w:pPr>
        <w:pStyle w:val="ListParagraph"/>
        <w:numPr>
          <w:ilvl w:val="0"/>
          <w:numId w:val="71"/>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Description of partnership with carriers and any existing affordable plans that will be offered in the community;</w:t>
      </w:r>
      <w:r w:rsidR="00B213DD">
        <w:rPr>
          <w:rFonts w:ascii="Palatino Linotype" w:hAnsi="Palatino Linotype"/>
          <w:color w:val="000000" w:themeColor="text1"/>
          <w:sz w:val="24"/>
          <w:szCs w:val="24"/>
        </w:rPr>
        <w:t xml:space="preserve"> and</w:t>
      </w:r>
    </w:p>
    <w:p w:rsidR="00A95CD7" w:rsidRPr="00AE60DE" w:rsidRDefault="00C610C7" w:rsidP="00AE60DE">
      <w:pPr>
        <w:pStyle w:val="ListParagraph"/>
        <w:numPr>
          <w:ilvl w:val="0"/>
          <w:numId w:val="71"/>
        </w:numPr>
        <w:rPr>
          <w:rFonts w:ascii="Palatino Linotype" w:hAnsi="Palatino Linotype"/>
          <w:color w:val="000000" w:themeColor="text1"/>
          <w:sz w:val="24"/>
          <w:szCs w:val="24"/>
        </w:rPr>
      </w:pPr>
      <w:r w:rsidRPr="00AE60DE">
        <w:rPr>
          <w:rFonts w:ascii="Palatino Linotype" w:hAnsi="Palatino Linotype"/>
          <w:color w:val="000000" w:themeColor="text1"/>
          <w:sz w:val="24"/>
          <w:szCs w:val="24"/>
        </w:rPr>
        <w:t>Projected number of new residential broadband subscriptions resulting from the project (including documentation of all assumptions and data sources used to compile estimates).</w:t>
      </w:r>
    </w:p>
    <w:p w:rsidR="006F4444" w:rsidRDefault="006F4444" w:rsidP="00B74875">
      <w:pPr>
        <w:pStyle w:val="Heading5"/>
        <w:numPr>
          <w:ilvl w:val="4"/>
          <w:numId w:val="35"/>
        </w:numPr>
        <w:spacing w:before="0" w:after="0"/>
        <w:ind w:left="360"/>
        <w:rPr>
          <w:rFonts w:ascii="Palatino Linotype" w:hAnsi="Palatino Linotype"/>
          <w:i/>
          <w:color w:val="000000" w:themeColor="text1"/>
          <w:sz w:val="24"/>
          <w:szCs w:val="24"/>
        </w:rPr>
      </w:pPr>
    </w:p>
    <w:p w:rsidR="00B74875" w:rsidRPr="00AE60DE" w:rsidRDefault="00B74875" w:rsidP="00B74875">
      <w:pPr>
        <w:pStyle w:val="Heading5"/>
        <w:numPr>
          <w:ilvl w:val="4"/>
          <w:numId w:val="35"/>
        </w:numPr>
        <w:spacing w:before="0" w:after="0"/>
        <w:ind w:left="360"/>
        <w:rPr>
          <w:rFonts w:ascii="Palatino Linotype" w:hAnsi="Palatino Linotype"/>
          <w:i/>
          <w:color w:val="000000" w:themeColor="text1"/>
          <w:sz w:val="24"/>
          <w:szCs w:val="24"/>
        </w:rPr>
      </w:pPr>
      <w:r w:rsidRPr="00B74875">
        <w:rPr>
          <w:rFonts w:ascii="Palatino Linotype" w:hAnsi="Palatino Linotype"/>
          <w:i/>
          <w:color w:val="000000" w:themeColor="text1"/>
          <w:sz w:val="24"/>
          <w:szCs w:val="24"/>
        </w:rPr>
        <w:t>Additional</w:t>
      </w:r>
      <w:r w:rsidRPr="00AE60DE">
        <w:rPr>
          <w:rFonts w:ascii="Palatino Linotype" w:hAnsi="Palatino Linotype"/>
          <w:i/>
          <w:color w:val="000000" w:themeColor="text1"/>
          <w:sz w:val="24"/>
          <w:szCs w:val="24"/>
        </w:rPr>
        <w:t xml:space="preserve"> </w:t>
      </w:r>
      <w:r w:rsidR="0074428D" w:rsidRPr="0074428D">
        <w:rPr>
          <w:rFonts w:ascii="Palatino Linotype" w:hAnsi="Palatino Linotype"/>
          <w:i/>
          <w:color w:val="000000" w:themeColor="text1"/>
          <w:sz w:val="24"/>
          <w:szCs w:val="24"/>
        </w:rPr>
        <w:t>Information</w:t>
      </w:r>
      <w:r w:rsidRPr="00AE60DE">
        <w:rPr>
          <w:rFonts w:ascii="Palatino Linotype" w:hAnsi="Palatino Linotype"/>
          <w:i/>
          <w:color w:val="000000" w:themeColor="text1"/>
          <w:sz w:val="24"/>
          <w:szCs w:val="24"/>
        </w:rPr>
        <w:t xml:space="preserve"> Required for Digital Literacy </w:t>
      </w:r>
      <w:r w:rsidR="006D4671" w:rsidRPr="006D4671">
        <w:rPr>
          <w:rFonts w:ascii="Palatino Linotype" w:hAnsi="Palatino Linotype"/>
          <w:i/>
          <w:color w:val="000000" w:themeColor="text1"/>
          <w:sz w:val="24"/>
          <w:szCs w:val="24"/>
        </w:rPr>
        <w:t>Projects only</w:t>
      </w:r>
    </w:p>
    <w:p w:rsidR="00B213DD" w:rsidRPr="00AF35A5" w:rsidRDefault="00B213DD" w:rsidP="00AE60DE">
      <w:pPr>
        <w:pStyle w:val="ListParagraph"/>
        <w:numPr>
          <w:ilvl w:val="0"/>
          <w:numId w:val="77"/>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Curriculum for training;</w:t>
      </w:r>
    </w:p>
    <w:p w:rsidR="00B213DD" w:rsidRPr="00AF35A5" w:rsidRDefault="00B213DD" w:rsidP="00AE60DE">
      <w:pPr>
        <w:pStyle w:val="ListParagraph"/>
        <w:numPr>
          <w:ilvl w:val="0"/>
          <w:numId w:val="77"/>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Description of the type of training to be provided (on</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site instructor and/or tutoring);</w:t>
      </w:r>
    </w:p>
    <w:p w:rsidR="00B213DD" w:rsidRDefault="00B213DD" w:rsidP="00AE60DE">
      <w:pPr>
        <w:pStyle w:val="ListParagraph"/>
        <w:numPr>
          <w:ilvl w:val="0"/>
          <w:numId w:val="77"/>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Projected number of participants to be trained by the project;</w:t>
      </w:r>
      <w:r>
        <w:rPr>
          <w:rFonts w:ascii="Palatino Linotype" w:hAnsi="Palatino Linotype"/>
          <w:color w:val="000000" w:themeColor="text1"/>
          <w:sz w:val="24"/>
          <w:szCs w:val="24"/>
        </w:rPr>
        <w:t xml:space="preserve"> and</w:t>
      </w:r>
    </w:p>
    <w:p w:rsidR="00B213DD" w:rsidRPr="00AF35A5" w:rsidRDefault="00B213DD" w:rsidP="00AE60DE">
      <w:pPr>
        <w:pStyle w:val="ListParagraph"/>
        <w:numPr>
          <w:ilvl w:val="0"/>
          <w:numId w:val="77"/>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Projected number of participants who will receive tutoring or other digital literacy instruction (such as the assistance of knowledgeable volunteers during open computer lab hours) outside of the 8</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hour training</w:t>
      </w:r>
      <w:r>
        <w:rPr>
          <w:rFonts w:ascii="Palatino Linotype" w:hAnsi="Palatino Linotype"/>
          <w:color w:val="000000" w:themeColor="text1"/>
          <w:sz w:val="24"/>
          <w:szCs w:val="24"/>
        </w:rPr>
        <w:t xml:space="preserve"> </w:t>
      </w:r>
    </w:p>
    <w:p w:rsidR="00B213DD" w:rsidRDefault="00B213DD" w:rsidP="00B74875">
      <w:pPr>
        <w:pStyle w:val="Heading5"/>
        <w:numPr>
          <w:ilvl w:val="4"/>
          <w:numId w:val="35"/>
        </w:numPr>
        <w:spacing w:before="0" w:after="0"/>
        <w:ind w:left="360"/>
        <w:rPr>
          <w:rFonts w:ascii="Palatino Linotype" w:hAnsi="Palatino Linotype"/>
          <w:i/>
          <w:color w:val="000000" w:themeColor="text1"/>
          <w:sz w:val="24"/>
          <w:szCs w:val="24"/>
        </w:rPr>
      </w:pPr>
    </w:p>
    <w:p w:rsidR="00B74875" w:rsidRPr="00AE60DE" w:rsidRDefault="00B74875" w:rsidP="00B74875">
      <w:pPr>
        <w:pStyle w:val="Heading5"/>
        <w:numPr>
          <w:ilvl w:val="4"/>
          <w:numId w:val="35"/>
        </w:numPr>
        <w:spacing w:before="0" w:after="0"/>
        <w:ind w:left="360"/>
        <w:rPr>
          <w:rFonts w:ascii="Palatino Linotype" w:hAnsi="Palatino Linotype"/>
          <w:i/>
          <w:color w:val="000000" w:themeColor="text1"/>
          <w:sz w:val="24"/>
          <w:szCs w:val="24"/>
        </w:rPr>
      </w:pPr>
      <w:r w:rsidRPr="00B74875">
        <w:rPr>
          <w:rFonts w:ascii="Palatino Linotype" w:hAnsi="Palatino Linotype"/>
          <w:i/>
          <w:color w:val="000000" w:themeColor="text1"/>
          <w:sz w:val="24"/>
          <w:szCs w:val="24"/>
        </w:rPr>
        <w:t>Additional</w:t>
      </w:r>
      <w:r w:rsidRPr="00AE60DE">
        <w:rPr>
          <w:rFonts w:ascii="Palatino Linotype" w:hAnsi="Palatino Linotype"/>
          <w:i/>
          <w:color w:val="000000" w:themeColor="text1"/>
          <w:sz w:val="24"/>
          <w:szCs w:val="24"/>
        </w:rPr>
        <w:t xml:space="preserve"> </w:t>
      </w:r>
      <w:r w:rsidR="0074428D" w:rsidRPr="0074428D">
        <w:rPr>
          <w:rFonts w:ascii="Palatino Linotype" w:hAnsi="Palatino Linotype"/>
          <w:i/>
          <w:color w:val="000000" w:themeColor="text1"/>
          <w:sz w:val="24"/>
          <w:szCs w:val="24"/>
        </w:rPr>
        <w:t>Information</w:t>
      </w:r>
      <w:r w:rsidRPr="00AE60DE">
        <w:rPr>
          <w:rFonts w:ascii="Palatino Linotype" w:hAnsi="Palatino Linotype"/>
          <w:i/>
          <w:color w:val="000000" w:themeColor="text1"/>
          <w:sz w:val="24"/>
          <w:szCs w:val="24"/>
        </w:rPr>
        <w:t xml:space="preserve"> Required for Broadband Access Projects only</w:t>
      </w:r>
    </w:p>
    <w:p w:rsidR="00B213DD" w:rsidRDefault="00B213DD" w:rsidP="00AE60DE">
      <w:pPr>
        <w:pStyle w:val="ListParagraph"/>
        <w:numPr>
          <w:ilvl w:val="0"/>
          <w:numId w:val="78"/>
        </w:numPr>
        <w:rPr>
          <w:rFonts w:ascii="Palatino Linotype" w:hAnsi="Palatino Linotype"/>
          <w:color w:val="000000" w:themeColor="text1"/>
          <w:sz w:val="24"/>
          <w:szCs w:val="24"/>
        </w:rPr>
      </w:pPr>
      <w:r w:rsidRPr="009204E0">
        <w:rPr>
          <w:rFonts w:ascii="Palatino Linotype" w:hAnsi="Palatino Linotype"/>
          <w:color w:val="000000" w:themeColor="text1"/>
          <w:sz w:val="24"/>
          <w:szCs w:val="24"/>
        </w:rPr>
        <w:t>Description of any planned improvements to an existing space for broadband access, including the purchase of computing devices and any installation or set</w:t>
      </w:r>
      <w:r w:rsidR="00B34BCE">
        <w:rPr>
          <w:rFonts w:ascii="Palatino Linotype" w:hAnsi="Palatino Linotype"/>
          <w:color w:val="000000" w:themeColor="text1"/>
          <w:sz w:val="24"/>
          <w:szCs w:val="24"/>
        </w:rPr>
        <w:noBreakHyphen/>
      </w:r>
      <w:r w:rsidRPr="009204E0">
        <w:rPr>
          <w:rFonts w:ascii="Palatino Linotype" w:hAnsi="Palatino Linotype"/>
          <w:color w:val="000000" w:themeColor="text1"/>
          <w:sz w:val="24"/>
          <w:szCs w:val="24"/>
        </w:rPr>
        <w:t xml:space="preserve">up activities; </w:t>
      </w:r>
    </w:p>
    <w:p w:rsidR="00B213DD" w:rsidRDefault="00B213DD" w:rsidP="00AE60DE">
      <w:pPr>
        <w:pStyle w:val="ListParagraph"/>
        <w:numPr>
          <w:ilvl w:val="0"/>
          <w:numId w:val="78"/>
        </w:numPr>
        <w:rPr>
          <w:rFonts w:ascii="Palatino Linotype" w:hAnsi="Palatino Linotype"/>
          <w:color w:val="000000" w:themeColor="text1"/>
          <w:sz w:val="24"/>
          <w:szCs w:val="24"/>
        </w:rPr>
      </w:pPr>
      <w:r w:rsidRPr="009204E0">
        <w:rPr>
          <w:rFonts w:ascii="Palatino Linotype" w:hAnsi="Palatino Linotype"/>
          <w:color w:val="000000" w:themeColor="text1"/>
          <w:sz w:val="24"/>
          <w:szCs w:val="24"/>
        </w:rPr>
        <w:t>Description of any set up of a new space for broadband access, including the purchase of computing devices and any installation or set</w:t>
      </w:r>
      <w:r w:rsidR="00B34BCE">
        <w:rPr>
          <w:rFonts w:ascii="Palatino Linotype" w:hAnsi="Palatino Linotype"/>
          <w:color w:val="000000" w:themeColor="text1"/>
          <w:sz w:val="24"/>
          <w:szCs w:val="24"/>
        </w:rPr>
        <w:noBreakHyphen/>
      </w:r>
      <w:r w:rsidRPr="009204E0">
        <w:rPr>
          <w:rFonts w:ascii="Palatino Linotype" w:hAnsi="Palatino Linotype"/>
          <w:color w:val="000000" w:themeColor="text1"/>
          <w:sz w:val="24"/>
          <w:szCs w:val="24"/>
        </w:rPr>
        <w:t>up activities.  Note that the Adoption Account does not pay for any inside network setup other than to connect computers purchased with fund money to an existing inside network (inclusive of any required routers);</w:t>
      </w:r>
    </w:p>
    <w:p w:rsidR="00B213DD" w:rsidRDefault="00B213DD" w:rsidP="00AE60DE">
      <w:pPr>
        <w:pStyle w:val="ListParagraph"/>
        <w:numPr>
          <w:ilvl w:val="0"/>
          <w:numId w:val="78"/>
        </w:numPr>
        <w:rPr>
          <w:rFonts w:ascii="Palatino Linotype" w:hAnsi="Palatino Linotype"/>
          <w:color w:val="000000" w:themeColor="text1"/>
          <w:sz w:val="24"/>
          <w:szCs w:val="24"/>
        </w:rPr>
      </w:pPr>
      <w:r w:rsidRPr="009204E0">
        <w:rPr>
          <w:rFonts w:ascii="Palatino Linotype" w:hAnsi="Palatino Linotype"/>
          <w:color w:val="000000" w:themeColor="text1"/>
          <w:sz w:val="24"/>
          <w:szCs w:val="24"/>
        </w:rPr>
        <w:t>Projected number of participants served by the project and the projected number of hours of access to be provided;</w:t>
      </w:r>
      <w:r>
        <w:rPr>
          <w:rFonts w:ascii="Palatino Linotype" w:hAnsi="Palatino Linotype"/>
          <w:color w:val="000000" w:themeColor="text1"/>
          <w:sz w:val="24"/>
          <w:szCs w:val="24"/>
        </w:rPr>
        <w:t xml:space="preserve"> and</w:t>
      </w:r>
    </w:p>
    <w:p w:rsidR="00B213DD" w:rsidRDefault="00B213DD" w:rsidP="00AE60DE">
      <w:pPr>
        <w:pStyle w:val="ListParagraph"/>
        <w:numPr>
          <w:ilvl w:val="0"/>
          <w:numId w:val="78"/>
        </w:numPr>
        <w:rPr>
          <w:rFonts w:ascii="Palatino Linotype" w:hAnsi="Palatino Linotype"/>
          <w:color w:val="000000" w:themeColor="text1"/>
          <w:sz w:val="24"/>
          <w:szCs w:val="24"/>
        </w:rPr>
      </w:pPr>
      <w:r w:rsidRPr="009204E0">
        <w:rPr>
          <w:rFonts w:ascii="Palatino Linotype" w:hAnsi="Palatino Linotype"/>
          <w:color w:val="000000" w:themeColor="text1"/>
          <w:sz w:val="24"/>
          <w:szCs w:val="24"/>
        </w:rPr>
        <w:lastRenderedPageBreak/>
        <w:t>Projected number of participants who receive information regarding broadband plans in the community</w:t>
      </w:r>
      <w:r>
        <w:rPr>
          <w:rFonts w:ascii="Palatino Linotype" w:hAnsi="Palatino Linotype"/>
          <w:color w:val="000000" w:themeColor="text1"/>
          <w:sz w:val="24"/>
          <w:szCs w:val="24"/>
        </w:rPr>
        <w:t>.</w:t>
      </w:r>
    </w:p>
    <w:p w:rsidR="00C610C7" w:rsidRPr="00AF35A5" w:rsidRDefault="00C610C7" w:rsidP="00C610C7">
      <w:pPr>
        <w:tabs>
          <w:tab w:val="left" w:pos="1440"/>
        </w:tabs>
        <w:rPr>
          <w:rFonts w:ascii="Palatino Linotype" w:hAnsi="Palatino Linotype"/>
          <w:color w:val="000000" w:themeColor="text1"/>
          <w:sz w:val="24"/>
          <w:szCs w:val="24"/>
        </w:rPr>
      </w:pPr>
    </w:p>
    <w:p w:rsidR="00C610C7" w:rsidRPr="00AF35A5" w:rsidRDefault="00C610C7" w:rsidP="00AE60DE">
      <w:pPr>
        <w:pStyle w:val="ListParagraph"/>
        <w:numPr>
          <w:ilvl w:val="0"/>
          <w:numId w:val="70"/>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Work Plan </w:t>
      </w:r>
    </w:p>
    <w:p w:rsidR="00FD0588" w:rsidRDefault="00C610C7" w:rsidP="00AE60DE">
      <w:pPr>
        <w:pStyle w:val="ListParagraph"/>
        <w:numPr>
          <w:ilvl w:val="0"/>
          <w:numId w:val="73"/>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The Work Plan </w:t>
      </w:r>
      <w:r w:rsidR="001F75CD">
        <w:rPr>
          <w:rFonts w:ascii="Palatino Linotype" w:hAnsi="Palatino Linotype"/>
          <w:color w:val="000000" w:themeColor="text1"/>
          <w:sz w:val="24"/>
          <w:szCs w:val="24"/>
        </w:rPr>
        <w:t>should</w:t>
      </w:r>
      <w:r w:rsidR="001F75CD" w:rsidRPr="00AF35A5">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 xml:space="preserve">include detailed functions, activities, and deliverables related to implementing the adoption program.  </w:t>
      </w:r>
    </w:p>
    <w:p w:rsidR="00C610C7" w:rsidRPr="00AF35A5" w:rsidRDefault="00C610C7" w:rsidP="00AE60DE">
      <w:pPr>
        <w:pStyle w:val="ListParagraph"/>
        <w:numPr>
          <w:ilvl w:val="0"/>
          <w:numId w:val="73"/>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Work Plan should include a timeline identifying milestone dates for completion of key Work Plan activities and deliverables proposed to be funded; the timeline should describe each of the monthly milestones, including performance metrics to be accomplished;</w:t>
      </w:r>
    </w:p>
    <w:p w:rsidR="00C610C7" w:rsidRPr="00AF35A5" w:rsidRDefault="00C610C7" w:rsidP="00AE60DE">
      <w:pPr>
        <w:pStyle w:val="ListParagraph"/>
        <w:numPr>
          <w:ilvl w:val="0"/>
          <w:numId w:val="73"/>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schedule may incorporate a ramp</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up period (a maximum of six months), followed by project deployment (a maximum of 24 months);</w:t>
      </w:r>
    </w:p>
    <w:p w:rsidR="00C610C7" w:rsidRPr="00AF35A5" w:rsidRDefault="00C610C7" w:rsidP="00AE60DE">
      <w:pPr>
        <w:pStyle w:val="ListParagraph"/>
        <w:numPr>
          <w:ilvl w:val="0"/>
          <w:numId w:val="73"/>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ramp</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up period will incorporate any training room </w:t>
      </w:r>
      <w:r w:rsidR="00E712DD">
        <w:rPr>
          <w:rFonts w:ascii="Palatino Linotype" w:hAnsi="Palatino Linotype"/>
          <w:color w:val="000000" w:themeColor="text1"/>
          <w:sz w:val="24"/>
          <w:szCs w:val="24"/>
        </w:rPr>
        <w:t xml:space="preserve">or computer room </w:t>
      </w:r>
      <w:r w:rsidRPr="00AF35A5">
        <w:rPr>
          <w:rFonts w:ascii="Palatino Linotype" w:hAnsi="Palatino Linotype"/>
          <w:color w:val="000000" w:themeColor="text1"/>
          <w:sz w:val="24"/>
          <w:szCs w:val="24"/>
        </w:rPr>
        <w:t>set</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up activities  as well as community outreach;</w:t>
      </w:r>
    </w:p>
    <w:p w:rsidR="00FD0588" w:rsidRDefault="00C610C7" w:rsidP="00AE60DE">
      <w:pPr>
        <w:pStyle w:val="ListParagraph"/>
        <w:numPr>
          <w:ilvl w:val="0"/>
          <w:numId w:val="73"/>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project deployment period is where activities to increase digital inclusion occur</w:t>
      </w:r>
      <w:r w:rsidR="007C591A">
        <w:rPr>
          <w:rFonts w:ascii="Palatino Linotype" w:hAnsi="Palatino Linotype"/>
          <w:color w:val="000000" w:themeColor="text1"/>
          <w:sz w:val="24"/>
          <w:szCs w:val="24"/>
        </w:rPr>
        <w:t xml:space="preserve"> or</w:t>
      </w:r>
      <w:r w:rsidR="007C591A" w:rsidRPr="007C591A">
        <w:rPr>
          <w:rFonts w:ascii="Palatino Linotype" w:hAnsi="Palatino Linotype"/>
          <w:color w:val="000000" w:themeColor="text1"/>
          <w:sz w:val="24"/>
          <w:szCs w:val="24"/>
        </w:rPr>
        <w:t xml:space="preserve"> </w:t>
      </w:r>
      <w:r w:rsidR="007C591A" w:rsidRPr="00D856B3">
        <w:rPr>
          <w:rFonts w:ascii="Palatino Linotype" w:hAnsi="Palatino Linotype"/>
          <w:color w:val="000000" w:themeColor="text1"/>
          <w:sz w:val="24"/>
          <w:szCs w:val="24"/>
        </w:rPr>
        <w:t>where broadband access will be monitored</w:t>
      </w:r>
      <w:r w:rsidRPr="00AF35A5">
        <w:rPr>
          <w:rFonts w:ascii="Palatino Linotype" w:hAnsi="Palatino Linotype"/>
          <w:color w:val="000000" w:themeColor="text1"/>
          <w:sz w:val="24"/>
          <w:szCs w:val="24"/>
        </w:rPr>
        <w:t xml:space="preserve">; community outreach may be ongoing. </w:t>
      </w:r>
    </w:p>
    <w:p w:rsidR="00C610C7" w:rsidRPr="00FD0588" w:rsidRDefault="00C610C7" w:rsidP="00FD0588">
      <w:pPr>
        <w:pStyle w:val="ListParagraph"/>
        <w:tabs>
          <w:tab w:val="left" w:pos="1440"/>
        </w:tabs>
        <w:ind w:left="1080"/>
      </w:pPr>
    </w:p>
    <w:p w:rsidR="00C610C7" w:rsidRPr="00AF35A5" w:rsidRDefault="00C610C7" w:rsidP="009A00FB">
      <w:pPr>
        <w:pStyle w:val="ListParagraph"/>
        <w:keepNext/>
        <w:keepLines/>
        <w:numPr>
          <w:ilvl w:val="0"/>
          <w:numId w:val="70"/>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Performance Metrics Plan </w:t>
      </w:r>
    </w:p>
    <w:p w:rsidR="00C610C7" w:rsidRPr="00AF35A5" w:rsidRDefault="00C610C7" w:rsidP="00AE60DE">
      <w:pPr>
        <w:pStyle w:val="ListParagraph"/>
        <w:numPr>
          <w:ilvl w:val="0"/>
          <w:numId w:val="74"/>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A detailed description of how outcomes will be measured and tracked for reporting requirements (“milestone/completion” reports)</w:t>
      </w:r>
      <w:r w:rsidR="00765D91">
        <w:rPr>
          <w:rFonts w:ascii="Palatino Linotype" w:hAnsi="Palatino Linotype"/>
          <w:color w:val="000000" w:themeColor="text1"/>
          <w:sz w:val="24"/>
          <w:szCs w:val="24"/>
        </w:rPr>
        <w:t>. Outcomes include but are not limited to:</w:t>
      </w:r>
    </w:p>
    <w:p w:rsidR="00C610C7" w:rsidRPr="00AF35A5" w:rsidRDefault="00C610C7" w:rsidP="00B93DB0">
      <w:pPr>
        <w:pStyle w:val="ListParagraph"/>
        <w:numPr>
          <w:ilvl w:val="5"/>
          <w:numId w:val="43"/>
        </w:numPr>
        <w:ind w:left="1710" w:hanging="270"/>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total number of participants trained</w:t>
      </w:r>
      <w:r w:rsidR="00E257B1">
        <w:rPr>
          <w:rFonts w:ascii="Palatino Linotype" w:hAnsi="Palatino Linotype"/>
          <w:color w:val="000000" w:themeColor="text1"/>
          <w:sz w:val="24"/>
          <w:szCs w:val="24"/>
        </w:rPr>
        <w:t xml:space="preserve"> or provided access</w:t>
      </w:r>
      <w:r w:rsidRPr="00AF35A5">
        <w:rPr>
          <w:rFonts w:ascii="Palatino Linotype" w:hAnsi="Palatino Linotype"/>
          <w:color w:val="000000" w:themeColor="text1"/>
          <w:sz w:val="24"/>
          <w:szCs w:val="24"/>
        </w:rPr>
        <w:t>;</w:t>
      </w:r>
    </w:p>
    <w:p w:rsidR="00C610C7" w:rsidRPr="00AF35A5" w:rsidRDefault="00C610C7" w:rsidP="00B93DB0">
      <w:pPr>
        <w:pStyle w:val="ListParagraph"/>
        <w:numPr>
          <w:ilvl w:val="5"/>
          <w:numId w:val="43"/>
        </w:numPr>
        <w:ind w:left="1710" w:hanging="27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The total number of hours that </w:t>
      </w:r>
      <w:r w:rsidR="002E01EE">
        <w:rPr>
          <w:rFonts w:ascii="Palatino Linotype" w:hAnsi="Palatino Linotype"/>
          <w:color w:val="000000" w:themeColor="text1"/>
          <w:sz w:val="24"/>
          <w:szCs w:val="24"/>
        </w:rPr>
        <w:t xml:space="preserve">training or </w:t>
      </w:r>
      <w:r w:rsidRPr="00AF35A5">
        <w:rPr>
          <w:rFonts w:ascii="Palatino Linotype" w:hAnsi="Palatino Linotype"/>
          <w:color w:val="000000" w:themeColor="text1"/>
          <w:sz w:val="24"/>
          <w:szCs w:val="24"/>
        </w:rPr>
        <w:t>access has been provided to the community and the number of participants served;</w:t>
      </w:r>
    </w:p>
    <w:p w:rsidR="00C610C7" w:rsidRPr="00260670" w:rsidRDefault="00C610C7" w:rsidP="00B93DB0">
      <w:pPr>
        <w:pStyle w:val="ListParagraph"/>
        <w:numPr>
          <w:ilvl w:val="5"/>
          <w:numId w:val="43"/>
        </w:numPr>
        <w:ind w:left="1710" w:hanging="270"/>
        <w:rPr>
          <w:rFonts w:ascii="Palatino Linotype" w:hAnsi="Palatino Linotype"/>
          <w:color w:val="000000" w:themeColor="text1"/>
          <w:sz w:val="24"/>
          <w:szCs w:val="24"/>
        </w:rPr>
      </w:pPr>
      <w:r w:rsidRPr="00260670">
        <w:rPr>
          <w:rFonts w:ascii="Palatino Linotype" w:hAnsi="Palatino Linotype"/>
          <w:color w:val="000000" w:themeColor="text1"/>
          <w:sz w:val="24"/>
          <w:szCs w:val="24"/>
        </w:rPr>
        <w:t xml:space="preserve">The number of participants that subsequently subscribe to a broadband Internet service provider to use a device in their home.  </w:t>
      </w:r>
    </w:p>
    <w:p w:rsidR="00C610C7" w:rsidRPr="00AF35A5" w:rsidRDefault="00C610C7" w:rsidP="00AE60DE">
      <w:pPr>
        <w:pStyle w:val="ListParagraph"/>
        <w:numPr>
          <w:ilvl w:val="0"/>
          <w:numId w:val="74"/>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Methods of tracking such as verification of subscription online, such as through ISPs, bill, surveys, sign</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in sheets, etc.</w:t>
      </w:r>
    </w:p>
    <w:p w:rsidR="00C610C7" w:rsidRPr="00AF35A5" w:rsidRDefault="00C610C7" w:rsidP="00C610C7">
      <w:pPr>
        <w:pStyle w:val="ListParagraph"/>
        <w:ind w:left="1440"/>
        <w:rPr>
          <w:rFonts w:ascii="Palatino Linotype" w:hAnsi="Palatino Linotype"/>
          <w:color w:val="000000" w:themeColor="text1"/>
          <w:sz w:val="24"/>
          <w:szCs w:val="24"/>
        </w:rPr>
      </w:pPr>
    </w:p>
    <w:p w:rsidR="00C610C7" w:rsidRPr="00AF35A5" w:rsidRDefault="00C610C7" w:rsidP="00AE60DE">
      <w:pPr>
        <w:pStyle w:val="ListParagraph"/>
        <w:numPr>
          <w:ilvl w:val="0"/>
          <w:numId w:val="70"/>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Budget </w:t>
      </w:r>
    </w:p>
    <w:p w:rsidR="00C610C7" w:rsidRPr="00AF35A5" w:rsidRDefault="00C610C7" w:rsidP="00AE60DE">
      <w:pPr>
        <w:pStyle w:val="ListParagraph"/>
        <w:numPr>
          <w:ilvl w:val="0"/>
          <w:numId w:val="75"/>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A detailed breakdown of cost elements for the proposed project;</w:t>
      </w:r>
    </w:p>
    <w:p w:rsidR="00C610C7" w:rsidRPr="00AF35A5" w:rsidRDefault="00C610C7" w:rsidP="00AE60DE">
      <w:pPr>
        <w:pStyle w:val="ListParagraph"/>
        <w:numPr>
          <w:ilvl w:val="0"/>
          <w:numId w:val="75"/>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A detailed breakdown of the instructor</w:t>
      </w:r>
      <w:r w:rsidR="00793C08">
        <w:rPr>
          <w:rFonts w:ascii="Palatino Linotype" w:hAnsi="Palatino Linotype"/>
          <w:color w:val="000000" w:themeColor="text1"/>
          <w:sz w:val="24"/>
          <w:szCs w:val="24"/>
        </w:rPr>
        <w:t>/staff</w:t>
      </w:r>
      <w:r w:rsidRPr="00AF35A5">
        <w:rPr>
          <w:rFonts w:ascii="Palatino Linotype" w:hAnsi="Palatino Linotype"/>
          <w:color w:val="000000" w:themeColor="text1"/>
          <w:sz w:val="24"/>
          <w:szCs w:val="24"/>
        </w:rPr>
        <w:t xml:space="preserve"> pay rate relative to projected number of training </w:t>
      </w:r>
      <w:r w:rsidR="00F71DD5">
        <w:rPr>
          <w:rFonts w:ascii="Palatino Linotype" w:hAnsi="Palatino Linotype"/>
          <w:color w:val="000000" w:themeColor="text1"/>
          <w:sz w:val="24"/>
          <w:szCs w:val="24"/>
        </w:rPr>
        <w:t xml:space="preserve">or access </w:t>
      </w:r>
      <w:r w:rsidRPr="00AF35A5">
        <w:rPr>
          <w:rFonts w:ascii="Palatino Linotype" w:hAnsi="Palatino Linotype"/>
          <w:color w:val="000000" w:themeColor="text1"/>
          <w:sz w:val="24"/>
          <w:szCs w:val="24"/>
        </w:rPr>
        <w:t>hours and prep time;</w:t>
      </w:r>
      <w:r w:rsidR="00AC3D53">
        <w:rPr>
          <w:rFonts w:ascii="Palatino Linotype" w:hAnsi="Palatino Linotype"/>
          <w:color w:val="000000" w:themeColor="text1"/>
          <w:sz w:val="24"/>
          <w:szCs w:val="24"/>
        </w:rPr>
        <w:t xml:space="preserve"> and</w:t>
      </w:r>
    </w:p>
    <w:p w:rsidR="00C610C7" w:rsidRPr="00AF35A5" w:rsidRDefault="00C610C7" w:rsidP="00AE60DE">
      <w:pPr>
        <w:pStyle w:val="ListParagraph"/>
        <w:numPr>
          <w:ilvl w:val="0"/>
          <w:numId w:val="75"/>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Availability of matching funds to be supplied by applicant and/or other sources.</w:t>
      </w:r>
    </w:p>
    <w:p w:rsidR="00C610C7" w:rsidRPr="00AF35A5" w:rsidRDefault="00C610C7" w:rsidP="008C66AF">
      <w:pPr>
        <w:pStyle w:val="sub4"/>
        <w:ind w:left="720" w:firstLine="0"/>
        <w:rPr>
          <w:rFonts w:ascii="Palatino Linotype" w:hAnsi="Palatino Linotype"/>
          <w:color w:val="000000" w:themeColor="text1"/>
          <w:sz w:val="24"/>
          <w:szCs w:val="24"/>
        </w:rPr>
      </w:pPr>
    </w:p>
    <w:p w:rsidR="00C610C7" w:rsidRPr="00892EC8" w:rsidRDefault="00C610C7" w:rsidP="005D0855">
      <w:pPr>
        <w:pStyle w:val="Heading2"/>
        <w:numPr>
          <w:ilvl w:val="1"/>
          <w:numId w:val="35"/>
        </w:numPr>
      </w:pPr>
      <w:bookmarkStart w:id="642" w:name="_Toc505786737"/>
      <w:bookmarkStart w:id="643" w:name="_Toc514153037"/>
      <w:r w:rsidRPr="00AF35A5">
        <w:t>Evaluation Criteria</w:t>
      </w:r>
      <w:bookmarkEnd w:id="642"/>
      <w:bookmarkEnd w:id="643"/>
    </w:p>
    <w:p w:rsidR="0097750B" w:rsidRPr="00AF35A5" w:rsidRDefault="00C610C7" w:rsidP="00A43F2E">
      <w:pPr>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Applications will be evaluated based on meeting all the requirements in the Information Required from Applicants and Preference Checklist</w:t>
      </w:r>
      <w:r w:rsidR="00E91489">
        <w:rPr>
          <w:rFonts w:ascii="Palatino Linotype" w:hAnsi="Palatino Linotype"/>
          <w:color w:val="000000" w:themeColor="text1"/>
          <w:sz w:val="24"/>
          <w:szCs w:val="24"/>
        </w:rPr>
        <w:t>.</w:t>
      </w:r>
      <w:r w:rsidR="00570A6F">
        <w:rPr>
          <w:rFonts w:ascii="Palatino Linotype" w:hAnsi="Palatino Linotype"/>
          <w:color w:val="000000" w:themeColor="text1"/>
          <w:sz w:val="24"/>
          <w:szCs w:val="24"/>
        </w:rPr>
        <w:t xml:space="preserve"> Applicants are also required to conduct a pre and post </w:t>
      </w:r>
      <w:r w:rsidR="00A545DF">
        <w:rPr>
          <w:rFonts w:ascii="Palatino Linotype" w:hAnsi="Palatino Linotype"/>
          <w:color w:val="000000" w:themeColor="text1"/>
          <w:sz w:val="24"/>
          <w:szCs w:val="24"/>
        </w:rPr>
        <w:t>implementation survey</w:t>
      </w:r>
      <w:r w:rsidR="003060CD">
        <w:rPr>
          <w:rFonts w:ascii="Palatino Linotype" w:hAnsi="Palatino Linotype"/>
          <w:color w:val="000000" w:themeColor="text1"/>
          <w:sz w:val="24"/>
          <w:szCs w:val="24"/>
        </w:rPr>
        <w:t xml:space="preserve"> or report</w:t>
      </w:r>
      <w:r w:rsidR="00773A91">
        <w:rPr>
          <w:rFonts w:ascii="Palatino Linotype" w:hAnsi="Palatino Linotype"/>
          <w:color w:val="000000" w:themeColor="text1"/>
          <w:sz w:val="24"/>
          <w:szCs w:val="24"/>
        </w:rPr>
        <w:t xml:space="preserve">, and </w:t>
      </w:r>
      <w:r w:rsidR="0097750B" w:rsidRPr="00AF35A5">
        <w:rPr>
          <w:rFonts w:ascii="Palatino Linotype" w:hAnsi="Palatino Linotype"/>
          <w:color w:val="000000" w:themeColor="text1"/>
          <w:sz w:val="24"/>
          <w:szCs w:val="24"/>
        </w:rPr>
        <w:t>may</w:t>
      </w:r>
      <w:r w:rsidR="00D7283D">
        <w:rPr>
          <w:rFonts w:ascii="Palatino Linotype" w:hAnsi="Palatino Linotype"/>
          <w:color w:val="000000" w:themeColor="text1"/>
          <w:sz w:val="24"/>
          <w:szCs w:val="24"/>
        </w:rPr>
        <w:t xml:space="preserve"> </w:t>
      </w:r>
      <w:r w:rsidR="0097750B" w:rsidRPr="00AF35A5">
        <w:rPr>
          <w:rFonts w:ascii="Palatino Linotype" w:hAnsi="Palatino Linotype"/>
          <w:color w:val="000000" w:themeColor="text1"/>
          <w:sz w:val="24"/>
          <w:szCs w:val="24"/>
        </w:rPr>
        <w:t xml:space="preserve">submit endorsements or letters of support from the state or local government, community groups, and anchor institutions supporting their proposed adoption project. </w:t>
      </w:r>
    </w:p>
    <w:p w:rsidR="00C610C7" w:rsidRPr="00AF35A5" w:rsidRDefault="00540CB5" w:rsidP="00C610C7">
      <w:pPr>
        <w:pStyle w:val="ListParagraph"/>
        <w:rPr>
          <w:rFonts w:ascii="Palatino Linotype" w:hAnsi="Palatino Linotype"/>
          <w:color w:val="000000" w:themeColor="text1"/>
          <w:sz w:val="24"/>
          <w:szCs w:val="24"/>
        </w:rPr>
      </w:pPr>
      <w:r>
        <w:rPr>
          <w:rFonts w:ascii="Palatino Linotype" w:hAnsi="Palatino Linotype"/>
          <w:color w:val="000000" w:themeColor="text1"/>
          <w:sz w:val="24"/>
          <w:szCs w:val="24"/>
        </w:rPr>
        <w:t xml:space="preserve">  </w:t>
      </w:r>
    </w:p>
    <w:p w:rsidR="00C610C7" w:rsidRPr="00AF35A5" w:rsidRDefault="00C610C7" w:rsidP="009A00FB">
      <w:pPr>
        <w:pStyle w:val="Heading2"/>
        <w:numPr>
          <w:ilvl w:val="1"/>
          <w:numId w:val="35"/>
        </w:numPr>
      </w:pPr>
      <w:bookmarkStart w:id="644" w:name="_Toc505786738"/>
      <w:bookmarkStart w:id="645" w:name="_Toc514153038"/>
      <w:r w:rsidRPr="00AF35A5">
        <w:t>Submission and Timelines</w:t>
      </w:r>
      <w:bookmarkEnd w:id="644"/>
      <w:bookmarkEnd w:id="645"/>
      <w:r w:rsidRPr="00AF35A5">
        <w:t xml:space="preserve">  </w:t>
      </w: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The Commission </w:t>
      </w:r>
      <w:r w:rsidR="00A92F9E">
        <w:rPr>
          <w:rFonts w:ascii="Palatino Linotype" w:hAnsi="Palatino Linotype"/>
          <w:color w:val="000000" w:themeColor="text1"/>
          <w:sz w:val="24"/>
          <w:szCs w:val="24"/>
        </w:rPr>
        <w:t xml:space="preserve">will begin </w:t>
      </w:r>
      <w:r w:rsidRPr="00AF35A5">
        <w:rPr>
          <w:rFonts w:ascii="Palatino Linotype" w:hAnsi="Palatino Linotype"/>
          <w:color w:val="000000" w:themeColor="text1"/>
          <w:sz w:val="24"/>
          <w:szCs w:val="24"/>
        </w:rPr>
        <w:t>accept</w:t>
      </w:r>
      <w:r w:rsidR="00A92F9E">
        <w:rPr>
          <w:rFonts w:ascii="Palatino Linotype" w:hAnsi="Palatino Linotype"/>
          <w:color w:val="000000" w:themeColor="text1"/>
          <w:sz w:val="24"/>
          <w:szCs w:val="24"/>
        </w:rPr>
        <w:t>ing</w:t>
      </w:r>
      <w:r w:rsidRPr="00AF35A5">
        <w:rPr>
          <w:rFonts w:ascii="Palatino Linotype" w:hAnsi="Palatino Linotype"/>
          <w:color w:val="000000" w:themeColor="text1"/>
          <w:sz w:val="24"/>
          <w:szCs w:val="24"/>
        </w:rPr>
        <w:t xml:space="preserve"> applications for grants from the Broadband Adoption Account </w:t>
      </w:r>
      <w:r w:rsidR="00A92F9E">
        <w:rPr>
          <w:rFonts w:ascii="Palatino Linotype" w:hAnsi="Palatino Linotype"/>
          <w:color w:val="000000" w:themeColor="text1"/>
          <w:sz w:val="24"/>
          <w:szCs w:val="24"/>
        </w:rPr>
        <w:t>on</w:t>
      </w:r>
      <w:r w:rsidRPr="00AF35A5">
        <w:rPr>
          <w:rFonts w:ascii="Palatino Linotype" w:hAnsi="Palatino Linotype"/>
          <w:color w:val="000000" w:themeColor="text1"/>
          <w:sz w:val="24"/>
          <w:szCs w:val="24"/>
        </w:rPr>
        <w:t xml:space="preserve"> July 1, 2018. </w:t>
      </w:r>
      <w:r w:rsidR="00D60605">
        <w:rPr>
          <w:rFonts w:ascii="Palatino Linotype" w:hAnsi="Palatino Linotype"/>
          <w:color w:val="000000" w:themeColor="text1"/>
          <w:sz w:val="24"/>
          <w:szCs w:val="24"/>
        </w:rPr>
        <w:t xml:space="preserve"> Please refer to the Commission’s CASF website: </w:t>
      </w:r>
      <w:r w:rsidR="00D60605" w:rsidRPr="00D60605">
        <w:rPr>
          <w:rFonts w:ascii="Palatino Linotype" w:hAnsi="Palatino Linotype"/>
          <w:color w:val="000000" w:themeColor="text1"/>
          <w:sz w:val="24"/>
          <w:szCs w:val="24"/>
        </w:rPr>
        <w:t>http://www.cpuc.ca.gov/casf/</w:t>
      </w:r>
      <w:r w:rsidR="00D60605">
        <w:rPr>
          <w:rFonts w:ascii="Palatino Linotype" w:hAnsi="Palatino Linotype"/>
          <w:color w:val="000000" w:themeColor="text1"/>
          <w:sz w:val="24"/>
          <w:szCs w:val="24"/>
        </w:rPr>
        <w:t xml:space="preserve"> for the application instruction</w:t>
      </w:r>
      <w:r w:rsidR="008C6FAA">
        <w:rPr>
          <w:rFonts w:ascii="Palatino Linotype" w:hAnsi="Palatino Linotype"/>
          <w:color w:val="000000" w:themeColor="text1"/>
          <w:sz w:val="24"/>
          <w:szCs w:val="24"/>
        </w:rPr>
        <w:t>s</w:t>
      </w:r>
      <w:r w:rsidR="00D60605">
        <w:rPr>
          <w:rFonts w:ascii="Palatino Linotype" w:hAnsi="Palatino Linotype"/>
          <w:color w:val="000000" w:themeColor="text1"/>
          <w:sz w:val="24"/>
          <w:szCs w:val="24"/>
        </w:rPr>
        <w:t xml:space="preserve"> and package</w:t>
      </w:r>
      <w:r w:rsidR="00BB4E58">
        <w:rPr>
          <w:rFonts w:ascii="Palatino Linotype" w:hAnsi="Palatino Linotype"/>
          <w:color w:val="000000" w:themeColor="text1"/>
          <w:sz w:val="24"/>
          <w:szCs w:val="24"/>
        </w:rPr>
        <w:t xml:space="preserve"> for the Adoption Account</w:t>
      </w:r>
      <w:r w:rsidR="00D60605">
        <w:rPr>
          <w:rFonts w:ascii="Palatino Linotype" w:hAnsi="Palatino Linotype"/>
          <w:color w:val="000000" w:themeColor="text1"/>
          <w:sz w:val="24"/>
          <w:szCs w:val="24"/>
        </w:rPr>
        <w:t>.</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Applications may be submitted at any time.  However, staff will consider applications submitted on or before each deadline listed below as a batch, until all funds have been awarded.  </w:t>
      </w: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Deadlines:</w:t>
      </w:r>
    </w:p>
    <w:p w:rsidR="00C610C7" w:rsidRPr="00AF35A5" w:rsidRDefault="00B4503E" w:rsidP="00AE60DE">
      <w:pPr>
        <w:pStyle w:val="ListParagraph"/>
        <w:numPr>
          <w:ilvl w:val="0"/>
          <w:numId w:val="76"/>
        </w:numPr>
        <w:rPr>
          <w:rFonts w:ascii="Palatino Linotype" w:hAnsi="Palatino Linotype"/>
          <w:color w:val="000000" w:themeColor="text1"/>
          <w:sz w:val="24"/>
          <w:szCs w:val="24"/>
        </w:rPr>
      </w:pPr>
      <w:r>
        <w:rPr>
          <w:rFonts w:ascii="Palatino Linotype" w:hAnsi="Palatino Linotype"/>
          <w:color w:val="000000" w:themeColor="text1"/>
          <w:sz w:val="24"/>
          <w:szCs w:val="24"/>
        </w:rPr>
        <w:t xml:space="preserve">August 31, 2018 </w:t>
      </w:r>
    </w:p>
    <w:p w:rsidR="00C610C7" w:rsidRPr="00AF35A5" w:rsidRDefault="00C610C7" w:rsidP="00AE60DE">
      <w:pPr>
        <w:pStyle w:val="ListParagraph"/>
        <w:numPr>
          <w:ilvl w:val="0"/>
          <w:numId w:val="76"/>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January 1, 2019</w:t>
      </w:r>
    </w:p>
    <w:p w:rsidR="00C610C7" w:rsidRPr="00AF35A5" w:rsidRDefault="00C610C7" w:rsidP="00AE60DE">
      <w:pPr>
        <w:pStyle w:val="ListParagraph"/>
        <w:numPr>
          <w:ilvl w:val="0"/>
          <w:numId w:val="76"/>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July 1, 2019</w:t>
      </w:r>
    </w:p>
    <w:p w:rsidR="00C610C7" w:rsidRPr="00AF35A5" w:rsidRDefault="00C610C7" w:rsidP="00AE60DE">
      <w:pPr>
        <w:pStyle w:val="ListParagraph"/>
        <w:numPr>
          <w:ilvl w:val="0"/>
          <w:numId w:val="76"/>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January 1, 2020</w:t>
      </w:r>
    </w:p>
    <w:p w:rsidR="00C610C7" w:rsidRPr="00AF35A5" w:rsidRDefault="00C610C7" w:rsidP="00AE60DE">
      <w:pPr>
        <w:pStyle w:val="ListParagraph"/>
        <w:numPr>
          <w:ilvl w:val="0"/>
          <w:numId w:val="76"/>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July 1, 2020</w:t>
      </w:r>
    </w:p>
    <w:p w:rsidR="00C610C7" w:rsidRPr="00AF35A5" w:rsidRDefault="00C610C7" w:rsidP="00AE60DE">
      <w:pPr>
        <w:pStyle w:val="ListParagraph"/>
        <w:numPr>
          <w:ilvl w:val="0"/>
          <w:numId w:val="76"/>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January 1, 2021</w:t>
      </w:r>
    </w:p>
    <w:p w:rsidR="00C610C7" w:rsidRPr="00AF35A5" w:rsidRDefault="00C610C7" w:rsidP="00AE60DE">
      <w:pPr>
        <w:pStyle w:val="ListParagraph"/>
        <w:numPr>
          <w:ilvl w:val="0"/>
          <w:numId w:val="76"/>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July 1, 2021</w:t>
      </w:r>
    </w:p>
    <w:p w:rsidR="00C610C7" w:rsidRPr="00AF35A5" w:rsidRDefault="00C610C7" w:rsidP="00AE60DE">
      <w:pPr>
        <w:pStyle w:val="ListParagraph"/>
        <w:numPr>
          <w:ilvl w:val="0"/>
          <w:numId w:val="76"/>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January 1, 2022</w:t>
      </w:r>
    </w:p>
    <w:p w:rsidR="00C610C7" w:rsidRPr="00AF35A5" w:rsidRDefault="00C610C7" w:rsidP="00AE60DE">
      <w:pPr>
        <w:pStyle w:val="ListParagraph"/>
        <w:numPr>
          <w:ilvl w:val="0"/>
          <w:numId w:val="76"/>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July 1, 2022</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Any deadline falling on a holiday or a weekend will be extended to the following business day.</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Staff will post a list of applicants and projects submitted by the deadline on the CASF webpage.  Further, where possible, staff will post regular updates on applications on the CASF webpage.     </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9A00FB">
      <w:pPr>
        <w:pStyle w:val="Heading2"/>
        <w:numPr>
          <w:ilvl w:val="1"/>
          <w:numId w:val="35"/>
        </w:numPr>
      </w:pPr>
      <w:bookmarkStart w:id="646" w:name="_Toc505786739"/>
      <w:bookmarkStart w:id="647" w:name="_Toc514153039"/>
      <w:r w:rsidRPr="00AF35A5">
        <w:t>Expedited Review</w:t>
      </w:r>
      <w:bookmarkEnd w:id="646"/>
      <w:bookmarkEnd w:id="647"/>
    </w:p>
    <w:p w:rsidR="005A6075" w:rsidRPr="005A6075" w:rsidRDefault="005A6075" w:rsidP="00B93DB0">
      <w:pPr>
        <w:pStyle w:val="Heading5"/>
        <w:numPr>
          <w:ilvl w:val="4"/>
          <w:numId w:val="35"/>
        </w:numPr>
        <w:spacing w:before="0" w:after="0"/>
        <w:ind w:left="360"/>
        <w:rPr>
          <w:rFonts w:ascii="Palatino Linotype" w:hAnsi="Palatino Linotype"/>
          <w:b w:val="0"/>
          <w:color w:val="000000" w:themeColor="text1"/>
          <w:sz w:val="24"/>
          <w:szCs w:val="24"/>
        </w:rPr>
      </w:pPr>
      <w:bookmarkStart w:id="648" w:name="_Toc514153040"/>
      <w:r w:rsidRPr="005A6075">
        <w:rPr>
          <w:rFonts w:ascii="Palatino Linotype" w:hAnsi="Palatino Linotype"/>
          <w:b w:val="0"/>
          <w:color w:val="000000" w:themeColor="text1"/>
          <w:sz w:val="24"/>
          <w:szCs w:val="24"/>
        </w:rPr>
        <w:t xml:space="preserve">Projects meeting the below criteria may be eligible for expedited review. </w:t>
      </w:r>
    </w:p>
    <w:bookmarkEnd w:id="648"/>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Commission assigns to staff the task of approving applications that meet all of the following criteria:</w:t>
      </w:r>
    </w:p>
    <w:p w:rsidR="00C610C7" w:rsidRPr="00AF35A5" w:rsidRDefault="00C610C7" w:rsidP="00AE60DE">
      <w:pPr>
        <w:pStyle w:val="ListParagraph"/>
        <w:numPr>
          <w:ilvl w:val="0"/>
          <w:numId w:val="79"/>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is proposing to serve a low</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income population</w:t>
      </w:r>
      <w:r w:rsidR="005B54A1">
        <w:rPr>
          <w:rFonts w:ascii="Palatino Linotype" w:hAnsi="Palatino Linotype"/>
          <w:color w:val="000000" w:themeColor="text1"/>
          <w:sz w:val="24"/>
          <w:szCs w:val="24"/>
        </w:rPr>
        <w:t>;</w:t>
      </w:r>
    </w:p>
    <w:p w:rsidR="00C610C7" w:rsidRPr="00AF35A5" w:rsidRDefault="00313068" w:rsidP="00AE60DE">
      <w:pPr>
        <w:pStyle w:val="ListParagraph"/>
        <w:numPr>
          <w:ilvl w:val="0"/>
          <w:numId w:val="79"/>
        </w:numPr>
        <w:rPr>
          <w:rFonts w:ascii="Palatino Linotype" w:hAnsi="Palatino Linotype"/>
          <w:color w:val="000000" w:themeColor="text1"/>
          <w:sz w:val="24"/>
          <w:szCs w:val="24"/>
        </w:rPr>
      </w:pPr>
      <w:r>
        <w:rPr>
          <w:rFonts w:ascii="Palatino Linotype" w:hAnsi="Palatino Linotype"/>
          <w:color w:val="000000" w:themeColor="text1"/>
          <w:sz w:val="24"/>
          <w:szCs w:val="24"/>
        </w:rPr>
        <w:t>A</w:t>
      </w:r>
      <w:r w:rsidR="00C610C7" w:rsidRPr="00AF35A5">
        <w:rPr>
          <w:rFonts w:ascii="Palatino Linotype" w:hAnsi="Palatino Linotype"/>
          <w:color w:val="000000" w:themeColor="text1"/>
          <w:sz w:val="24"/>
          <w:szCs w:val="24"/>
        </w:rPr>
        <w:t>pplicant is a local government, senior center, school, public library, nonprofit organization, or community</w:t>
      </w:r>
      <w:r w:rsidR="00B34BCE">
        <w:rPr>
          <w:rFonts w:ascii="Palatino Linotype" w:hAnsi="Palatino Linotype"/>
          <w:color w:val="000000" w:themeColor="text1"/>
          <w:sz w:val="24"/>
          <w:szCs w:val="24"/>
        </w:rPr>
        <w:noBreakHyphen/>
      </w:r>
      <w:r w:rsidR="00C610C7" w:rsidRPr="00AF35A5">
        <w:rPr>
          <w:rFonts w:ascii="Palatino Linotype" w:hAnsi="Palatino Linotype"/>
          <w:color w:val="000000" w:themeColor="text1"/>
          <w:sz w:val="24"/>
          <w:szCs w:val="24"/>
        </w:rPr>
        <w:t>based organization with programs to increase publicly available or after</w:t>
      </w:r>
      <w:r w:rsidR="00B34BCE">
        <w:rPr>
          <w:rFonts w:ascii="Palatino Linotype" w:hAnsi="Palatino Linotype"/>
          <w:color w:val="000000" w:themeColor="text1"/>
          <w:sz w:val="24"/>
          <w:szCs w:val="24"/>
        </w:rPr>
        <w:noBreakHyphen/>
      </w:r>
      <w:r w:rsidR="00C610C7" w:rsidRPr="00AF35A5">
        <w:rPr>
          <w:rFonts w:ascii="Palatino Linotype" w:hAnsi="Palatino Linotype"/>
          <w:color w:val="000000" w:themeColor="text1"/>
          <w:sz w:val="24"/>
          <w:szCs w:val="24"/>
        </w:rPr>
        <w:t>school broadband access and digital inclusion, such as digital literacy training programs</w:t>
      </w:r>
      <w:r w:rsidR="005B54A1">
        <w:rPr>
          <w:rFonts w:ascii="Palatino Linotype" w:hAnsi="Palatino Linotype"/>
          <w:color w:val="000000" w:themeColor="text1"/>
          <w:sz w:val="24"/>
          <w:szCs w:val="24"/>
        </w:rPr>
        <w:t>;</w:t>
      </w:r>
    </w:p>
    <w:p w:rsidR="00C610C7" w:rsidRPr="00AF35A5" w:rsidRDefault="00C610C7" w:rsidP="00AE60DE">
      <w:pPr>
        <w:pStyle w:val="ListParagraph"/>
        <w:numPr>
          <w:ilvl w:val="0"/>
          <w:numId w:val="79"/>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requests a grant of $100,000 or less</w:t>
      </w:r>
      <w:r w:rsidR="005B54A1">
        <w:rPr>
          <w:rFonts w:ascii="Palatino Linotype" w:hAnsi="Palatino Linotype"/>
          <w:color w:val="000000" w:themeColor="text1"/>
          <w:sz w:val="24"/>
          <w:szCs w:val="24"/>
        </w:rPr>
        <w:t>;</w:t>
      </w:r>
    </w:p>
    <w:p w:rsidR="00C610C7" w:rsidRPr="00AF35A5" w:rsidRDefault="00C610C7" w:rsidP="00AE60DE">
      <w:pPr>
        <w:pStyle w:val="ListParagraph"/>
        <w:numPr>
          <w:ilvl w:val="0"/>
          <w:numId w:val="79"/>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agrees to perform education and outreach to educate the community of available broadband Internet services</w:t>
      </w:r>
      <w:r w:rsidR="005B54A1">
        <w:rPr>
          <w:rFonts w:ascii="Palatino Linotype" w:hAnsi="Palatino Linotype"/>
          <w:color w:val="000000" w:themeColor="text1"/>
          <w:sz w:val="24"/>
          <w:szCs w:val="24"/>
        </w:rPr>
        <w:t>;</w:t>
      </w:r>
    </w:p>
    <w:p w:rsidR="00313068" w:rsidRPr="007968B0" w:rsidRDefault="00313068" w:rsidP="00AE60DE">
      <w:pPr>
        <w:pStyle w:val="ListParagraph"/>
        <w:numPr>
          <w:ilvl w:val="0"/>
          <w:numId w:val="79"/>
        </w:numPr>
        <w:rPr>
          <w:rFonts w:ascii="Palatino Linotype" w:hAnsi="Palatino Linotype"/>
          <w:color w:val="000000" w:themeColor="text1"/>
          <w:sz w:val="24"/>
          <w:szCs w:val="24"/>
        </w:rPr>
      </w:pPr>
      <w:r w:rsidRPr="007968B0">
        <w:rPr>
          <w:rFonts w:ascii="Palatino Linotype" w:hAnsi="Palatino Linotype"/>
          <w:color w:val="000000" w:themeColor="text1"/>
          <w:sz w:val="24"/>
          <w:szCs w:val="24"/>
        </w:rPr>
        <w:t>Applicant’s requested reimburs</w:t>
      </w:r>
      <w:r w:rsidR="00150EAF">
        <w:rPr>
          <w:rFonts w:ascii="Palatino Linotype" w:hAnsi="Palatino Linotype"/>
          <w:color w:val="000000" w:themeColor="text1"/>
          <w:sz w:val="24"/>
          <w:szCs w:val="24"/>
        </w:rPr>
        <w:t>ement</w:t>
      </w:r>
      <w:r w:rsidRPr="007968B0">
        <w:rPr>
          <w:rFonts w:ascii="Palatino Linotype" w:hAnsi="Palatino Linotype"/>
          <w:color w:val="000000" w:themeColor="text1"/>
          <w:sz w:val="24"/>
          <w:szCs w:val="24"/>
        </w:rPr>
        <w:t xml:space="preserve"> </w:t>
      </w:r>
      <w:r w:rsidR="00B707F8" w:rsidRPr="007968B0">
        <w:rPr>
          <w:rFonts w:ascii="Palatino Linotype" w:hAnsi="Palatino Linotype"/>
          <w:color w:val="000000" w:themeColor="text1"/>
          <w:sz w:val="24"/>
          <w:szCs w:val="24"/>
        </w:rPr>
        <w:t xml:space="preserve">for </w:t>
      </w:r>
      <w:r w:rsidRPr="007968B0">
        <w:rPr>
          <w:rFonts w:ascii="Palatino Linotype" w:hAnsi="Palatino Linotype"/>
          <w:color w:val="000000" w:themeColor="text1"/>
          <w:sz w:val="24"/>
          <w:szCs w:val="24"/>
        </w:rPr>
        <w:t>computing devices for community training rooms or other public space, is no more than $750 per device, with a maximum of 15 devices per location;</w:t>
      </w:r>
    </w:p>
    <w:p w:rsidR="00D86CFB" w:rsidRPr="007968B0" w:rsidRDefault="00D86CFB" w:rsidP="00D86CFB">
      <w:pPr>
        <w:pStyle w:val="ListParagraph"/>
        <w:numPr>
          <w:ilvl w:val="0"/>
          <w:numId w:val="79"/>
        </w:numPr>
        <w:rPr>
          <w:rFonts w:ascii="Palatino Linotype" w:hAnsi="Palatino Linotype"/>
          <w:color w:val="000000" w:themeColor="text1"/>
          <w:sz w:val="24"/>
          <w:szCs w:val="24"/>
        </w:rPr>
      </w:pPr>
      <w:r w:rsidRPr="007968B0">
        <w:rPr>
          <w:rFonts w:ascii="Palatino Linotype" w:hAnsi="Palatino Linotype"/>
          <w:color w:val="000000" w:themeColor="text1"/>
          <w:sz w:val="24"/>
          <w:szCs w:val="24"/>
        </w:rPr>
        <w:t>Project provides device technical support responses within 24 hours.</w:t>
      </w:r>
    </w:p>
    <w:p w:rsidR="00D86CFB" w:rsidRPr="007968B0" w:rsidRDefault="00D86CFB" w:rsidP="00D86CFB">
      <w:pPr>
        <w:pStyle w:val="ListParagraph"/>
        <w:numPr>
          <w:ilvl w:val="0"/>
          <w:numId w:val="79"/>
        </w:numPr>
        <w:rPr>
          <w:rFonts w:ascii="Palatino Linotype" w:hAnsi="Palatino Linotype"/>
          <w:color w:val="000000" w:themeColor="text1"/>
          <w:sz w:val="24"/>
          <w:szCs w:val="24"/>
        </w:rPr>
      </w:pPr>
      <w:r w:rsidRPr="007968B0">
        <w:rPr>
          <w:rFonts w:ascii="Palatino Linotype" w:hAnsi="Palatino Linotype"/>
          <w:color w:val="000000" w:themeColor="text1"/>
          <w:sz w:val="24"/>
          <w:szCs w:val="24"/>
        </w:rPr>
        <w:t>Device technical support (not network), either by phone or in person, will be able to respond within 24 hours.  Refurbished devices will have at least a six</w:t>
      </w:r>
      <w:r w:rsidR="00B34BCE">
        <w:rPr>
          <w:rFonts w:ascii="Palatino Linotype" w:hAnsi="Palatino Linotype"/>
          <w:color w:val="000000" w:themeColor="text1"/>
          <w:sz w:val="24"/>
          <w:szCs w:val="24"/>
        </w:rPr>
        <w:noBreakHyphen/>
      </w:r>
      <w:r w:rsidRPr="007968B0">
        <w:rPr>
          <w:rFonts w:ascii="Palatino Linotype" w:hAnsi="Palatino Linotype"/>
          <w:color w:val="000000" w:themeColor="text1"/>
          <w:sz w:val="24"/>
          <w:szCs w:val="24"/>
        </w:rPr>
        <w:t>month warranty. New devices will have at least a 30</w:t>
      </w:r>
      <w:r w:rsidR="00B34BCE">
        <w:rPr>
          <w:rFonts w:ascii="Palatino Linotype" w:hAnsi="Palatino Linotype"/>
          <w:color w:val="000000" w:themeColor="text1"/>
          <w:sz w:val="24"/>
          <w:szCs w:val="24"/>
        </w:rPr>
        <w:noBreakHyphen/>
      </w:r>
      <w:r w:rsidRPr="007968B0">
        <w:rPr>
          <w:rFonts w:ascii="Palatino Linotype" w:hAnsi="Palatino Linotype"/>
          <w:color w:val="000000" w:themeColor="text1"/>
          <w:sz w:val="24"/>
          <w:szCs w:val="24"/>
        </w:rPr>
        <w:t xml:space="preserve">day warranty. </w:t>
      </w:r>
    </w:p>
    <w:p w:rsidR="00313068" w:rsidRPr="00AF35A5" w:rsidRDefault="00313068" w:rsidP="00313068">
      <w:pPr>
        <w:pStyle w:val="ListParagraph"/>
        <w:numPr>
          <w:ilvl w:val="0"/>
          <w:numId w:val="79"/>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has identified a designated space for digital literacy training</w:t>
      </w:r>
      <w:r>
        <w:rPr>
          <w:rFonts w:ascii="Palatino Linotype" w:hAnsi="Palatino Linotype"/>
          <w:color w:val="000000" w:themeColor="text1"/>
          <w:sz w:val="24"/>
          <w:szCs w:val="24"/>
        </w:rPr>
        <w:t xml:space="preserve"> or broadband access;</w:t>
      </w:r>
      <w:r w:rsidRPr="00AF35A5">
        <w:rPr>
          <w:rFonts w:ascii="Palatino Linotype" w:hAnsi="Palatino Linotype"/>
          <w:color w:val="000000" w:themeColor="text1"/>
          <w:sz w:val="24"/>
          <w:szCs w:val="24"/>
        </w:rPr>
        <w:t xml:space="preserve"> </w:t>
      </w:r>
    </w:p>
    <w:p w:rsidR="00C610C7" w:rsidRPr="00AF35A5" w:rsidRDefault="00C610C7" w:rsidP="00AE60DE">
      <w:pPr>
        <w:pStyle w:val="ListParagraph"/>
        <w:numPr>
          <w:ilvl w:val="0"/>
          <w:numId w:val="79"/>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Applicants must be ready to provide classes within six months of being selected for a CASF grant and must submit a work plan with major milestones showing how they propose to meet this deadline</w:t>
      </w:r>
      <w:r w:rsidR="005B54A1">
        <w:rPr>
          <w:rFonts w:ascii="Palatino Linotype" w:hAnsi="Palatino Linotype"/>
          <w:color w:val="000000" w:themeColor="text1"/>
          <w:sz w:val="24"/>
          <w:szCs w:val="24"/>
        </w:rPr>
        <w:t>;</w:t>
      </w:r>
      <w:r w:rsidR="00446531">
        <w:rPr>
          <w:rFonts w:ascii="Palatino Linotype" w:hAnsi="Palatino Linotype"/>
          <w:color w:val="000000" w:themeColor="text1"/>
          <w:sz w:val="24"/>
          <w:szCs w:val="24"/>
        </w:rPr>
        <w:t xml:space="preserve"> and</w:t>
      </w:r>
    </w:p>
    <w:p w:rsidR="00C610C7" w:rsidRPr="00AF35A5" w:rsidRDefault="00C610C7" w:rsidP="00AE60DE">
      <w:pPr>
        <w:pStyle w:val="ListParagraph"/>
        <w:numPr>
          <w:ilvl w:val="0"/>
          <w:numId w:val="79"/>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Applicants must </w:t>
      </w:r>
      <w:r w:rsidR="009311E6">
        <w:rPr>
          <w:rFonts w:ascii="Palatino Linotype" w:hAnsi="Palatino Linotype"/>
          <w:color w:val="000000" w:themeColor="text1"/>
          <w:sz w:val="24"/>
          <w:szCs w:val="24"/>
        </w:rPr>
        <w:t>complete</w:t>
      </w:r>
      <w:r w:rsidR="009311E6" w:rsidRPr="00AF35A5">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 xml:space="preserve">the adoption project </w:t>
      </w:r>
      <w:r w:rsidR="009311E6">
        <w:rPr>
          <w:rFonts w:ascii="Palatino Linotype" w:hAnsi="Palatino Linotype"/>
          <w:color w:val="000000" w:themeColor="text1"/>
          <w:sz w:val="24"/>
          <w:szCs w:val="24"/>
        </w:rPr>
        <w:t>with</w:t>
      </w:r>
      <w:r w:rsidR="00313068">
        <w:rPr>
          <w:rFonts w:ascii="Palatino Linotype" w:hAnsi="Palatino Linotype"/>
          <w:color w:val="000000" w:themeColor="text1"/>
          <w:sz w:val="24"/>
          <w:szCs w:val="24"/>
        </w:rPr>
        <w:t>in</w:t>
      </w:r>
      <w:r w:rsidR="009311E6" w:rsidRPr="00AF35A5">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 xml:space="preserve">24 months </w:t>
      </w:r>
      <w:r w:rsidR="00313068">
        <w:rPr>
          <w:rFonts w:ascii="Palatino Linotype" w:hAnsi="Palatino Linotype"/>
          <w:color w:val="000000" w:themeColor="text1"/>
          <w:sz w:val="24"/>
          <w:szCs w:val="24"/>
        </w:rPr>
        <w:t xml:space="preserve">from the ramp up period, </w:t>
      </w:r>
      <w:r w:rsidRPr="00AF35A5">
        <w:rPr>
          <w:rFonts w:ascii="Palatino Linotype" w:hAnsi="Palatino Linotype"/>
          <w:color w:val="000000" w:themeColor="text1"/>
          <w:sz w:val="24"/>
          <w:szCs w:val="24"/>
        </w:rPr>
        <w:t xml:space="preserve">or </w:t>
      </w:r>
      <w:r w:rsidR="009311E6">
        <w:rPr>
          <w:rFonts w:ascii="Palatino Linotype" w:hAnsi="Palatino Linotype"/>
          <w:color w:val="000000" w:themeColor="text1"/>
          <w:sz w:val="24"/>
          <w:szCs w:val="24"/>
        </w:rPr>
        <w:t>earlier if</w:t>
      </w:r>
      <w:r w:rsidR="009311E6" w:rsidRPr="00AF35A5">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 xml:space="preserve">work plan milestones/deliverables have been accomplished.  </w:t>
      </w:r>
    </w:p>
    <w:p w:rsidR="00BF34D5" w:rsidRDefault="00BF34D5" w:rsidP="00313068">
      <w:pPr>
        <w:pStyle w:val="Heading5"/>
        <w:numPr>
          <w:ilvl w:val="4"/>
          <w:numId w:val="35"/>
        </w:numPr>
        <w:spacing w:before="0" w:after="0"/>
        <w:ind w:left="360"/>
        <w:rPr>
          <w:rFonts w:ascii="Palatino Linotype" w:hAnsi="Palatino Linotype"/>
          <w:i/>
          <w:color w:val="000000" w:themeColor="text1"/>
          <w:sz w:val="24"/>
          <w:szCs w:val="24"/>
        </w:rPr>
      </w:pPr>
    </w:p>
    <w:p w:rsidR="00313068" w:rsidRPr="002467DD" w:rsidRDefault="00313068" w:rsidP="00313068">
      <w:pPr>
        <w:pStyle w:val="Heading5"/>
        <w:numPr>
          <w:ilvl w:val="4"/>
          <w:numId w:val="35"/>
        </w:numPr>
        <w:spacing w:before="0" w:after="0"/>
        <w:ind w:left="360"/>
        <w:rPr>
          <w:rFonts w:ascii="Palatino Linotype" w:hAnsi="Palatino Linotype"/>
          <w:i/>
          <w:color w:val="000000" w:themeColor="text1"/>
          <w:sz w:val="24"/>
          <w:szCs w:val="24"/>
        </w:rPr>
      </w:pPr>
      <w:r w:rsidRPr="00B74875">
        <w:rPr>
          <w:rFonts w:ascii="Palatino Linotype" w:hAnsi="Palatino Linotype"/>
          <w:i/>
          <w:color w:val="000000" w:themeColor="text1"/>
          <w:sz w:val="24"/>
          <w:szCs w:val="24"/>
        </w:rPr>
        <w:t>Additional</w:t>
      </w:r>
      <w:r w:rsidRPr="002467DD">
        <w:rPr>
          <w:rFonts w:ascii="Palatino Linotype" w:hAnsi="Palatino Linotype"/>
          <w:i/>
          <w:color w:val="000000" w:themeColor="text1"/>
          <w:sz w:val="24"/>
          <w:szCs w:val="24"/>
        </w:rPr>
        <w:t xml:space="preserve"> </w:t>
      </w:r>
      <w:r>
        <w:rPr>
          <w:rFonts w:ascii="Palatino Linotype" w:hAnsi="Palatino Linotype"/>
          <w:i/>
          <w:color w:val="000000" w:themeColor="text1"/>
          <w:sz w:val="24"/>
          <w:szCs w:val="24"/>
        </w:rPr>
        <w:t>Criteria</w:t>
      </w:r>
      <w:r w:rsidRPr="002467DD">
        <w:rPr>
          <w:rFonts w:ascii="Palatino Linotype" w:hAnsi="Palatino Linotype"/>
          <w:i/>
          <w:color w:val="000000" w:themeColor="text1"/>
          <w:sz w:val="24"/>
          <w:szCs w:val="24"/>
        </w:rPr>
        <w:t xml:space="preserve"> for Digital Literacy </w:t>
      </w:r>
      <w:r w:rsidRPr="006D4671">
        <w:rPr>
          <w:rFonts w:ascii="Palatino Linotype" w:hAnsi="Palatino Linotype"/>
          <w:i/>
          <w:color w:val="000000" w:themeColor="text1"/>
          <w:sz w:val="24"/>
          <w:szCs w:val="24"/>
        </w:rPr>
        <w:t>Projects only</w:t>
      </w:r>
    </w:p>
    <w:p w:rsidR="00313068" w:rsidRPr="00AF35A5" w:rsidRDefault="00313068" w:rsidP="00AE60DE">
      <w:pPr>
        <w:pStyle w:val="ListParagraph"/>
        <w:numPr>
          <w:ilvl w:val="0"/>
          <w:numId w:val="88"/>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or partner organization possesses at least one</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year experience in digital literacy training or has previously carried out at least one digital literacy project</w:t>
      </w:r>
      <w:r>
        <w:rPr>
          <w:rFonts w:ascii="Palatino Linotype" w:hAnsi="Palatino Linotype"/>
          <w:color w:val="000000" w:themeColor="text1"/>
          <w:sz w:val="24"/>
          <w:szCs w:val="24"/>
        </w:rPr>
        <w:t>;</w:t>
      </w:r>
    </w:p>
    <w:p w:rsidR="00313068" w:rsidRDefault="00313068" w:rsidP="00AE60DE">
      <w:pPr>
        <w:pStyle w:val="ListParagraph"/>
        <w:numPr>
          <w:ilvl w:val="0"/>
          <w:numId w:val="88"/>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must provide at least eight hours of digital literacy training to each participant, through digital literacy classes, one on one tutoring or self</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paced instruction</w:t>
      </w:r>
      <w:r>
        <w:rPr>
          <w:rFonts w:ascii="Palatino Linotype" w:hAnsi="Palatino Linotype"/>
          <w:color w:val="000000" w:themeColor="text1"/>
          <w:sz w:val="24"/>
          <w:szCs w:val="24"/>
        </w:rPr>
        <w:t>;</w:t>
      </w:r>
      <w:r w:rsidR="00446531">
        <w:rPr>
          <w:rFonts w:ascii="Palatino Linotype" w:hAnsi="Palatino Linotype"/>
          <w:color w:val="000000" w:themeColor="text1"/>
          <w:sz w:val="24"/>
          <w:szCs w:val="24"/>
        </w:rPr>
        <w:t xml:space="preserve"> and</w:t>
      </w:r>
    </w:p>
    <w:p w:rsidR="00C610C7" w:rsidRPr="00AF35A5" w:rsidRDefault="00096BC2" w:rsidP="00C610C7">
      <w:pPr>
        <w:pStyle w:val="ListParagraph"/>
        <w:ind w:left="810" w:hanging="450"/>
        <w:rPr>
          <w:rFonts w:ascii="Palatino Linotype" w:hAnsi="Palatino Linotype"/>
          <w:color w:val="000000" w:themeColor="text1"/>
          <w:sz w:val="24"/>
          <w:szCs w:val="24"/>
        </w:rPr>
      </w:pPr>
      <w:r>
        <w:rPr>
          <w:rFonts w:ascii="Palatino Linotype" w:hAnsi="Palatino Linotype"/>
          <w:color w:val="000000" w:themeColor="text1"/>
          <w:sz w:val="24"/>
          <w:szCs w:val="24"/>
        </w:rPr>
        <w:lastRenderedPageBreak/>
        <w:t>A</w:t>
      </w:r>
      <w:r w:rsidRPr="00313068">
        <w:rPr>
          <w:rFonts w:ascii="Palatino Linotype" w:hAnsi="Palatino Linotype"/>
          <w:color w:val="000000" w:themeColor="text1"/>
          <w:sz w:val="24"/>
          <w:szCs w:val="24"/>
        </w:rPr>
        <w:t>pplicant</w:t>
      </w:r>
      <w:r>
        <w:rPr>
          <w:rFonts w:ascii="Palatino Linotype" w:hAnsi="Palatino Linotype"/>
          <w:color w:val="000000" w:themeColor="text1"/>
          <w:sz w:val="24"/>
          <w:szCs w:val="24"/>
        </w:rPr>
        <w:t xml:space="preserve">’s requested </w:t>
      </w:r>
      <w:r w:rsidR="00446531">
        <w:rPr>
          <w:rFonts w:ascii="Palatino Linotype" w:hAnsi="Palatino Linotype"/>
          <w:color w:val="000000" w:themeColor="text1"/>
          <w:sz w:val="24"/>
          <w:szCs w:val="24"/>
        </w:rPr>
        <w:t>reimbursement for take</w:t>
      </w:r>
      <w:r w:rsidR="00B34BCE">
        <w:rPr>
          <w:rFonts w:ascii="Palatino Linotype" w:hAnsi="Palatino Linotype"/>
          <w:color w:val="000000" w:themeColor="text1"/>
          <w:sz w:val="24"/>
          <w:szCs w:val="24"/>
        </w:rPr>
        <w:noBreakHyphen/>
      </w:r>
      <w:r>
        <w:rPr>
          <w:rFonts w:ascii="Palatino Linotype" w:hAnsi="Palatino Linotype"/>
          <w:color w:val="000000" w:themeColor="text1"/>
          <w:sz w:val="24"/>
          <w:szCs w:val="24"/>
        </w:rPr>
        <w:t xml:space="preserve">home </w:t>
      </w:r>
      <w:r w:rsidRPr="00313068">
        <w:rPr>
          <w:rFonts w:ascii="Palatino Linotype" w:hAnsi="Palatino Linotype"/>
          <w:color w:val="000000" w:themeColor="text1"/>
          <w:sz w:val="24"/>
          <w:szCs w:val="24"/>
        </w:rPr>
        <w:t xml:space="preserve">computing devices </w:t>
      </w:r>
      <w:r>
        <w:rPr>
          <w:rFonts w:ascii="Palatino Linotype" w:hAnsi="Palatino Linotype"/>
          <w:color w:val="000000" w:themeColor="text1"/>
          <w:sz w:val="24"/>
          <w:szCs w:val="24"/>
        </w:rPr>
        <w:t xml:space="preserve">is </w:t>
      </w:r>
      <w:r w:rsidR="00411EB5">
        <w:rPr>
          <w:rFonts w:ascii="Palatino Linotype" w:hAnsi="Palatino Linotype"/>
          <w:color w:val="000000" w:themeColor="text1"/>
          <w:sz w:val="24"/>
          <w:szCs w:val="24"/>
        </w:rPr>
        <w:t xml:space="preserve">no more than </w:t>
      </w:r>
      <w:r w:rsidR="00411EB5" w:rsidRPr="00FA7E7F">
        <w:rPr>
          <w:rFonts w:ascii="Palatino Linotype" w:hAnsi="Palatino Linotype"/>
          <w:color w:val="000000" w:themeColor="text1"/>
          <w:sz w:val="24"/>
          <w:szCs w:val="24"/>
        </w:rPr>
        <w:t>$150 per device</w:t>
      </w:r>
      <w:r w:rsidR="00411EB5">
        <w:rPr>
          <w:rFonts w:ascii="Palatino Linotype" w:hAnsi="Palatino Linotype"/>
          <w:color w:val="000000" w:themeColor="text1"/>
          <w:sz w:val="24"/>
          <w:szCs w:val="24"/>
        </w:rPr>
        <w:t xml:space="preserve">, limited to </w:t>
      </w:r>
      <w:r w:rsidR="00411EB5" w:rsidRPr="00FA7E7F">
        <w:rPr>
          <w:rFonts w:ascii="Palatino Linotype" w:hAnsi="Palatino Linotype"/>
          <w:color w:val="000000" w:themeColor="text1"/>
          <w:sz w:val="24"/>
          <w:szCs w:val="24"/>
        </w:rPr>
        <w:t xml:space="preserve">one computing device per eligible household, </w:t>
      </w:r>
      <w:r w:rsidR="00411EB5">
        <w:rPr>
          <w:rFonts w:ascii="Palatino Linotype" w:hAnsi="Palatino Linotype"/>
          <w:color w:val="000000" w:themeColor="text1"/>
          <w:sz w:val="24"/>
          <w:szCs w:val="24"/>
        </w:rPr>
        <w:t xml:space="preserve">and no more than </w:t>
      </w:r>
      <w:r w:rsidR="00411EB5" w:rsidRPr="00FA7E7F">
        <w:rPr>
          <w:rFonts w:ascii="Palatino Linotype" w:hAnsi="Palatino Linotype"/>
          <w:color w:val="000000" w:themeColor="text1"/>
          <w:sz w:val="24"/>
          <w:szCs w:val="24"/>
        </w:rPr>
        <w:t>$10,000 per</w:t>
      </w:r>
      <w:r w:rsidR="00411EB5">
        <w:rPr>
          <w:rFonts w:ascii="Palatino Linotype" w:hAnsi="Palatino Linotype"/>
          <w:color w:val="000000" w:themeColor="text1"/>
          <w:sz w:val="24"/>
          <w:szCs w:val="24"/>
        </w:rPr>
        <w:t xml:space="preserve"> application/project location</w:t>
      </w:r>
      <w:r>
        <w:rPr>
          <w:rFonts w:ascii="Palatino Linotype" w:hAnsi="Palatino Linotype"/>
          <w:color w:val="000000" w:themeColor="text1"/>
          <w:sz w:val="24"/>
          <w:szCs w:val="24"/>
        </w:rPr>
        <w:t>.</w:t>
      </w:r>
    </w:p>
    <w:p w:rsidR="00C610C7" w:rsidRPr="00AF35A5" w:rsidRDefault="00C610C7" w:rsidP="009A00FB">
      <w:pPr>
        <w:pStyle w:val="Heading2"/>
      </w:pPr>
      <w:bookmarkStart w:id="649" w:name="_Toc505786740"/>
      <w:bookmarkStart w:id="650" w:name="_Toc514153042"/>
      <w:r w:rsidRPr="00AF35A5">
        <w:t>Resolution Review</w:t>
      </w:r>
      <w:bookmarkEnd w:id="649"/>
      <w:bookmarkEnd w:id="650"/>
    </w:p>
    <w:p w:rsidR="00C610C7" w:rsidRPr="00AF35A5" w:rsidRDefault="00C610C7" w:rsidP="00C610C7">
      <w:pPr>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An application that does not meet the above expedited review criteria may still be considered for a grant via the traditional Commission Resolution approval process.</w:t>
      </w:r>
    </w:p>
    <w:p w:rsidR="00C610C7" w:rsidRPr="00AF35A5" w:rsidRDefault="00C610C7" w:rsidP="00C610C7">
      <w:pPr>
        <w:ind w:left="360"/>
        <w:rPr>
          <w:rFonts w:ascii="Palatino Linotype" w:hAnsi="Palatino Linotype"/>
          <w:color w:val="000000" w:themeColor="text1"/>
          <w:sz w:val="24"/>
          <w:szCs w:val="24"/>
        </w:rPr>
      </w:pPr>
    </w:p>
    <w:p w:rsidR="00C610C7" w:rsidRPr="005D0855" w:rsidRDefault="00C610C7" w:rsidP="005D0855">
      <w:pPr>
        <w:pStyle w:val="Heading2"/>
        <w:numPr>
          <w:ilvl w:val="1"/>
          <w:numId w:val="35"/>
        </w:numPr>
        <w:rPr>
          <w:b w:val="0"/>
        </w:rPr>
      </w:pPr>
      <w:r w:rsidRPr="005D0855">
        <w:t>Staff Review</w:t>
      </w:r>
    </w:p>
    <w:p w:rsidR="00C610C7" w:rsidRPr="00AF35A5" w:rsidRDefault="00C610C7" w:rsidP="00C610C7">
      <w:pPr>
        <w:ind w:left="360"/>
        <w:rPr>
          <w:rFonts w:ascii="Palatino Linotype" w:hAnsi="Palatino Linotype"/>
          <w:color w:val="000000" w:themeColor="text1"/>
          <w:sz w:val="24"/>
          <w:szCs w:val="24"/>
        </w:rPr>
      </w:pPr>
    </w:p>
    <w:p w:rsidR="00C610C7" w:rsidRPr="00AF35A5" w:rsidRDefault="00C610C7" w:rsidP="00C610C7">
      <w:pPr>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Staff shall notify an applicant by letter specifying reasons for rejection should an application fail to meet the Commission criteria or other factors. </w:t>
      </w:r>
    </w:p>
    <w:p w:rsidR="00C610C7" w:rsidRPr="00AF35A5" w:rsidRDefault="00C610C7" w:rsidP="00C610C7">
      <w:pPr>
        <w:rPr>
          <w:rFonts w:ascii="Palatino Linotype" w:hAnsi="Palatino Linotype"/>
          <w:b/>
          <w:strike/>
          <w:color w:val="000000" w:themeColor="text1"/>
          <w:sz w:val="24"/>
          <w:szCs w:val="24"/>
        </w:rPr>
      </w:pPr>
    </w:p>
    <w:p w:rsidR="00C610C7" w:rsidRPr="00AF35A5" w:rsidRDefault="00C610C7" w:rsidP="009A00FB">
      <w:pPr>
        <w:pStyle w:val="Heading2"/>
        <w:numPr>
          <w:ilvl w:val="1"/>
          <w:numId w:val="35"/>
        </w:numPr>
      </w:pPr>
      <w:bookmarkStart w:id="651" w:name="_Toc505786742"/>
      <w:bookmarkStart w:id="652" w:name="_Toc514153043"/>
      <w:r w:rsidRPr="00AF35A5">
        <w:t>Reporting</w:t>
      </w:r>
      <w:bookmarkStart w:id="653" w:name="_Toc505695669"/>
      <w:bookmarkStart w:id="654" w:name="_Toc505695670"/>
      <w:bookmarkStart w:id="655" w:name="_Toc505694007"/>
      <w:bookmarkStart w:id="656" w:name="_Toc505694059"/>
      <w:bookmarkStart w:id="657" w:name="_Toc505694163"/>
      <w:bookmarkStart w:id="658" w:name="_Toc505694217"/>
      <w:bookmarkStart w:id="659" w:name="_Toc505694270"/>
      <w:bookmarkStart w:id="660" w:name="_Toc505694334"/>
      <w:bookmarkStart w:id="661" w:name="_Toc505694392"/>
      <w:bookmarkStart w:id="662" w:name="_Toc505694450"/>
      <w:bookmarkStart w:id="663" w:name="_Toc505694508"/>
      <w:bookmarkStart w:id="664" w:name="_Toc505694560"/>
      <w:bookmarkStart w:id="665" w:name="_Toc505694612"/>
      <w:bookmarkStart w:id="666" w:name="_Toc505694663"/>
      <w:bookmarkStart w:id="667" w:name="_Toc505694715"/>
      <w:bookmarkStart w:id="668" w:name="_Toc505694767"/>
      <w:bookmarkStart w:id="669" w:name="_Toc505694819"/>
      <w:bookmarkStart w:id="670" w:name="_Toc505694877"/>
      <w:bookmarkStart w:id="671" w:name="_Toc505694941"/>
      <w:bookmarkStart w:id="672" w:name="_Toc505694993"/>
      <w:bookmarkStart w:id="673" w:name="_Toc505695045"/>
      <w:bookmarkStart w:id="674" w:name="_Toc505695097"/>
      <w:bookmarkStart w:id="675" w:name="_Toc505695149"/>
      <w:bookmarkStart w:id="676" w:name="_Toc505695201"/>
      <w:bookmarkStart w:id="677" w:name="_Toc505695254"/>
      <w:bookmarkStart w:id="678" w:name="_Toc505695310"/>
      <w:bookmarkStart w:id="679" w:name="_Toc505695363"/>
      <w:bookmarkStart w:id="680" w:name="_Toc505695417"/>
      <w:bookmarkStart w:id="681" w:name="_Toc505695471"/>
      <w:bookmarkStart w:id="682" w:name="_Toc505695521"/>
      <w:bookmarkStart w:id="683" w:name="_Toc505695571"/>
      <w:bookmarkStart w:id="684" w:name="_Toc505694008"/>
      <w:bookmarkStart w:id="685" w:name="_Toc505694060"/>
      <w:bookmarkStart w:id="686" w:name="_Toc505694164"/>
      <w:bookmarkStart w:id="687" w:name="_Toc505694218"/>
      <w:bookmarkStart w:id="688" w:name="_Toc505694271"/>
      <w:bookmarkStart w:id="689" w:name="_Toc505694335"/>
      <w:bookmarkStart w:id="690" w:name="_Toc505694393"/>
      <w:bookmarkStart w:id="691" w:name="_Toc505694451"/>
      <w:bookmarkStart w:id="692" w:name="_Toc505694509"/>
      <w:bookmarkStart w:id="693" w:name="_Toc505694561"/>
      <w:bookmarkStart w:id="694" w:name="_Toc505694613"/>
      <w:bookmarkStart w:id="695" w:name="_Toc505694664"/>
      <w:bookmarkStart w:id="696" w:name="_Toc505694716"/>
      <w:bookmarkStart w:id="697" w:name="_Toc505694768"/>
      <w:bookmarkStart w:id="698" w:name="_Toc505694820"/>
      <w:bookmarkStart w:id="699" w:name="_Toc505694878"/>
      <w:bookmarkStart w:id="700" w:name="_Toc505694942"/>
      <w:bookmarkStart w:id="701" w:name="_Toc505694994"/>
      <w:bookmarkStart w:id="702" w:name="_Toc505695046"/>
      <w:bookmarkStart w:id="703" w:name="_Toc505695098"/>
      <w:bookmarkStart w:id="704" w:name="_Toc505695150"/>
      <w:bookmarkStart w:id="705" w:name="_Toc505695202"/>
      <w:bookmarkStart w:id="706" w:name="_Toc505695255"/>
      <w:bookmarkStart w:id="707" w:name="_Toc505695311"/>
      <w:bookmarkStart w:id="708" w:name="_Toc505695364"/>
      <w:bookmarkStart w:id="709" w:name="_Toc505695418"/>
      <w:bookmarkStart w:id="710" w:name="_Toc505695472"/>
      <w:bookmarkStart w:id="711" w:name="_Toc505695522"/>
      <w:bookmarkStart w:id="712" w:name="_Toc505695572"/>
      <w:bookmarkStart w:id="713" w:name="_Toc505694165"/>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p>
    <w:p w:rsidR="00AF4CD9" w:rsidRPr="00B55C26" w:rsidRDefault="00AF4CD9" w:rsidP="00C610C7">
      <w:pPr>
        <w:pStyle w:val="ListParagraph"/>
        <w:ind w:left="360"/>
        <w:rPr>
          <w:rFonts w:ascii="Palatino Linotype" w:hAnsi="Palatino Linotype"/>
          <w:color w:val="000000" w:themeColor="text1"/>
          <w:sz w:val="24"/>
          <w:szCs w:val="24"/>
        </w:rPr>
      </w:pPr>
      <w:r w:rsidRPr="00B55C26">
        <w:rPr>
          <w:rFonts w:ascii="Palatino Linotype" w:hAnsi="Palatino Linotype"/>
          <w:color w:val="000000" w:themeColor="text1"/>
          <w:sz w:val="24"/>
          <w:szCs w:val="24"/>
        </w:rPr>
        <w:t>Staff will provide a template for all necessary reports in the Administrative Man</w:t>
      </w:r>
      <w:r w:rsidR="003060CD">
        <w:rPr>
          <w:rFonts w:ascii="Palatino Linotype" w:hAnsi="Palatino Linotype"/>
          <w:color w:val="000000" w:themeColor="text1"/>
          <w:sz w:val="24"/>
          <w:szCs w:val="24"/>
        </w:rPr>
        <w:t>u</w:t>
      </w:r>
      <w:r w:rsidRPr="00B55C26">
        <w:rPr>
          <w:rFonts w:ascii="Palatino Linotype" w:hAnsi="Palatino Linotype"/>
          <w:color w:val="000000" w:themeColor="text1"/>
          <w:sz w:val="24"/>
          <w:szCs w:val="24"/>
        </w:rPr>
        <w:t xml:space="preserve">al which will be posted on the CPUC CASF website, along with the Adoption Account Instructions and Application forms. </w:t>
      </w:r>
      <w:r w:rsidR="00B55C26">
        <w:rPr>
          <w:rFonts w:ascii="Palatino Linotype" w:hAnsi="Palatino Linotype"/>
          <w:color w:val="000000" w:themeColor="text1"/>
          <w:sz w:val="24"/>
          <w:szCs w:val="24"/>
        </w:rPr>
        <w:t xml:space="preserve"> </w:t>
      </w:r>
      <w:r w:rsidRPr="00B55C26">
        <w:rPr>
          <w:rFonts w:ascii="Palatino Linotype" w:hAnsi="Palatino Linotype"/>
          <w:color w:val="000000" w:themeColor="text1"/>
          <w:sz w:val="24"/>
          <w:szCs w:val="24"/>
        </w:rPr>
        <w:t>Three reports will be required throughout the course of the project:</w:t>
      </w:r>
    </w:p>
    <w:p w:rsidR="00AF4CD9" w:rsidRDefault="00AF4CD9" w:rsidP="00C610C7">
      <w:pPr>
        <w:pStyle w:val="ListParagraph"/>
        <w:ind w:left="360"/>
        <w:rPr>
          <w:rFonts w:ascii="Palatino Linotype" w:hAnsi="Palatino Linotype"/>
          <w:b/>
          <w:color w:val="000000" w:themeColor="text1"/>
          <w:sz w:val="24"/>
          <w:szCs w:val="24"/>
        </w:rPr>
      </w:pPr>
    </w:p>
    <w:p w:rsidR="00C610C7" w:rsidRPr="00AF35A5" w:rsidRDefault="00AF4CD9" w:rsidP="00C610C7">
      <w:pPr>
        <w:pStyle w:val="ListParagraph"/>
        <w:ind w:left="360"/>
        <w:rPr>
          <w:rFonts w:ascii="Palatino Linotype" w:hAnsi="Palatino Linotype"/>
          <w:color w:val="000000" w:themeColor="text1"/>
          <w:sz w:val="24"/>
          <w:szCs w:val="24"/>
        </w:rPr>
      </w:pPr>
      <w:r>
        <w:rPr>
          <w:rFonts w:ascii="Palatino Linotype" w:hAnsi="Palatino Linotype"/>
          <w:b/>
          <w:color w:val="000000" w:themeColor="text1"/>
          <w:sz w:val="24"/>
          <w:szCs w:val="24"/>
        </w:rPr>
        <w:t>R</w:t>
      </w:r>
      <w:r w:rsidR="00C610C7" w:rsidRPr="00AF35A5">
        <w:rPr>
          <w:rFonts w:ascii="Palatino Linotype" w:hAnsi="Palatino Linotype"/>
          <w:b/>
          <w:color w:val="000000" w:themeColor="text1"/>
          <w:sz w:val="24"/>
          <w:szCs w:val="24"/>
        </w:rPr>
        <w:t>amp</w:t>
      </w:r>
      <w:r w:rsidR="00B34BCE">
        <w:rPr>
          <w:rFonts w:ascii="Palatino Linotype" w:hAnsi="Palatino Linotype"/>
          <w:b/>
          <w:color w:val="000000" w:themeColor="text1"/>
          <w:sz w:val="24"/>
          <w:szCs w:val="24"/>
        </w:rPr>
        <w:noBreakHyphen/>
      </w:r>
      <w:r w:rsidR="00C610C7" w:rsidRPr="00AF35A5">
        <w:rPr>
          <w:rFonts w:ascii="Palatino Linotype" w:hAnsi="Palatino Linotype"/>
          <w:b/>
          <w:color w:val="000000" w:themeColor="text1"/>
          <w:sz w:val="24"/>
          <w:szCs w:val="24"/>
        </w:rPr>
        <w:t>up period</w:t>
      </w:r>
      <w:r w:rsidR="00B55C26">
        <w:rPr>
          <w:rFonts w:ascii="Palatino Linotype" w:hAnsi="Palatino Linotype"/>
          <w:b/>
          <w:color w:val="000000" w:themeColor="text1"/>
          <w:sz w:val="24"/>
          <w:szCs w:val="24"/>
        </w:rPr>
        <w:t xml:space="preserve"> report</w:t>
      </w:r>
      <w:r w:rsidR="00C610C7" w:rsidRPr="00AF35A5">
        <w:rPr>
          <w:rFonts w:ascii="Palatino Linotype" w:hAnsi="Palatino Linotype"/>
          <w:b/>
          <w:color w:val="000000" w:themeColor="text1"/>
          <w:sz w:val="24"/>
          <w:szCs w:val="24"/>
        </w:rPr>
        <w:t>:</w:t>
      </w:r>
      <w:r w:rsidR="00C610C7" w:rsidRPr="00AF35A5">
        <w:rPr>
          <w:rFonts w:ascii="Palatino Linotype" w:hAnsi="Palatino Linotype"/>
          <w:color w:val="000000" w:themeColor="text1"/>
          <w:sz w:val="24"/>
          <w:szCs w:val="24"/>
        </w:rPr>
        <w:t xml:space="preserve">  </w:t>
      </w:r>
      <w:r w:rsidR="00CF7024">
        <w:rPr>
          <w:rFonts w:ascii="Palatino Linotype" w:hAnsi="Palatino Linotype"/>
          <w:color w:val="000000" w:themeColor="text1"/>
          <w:sz w:val="24"/>
          <w:szCs w:val="24"/>
        </w:rPr>
        <w:t>A</w:t>
      </w:r>
      <w:r w:rsidR="00C610C7" w:rsidRPr="00AF35A5">
        <w:rPr>
          <w:rFonts w:ascii="Palatino Linotype" w:hAnsi="Palatino Linotype"/>
          <w:color w:val="000000" w:themeColor="text1"/>
          <w:sz w:val="24"/>
          <w:szCs w:val="24"/>
        </w:rPr>
        <w:t xml:space="preserve"> “ramp</w:t>
      </w:r>
      <w:r w:rsidR="00B34BCE">
        <w:rPr>
          <w:rFonts w:ascii="Palatino Linotype" w:hAnsi="Palatino Linotype"/>
          <w:color w:val="000000" w:themeColor="text1"/>
          <w:sz w:val="24"/>
          <w:szCs w:val="24"/>
        </w:rPr>
        <w:noBreakHyphen/>
      </w:r>
      <w:r w:rsidR="00C610C7" w:rsidRPr="00AF35A5">
        <w:rPr>
          <w:rFonts w:ascii="Palatino Linotype" w:hAnsi="Palatino Linotype"/>
          <w:color w:val="000000" w:themeColor="text1"/>
          <w:sz w:val="24"/>
          <w:szCs w:val="24"/>
        </w:rPr>
        <w:t>up period report” is</w:t>
      </w:r>
      <w:r w:rsidR="00B55C26" w:rsidRPr="00AF35A5">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required after completion of the ramp up activities and when deployment is set to begin</w:t>
      </w:r>
      <w:r w:rsidR="00C3243C">
        <w:rPr>
          <w:rFonts w:ascii="Palatino Linotype" w:hAnsi="Palatino Linotype"/>
          <w:color w:val="000000" w:themeColor="text1"/>
          <w:sz w:val="24"/>
          <w:szCs w:val="24"/>
        </w:rPr>
        <w:t xml:space="preserve">. </w:t>
      </w:r>
      <w:r w:rsidR="00B57E60">
        <w:rPr>
          <w:rFonts w:ascii="Palatino Linotype" w:hAnsi="Palatino Linotype"/>
          <w:color w:val="000000" w:themeColor="text1"/>
          <w:sz w:val="24"/>
          <w:szCs w:val="24"/>
        </w:rPr>
        <w:t xml:space="preserve">This report must be submitted by no later than 3 months after the completion of the ramp up activities. </w:t>
      </w:r>
      <w:r w:rsidR="00C3243C">
        <w:rPr>
          <w:rFonts w:ascii="Palatino Linotype" w:hAnsi="Palatino Linotype"/>
          <w:color w:val="000000" w:themeColor="text1"/>
          <w:sz w:val="24"/>
          <w:szCs w:val="24"/>
        </w:rPr>
        <w:t>In this report, recipients will report on the comp</w:t>
      </w:r>
      <w:r w:rsidR="00E17BBB">
        <w:rPr>
          <w:rFonts w:ascii="Palatino Linotype" w:hAnsi="Palatino Linotype"/>
          <w:color w:val="000000" w:themeColor="text1"/>
          <w:sz w:val="24"/>
          <w:szCs w:val="24"/>
        </w:rPr>
        <w:t>letion</w:t>
      </w:r>
      <w:r w:rsidR="00C3243C">
        <w:rPr>
          <w:rFonts w:ascii="Palatino Linotype" w:hAnsi="Palatino Linotype"/>
          <w:color w:val="000000" w:themeColor="text1"/>
          <w:sz w:val="24"/>
          <w:szCs w:val="24"/>
        </w:rPr>
        <w:t xml:space="preserve"> of the ramp up activities</w:t>
      </w:r>
      <w:r w:rsidR="00C72FCB">
        <w:rPr>
          <w:rFonts w:ascii="Palatino Linotype" w:hAnsi="Palatino Linotype"/>
          <w:color w:val="000000" w:themeColor="text1"/>
          <w:sz w:val="24"/>
          <w:szCs w:val="24"/>
        </w:rPr>
        <w:t xml:space="preserve"> per the work plan</w:t>
      </w:r>
      <w:r w:rsidR="00C3243C">
        <w:rPr>
          <w:rFonts w:ascii="Palatino Linotype" w:hAnsi="Palatino Linotype"/>
          <w:color w:val="000000" w:themeColor="text1"/>
          <w:sz w:val="24"/>
          <w:szCs w:val="24"/>
        </w:rPr>
        <w:t xml:space="preserve">, milestones met, as well as request payment for </w:t>
      </w:r>
      <w:r w:rsidR="00C72FCB">
        <w:rPr>
          <w:rFonts w:ascii="Palatino Linotype" w:hAnsi="Palatino Linotype"/>
          <w:color w:val="000000" w:themeColor="text1"/>
          <w:sz w:val="24"/>
          <w:szCs w:val="24"/>
        </w:rPr>
        <w:t xml:space="preserve">relevant </w:t>
      </w:r>
      <w:r w:rsidR="00C3243C">
        <w:rPr>
          <w:rFonts w:ascii="Palatino Linotype" w:hAnsi="Palatino Linotype"/>
          <w:color w:val="000000" w:themeColor="text1"/>
          <w:sz w:val="24"/>
          <w:szCs w:val="24"/>
        </w:rPr>
        <w:t>expenses to date</w:t>
      </w:r>
      <w:r w:rsidR="00C610C7" w:rsidRPr="00AF35A5">
        <w:rPr>
          <w:rFonts w:ascii="Palatino Linotype" w:hAnsi="Palatino Linotype"/>
          <w:color w:val="000000" w:themeColor="text1"/>
          <w:sz w:val="24"/>
          <w:szCs w:val="24"/>
        </w:rPr>
        <w:t>.</w:t>
      </w:r>
      <w:r w:rsidR="00320EB5">
        <w:rPr>
          <w:rFonts w:ascii="Palatino Linotype" w:hAnsi="Palatino Linotype"/>
          <w:color w:val="000000" w:themeColor="text1"/>
          <w:sz w:val="24"/>
          <w:szCs w:val="24"/>
        </w:rPr>
        <w:t xml:space="preserve"> The ramp up period may not exceed 6 months from the time the </w:t>
      </w:r>
      <w:r w:rsidR="00C72FCB">
        <w:rPr>
          <w:rFonts w:ascii="Palatino Linotype" w:hAnsi="Palatino Linotype"/>
          <w:color w:val="000000" w:themeColor="text1"/>
          <w:sz w:val="24"/>
          <w:szCs w:val="24"/>
        </w:rPr>
        <w:t xml:space="preserve">application is approved. </w:t>
      </w:r>
      <w:r w:rsidR="00320EB5">
        <w:rPr>
          <w:rFonts w:ascii="Palatino Linotype" w:hAnsi="Palatino Linotype"/>
          <w:color w:val="000000" w:themeColor="text1"/>
          <w:sz w:val="24"/>
          <w:szCs w:val="24"/>
        </w:rPr>
        <w:t xml:space="preserve"> </w:t>
      </w:r>
    </w:p>
    <w:p w:rsidR="00C610C7" w:rsidRPr="002A2B6D" w:rsidRDefault="00C610C7" w:rsidP="00C610C7">
      <w:pPr>
        <w:pStyle w:val="ListParagraph"/>
        <w:ind w:left="360"/>
        <w:rPr>
          <w:rFonts w:ascii="Palatino Linotype" w:hAnsi="Palatino Linotype"/>
          <w:b/>
          <w:i/>
          <w:color w:val="000000" w:themeColor="text1"/>
          <w:sz w:val="24"/>
          <w:szCs w:val="24"/>
        </w:rPr>
      </w:pPr>
    </w:p>
    <w:p w:rsidR="00686E4E" w:rsidRDefault="00B55C26" w:rsidP="00C610C7">
      <w:pPr>
        <w:pStyle w:val="ListParagraph"/>
        <w:ind w:left="360"/>
        <w:rPr>
          <w:rFonts w:ascii="Palatino Linotype" w:hAnsi="Palatino Linotype"/>
          <w:color w:val="000000" w:themeColor="text1"/>
          <w:sz w:val="24"/>
          <w:szCs w:val="24"/>
        </w:rPr>
      </w:pPr>
      <w:r>
        <w:rPr>
          <w:rFonts w:ascii="Palatino Linotype" w:hAnsi="Palatino Linotype"/>
          <w:b/>
          <w:color w:val="000000" w:themeColor="text1"/>
          <w:sz w:val="24"/>
          <w:szCs w:val="24"/>
        </w:rPr>
        <w:t xml:space="preserve">Year 1 Progress Report: </w:t>
      </w:r>
      <w:r w:rsidR="00C610C7" w:rsidRPr="00AF35A5">
        <w:rPr>
          <w:rFonts w:ascii="Palatino Linotype" w:hAnsi="Palatino Linotype"/>
          <w:b/>
          <w:color w:val="000000" w:themeColor="text1"/>
          <w:sz w:val="24"/>
          <w:szCs w:val="24"/>
        </w:rPr>
        <w:t xml:space="preserve"> </w:t>
      </w:r>
      <w:r>
        <w:rPr>
          <w:rFonts w:ascii="Palatino Linotype" w:hAnsi="Palatino Linotype"/>
          <w:color w:val="000000" w:themeColor="text1"/>
          <w:sz w:val="24"/>
          <w:szCs w:val="24"/>
        </w:rPr>
        <w:t xml:space="preserve">The Year 1 progress report </w:t>
      </w:r>
      <w:r w:rsidR="005B5A14">
        <w:rPr>
          <w:rFonts w:ascii="Palatino Linotype" w:hAnsi="Palatino Linotype"/>
          <w:color w:val="000000" w:themeColor="text1"/>
          <w:sz w:val="24"/>
          <w:szCs w:val="24"/>
        </w:rPr>
        <w:t>is</w:t>
      </w:r>
      <w:r>
        <w:rPr>
          <w:rFonts w:ascii="Palatino Linotype" w:hAnsi="Palatino Linotype"/>
          <w:color w:val="000000" w:themeColor="text1"/>
          <w:sz w:val="24"/>
          <w:szCs w:val="24"/>
        </w:rPr>
        <w:t xml:space="preserve"> required at the end of the first year of deployment.  </w:t>
      </w:r>
      <w:r w:rsidR="00B57E60">
        <w:rPr>
          <w:rFonts w:ascii="Palatino Linotype" w:hAnsi="Palatino Linotype"/>
          <w:color w:val="000000" w:themeColor="text1"/>
          <w:sz w:val="24"/>
          <w:szCs w:val="24"/>
        </w:rPr>
        <w:t xml:space="preserve">This report must be submitted by no later than 3 months after the end of the first year of deployment. </w:t>
      </w:r>
      <w:r>
        <w:rPr>
          <w:rFonts w:ascii="Palatino Linotype" w:hAnsi="Palatino Linotype"/>
          <w:color w:val="000000" w:themeColor="text1"/>
          <w:sz w:val="24"/>
          <w:szCs w:val="24"/>
        </w:rPr>
        <w:t>In this report, recipients will report on the status of Year 1 milestones</w:t>
      </w:r>
      <w:r w:rsidR="00C72FCB">
        <w:rPr>
          <w:rFonts w:ascii="Palatino Linotype" w:hAnsi="Palatino Linotype"/>
          <w:color w:val="000000" w:themeColor="text1"/>
          <w:sz w:val="24"/>
          <w:szCs w:val="24"/>
        </w:rPr>
        <w:t xml:space="preserve"> per the work plan</w:t>
      </w:r>
      <w:r>
        <w:rPr>
          <w:rFonts w:ascii="Palatino Linotype" w:hAnsi="Palatino Linotype"/>
          <w:color w:val="000000" w:themeColor="text1"/>
          <w:sz w:val="24"/>
          <w:szCs w:val="24"/>
        </w:rPr>
        <w:t>, as we</w:t>
      </w:r>
      <w:r w:rsidR="00686E4E">
        <w:rPr>
          <w:rFonts w:ascii="Palatino Linotype" w:hAnsi="Palatino Linotype"/>
          <w:color w:val="000000" w:themeColor="text1"/>
          <w:sz w:val="24"/>
          <w:szCs w:val="24"/>
        </w:rPr>
        <w:t xml:space="preserve">ll as request payment for </w:t>
      </w:r>
      <w:r w:rsidR="00C72FCB">
        <w:rPr>
          <w:rFonts w:ascii="Palatino Linotype" w:hAnsi="Palatino Linotype"/>
          <w:color w:val="000000" w:themeColor="text1"/>
          <w:sz w:val="24"/>
          <w:szCs w:val="24"/>
        </w:rPr>
        <w:t xml:space="preserve">relevant </w:t>
      </w:r>
      <w:r w:rsidR="00686E4E">
        <w:rPr>
          <w:rFonts w:ascii="Palatino Linotype" w:hAnsi="Palatino Linotype"/>
          <w:color w:val="000000" w:themeColor="text1"/>
          <w:sz w:val="24"/>
          <w:szCs w:val="24"/>
        </w:rPr>
        <w:t xml:space="preserve">expenses to date. </w:t>
      </w:r>
    </w:p>
    <w:p w:rsidR="00686E4E" w:rsidRDefault="00686E4E" w:rsidP="00C610C7">
      <w:pPr>
        <w:pStyle w:val="ListParagraph"/>
        <w:ind w:left="360"/>
        <w:rPr>
          <w:rFonts w:ascii="Palatino Linotype" w:hAnsi="Palatino Linotype"/>
          <w:color w:val="000000" w:themeColor="text1"/>
          <w:sz w:val="24"/>
          <w:szCs w:val="24"/>
        </w:rPr>
      </w:pPr>
    </w:p>
    <w:p w:rsidR="00C610C7" w:rsidRPr="00AF35A5" w:rsidRDefault="00686E4E" w:rsidP="00C610C7">
      <w:pPr>
        <w:pStyle w:val="ListParagraph"/>
        <w:ind w:left="360"/>
        <w:rPr>
          <w:rFonts w:ascii="Palatino Linotype" w:hAnsi="Palatino Linotype"/>
          <w:color w:val="000000" w:themeColor="text1"/>
          <w:sz w:val="24"/>
          <w:szCs w:val="24"/>
        </w:rPr>
      </w:pPr>
      <w:r w:rsidRPr="002A2B6D">
        <w:rPr>
          <w:rFonts w:ascii="Palatino Linotype" w:hAnsi="Palatino Linotype"/>
          <w:b/>
          <w:color w:val="000000" w:themeColor="text1"/>
          <w:sz w:val="24"/>
          <w:szCs w:val="24"/>
        </w:rPr>
        <w:t>Year 2 Completion Report</w:t>
      </w:r>
      <w:r>
        <w:rPr>
          <w:rFonts w:ascii="Palatino Linotype" w:hAnsi="Palatino Linotype"/>
          <w:color w:val="000000" w:themeColor="text1"/>
          <w:sz w:val="24"/>
          <w:szCs w:val="24"/>
        </w:rPr>
        <w:t xml:space="preserve">: </w:t>
      </w:r>
      <w:r w:rsidR="00B55C26">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 xml:space="preserve">The Year 2 </w:t>
      </w:r>
      <w:r w:rsidR="00C610C7" w:rsidRPr="00AF35A5">
        <w:rPr>
          <w:rFonts w:ascii="Palatino Linotype" w:hAnsi="Palatino Linotype"/>
          <w:color w:val="000000" w:themeColor="text1"/>
          <w:sz w:val="24"/>
          <w:szCs w:val="24"/>
        </w:rPr>
        <w:t>completion report is required at the end of the 24</w:t>
      </w:r>
      <w:r w:rsidR="003E6803">
        <w:rPr>
          <w:rFonts w:ascii="Palatino Linotype" w:hAnsi="Palatino Linotype"/>
          <w:color w:val="000000" w:themeColor="text1"/>
          <w:sz w:val="24"/>
          <w:szCs w:val="24"/>
        </w:rPr>
        <w:t xml:space="preserve"> </w:t>
      </w:r>
      <w:r w:rsidR="00C610C7" w:rsidRPr="00AF35A5">
        <w:rPr>
          <w:rFonts w:ascii="Palatino Linotype" w:hAnsi="Palatino Linotype"/>
          <w:color w:val="000000" w:themeColor="text1"/>
          <w:sz w:val="24"/>
          <w:szCs w:val="24"/>
        </w:rPr>
        <w:t>month period, or after the work plan milestones/deliverables have been accomplished</w:t>
      </w:r>
      <w:r w:rsidR="00B04826">
        <w:rPr>
          <w:rFonts w:ascii="Palatino Linotype" w:hAnsi="Palatino Linotype"/>
          <w:color w:val="000000" w:themeColor="text1"/>
          <w:sz w:val="24"/>
          <w:szCs w:val="24"/>
        </w:rPr>
        <w:t xml:space="preserve"> if earlier than the 24 month period</w:t>
      </w:r>
      <w:r w:rsidR="00C610C7" w:rsidRPr="00AF35A5">
        <w:rPr>
          <w:rFonts w:ascii="Palatino Linotype" w:hAnsi="Palatino Linotype"/>
          <w:color w:val="000000" w:themeColor="text1"/>
          <w:sz w:val="24"/>
          <w:szCs w:val="24"/>
        </w:rPr>
        <w:t xml:space="preserve">. </w:t>
      </w:r>
      <w:r w:rsidR="00222CCB">
        <w:rPr>
          <w:rFonts w:ascii="Palatino Linotype" w:hAnsi="Palatino Linotype"/>
          <w:color w:val="000000" w:themeColor="text1"/>
          <w:sz w:val="24"/>
          <w:szCs w:val="24"/>
        </w:rPr>
        <w:t xml:space="preserve">This report must be submitted by no later than 3 months </w:t>
      </w:r>
      <w:r w:rsidR="002E260F" w:rsidRPr="00AF35A5">
        <w:rPr>
          <w:rFonts w:ascii="Palatino Linotype" w:hAnsi="Palatino Linotype"/>
          <w:color w:val="000000" w:themeColor="text1"/>
          <w:sz w:val="24"/>
          <w:szCs w:val="24"/>
        </w:rPr>
        <w:t>after completion of the project</w:t>
      </w:r>
      <w:r w:rsidR="00222CCB">
        <w:rPr>
          <w:rFonts w:ascii="Palatino Linotype" w:hAnsi="Palatino Linotype"/>
          <w:color w:val="000000" w:themeColor="text1"/>
          <w:sz w:val="24"/>
          <w:szCs w:val="24"/>
        </w:rPr>
        <w:t xml:space="preserve">. </w:t>
      </w:r>
      <w:r w:rsidR="005B5A14">
        <w:rPr>
          <w:rFonts w:ascii="Palatino Linotype" w:hAnsi="Palatino Linotype"/>
          <w:color w:val="000000" w:themeColor="text1"/>
          <w:sz w:val="24"/>
          <w:szCs w:val="24"/>
        </w:rPr>
        <w:t xml:space="preserve">In this </w:t>
      </w:r>
      <w:r w:rsidR="005B5A14">
        <w:rPr>
          <w:rFonts w:ascii="Palatino Linotype" w:hAnsi="Palatino Linotype"/>
          <w:color w:val="000000" w:themeColor="text1"/>
          <w:sz w:val="24"/>
          <w:szCs w:val="24"/>
        </w:rPr>
        <w:lastRenderedPageBreak/>
        <w:t>report, recipients will report on the comp</w:t>
      </w:r>
      <w:r w:rsidR="00E17BBB">
        <w:rPr>
          <w:rFonts w:ascii="Palatino Linotype" w:hAnsi="Palatino Linotype"/>
          <w:color w:val="000000" w:themeColor="text1"/>
          <w:sz w:val="24"/>
          <w:szCs w:val="24"/>
        </w:rPr>
        <w:t>letion</w:t>
      </w:r>
      <w:r w:rsidR="005B5A14">
        <w:rPr>
          <w:rFonts w:ascii="Palatino Linotype" w:hAnsi="Palatino Linotype"/>
          <w:color w:val="000000" w:themeColor="text1"/>
          <w:sz w:val="24"/>
          <w:szCs w:val="24"/>
        </w:rPr>
        <w:t xml:space="preserve"> of the overall project, milestones met</w:t>
      </w:r>
      <w:r w:rsidR="00C72FCB">
        <w:rPr>
          <w:rFonts w:ascii="Palatino Linotype" w:hAnsi="Palatino Linotype"/>
          <w:color w:val="000000" w:themeColor="text1"/>
          <w:sz w:val="24"/>
          <w:szCs w:val="24"/>
        </w:rPr>
        <w:t xml:space="preserve"> per the work plan</w:t>
      </w:r>
      <w:r w:rsidR="005B5A14">
        <w:rPr>
          <w:rFonts w:ascii="Palatino Linotype" w:hAnsi="Palatino Linotype"/>
          <w:color w:val="000000" w:themeColor="text1"/>
          <w:sz w:val="24"/>
          <w:szCs w:val="24"/>
        </w:rPr>
        <w:t xml:space="preserve">, as well as request payment for final and remaining </w:t>
      </w:r>
      <w:r w:rsidR="00C72FCB">
        <w:rPr>
          <w:rFonts w:ascii="Palatino Linotype" w:hAnsi="Palatino Linotype"/>
          <w:color w:val="000000" w:themeColor="text1"/>
          <w:sz w:val="24"/>
          <w:szCs w:val="24"/>
        </w:rPr>
        <w:t xml:space="preserve">relevant </w:t>
      </w:r>
      <w:r w:rsidR="005B5A14">
        <w:rPr>
          <w:rFonts w:ascii="Palatino Linotype" w:hAnsi="Palatino Linotype"/>
          <w:color w:val="000000" w:themeColor="text1"/>
          <w:sz w:val="24"/>
          <w:szCs w:val="24"/>
        </w:rPr>
        <w:t>expenses</w:t>
      </w:r>
      <w:r w:rsidR="00094724">
        <w:rPr>
          <w:rFonts w:ascii="Palatino Linotype" w:hAnsi="Palatino Linotype"/>
          <w:color w:val="000000" w:themeColor="text1"/>
          <w:sz w:val="24"/>
          <w:szCs w:val="24"/>
        </w:rPr>
        <w:t xml:space="preserve">. </w:t>
      </w: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The completion report </w:t>
      </w:r>
      <w:r w:rsidR="00E61D0D">
        <w:rPr>
          <w:rFonts w:ascii="Palatino Linotype" w:hAnsi="Palatino Linotype"/>
          <w:color w:val="000000" w:themeColor="text1"/>
          <w:sz w:val="24"/>
          <w:szCs w:val="24"/>
        </w:rPr>
        <w:t>may</w:t>
      </w:r>
      <w:r w:rsidR="00E61D0D" w:rsidRPr="00AF35A5">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include:</w:t>
      </w:r>
    </w:p>
    <w:p w:rsidR="00C610C7" w:rsidRPr="00AF35A5" w:rsidRDefault="00C610C7" w:rsidP="00AE60DE">
      <w:pPr>
        <w:pStyle w:val="ListParagraph"/>
        <w:numPr>
          <w:ilvl w:val="0"/>
          <w:numId w:val="84"/>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A summary of all work done including an itemized list of materials purchased and money spent;</w:t>
      </w:r>
    </w:p>
    <w:p w:rsidR="00C610C7" w:rsidRPr="00AF35A5" w:rsidRDefault="00C610C7" w:rsidP="00AE60DE">
      <w:pPr>
        <w:pStyle w:val="ListParagraph"/>
        <w:numPr>
          <w:ilvl w:val="0"/>
          <w:numId w:val="84"/>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A description of each milestone in the period and how that milestone was met.</w:t>
      </w:r>
    </w:p>
    <w:p w:rsidR="00C610C7" w:rsidRPr="00AF35A5" w:rsidRDefault="00C610C7" w:rsidP="00AE60DE">
      <w:pPr>
        <w:pStyle w:val="ListParagraph"/>
        <w:numPr>
          <w:ilvl w:val="0"/>
          <w:numId w:val="84"/>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total number of participants trained</w:t>
      </w:r>
      <w:r w:rsidR="00E61D0D">
        <w:rPr>
          <w:rFonts w:ascii="Palatino Linotype" w:hAnsi="Palatino Linotype"/>
          <w:color w:val="000000" w:themeColor="text1"/>
          <w:sz w:val="24"/>
          <w:szCs w:val="24"/>
        </w:rPr>
        <w:t xml:space="preserve"> or hours of access provided</w:t>
      </w:r>
      <w:r w:rsidR="003060CD">
        <w:rPr>
          <w:rFonts w:ascii="Palatino Linotype" w:hAnsi="Palatino Linotype"/>
          <w:color w:val="000000" w:themeColor="text1"/>
          <w:sz w:val="24"/>
          <w:szCs w:val="24"/>
        </w:rPr>
        <w:t>, (if applicable)</w:t>
      </w:r>
      <w:r w:rsidRPr="00AF35A5">
        <w:rPr>
          <w:rFonts w:ascii="Palatino Linotype" w:hAnsi="Palatino Linotype"/>
          <w:color w:val="000000" w:themeColor="text1"/>
          <w:sz w:val="24"/>
          <w:szCs w:val="24"/>
        </w:rPr>
        <w:t>;</w:t>
      </w:r>
      <w:r w:rsidR="00A422A2">
        <w:rPr>
          <w:rFonts w:ascii="Palatino Linotype" w:hAnsi="Palatino Linotype"/>
          <w:color w:val="000000" w:themeColor="text1"/>
          <w:sz w:val="24"/>
          <w:szCs w:val="24"/>
        </w:rPr>
        <w:t xml:space="preserve"> </w:t>
      </w:r>
      <w:r w:rsidR="00887CE2">
        <w:rPr>
          <w:rFonts w:ascii="Palatino Linotype" w:hAnsi="Palatino Linotype"/>
          <w:color w:val="000000" w:themeColor="text1"/>
          <w:sz w:val="24"/>
          <w:szCs w:val="24"/>
        </w:rPr>
        <w:t>and</w:t>
      </w:r>
    </w:p>
    <w:p w:rsidR="00C610C7" w:rsidRPr="00AF35A5" w:rsidRDefault="00C610C7" w:rsidP="00AE60DE">
      <w:pPr>
        <w:pStyle w:val="ListParagraph"/>
        <w:numPr>
          <w:ilvl w:val="0"/>
          <w:numId w:val="84"/>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The number of participants that subsequently subscribe to a broadband Internet service provider to use a device in their home.  </w:t>
      </w:r>
    </w:p>
    <w:p w:rsidR="00C610C7" w:rsidRPr="00AF35A5" w:rsidRDefault="00C610C7" w:rsidP="00C610C7">
      <w:pPr>
        <w:pStyle w:val="ListParagraph"/>
        <w:rPr>
          <w:rFonts w:ascii="Palatino Linotype" w:hAnsi="Palatino Linotype"/>
          <w:color w:val="000000" w:themeColor="text1"/>
          <w:sz w:val="24"/>
          <w:szCs w:val="24"/>
        </w:rPr>
      </w:pPr>
    </w:p>
    <w:p w:rsidR="00C610C7"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Grantees must maintain files, invoices, and other related documentation for three years after final payment.  Grantees shall make these records available to the Commission upon request and agree that these records are subject to audit and review by the Commission at any time within three years after the Grantee incurred the expense being audited.  </w:t>
      </w:r>
    </w:p>
    <w:p w:rsidR="00CF0132" w:rsidRPr="00AF35A5" w:rsidRDefault="00CF0132" w:rsidP="00C610C7">
      <w:pPr>
        <w:pStyle w:val="ListParagraph"/>
        <w:ind w:left="360"/>
        <w:rPr>
          <w:rFonts w:ascii="Palatino Linotype" w:hAnsi="Palatino Linotype"/>
          <w:color w:val="000000" w:themeColor="text1"/>
          <w:sz w:val="24"/>
          <w:szCs w:val="24"/>
        </w:rPr>
      </w:pPr>
    </w:p>
    <w:p w:rsidR="00C610C7" w:rsidRPr="00AF35A5" w:rsidRDefault="00C610C7" w:rsidP="009A00FB">
      <w:pPr>
        <w:pStyle w:val="Heading2"/>
        <w:numPr>
          <w:ilvl w:val="1"/>
          <w:numId w:val="35"/>
        </w:numPr>
      </w:pPr>
      <w:bookmarkStart w:id="714" w:name="_Toc505694166"/>
      <w:bookmarkStart w:id="715" w:name="_Toc505786743"/>
      <w:bookmarkStart w:id="716" w:name="_Toc514153044"/>
      <w:r w:rsidRPr="00AF35A5">
        <w:t>Payment</w:t>
      </w:r>
      <w:bookmarkEnd w:id="714"/>
      <w:bookmarkEnd w:id="715"/>
      <w:bookmarkEnd w:id="716"/>
      <w:r w:rsidRPr="00AF35A5">
        <w:t xml:space="preserve"> </w:t>
      </w:r>
    </w:p>
    <w:p w:rsidR="000E1BF6" w:rsidRDefault="00C610C7" w:rsidP="00AE60DE">
      <w:pPr>
        <w:pStyle w:val="ListParagraph"/>
        <w:numPr>
          <w:ilvl w:val="0"/>
          <w:numId w:val="86"/>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Grantees </w:t>
      </w:r>
      <w:r w:rsidR="000E1BF6">
        <w:rPr>
          <w:rFonts w:ascii="Palatino Linotype" w:hAnsi="Palatino Linotype"/>
          <w:color w:val="000000" w:themeColor="text1"/>
          <w:sz w:val="24"/>
          <w:szCs w:val="24"/>
        </w:rPr>
        <w:t xml:space="preserve">may submit payment requests </w:t>
      </w:r>
      <w:r w:rsidR="00C72FCB">
        <w:rPr>
          <w:rFonts w:ascii="Palatino Linotype" w:hAnsi="Palatino Linotype"/>
          <w:color w:val="000000" w:themeColor="text1"/>
          <w:sz w:val="24"/>
          <w:szCs w:val="24"/>
        </w:rPr>
        <w:t xml:space="preserve">at 3 points throughout the project period.  Payment requests will accompany </w:t>
      </w:r>
      <w:r w:rsidR="000E1BF6">
        <w:rPr>
          <w:rFonts w:ascii="Palatino Linotype" w:hAnsi="Palatino Linotype"/>
          <w:color w:val="000000" w:themeColor="text1"/>
          <w:sz w:val="24"/>
          <w:szCs w:val="24"/>
        </w:rPr>
        <w:t>the 3 reports required above (Ramp Up Period, Year 1, Year 2).</w:t>
      </w:r>
    </w:p>
    <w:p w:rsidR="00C610C7" w:rsidRPr="00AF35A5" w:rsidRDefault="00094724" w:rsidP="00AE60DE">
      <w:pPr>
        <w:pStyle w:val="ListParagraph"/>
        <w:numPr>
          <w:ilvl w:val="0"/>
          <w:numId w:val="86"/>
        </w:numPr>
        <w:rPr>
          <w:rFonts w:ascii="Palatino Linotype" w:hAnsi="Palatino Linotype"/>
          <w:color w:val="000000" w:themeColor="text1"/>
          <w:sz w:val="24"/>
          <w:szCs w:val="24"/>
        </w:rPr>
      </w:pPr>
      <w:r>
        <w:rPr>
          <w:rFonts w:ascii="Palatino Linotype" w:hAnsi="Palatino Linotype"/>
          <w:color w:val="000000" w:themeColor="text1"/>
          <w:sz w:val="24"/>
          <w:szCs w:val="24"/>
        </w:rPr>
        <w:t>The relevant</w:t>
      </w:r>
      <w:r w:rsidR="00C610C7" w:rsidRPr="00AF35A5">
        <w:rPr>
          <w:rFonts w:ascii="Palatino Linotype" w:hAnsi="Palatino Linotype"/>
          <w:color w:val="000000" w:themeColor="text1"/>
          <w:sz w:val="24"/>
          <w:szCs w:val="24"/>
        </w:rPr>
        <w:t xml:space="preserve"> project report </w:t>
      </w:r>
      <w:r w:rsidR="000E1BF6">
        <w:rPr>
          <w:rFonts w:ascii="Palatino Linotype" w:hAnsi="Palatino Linotype"/>
          <w:color w:val="000000" w:themeColor="text1"/>
          <w:sz w:val="24"/>
          <w:szCs w:val="24"/>
        </w:rPr>
        <w:t xml:space="preserve">must be submitted in order for a </w:t>
      </w:r>
      <w:r w:rsidR="00C610C7" w:rsidRPr="00AF35A5">
        <w:rPr>
          <w:rFonts w:ascii="Palatino Linotype" w:hAnsi="Palatino Linotype"/>
          <w:color w:val="000000" w:themeColor="text1"/>
          <w:sz w:val="24"/>
          <w:szCs w:val="24"/>
        </w:rPr>
        <w:t>payment request</w:t>
      </w:r>
      <w:r w:rsidR="00C72FCB">
        <w:rPr>
          <w:rFonts w:ascii="Palatino Linotype" w:hAnsi="Palatino Linotype"/>
          <w:color w:val="000000" w:themeColor="text1"/>
          <w:sz w:val="24"/>
          <w:szCs w:val="24"/>
        </w:rPr>
        <w:t xml:space="preserve"> to be granted</w:t>
      </w:r>
      <w:r w:rsidR="00C610C7" w:rsidRPr="00AF35A5">
        <w:rPr>
          <w:rFonts w:ascii="Palatino Linotype" w:hAnsi="Palatino Linotype"/>
          <w:color w:val="000000" w:themeColor="text1"/>
          <w:sz w:val="24"/>
          <w:szCs w:val="24"/>
        </w:rPr>
        <w:t xml:space="preserve">. </w:t>
      </w:r>
    </w:p>
    <w:p w:rsidR="00C610C7" w:rsidRPr="00AF35A5" w:rsidRDefault="00094724" w:rsidP="00AE60DE">
      <w:pPr>
        <w:pStyle w:val="ListParagraph"/>
        <w:numPr>
          <w:ilvl w:val="0"/>
          <w:numId w:val="86"/>
        </w:numPr>
        <w:rPr>
          <w:rFonts w:ascii="Palatino Linotype" w:hAnsi="Palatino Linotype"/>
          <w:color w:val="000000" w:themeColor="text1"/>
          <w:sz w:val="24"/>
          <w:szCs w:val="24"/>
        </w:rPr>
      </w:pPr>
      <w:r>
        <w:rPr>
          <w:rFonts w:ascii="Palatino Linotype" w:hAnsi="Palatino Linotype"/>
          <w:color w:val="000000" w:themeColor="text1"/>
          <w:sz w:val="24"/>
          <w:szCs w:val="24"/>
        </w:rPr>
        <w:t>P</w:t>
      </w:r>
      <w:r w:rsidR="00C610C7" w:rsidRPr="00AF35A5">
        <w:rPr>
          <w:rFonts w:ascii="Palatino Linotype" w:hAnsi="Palatino Linotype"/>
          <w:color w:val="000000" w:themeColor="text1"/>
          <w:sz w:val="24"/>
          <w:szCs w:val="24"/>
        </w:rPr>
        <w:t xml:space="preserve">ayment request </w:t>
      </w:r>
      <w:r>
        <w:rPr>
          <w:rFonts w:ascii="Palatino Linotype" w:hAnsi="Palatino Linotype"/>
          <w:color w:val="000000" w:themeColor="text1"/>
          <w:sz w:val="24"/>
          <w:szCs w:val="24"/>
        </w:rPr>
        <w:t xml:space="preserve">for the </w:t>
      </w:r>
      <w:r w:rsidR="00C610C7" w:rsidRPr="00AF35A5">
        <w:rPr>
          <w:rFonts w:ascii="Palatino Linotype" w:hAnsi="Palatino Linotype"/>
          <w:color w:val="000000" w:themeColor="text1"/>
          <w:sz w:val="24"/>
          <w:szCs w:val="24"/>
        </w:rPr>
        <w:t>ramp</w:t>
      </w:r>
      <w:r w:rsidR="00B34BCE">
        <w:rPr>
          <w:rFonts w:ascii="Palatino Linotype" w:hAnsi="Palatino Linotype"/>
          <w:color w:val="000000" w:themeColor="text1"/>
          <w:sz w:val="24"/>
          <w:szCs w:val="24"/>
        </w:rPr>
        <w:noBreakHyphen/>
      </w:r>
      <w:r w:rsidR="00C610C7" w:rsidRPr="00AF35A5">
        <w:rPr>
          <w:rFonts w:ascii="Palatino Linotype" w:hAnsi="Palatino Linotype"/>
          <w:color w:val="000000" w:themeColor="text1"/>
          <w:sz w:val="24"/>
          <w:szCs w:val="24"/>
        </w:rPr>
        <w:t xml:space="preserve">up period </w:t>
      </w:r>
      <w:r>
        <w:rPr>
          <w:rFonts w:ascii="Palatino Linotype" w:hAnsi="Palatino Linotype"/>
          <w:color w:val="000000" w:themeColor="text1"/>
          <w:sz w:val="24"/>
          <w:szCs w:val="24"/>
        </w:rPr>
        <w:t>may not exceed</w:t>
      </w:r>
      <w:r w:rsidR="00C610C7" w:rsidRPr="00AF35A5">
        <w:rPr>
          <w:rFonts w:ascii="Palatino Linotype" w:hAnsi="Palatino Linotype"/>
          <w:color w:val="000000" w:themeColor="text1"/>
          <w:sz w:val="24"/>
          <w:szCs w:val="24"/>
        </w:rPr>
        <w:t xml:space="preserve"> 25% of grant amount</w:t>
      </w:r>
      <w:r>
        <w:rPr>
          <w:rFonts w:ascii="Palatino Linotype" w:hAnsi="Palatino Linotype"/>
          <w:color w:val="000000" w:themeColor="text1"/>
          <w:sz w:val="24"/>
          <w:szCs w:val="24"/>
        </w:rPr>
        <w:t xml:space="preserve">. </w:t>
      </w:r>
      <w:r w:rsidR="00C610C7" w:rsidRPr="00AF35A5">
        <w:rPr>
          <w:rFonts w:ascii="Palatino Linotype" w:hAnsi="Palatino Linotype"/>
          <w:color w:val="000000" w:themeColor="text1"/>
          <w:sz w:val="24"/>
          <w:szCs w:val="24"/>
        </w:rPr>
        <w:t xml:space="preserve">  </w:t>
      </w:r>
    </w:p>
    <w:p w:rsidR="00C610C7" w:rsidRPr="00AF35A5" w:rsidRDefault="00094724" w:rsidP="00AE60DE">
      <w:pPr>
        <w:pStyle w:val="ListParagraph"/>
        <w:numPr>
          <w:ilvl w:val="0"/>
          <w:numId w:val="86"/>
        </w:numPr>
        <w:rPr>
          <w:rFonts w:ascii="Palatino Linotype" w:hAnsi="Palatino Linotype"/>
          <w:color w:val="000000" w:themeColor="text1"/>
          <w:sz w:val="24"/>
          <w:szCs w:val="24"/>
        </w:rPr>
      </w:pPr>
      <w:r>
        <w:rPr>
          <w:rFonts w:ascii="Palatino Linotype" w:hAnsi="Palatino Linotype"/>
          <w:color w:val="000000" w:themeColor="text1"/>
          <w:sz w:val="24"/>
          <w:szCs w:val="24"/>
        </w:rPr>
        <w:t>All p</w:t>
      </w:r>
      <w:r w:rsidR="00C610C7" w:rsidRPr="00AF35A5">
        <w:rPr>
          <w:rFonts w:ascii="Palatino Linotype" w:hAnsi="Palatino Linotype"/>
          <w:color w:val="000000" w:themeColor="text1"/>
          <w:sz w:val="24"/>
          <w:szCs w:val="24"/>
        </w:rPr>
        <w:t xml:space="preserve">ayments </w:t>
      </w:r>
      <w:r>
        <w:rPr>
          <w:rFonts w:ascii="Palatino Linotype" w:hAnsi="Palatino Linotype"/>
          <w:color w:val="000000" w:themeColor="text1"/>
          <w:sz w:val="24"/>
          <w:szCs w:val="24"/>
        </w:rPr>
        <w:t xml:space="preserve">requests </w:t>
      </w:r>
      <w:r w:rsidR="00C610C7" w:rsidRPr="00AF35A5">
        <w:rPr>
          <w:rFonts w:ascii="Palatino Linotype" w:hAnsi="Palatino Linotype"/>
          <w:color w:val="000000" w:themeColor="text1"/>
          <w:sz w:val="24"/>
          <w:szCs w:val="24"/>
        </w:rPr>
        <w:t>require documentation of outcome in “milestone” report.</w:t>
      </w:r>
    </w:p>
    <w:p w:rsidR="00C610C7" w:rsidRPr="00AF35A5" w:rsidRDefault="00C610C7" w:rsidP="00AE60DE">
      <w:pPr>
        <w:pStyle w:val="ListParagraph"/>
        <w:numPr>
          <w:ilvl w:val="0"/>
          <w:numId w:val="86"/>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Grantees shall submit final requests for payment no later than </w:t>
      </w:r>
      <w:r w:rsidR="002558F0">
        <w:rPr>
          <w:rFonts w:ascii="Palatino Linotype" w:hAnsi="Palatino Linotype"/>
          <w:color w:val="000000" w:themeColor="text1"/>
          <w:sz w:val="24"/>
          <w:szCs w:val="24"/>
        </w:rPr>
        <w:t>3 months</w:t>
      </w:r>
      <w:r w:rsidRPr="00AF35A5">
        <w:rPr>
          <w:rFonts w:ascii="Palatino Linotype" w:hAnsi="Palatino Linotype"/>
          <w:color w:val="000000" w:themeColor="text1"/>
          <w:sz w:val="24"/>
          <w:szCs w:val="24"/>
        </w:rPr>
        <w:t xml:space="preserve"> after completion of the project.</w:t>
      </w:r>
    </w:p>
    <w:p w:rsidR="00C610C7" w:rsidRPr="00AF35A5" w:rsidRDefault="00C610C7" w:rsidP="00AE60DE">
      <w:pPr>
        <w:pStyle w:val="ListParagraph"/>
        <w:numPr>
          <w:ilvl w:val="0"/>
          <w:numId w:val="86"/>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Payment will be based upon receipt and approval of invoices and other supporting documents showing the expenditures incurred for the project are in accordance with their application.</w:t>
      </w:r>
    </w:p>
    <w:p w:rsidR="00C610C7" w:rsidRPr="00AF35A5" w:rsidRDefault="00C610C7" w:rsidP="00AE60DE">
      <w:pPr>
        <w:pStyle w:val="ListParagraph"/>
        <w:numPr>
          <w:ilvl w:val="0"/>
          <w:numId w:val="86"/>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Grantees must notify the Commission as soon as they become aware that they may not be able to meet project deadlines.  </w:t>
      </w:r>
    </w:p>
    <w:p w:rsidR="00C610C7" w:rsidRPr="00AF35A5" w:rsidRDefault="00C610C7" w:rsidP="00AE60DE">
      <w:pPr>
        <w:pStyle w:val="ListParagraph"/>
        <w:numPr>
          <w:ilvl w:val="0"/>
          <w:numId w:val="86"/>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Payment will be made in accordance with, and within the time specified in California Government Code § 927 et seq.</w:t>
      </w:r>
    </w:p>
    <w:p w:rsidR="00C610C7" w:rsidRPr="00AF35A5" w:rsidRDefault="00C610C7" w:rsidP="00AE60DE">
      <w:pPr>
        <w:pStyle w:val="ListParagraph"/>
        <w:numPr>
          <w:ilvl w:val="0"/>
          <w:numId w:val="86"/>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The Commission has the right to conduct any necessary audit, verification, and discovery during project implementation to ensure that CASF funds are spent in accordance with the terms of approval granted by the Commission.</w:t>
      </w:r>
    </w:p>
    <w:p w:rsidR="00C610C7" w:rsidRPr="00AF35A5" w:rsidRDefault="00C610C7" w:rsidP="00AE60DE">
      <w:pPr>
        <w:pStyle w:val="ListParagraph"/>
        <w:numPr>
          <w:ilvl w:val="0"/>
          <w:numId w:val="86"/>
        </w:num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recipient’s invoices will be subject to audit by the Commission at any time within three years of final payment.</w:t>
      </w:r>
    </w:p>
    <w:p w:rsidR="00C610C7" w:rsidRPr="00AF35A5" w:rsidRDefault="00C610C7" w:rsidP="00C610C7">
      <w:pPr>
        <w:pStyle w:val="ListParagraph"/>
        <w:rPr>
          <w:rFonts w:ascii="Palatino Linotype" w:hAnsi="Palatino Linotype"/>
          <w:b/>
          <w:color w:val="000000" w:themeColor="text1"/>
          <w:sz w:val="24"/>
          <w:szCs w:val="24"/>
        </w:rPr>
      </w:pPr>
    </w:p>
    <w:p w:rsidR="00C610C7" w:rsidRPr="00AF35A5" w:rsidRDefault="00C610C7" w:rsidP="009A00FB">
      <w:pPr>
        <w:pStyle w:val="Heading2"/>
        <w:numPr>
          <w:ilvl w:val="1"/>
          <w:numId w:val="35"/>
        </w:numPr>
      </w:pPr>
      <w:r w:rsidRPr="00AF35A5">
        <w:t xml:space="preserve"> </w:t>
      </w:r>
      <w:bookmarkStart w:id="717" w:name="_Toc505694167"/>
      <w:bookmarkStart w:id="718" w:name="_Toc505786744"/>
      <w:bookmarkStart w:id="719" w:name="_Toc514153045"/>
      <w:r w:rsidRPr="00AF35A5">
        <w:t>Execution and Performance</w:t>
      </w:r>
      <w:bookmarkEnd w:id="717"/>
      <w:bookmarkEnd w:id="718"/>
      <w:bookmarkEnd w:id="719"/>
      <w:r w:rsidRPr="00AF35A5">
        <w:t xml:space="preserve"> </w:t>
      </w: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Grantees </w:t>
      </w:r>
      <w:r w:rsidR="00264BEB">
        <w:rPr>
          <w:rFonts w:ascii="Palatino Linotype" w:hAnsi="Palatino Linotype"/>
          <w:color w:val="000000" w:themeColor="text1"/>
          <w:sz w:val="24"/>
          <w:szCs w:val="24"/>
        </w:rPr>
        <w:t>must</w:t>
      </w:r>
      <w:r w:rsidR="00264BEB" w:rsidRPr="00AF35A5">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start the project within six months after the grant approval (after the ramp</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up time) and complete the project within a 24</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month timeframe or </w:t>
      </w:r>
      <w:r w:rsidR="00B04826">
        <w:rPr>
          <w:rFonts w:ascii="Palatino Linotype" w:hAnsi="Palatino Linotype"/>
          <w:color w:val="000000" w:themeColor="text1"/>
          <w:sz w:val="24"/>
          <w:szCs w:val="24"/>
        </w:rPr>
        <w:t>earlier</w:t>
      </w:r>
      <w:r w:rsidRPr="00AF35A5">
        <w:rPr>
          <w:rFonts w:ascii="Palatino Linotype" w:hAnsi="Palatino Linotype"/>
          <w:color w:val="000000" w:themeColor="text1"/>
          <w:sz w:val="24"/>
          <w:szCs w:val="24"/>
        </w:rPr>
        <w:t>.  The Commission may withhold or terminate grant payments if the grantee does not comply with any of the requirements set forth in its application and compliance with the CASF.  In the event that the grantee fails to complete the project in accordance with the terms of approval granted by the Commission, the grantee</w:t>
      </w:r>
      <w:r w:rsidR="00264BEB">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will be required to reimburse some or all of the CASF funds that it has received.</w:t>
      </w:r>
    </w:p>
    <w:p w:rsidR="00C610C7" w:rsidRPr="00AF35A5" w:rsidRDefault="00C610C7" w:rsidP="00C610C7">
      <w:pPr>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CASF grant recipient must complete all performance under the award on or before the termination date of the award.</w:t>
      </w: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b/>
      </w:r>
    </w:p>
    <w:p w:rsidR="00264BEB" w:rsidRDefault="00C610C7" w:rsidP="00D4578E">
      <w:pPr>
        <w:pStyle w:val="ListParagraph"/>
        <w:ind w:left="360"/>
        <w:rPr>
          <w:rFonts w:ascii="Palatino Linotype" w:hAnsi="Palatino Linotype"/>
          <w:b/>
          <w:color w:val="000000" w:themeColor="text1"/>
          <w:sz w:val="24"/>
          <w:szCs w:val="24"/>
        </w:rPr>
      </w:pPr>
      <w:r w:rsidRPr="00AF35A5">
        <w:rPr>
          <w:rFonts w:ascii="Palatino Linotype" w:hAnsi="Palatino Linotype"/>
          <w:color w:val="000000" w:themeColor="text1"/>
          <w:sz w:val="24"/>
          <w:szCs w:val="24"/>
        </w:rPr>
        <w:t>Material changes in the entries for this application, such as discontinuing operation or bankruptcy, or change of name (DBA), change of address, telephone, fax number or E</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mail address should be reported by a letter to the C</w:t>
      </w:r>
      <w:r w:rsidR="0095177D">
        <w:rPr>
          <w:rFonts w:ascii="Palatino Linotype" w:hAnsi="Palatino Linotype"/>
          <w:color w:val="000000" w:themeColor="text1"/>
          <w:sz w:val="24"/>
          <w:szCs w:val="24"/>
        </w:rPr>
        <w:t xml:space="preserve">alifornia </w:t>
      </w:r>
      <w:r w:rsidRPr="00AF35A5">
        <w:rPr>
          <w:rFonts w:ascii="Palatino Linotype" w:hAnsi="Palatino Linotype"/>
          <w:color w:val="000000" w:themeColor="text1"/>
          <w:sz w:val="24"/>
          <w:szCs w:val="24"/>
        </w:rPr>
        <w:t>P</w:t>
      </w:r>
      <w:r w:rsidR="0095177D">
        <w:rPr>
          <w:rFonts w:ascii="Palatino Linotype" w:hAnsi="Palatino Linotype"/>
          <w:color w:val="000000" w:themeColor="text1"/>
          <w:sz w:val="24"/>
          <w:szCs w:val="24"/>
        </w:rPr>
        <w:t xml:space="preserve">ublic </w:t>
      </w:r>
      <w:r w:rsidR="0095177D" w:rsidRPr="00AF35A5">
        <w:rPr>
          <w:rFonts w:ascii="Palatino Linotype" w:hAnsi="Palatino Linotype"/>
          <w:color w:val="000000" w:themeColor="text1"/>
          <w:sz w:val="24"/>
          <w:szCs w:val="24"/>
        </w:rPr>
        <w:t>U</w:t>
      </w:r>
      <w:r w:rsidR="0095177D">
        <w:rPr>
          <w:rFonts w:ascii="Palatino Linotype" w:hAnsi="Palatino Linotype"/>
          <w:color w:val="000000" w:themeColor="text1"/>
          <w:sz w:val="24"/>
          <w:szCs w:val="24"/>
        </w:rPr>
        <w:t xml:space="preserve">tilities </w:t>
      </w:r>
      <w:r w:rsidRPr="00AF35A5">
        <w:rPr>
          <w:rFonts w:ascii="Palatino Linotype" w:hAnsi="Palatino Linotype"/>
          <w:color w:val="000000" w:themeColor="text1"/>
          <w:sz w:val="24"/>
          <w:szCs w:val="24"/>
        </w:rPr>
        <w:t>C</w:t>
      </w:r>
      <w:r w:rsidR="0095177D">
        <w:rPr>
          <w:rFonts w:ascii="Palatino Linotype" w:hAnsi="Palatino Linotype"/>
          <w:color w:val="000000" w:themeColor="text1"/>
          <w:sz w:val="24"/>
          <w:szCs w:val="24"/>
        </w:rPr>
        <w:t>ommission</w:t>
      </w:r>
      <w:r w:rsidRPr="00AF35A5">
        <w:rPr>
          <w:rFonts w:ascii="Palatino Linotype" w:hAnsi="Palatino Linotype"/>
          <w:color w:val="000000" w:themeColor="text1"/>
          <w:sz w:val="24"/>
          <w:szCs w:val="24"/>
        </w:rPr>
        <w:t>, Director of the Communications Division, 505 Van Ness Avenue, San Francisco, CA  94102 and CDCompliance@cpuc.ca.gov.</w:t>
      </w:r>
      <w:bookmarkStart w:id="720" w:name="_Toc499547630"/>
      <w:bookmarkStart w:id="721" w:name="_Toc499566784"/>
      <w:bookmarkStart w:id="722" w:name="_Toc499567767"/>
      <w:bookmarkStart w:id="723" w:name="_Toc499567847"/>
      <w:bookmarkStart w:id="724" w:name="_Toc514153049"/>
      <w:bookmarkEnd w:id="720"/>
      <w:bookmarkEnd w:id="721"/>
      <w:bookmarkEnd w:id="722"/>
      <w:bookmarkEnd w:id="723"/>
      <w:r w:rsidR="00264BEB">
        <w:rPr>
          <w:rFonts w:ascii="Palatino Linotype" w:hAnsi="Palatino Linotype"/>
          <w:color w:val="000000" w:themeColor="text1"/>
          <w:sz w:val="24"/>
          <w:szCs w:val="24"/>
        </w:rPr>
        <w:br w:type="page"/>
      </w:r>
    </w:p>
    <w:p w:rsidR="00C610C7" w:rsidRPr="00AF35A5" w:rsidRDefault="00C610C7" w:rsidP="00D4578E">
      <w:pPr>
        <w:pStyle w:val="Heading5"/>
        <w:numPr>
          <w:ilvl w:val="0"/>
          <w:numId w:val="0"/>
        </w:numPr>
        <w:spacing w:before="0" w:after="0"/>
        <w:jc w:val="center"/>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Attachment 1.</w:t>
      </w:r>
      <w:bookmarkEnd w:id="724"/>
    </w:p>
    <w:p w:rsidR="00C610C7" w:rsidRPr="00AF35A5" w:rsidRDefault="00C610C7" w:rsidP="00C610C7">
      <w:pPr>
        <w:pStyle w:val="sub4"/>
        <w:ind w:firstLine="0"/>
        <w:jc w:val="center"/>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Preference Checklist</w:t>
      </w:r>
    </w:p>
    <w:p w:rsidR="00C610C7" w:rsidRPr="00CC50F3" w:rsidRDefault="00C610C7" w:rsidP="00C610C7">
      <w:pPr>
        <w:rPr>
          <w:rFonts w:ascii="Palatino Linotype" w:hAnsi="Palatino Linotype"/>
          <w:color w:val="000000" w:themeColor="text1"/>
          <w:sz w:val="2"/>
          <w:szCs w:val="24"/>
        </w:rPr>
      </w:pPr>
    </w:p>
    <w:p w:rsidR="00C610C7" w:rsidRPr="00AF35A5" w:rsidRDefault="00C610C7" w:rsidP="00B93DB0">
      <w:pPr>
        <w:pStyle w:val="ListParagraph"/>
        <w:numPr>
          <w:ilvl w:val="0"/>
          <w:numId w:val="44"/>
        </w:numPr>
        <w:spacing w:after="160" w:line="259" w:lineRule="auto"/>
        <w:rPr>
          <w:rFonts w:ascii="Palatino Linotype" w:hAnsi="Palatino Linotype"/>
          <w:b/>
          <w:color w:val="000000" w:themeColor="text1"/>
          <w:sz w:val="24"/>
          <w:szCs w:val="24"/>
        </w:rPr>
      </w:pPr>
      <w:bookmarkStart w:id="725" w:name="_Toc505694026"/>
      <w:bookmarkStart w:id="726" w:name="_Toc505694078"/>
      <w:bookmarkStart w:id="727" w:name="_Toc505694182"/>
      <w:bookmarkStart w:id="728" w:name="_Toc505694236"/>
      <w:bookmarkStart w:id="729" w:name="_Toc505694289"/>
      <w:bookmarkStart w:id="730" w:name="_Toc505694353"/>
      <w:bookmarkStart w:id="731" w:name="_Toc505694411"/>
      <w:bookmarkStart w:id="732" w:name="_Toc505694469"/>
      <w:bookmarkStart w:id="733" w:name="_Toc505694527"/>
      <w:bookmarkStart w:id="734" w:name="_Toc505694579"/>
      <w:bookmarkStart w:id="735" w:name="_Toc505694631"/>
      <w:bookmarkStart w:id="736" w:name="_Toc505694682"/>
      <w:bookmarkStart w:id="737" w:name="_Toc505694734"/>
      <w:bookmarkStart w:id="738" w:name="_Toc505694786"/>
      <w:bookmarkStart w:id="739" w:name="_Toc505694838"/>
      <w:bookmarkStart w:id="740" w:name="_Toc505694896"/>
      <w:bookmarkStart w:id="741" w:name="_Toc505694960"/>
      <w:bookmarkStart w:id="742" w:name="_Toc505695012"/>
      <w:bookmarkStart w:id="743" w:name="_Toc505695064"/>
      <w:bookmarkStart w:id="744" w:name="_Toc505695116"/>
      <w:bookmarkStart w:id="745" w:name="_Toc505695168"/>
      <w:bookmarkStart w:id="746" w:name="_Toc505695220"/>
      <w:bookmarkStart w:id="747" w:name="_Toc505695273"/>
      <w:bookmarkStart w:id="748" w:name="_Toc505695329"/>
      <w:bookmarkStart w:id="749" w:name="_Toc505695382"/>
      <w:bookmarkStart w:id="750" w:name="_Toc505695436"/>
      <w:bookmarkStart w:id="751" w:name="_Toc505695487"/>
      <w:bookmarkStart w:id="752" w:name="_Toc505695537"/>
      <w:bookmarkStart w:id="753" w:name="_Toc505695588"/>
      <w:bookmarkStart w:id="754" w:name="_Toc505695635"/>
      <w:bookmarkStart w:id="755" w:name="_Toc505695686"/>
      <w:bookmarkStart w:id="756" w:name="_Toc505695735"/>
      <w:bookmarkStart w:id="757" w:name="_Toc505695782"/>
      <w:bookmarkStart w:id="758" w:name="_Toc505695830"/>
      <w:bookmarkStart w:id="759" w:name="_Toc505695878"/>
      <w:bookmarkStart w:id="760" w:name="_Toc505695927"/>
      <w:bookmarkStart w:id="761" w:name="_Toc505695977"/>
      <w:bookmarkStart w:id="762" w:name="_Toc505696083"/>
      <w:bookmarkStart w:id="763" w:name="_Toc505694027"/>
      <w:bookmarkStart w:id="764" w:name="_Toc505694079"/>
      <w:bookmarkStart w:id="765" w:name="_Toc505694183"/>
      <w:bookmarkStart w:id="766" w:name="_Toc505694237"/>
      <w:bookmarkStart w:id="767" w:name="_Toc505694290"/>
      <w:bookmarkStart w:id="768" w:name="_Toc505694354"/>
      <w:bookmarkStart w:id="769" w:name="_Toc505694412"/>
      <w:bookmarkStart w:id="770" w:name="_Toc505694470"/>
      <w:bookmarkStart w:id="771" w:name="_Toc505694528"/>
      <w:bookmarkStart w:id="772" w:name="_Toc505694580"/>
      <w:bookmarkStart w:id="773" w:name="_Toc505694632"/>
      <w:bookmarkStart w:id="774" w:name="_Toc505694683"/>
      <w:bookmarkStart w:id="775" w:name="_Toc505694735"/>
      <w:bookmarkStart w:id="776" w:name="_Toc505694787"/>
      <w:bookmarkStart w:id="777" w:name="_Toc505694839"/>
      <w:bookmarkStart w:id="778" w:name="_Toc505694897"/>
      <w:bookmarkStart w:id="779" w:name="_Toc505694961"/>
      <w:bookmarkStart w:id="780" w:name="_Toc505695013"/>
      <w:bookmarkStart w:id="781" w:name="_Toc505695065"/>
      <w:bookmarkStart w:id="782" w:name="_Toc505695117"/>
      <w:bookmarkStart w:id="783" w:name="_Toc505695169"/>
      <w:bookmarkStart w:id="784" w:name="_Toc505695221"/>
      <w:bookmarkStart w:id="785" w:name="_Toc505695274"/>
      <w:bookmarkStart w:id="786" w:name="_Toc505695330"/>
      <w:bookmarkStart w:id="787" w:name="_Toc505695383"/>
      <w:bookmarkStart w:id="788" w:name="_Toc505695437"/>
      <w:bookmarkStart w:id="789" w:name="_Toc505695488"/>
      <w:bookmarkStart w:id="790" w:name="_Toc505695538"/>
      <w:bookmarkStart w:id="791" w:name="_Toc505695589"/>
      <w:bookmarkStart w:id="792" w:name="_Toc505695636"/>
      <w:bookmarkStart w:id="793" w:name="_Toc505695687"/>
      <w:bookmarkStart w:id="794" w:name="_Toc505695736"/>
      <w:bookmarkStart w:id="795" w:name="_Toc505695783"/>
      <w:bookmarkStart w:id="796" w:name="_Toc505695831"/>
      <w:bookmarkStart w:id="797" w:name="_Toc505695879"/>
      <w:bookmarkStart w:id="798" w:name="_Toc505695928"/>
      <w:bookmarkStart w:id="799" w:name="_Toc505695978"/>
      <w:bookmarkStart w:id="800" w:name="_Toc505696084"/>
      <w:bookmarkStart w:id="801" w:name="_Toc505694028"/>
      <w:bookmarkStart w:id="802" w:name="_Toc505694080"/>
      <w:bookmarkStart w:id="803" w:name="_Toc505694184"/>
      <w:bookmarkStart w:id="804" w:name="_Toc505694238"/>
      <w:bookmarkStart w:id="805" w:name="_Toc505694291"/>
      <w:bookmarkStart w:id="806" w:name="_Toc505694355"/>
      <w:bookmarkStart w:id="807" w:name="_Toc505694413"/>
      <w:bookmarkStart w:id="808" w:name="_Toc505694471"/>
      <w:bookmarkStart w:id="809" w:name="_Toc505694529"/>
      <w:bookmarkStart w:id="810" w:name="_Toc505694581"/>
      <w:bookmarkStart w:id="811" w:name="_Toc505694633"/>
      <w:bookmarkStart w:id="812" w:name="_Toc505694684"/>
      <w:bookmarkStart w:id="813" w:name="_Toc505694736"/>
      <w:bookmarkStart w:id="814" w:name="_Toc505694788"/>
      <w:bookmarkStart w:id="815" w:name="_Toc505694840"/>
      <w:bookmarkStart w:id="816" w:name="_Toc505694898"/>
      <w:bookmarkStart w:id="817" w:name="_Toc505694962"/>
      <w:bookmarkStart w:id="818" w:name="_Toc505695014"/>
      <w:bookmarkStart w:id="819" w:name="_Toc505695066"/>
      <w:bookmarkStart w:id="820" w:name="_Toc505695118"/>
      <w:bookmarkStart w:id="821" w:name="_Toc505695170"/>
      <w:bookmarkStart w:id="822" w:name="_Toc505695222"/>
      <w:bookmarkStart w:id="823" w:name="_Toc505695275"/>
      <w:bookmarkStart w:id="824" w:name="_Toc505695331"/>
      <w:bookmarkStart w:id="825" w:name="_Toc505695384"/>
      <w:bookmarkStart w:id="826" w:name="_Toc505695438"/>
      <w:bookmarkStart w:id="827" w:name="_Toc505695489"/>
      <w:bookmarkStart w:id="828" w:name="_Toc505695539"/>
      <w:bookmarkStart w:id="829" w:name="_Toc505695590"/>
      <w:bookmarkStart w:id="830" w:name="_Toc505695637"/>
      <w:bookmarkStart w:id="831" w:name="_Toc505695688"/>
      <w:bookmarkStart w:id="832" w:name="_Toc505695737"/>
      <w:bookmarkStart w:id="833" w:name="_Toc505695784"/>
      <w:bookmarkStart w:id="834" w:name="_Toc505695832"/>
      <w:bookmarkStart w:id="835" w:name="_Toc505695880"/>
      <w:bookmarkStart w:id="836" w:name="_Toc505695929"/>
      <w:bookmarkStart w:id="837" w:name="_Toc505695979"/>
      <w:bookmarkStart w:id="838" w:name="_Toc505696085"/>
      <w:bookmarkStart w:id="839" w:name="_Toc505694029"/>
      <w:bookmarkStart w:id="840" w:name="_Toc505694081"/>
      <w:bookmarkStart w:id="841" w:name="_Toc505694185"/>
      <w:bookmarkStart w:id="842" w:name="_Toc505694239"/>
      <w:bookmarkStart w:id="843" w:name="_Toc505694292"/>
      <w:bookmarkStart w:id="844" w:name="_Toc505694356"/>
      <w:bookmarkStart w:id="845" w:name="_Toc505694414"/>
      <w:bookmarkStart w:id="846" w:name="_Toc505694472"/>
      <w:bookmarkStart w:id="847" w:name="_Toc505694530"/>
      <w:bookmarkStart w:id="848" w:name="_Toc505694582"/>
      <w:bookmarkStart w:id="849" w:name="_Toc505694634"/>
      <w:bookmarkStart w:id="850" w:name="_Toc505694685"/>
      <w:bookmarkStart w:id="851" w:name="_Toc505694737"/>
      <w:bookmarkStart w:id="852" w:name="_Toc505694789"/>
      <w:bookmarkStart w:id="853" w:name="_Toc505694841"/>
      <w:bookmarkStart w:id="854" w:name="_Toc505694899"/>
      <w:bookmarkStart w:id="855" w:name="_Toc505694963"/>
      <w:bookmarkStart w:id="856" w:name="_Toc505695015"/>
      <w:bookmarkStart w:id="857" w:name="_Toc505695067"/>
      <w:bookmarkStart w:id="858" w:name="_Toc505695119"/>
      <w:bookmarkStart w:id="859" w:name="_Toc505695171"/>
      <w:bookmarkStart w:id="860" w:name="_Toc505695223"/>
      <w:bookmarkStart w:id="861" w:name="_Toc505695276"/>
      <w:bookmarkStart w:id="862" w:name="_Toc505695332"/>
      <w:bookmarkStart w:id="863" w:name="_Toc505695385"/>
      <w:bookmarkStart w:id="864" w:name="_Toc505695439"/>
      <w:bookmarkStart w:id="865" w:name="_Toc505695490"/>
      <w:bookmarkStart w:id="866" w:name="_Toc505695540"/>
      <w:bookmarkStart w:id="867" w:name="_Toc505695591"/>
      <w:bookmarkStart w:id="868" w:name="_Toc505695638"/>
      <w:bookmarkStart w:id="869" w:name="_Toc505695689"/>
      <w:bookmarkStart w:id="870" w:name="_Toc505695738"/>
      <w:bookmarkStart w:id="871" w:name="_Toc505695785"/>
      <w:bookmarkStart w:id="872" w:name="_Toc505695833"/>
      <w:bookmarkStart w:id="873" w:name="_Toc505695881"/>
      <w:bookmarkStart w:id="874" w:name="_Toc505695930"/>
      <w:bookmarkStart w:id="875" w:name="_Toc505695980"/>
      <w:bookmarkStart w:id="876" w:name="_Toc505696086"/>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sidRPr="00AF35A5">
        <w:rPr>
          <w:rFonts w:ascii="Palatino Linotype" w:hAnsi="Palatino Linotype"/>
          <w:b/>
          <w:color w:val="000000" w:themeColor="text1"/>
          <w:sz w:val="24"/>
          <w:szCs w:val="24"/>
        </w:rPr>
        <w:t>Project is serving a low</w:t>
      </w:r>
      <w:r w:rsidR="00B34BCE">
        <w:rPr>
          <w:rFonts w:ascii="Palatino Linotype" w:hAnsi="Palatino Linotype"/>
          <w:b/>
          <w:color w:val="000000" w:themeColor="text1"/>
          <w:sz w:val="24"/>
          <w:szCs w:val="24"/>
        </w:rPr>
        <w:noBreakHyphen/>
      </w:r>
      <w:r w:rsidRPr="00AF35A5">
        <w:rPr>
          <w:rFonts w:ascii="Palatino Linotype" w:hAnsi="Palatino Linotype"/>
          <w:b/>
          <w:color w:val="000000" w:themeColor="text1"/>
          <w:sz w:val="24"/>
          <w:szCs w:val="24"/>
        </w:rPr>
        <w:t>income community.</w:t>
      </w:r>
    </w:p>
    <w:p w:rsidR="00C610C7" w:rsidRPr="00AF35A5" w:rsidRDefault="00C610C7" w:rsidP="00C610C7">
      <w:pPr>
        <w:pStyle w:val="ListParagraph"/>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The community with a </w:t>
      </w:r>
      <w:r w:rsidR="0084460A" w:rsidRPr="00AF35A5">
        <w:rPr>
          <w:rFonts w:ascii="Palatino Linotype" w:hAnsi="Palatino Linotype"/>
          <w:color w:val="000000" w:themeColor="text1"/>
          <w:sz w:val="24"/>
          <w:szCs w:val="24"/>
        </w:rPr>
        <w:t>medi</w:t>
      </w:r>
      <w:r w:rsidR="0084460A">
        <w:rPr>
          <w:rFonts w:ascii="Palatino Linotype" w:hAnsi="Palatino Linotype"/>
          <w:color w:val="000000" w:themeColor="text1"/>
          <w:sz w:val="24"/>
          <w:szCs w:val="24"/>
        </w:rPr>
        <w:t>an</w:t>
      </w:r>
      <w:r w:rsidRPr="00AF35A5">
        <w:rPr>
          <w:rFonts w:ascii="Palatino Linotype" w:hAnsi="Palatino Linotype"/>
          <w:color w:val="000000" w:themeColor="text1"/>
          <w:sz w:val="24"/>
          <w:szCs w:val="24"/>
        </w:rPr>
        <w:t xml:space="preserve"> household income </w:t>
      </w:r>
      <w:r w:rsidR="00BA74BB">
        <w:rPr>
          <w:rFonts w:ascii="Palatino Linotype" w:hAnsi="Palatino Linotype"/>
          <w:color w:val="000000" w:themeColor="text1"/>
          <w:sz w:val="24"/>
          <w:szCs w:val="24"/>
        </w:rPr>
        <w:t xml:space="preserve">at or </w:t>
      </w:r>
      <w:r w:rsidR="00BA74BB" w:rsidRPr="00AF35A5">
        <w:rPr>
          <w:rFonts w:ascii="Palatino Linotype" w:hAnsi="Palatino Linotype"/>
          <w:color w:val="000000" w:themeColor="text1"/>
          <w:sz w:val="24"/>
          <w:szCs w:val="24"/>
        </w:rPr>
        <w:t xml:space="preserve">below the </w:t>
      </w:r>
      <w:r w:rsidR="00BA74BB" w:rsidRPr="00927177">
        <w:rPr>
          <w:rFonts w:ascii="Palatino Linotype" w:hAnsi="Palatino Linotype"/>
          <w:color w:val="000000" w:themeColor="text1"/>
          <w:sz w:val="24"/>
          <w:szCs w:val="24"/>
        </w:rPr>
        <w:t>CARE income limits for a household of four</w:t>
      </w:r>
      <w:r w:rsidR="00BA74BB" w:rsidRPr="00127FEC">
        <w:rPr>
          <w:rStyle w:val="FootnoteReference"/>
          <w:rFonts w:ascii="Palatino Linotype" w:hAnsi="Palatino Linotype"/>
          <w:color w:val="000000" w:themeColor="text1"/>
          <w:szCs w:val="24"/>
        </w:rPr>
        <w:footnoteReference w:id="94"/>
      </w:r>
    </w:p>
    <w:p w:rsidR="00C610C7" w:rsidRPr="00AF35A5" w:rsidRDefault="00C610C7" w:rsidP="00B93DB0">
      <w:pPr>
        <w:pStyle w:val="ListParagraph"/>
        <w:numPr>
          <w:ilvl w:val="0"/>
          <w:numId w:val="44"/>
        </w:numPr>
        <w:spacing w:after="160" w:line="259" w:lineRule="auto"/>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 xml:space="preserve">Project is serving a community with a high percentage of residents with limited English proficiency. </w:t>
      </w:r>
    </w:p>
    <w:p w:rsidR="00C610C7" w:rsidRPr="00AF35A5" w:rsidRDefault="00C610C7" w:rsidP="00C610C7">
      <w:pPr>
        <w:pStyle w:val="ListParagraph"/>
        <w:rPr>
          <w:rFonts w:ascii="Palatino Linotype" w:hAnsi="Palatino Linotype"/>
          <w:color w:val="000000" w:themeColor="text1"/>
          <w:sz w:val="24"/>
          <w:szCs w:val="24"/>
        </w:rPr>
      </w:pPr>
      <w:r w:rsidRPr="00AF35A5">
        <w:rPr>
          <w:rFonts w:ascii="Palatino Linotype" w:hAnsi="Palatino Linotype"/>
          <w:color w:val="000000" w:themeColor="text1"/>
          <w:sz w:val="24"/>
          <w:szCs w:val="24"/>
        </w:rPr>
        <w:t>More than 50% of residents have limited English proficiency</w:t>
      </w:r>
    </w:p>
    <w:p w:rsidR="00C610C7" w:rsidRPr="00AF35A5" w:rsidRDefault="00C610C7" w:rsidP="00B93DB0">
      <w:pPr>
        <w:pStyle w:val="ListParagraph"/>
        <w:numPr>
          <w:ilvl w:val="0"/>
          <w:numId w:val="44"/>
        </w:numPr>
        <w:spacing w:after="160" w:line="259" w:lineRule="auto"/>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Project is serving a community with a high percentage of residents with limited educational attainment.</w:t>
      </w:r>
    </w:p>
    <w:p w:rsidR="00C610C7" w:rsidRPr="00AF35A5" w:rsidRDefault="00C610C7" w:rsidP="00C610C7">
      <w:pPr>
        <w:pStyle w:val="ListParagraph"/>
        <w:rPr>
          <w:rFonts w:ascii="Palatino Linotype" w:hAnsi="Palatino Linotype"/>
          <w:color w:val="000000" w:themeColor="text1"/>
          <w:sz w:val="24"/>
          <w:szCs w:val="24"/>
        </w:rPr>
      </w:pPr>
      <w:r w:rsidRPr="00AF35A5">
        <w:rPr>
          <w:rFonts w:ascii="Palatino Linotype" w:hAnsi="Palatino Linotype"/>
          <w:color w:val="000000" w:themeColor="text1"/>
          <w:sz w:val="24"/>
          <w:szCs w:val="24"/>
        </w:rPr>
        <w:t>More than 50% of residents have only a high school diploma or less.</w:t>
      </w:r>
    </w:p>
    <w:p w:rsidR="00C610C7" w:rsidRPr="00AF35A5" w:rsidRDefault="00C610C7" w:rsidP="00B93DB0">
      <w:pPr>
        <w:pStyle w:val="ListParagraph"/>
        <w:numPr>
          <w:ilvl w:val="0"/>
          <w:numId w:val="44"/>
        </w:numPr>
        <w:spacing w:after="160" w:line="259" w:lineRule="auto"/>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Project is serving a rural community.</w:t>
      </w:r>
    </w:p>
    <w:p w:rsidR="00C610C7" w:rsidRPr="00AF35A5" w:rsidRDefault="00C610C7" w:rsidP="00C610C7">
      <w:pPr>
        <w:pStyle w:val="ListParagraph"/>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 project is located in a "rural" area if it meets one of the following criteria: </w:t>
      </w:r>
    </w:p>
    <w:p w:rsidR="00C610C7" w:rsidRPr="00AF35A5" w:rsidRDefault="00C610C7" w:rsidP="00C610C7">
      <w:pPr>
        <w:pStyle w:val="ListParagraph"/>
        <w:ind w:left="1440" w:hanging="27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1) It is in area that is eligible for federal program under the United States Department of Agriculture (USDA) Section 515 program; </w:t>
      </w:r>
    </w:p>
    <w:p w:rsidR="00C610C7" w:rsidRPr="00AF35A5" w:rsidRDefault="00C610C7" w:rsidP="00C610C7">
      <w:pPr>
        <w:pStyle w:val="ListParagraph"/>
        <w:ind w:left="1440" w:hanging="270"/>
        <w:rPr>
          <w:rFonts w:ascii="Palatino Linotype" w:hAnsi="Palatino Linotype"/>
          <w:color w:val="000000" w:themeColor="text1"/>
          <w:sz w:val="24"/>
          <w:szCs w:val="24"/>
        </w:rPr>
      </w:pPr>
      <w:r w:rsidRPr="00AF35A5">
        <w:rPr>
          <w:rFonts w:ascii="Palatino Linotype" w:hAnsi="Palatino Linotype"/>
          <w:color w:val="000000" w:themeColor="text1"/>
          <w:sz w:val="24"/>
          <w:szCs w:val="24"/>
        </w:rPr>
        <w:t>2) It is in a city with a population of 40,000 or less or in a non</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urbanized area; </w:t>
      </w:r>
      <w:r w:rsidR="008D649A">
        <w:rPr>
          <w:rFonts w:ascii="Palatino Linotype" w:hAnsi="Palatino Linotype"/>
          <w:color w:val="000000" w:themeColor="text1"/>
          <w:sz w:val="24"/>
          <w:szCs w:val="24"/>
        </w:rPr>
        <w:t>or</w:t>
      </w:r>
    </w:p>
    <w:p w:rsidR="00C610C7" w:rsidRPr="00AF35A5" w:rsidRDefault="00C610C7" w:rsidP="00C610C7">
      <w:pPr>
        <w:pStyle w:val="ListParagraph"/>
        <w:ind w:left="1440" w:hanging="270"/>
        <w:rPr>
          <w:rFonts w:ascii="Palatino Linotype" w:hAnsi="Palatino Linotype"/>
          <w:color w:val="000000" w:themeColor="text1"/>
          <w:sz w:val="24"/>
          <w:szCs w:val="24"/>
        </w:rPr>
      </w:pPr>
      <w:r w:rsidRPr="00AF35A5">
        <w:rPr>
          <w:rFonts w:ascii="Palatino Linotype" w:hAnsi="Palatino Linotype"/>
          <w:color w:val="000000" w:themeColor="text1"/>
          <w:sz w:val="24"/>
          <w:szCs w:val="24"/>
        </w:rPr>
        <w:t>3) It is in an unincorporated area of a county and is not in an urbanized area.</w:t>
      </w:r>
    </w:p>
    <w:p w:rsidR="00C610C7" w:rsidRPr="00AF35A5" w:rsidRDefault="00C610C7" w:rsidP="00B93DB0">
      <w:pPr>
        <w:pStyle w:val="ListParagraph"/>
        <w:numPr>
          <w:ilvl w:val="0"/>
          <w:numId w:val="44"/>
        </w:numPr>
        <w:spacing w:after="160" w:line="259" w:lineRule="auto"/>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Project has community support, endorsements and/or partnerships.</w:t>
      </w:r>
    </w:p>
    <w:p w:rsidR="00C610C7" w:rsidRPr="00AF35A5" w:rsidRDefault="00C610C7" w:rsidP="00B93DB0">
      <w:pPr>
        <w:pStyle w:val="ListParagraph"/>
        <w:numPr>
          <w:ilvl w:val="0"/>
          <w:numId w:val="44"/>
        </w:numPr>
        <w:spacing w:after="160" w:line="259" w:lineRule="auto"/>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Project is serving a community with some other demonstrated disadvantage which affects broadband adoption, documented by applicant.</w:t>
      </w:r>
    </w:p>
    <w:p w:rsidR="00C610C7" w:rsidRDefault="00C610C7" w:rsidP="00B93DB0">
      <w:pPr>
        <w:pStyle w:val="ListParagraph"/>
        <w:numPr>
          <w:ilvl w:val="0"/>
          <w:numId w:val="44"/>
        </w:numPr>
        <w:spacing w:after="160" w:line="259" w:lineRule="auto"/>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Project considers coordination with other public purpose programs and funding sources.</w:t>
      </w:r>
    </w:p>
    <w:p w:rsidR="00CC50F3" w:rsidRDefault="00CC50F3" w:rsidP="00CC50F3">
      <w:pPr>
        <w:pStyle w:val="ListParagraph"/>
        <w:spacing w:after="160" w:line="259" w:lineRule="auto"/>
        <w:rPr>
          <w:rFonts w:ascii="Palatino Linotype" w:hAnsi="Palatino Linotype"/>
          <w:b/>
          <w:color w:val="000000" w:themeColor="text1"/>
          <w:sz w:val="24"/>
          <w:szCs w:val="24"/>
        </w:rPr>
      </w:pPr>
    </w:p>
    <w:p w:rsidR="00CC50F3" w:rsidRPr="00AF35A5" w:rsidRDefault="00CC50F3" w:rsidP="00CC50F3">
      <w:pPr>
        <w:pStyle w:val="ListParagraph"/>
        <w:spacing w:after="160" w:line="259" w:lineRule="auto"/>
        <w:jc w:val="right"/>
        <w:rPr>
          <w:rFonts w:ascii="Palatino Linotype" w:hAnsi="Palatino Linotype"/>
          <w:b/>
          <w:color w:val="000000" w:themeColor="text1"/>
          <w:sz w:val="24"/>
          <w:szCs w:val="24"/>
        </w:rPr>
      </w:pPr>
      <w:r w:rsidRPr="00CC50F3">
        <w:rPr>
          <w:rFonts w:ascii="Palatino Linotype" w:hAnsi="Palatino Linotype"/>
          <w:color w:val="000000" w:themeColor="text1"/>
          <w:sz w:val="24"/>
          <w:szCs w:val="24"/>
        </w:rPr>
        <w:t xml:space="preserve">(End of </w:t>
      </w:r>
      <w:r>
        <w:rPr>
          <w:rFonts w:ascii="Palatino Linotype" w:hAnsi="Palatino Linotype"/>
          <w:color w:val="000000" w:themeColor="text1"/>
          <w:sz w:val="24"/>
          <w:szCs w:val="24"/>
        </w:rPr>
        <w:t>Appendix 1</w:t>
      </w:r>
      <w:r w:rsidRPr="00CC50F3">
        <w:rPr>
          <w:rFonts w:ascii="Palatino Linotype" w:hAnsi="Palatino Linotype"/>
          <w:color w:val="000000" w:themeColor="text1"/>
          <w:sz w:val="24"/>
          <w:szCs w:val="24"/>
        </w:rPr>
        <w:t>)</w:t>
      </w:r>
    </w:p>
    <w:p w:rsidR="00016A82" w:rsidRDefault="00016A82" w:rsidP="00C610C7">
      <w:pPr>
        <w:rPr>
          <w:rFonts w:ascii="Palatino Linotype" w:hAnsi="Palatino Linotype"/>
          <w:color w:val="000000" w:themeColor="text1"/>
          <w:sz w:val="24"/>
          <w:szCs w:val="24"/>
        </w:rPr>
        <w:sectPr w:rsidR="00016A82" w:rsidSect="005364F7">
          <w:headerReference w:type="default" r:id="rId23"/>
          <w:footerReference w:type="default" r:id="rId24"/>
          <w:headerReference w:type="first" r:id="rId25"/>
          <w:footerReference w:type="first" r:id="rId26"/>
          <w:footnotePr>
            <w:numRestart w:val="eachSect"/>
          </w:footnotePr>
          <w:type w:val="continuous"/>
          <w:pgSz w:w="12240" w:h="15840"/>
          <w:pgMar w:top="1440" w:right="1800" w:bottom="1440" w:left="1800" w:header="720" w:footer="475" w:gutter="0"/>
          <w:pgNumType w:start="2"/>
          <w:cols w:space="720"/>
          <w:docGrid w:linePitch="600" w:charSpace="28672"/>
        </w:sectP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Pr="0043698B" w:rsidRDefault="00016A82" w:rsidP="00016A82">
      <w:pPr>
        <w:keepNext/>
        <w:keepLines/>
        <w:jc w:val="center"/>
        <w:rPr>
          <w:b/>
          <w:sz w:val="64"/>
          <w:szCs w:val="72"/>
        </w:rPr>
      </w:pPr>
      <w:r w:rsidRPr="0043698B">
        <w:rPr>
          <w:b/>
          <w:sz w:val="64"/>
          <w:szCs w:val="72"/>
        </w:rPr>
        <w:t xml:space="preserve">Appendix </w:t>
      </w:r>
      <w:r>
        <w:rPr>
          <w:b/>
          <w:sz w:val="64"/>
          <w:szCs w:val="72"/>
        </w:rPr>
        <w:t>2</w:t>
      </w:r>
    </w:p>
    <w:p w:rsidR="00016A82" w:rsidRDefault="00016A82" w:rsidP="00016A82">
      <w:pPr>
        <w:jc w:val="center"/>
        <w:rPr>
          <w:b/>
        </w:rPr>
      </w:pPr>
    </w:p>
    <w:p w:rsidR="00016A82" w:rsidRDefault="00016A82" w:rsidP="00016A82">
      <w:pPr>
        <w:jc w:val="center"/>
        <w:rPr>
          <w:b/>
        </w:rPr>
      </w:pPr>
    </w:p>
    <w:p w:rsidR="00016A82" w:rsidRDefault="00016A82" w:rsidP="00016A82">
      <w:pPr>
        <w:jc w:val="center"/>
        <w:rPr>
          <w:b/>
        </w:rPr>
      </w:pPr>
    </w:p>
    <w:p w:rsidR="00016A82" w:rsidRDefault="00016A82" w:rsidP="00016A82">
      <w:pPr>
        <w:jc w:val="center"/>
        <w:rPr>
          <w:b/>
        </w:rPr>
      </w:pPr>
    </w:p>
    <w:p w:rsidR="00016A82" w:rsidRDefault="00016A82" w:rsidP="00016A82">
      <w:pPr>
        <w:jc w:val="center"/>
        <w:rPr>
          <w:b/>
        </w:rPr>
        <w:sectPr w:rsidR="00016A82" w:rsidSect="00A80F5C">
          <w:headerReference w:type="even" r:id="rId27"/>
          <w:headerReference w:type="default" r:id="rId28"/>
          <w:footerReference w:type="even" r:id="rId29"/>
          <w:footerReference w:type="default" r:id="rId30"/>
          <w:headerReference w:type="first" r:id="rId31"/>
          <w:footerReference w:type="first" r:id="rId32"/>
          <w:footnotePr>
            <w:numRestart w:val="eachSect"/>
          </w:footnotePr>
          <w:pgSz w:w="12240" w:h="15840" w:code="1"/>
          <w:pgMar w:top="1728" w:right="1440" w:bottom="1440" w:left="1440" w:header="720" w:footer="720" w:gutter="0"/>
          <w:cols w:space="720"/>
          <w:titlePg/>
        </w:sectPr>
      </w:pPr>
    </w:p>
    <w:p w:rsidR="00C610C7" w:rsidRPr="00AF35A5" w:rsidRDefault="00C610C7" w:rsidP="00C610C7">
      <w:pPr>
        <w:jc w:val="center"/>
        <w:rPr>
          <w:rFonts w:ascii="Palatino Linotype" w:hAnsi="Palatino Linotype"/>
          <w:b/>
          <w:color w:val="000000" w:themeColor="text1"/>
          <w:sz w:val="24"/>
          <w:szCs w:val="24"/>
        </w:rPr>
      </w:pPr>
      <w:bookmarkStart w:id="877" w:name="_Toc372208406"/>
      <w:bookmarkEnd w:id="68"/>
      <w:r w:rsidRPr="00AF35A5">
        <w:rPr>
          <w:rFonts w:ascii="Palatino Linotype" w:hAnsi="Palatino Linotype"/>
          <w:b/>
          <w:color w:val="000000" w:themeColor="text1"/>
          <w:sz w:val="24"/>
          <w:szCs w:val="24"/>
        </w:rPr>
        <w:lastRenderedPageBreak/>
        <w:t>APPENDIX 2</w:t>
      </w:r>
    </w:p>
    <w:p w:rsidR="00C610C7" w:rsidRPr="00AF35A5" w:rsidRDefault="00C610C7" w:rsidP="00C610C7">
      <w:pPr>
        <w:jc w:val="center"/>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 xml:space="preserve">Broadband Public Housing Account </w:t>
      </w:r>
    </w:p>
    <w:p w:rsidR="00C610C7" w:rsidRPr="00AF35A5" w:rsidRDefault="00C610C7" w:rsidP="00C610C7">
      <w:pPr>
        <w:jc w:val="center"/>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Revised Application Requirements and Guidelines</w:t>
      </w:r>
    </w:p>
    <w:p w:rsidR="00C610C7" w:rsidRPr="00AF35A5" w:rsidRDefault="00C610C7" w:rsidP="00C610C7">
      <w:pPr>
        <w:rPr>
          <w:rFonts w:ascii="Palatino Linotype" w:hAnsi="Palatino Linotype"/>
          <w:color w:val="000000" w:themeColor="text1"/>
          <w:sz w:val="24"/>
          <w:szCs w:val="24"/>
        </w:rPr>
      </w:pPr>
    </w:p>
    <w:p w:rsidR="00C610C7" w:rsidRPr="00AF35A5" w:rsidRDefault="00C610C7" w:rsidP="00C610C7">
      <w:pPr>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AB 1299 (Bradford) was signed into law on October 3, 2013.  AB 1299 expanded then in existence CASF Program by adding a fourth account, the Broadband Public Housing Account (BPHA) dedicated to broadband access and adoption in publicly supported communities (PSCs).  </w:t>
      </w:r>
    </w:p>
    <w:p w:rsidR="00C610C7" w:rsidRPr="00AF35A5" w:rsidRDefault="00C610C7" w:rsidP="00C610C7">
      <w:pPr>
        <w:ind w:left="360"/>
        <w:rPr>
          <w:rFonts w:ascii="Palatino Linotype" w:hAnsi="Palatino Linotype"/>
          <w:color w:val="000000" w:themeColor="text1"/>
          <w:sz w:val="24"/>
          <w:szCs w:val="24"/>
        </w:rPr>
      </w:pPr>
    </w:p>
    <w:p w:rsidR="00C610C7" w:rsidRPr="00AF35A5" w:rsidRDefault="00C610C7" w:rsidP="00C610C7">
      <w:pPr>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In 2016 the Legislature passed SB 745 (Hueso) that extended the date remaining funds from the BPHA are transferred back to other CASF Accounts from December 31, 2016 to December 31, 2020.  SB 745 further required the Commission, in its review of applications for funds from the BHPA, to award grants only to unserved housing developments</w:t>
      </w:r>
    </w:p>
    <w:p w:rsidR="00C610C7" w:rsidRPr="00AF35A5" w:rsidRDefault="00C610C7" w:rsidP="00C610C7">
      <w:pPr>
        <w:ind w:left="360"/>
        <w:rPr>
          <w:rFonts w:ascii="Palatino Linotype" w:hAnsi="Palatino Linotype"/>
          <w:color w:val="000000" w:themeColor="text1"/>
          <w:sz w:val="24"/>
          <w:szCs w:val="24"/>
        </w:rPr>
      </w:pPr>
    </w:p>
    <w:p w:rsidR="00C610C7" w:rsidRPr="00AF35A5" w:rsidRDefault="00C610C7" w:rsidP="00C610C7">
      <w:pPr>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In 2017 the Legislature passed AB 1665 that authorized PSCs eligible for funding via the BPHA, only after all funds available for the BPHA have been awarded, to submit a CASF application for funding from the Broadband Infrastructure Account and/or Broadband Adoption Account. </w:t>
      </w:r>
    </w:p>
    <w:p w:rsidR="00C610C7" w:rsidRPr="00AF35A5" w:rsidRDefault="00C610C7" w:rsidP="00C610C7">
      <w:pPr>
        <w:ind w:left="360"/>
        <w:rPr>
          <w:rFonts w:ascii="Palatino Linotype" w:hAnsi="Palatino Linotype"/>
          <w:color w:val="000000" w:themeColor="text1"/>
          <w:sz w:val="24"/>
          <w:szCs w:val="24"/>
        </w:rPr>
      </w:pPr>
    </w:p>
    <w:p w:rsidR="00C610C7" w:rsidRPr="00AF35A5" w:rsidRDefault="00C610C7" w:rsidP="009A00FB">
      <w:pPr>
        <w:pStyle w:val="Heading2"/>
        <w:numPr>
          <w:ilvl w:val="0"/>
          <w:numId w:val="0"/>
        </w:numPr>
        <w:ind w:left="1714"/>
      </w:pPr>
      <w:bookmarkStart w:id="878" w:name="_Toc505786747"/>
      <w:bookmarkStart w:id="879" w:name="_Toc514153050"/>
      <w:r w:rsidRPr="00AF35A5">
        <w:t>Amount Available for Grants</w:t>
      </w:r>
      <w:bookmarkEnd w:id="878"/>
      <w:bookmarkEnd w:id="879"/>
    </w:p>
    <w:p w:rsidR="00C610C7" w:rsidRPr="00AF35A5" w:rsidRDefault="00C610C7" w:rsidP="00C610C7">
      <w:pPr>
        <w:ind w:left="360"/>
        <w:rPr>
          <w:rFonts w:ascii="Palatino Linotype" w:hAnsi="Palatino Linotype"/>
          <w:strike/>
          <w:color w:val="000000" w:themeColor="text1"/>
          <w:sz w:val="24"/>
          <w:szCs w:val="24"/>
        </w:rPr>
      </w:pPr>
      <w:r w:rsidRPr="00AF35A5">
        <w:rPr>
          <w:rFonts w:ascii="Palatino Linotype" w:hAnsi="Palatino Linotype"/>
          <w:color w:val="000000" w:themeColor="text1"/>
          <w:sz w:val="24"/>
          <w:szCs w:val="24"/>
        </w:rPr>
        <w:t xml:space="preserve">The BPHA provides $20 million for grants and loans to finance infrastructure projects connecting PSCs with broadband Internet.  The Account provides $5 million for adoption projects for residents in PSCs.  </w:t>
      </w:r>
    </w:p>
    <w:p w:rsidR="00C610C7" w:rsidRPr="00AF35A5" w:rsidRDefault="00C610C7" w:rsidP="00C610C7">
      <w:pPr>
        <w:ind w:left="360"/>
        <w:rPr>
          <w:rFonts w:ascii="Palatino Linotype" w:hAnsi="Palatino Linotype"/>
          <w:strike/>
          <w:color w:val="000000" w:themeColor="text1"/>
          <w:sz w:val="24"/>
          <w:szCs w:val="24"/>
        </w:rPr>
      </w:pPr>
    </w:p>
    <w:p w:rsidR="00C610C7" w:rsidRPr="00AF35A5" w:rsidRDefault="00C610C7" w:rsidP="00C610C7">
      <w:pPr>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Commission will award grants and loans to finance up to 100 percent of the costs to install inside wiring and equipment, but will not finance maintenance or operation costs.  Grantees must maintain and operate the network for a minimum of five years after receiving Commission funding.  The Commission will reimburse for the following expenses:</w:t>
      </w:r>
    </w:p>
    <w:p w:rsidR="00C610C7" w:rsidRPr="00AF35A5" w:rsidRDefault="00C610C7" w:rsidP="00B93DB0">
      <w:pPr>
        <w:pStyle w:val="BodyA"/>
        <w:numPr>
          <w:ilvl w:val="0"/>
          <w:numId w:val="24"/>
        </w:numPr>
        <w:pBdr>
          <w:top w:val="none" w:sz="0" w:space="0" w:color="auto"/>
          <w:left w:val="none" w:sz="0" w:space="0" w:color="auto"/>
          <w:bottom w:val="none" w:sz="0" w:space="0" w:color="auto"/>
          <w:right w:val="none" w:sz="0" w:space="0" w:color="auto"/>
          <w:bar w:val="none" w:sz="0" w:color="auto"/>
        </w:pBdr>
        <w:tabs>
          <w:tab w:val="left" w:pos="720"/>
        </w:tabs>
        <w:suppressAutoHyphens/>
        <w:ind w:left="990" w:hanging="540"/>
        <w:rPr>
          <w:rFonts w:ascii="Palatino Linotype" w:eastAsia="Palatino Linotype" w:hAnsi="Palatino Linotype" w:cs="Times New Roman"/>
          <w:color w:val="000000" w:themeColor="text1"/>
          <w:sz w:val="24"/>
          <w:szCs w:val="24"/>
        </w:rPr>
      </w:pPr>
      <w:r w:rsidRPr="00AF35A5">
        <w:rPr>
          <w:rFonts w:ascii="Palatino Linotype" w:eastAsia="Palatino Linotype" w:hAnsi="Palatino Linotype" w:cs="Times New Roman"/>
          <w:color w:val="000000" w:themeColor="text1"/>
          <w:sz w:val="24"/>
          <w:szCs w:val="24"/>
        </w:rPr>
        <w:t xml:space="preserve">    All networking equipment, both hardware and software, including wireless access points;</w:t>
      </w:r>
    </w:p>
    <w:p w:rsidR="00C610C7" w:rsidRPr="00AF35A5" w:rsidRDefault="00C610C7" w:rsidP="00B93DB0">
      <w:pPr>
        <w:pStyle w:val="BodyA"/>
        <w:numPr>
          <w:ilvl w:val="0"/>
          <w:numId w:val="24"/>
        </w:numPr>
        <w:pBdr>
          <w:top w:val="none" w:sz="0" w:space="0" w:color="auto"/>
          <w:left w:val="none" w:sz="0" w:space="0" w:color="auto"/>
          <w:bottom w:val="none" w:sz="0" w:space="0" w:color="auto"/>
          <w:right w:val="none" w:sz="0" w:space="0" w:color="auto"/>
          <w:bar w:val="none" w:sz="0" w:color="auto"/>
        </w:pBdr>
        <w:suppressAutoHyphens/>
        <w:ind w:left="990" w:hanging="540"/>
        <w:rPr>
          <w:rFonts w:ascii="Palatino Linotype" w:eastAsia="Palatino Linotype" w:hAnsi="Palatino Linotype" w:cs="Times New Roman"/>
          <w:color w:val="000000" w:themeColor="text1"/>
          <w:sz w:val="24"/>
          <w:szCs w:val="24"/>
        </w:rPr>
      </w:pPr>
      <w:r w:rsidRPr="00AF35A5">
        <w:rPr>
          <w:rFonts w:ascii="Palatino Linotype" w:eastAsia="Palatino Linotype" w:hAnsi="Palatino Linotype" w:cs="Times New Roman"/>
          <w:color w:val="000000" w:themeColor="text1"/>
          <w:sz w:val="24"/>
          <w:szCs w:val="24"/>
        </w:rPr>
        <w:t>Low voltage contracting (including the installation of conduit, panels and cabling required to provide power for the equipment funded as part of the project), provided the work does not include major rehabilitation, demolition or construction;</w:t>
      </w:r>
    </w:p>
    <w:p w:rsidR="00C610C7" w:rsidRPr="00AF35A5" w:rsidRDefault="00C610C7" w:rsidP="00B93DB0">
      <w:pPr>
        <w:pStyle w:val="BodyA"/>
        <w:numPr>
          <w:ilvl w:val="0"/>
          <w:numId w:val="24"/>
        </w:numPr>
        <w:pBdr>
          <w:top w:val="none" w:sz="0" w:space="0" w:color="auto"/>
          <w:left w:val="none" w:sz="0" w:space="0" w:color="auto"/>
          <w:bottom w:val="none" w:sz="0" w:space="0" w:color="auto"/>
          <w:right w:val="none" w:sz="0" w:space="0" w:color="auto"/>
          <w:bar w:val="none" w:sz="0" w:color="auto"/>
        </w:pBdr>
        <w:suppressAutoHyphens/>
        <w:ind w:left="990" w:hanging="540"/>
        <w:rPr>
          <w:rFonts w:ascii="Palatino Linotype" w:eastAsia="Palatino Linotype" w:hAnsi="Palatino Linotype" w:cs="Times New Roman"/>
          <w:color w:val="000000" w:themeColor="text1"/>
          <w:sz w:val="24"/>
          <w:szCs w:val="24"/>
        </w:rPr>
      </w:pPr>
      <w:r w:rsidRPr="00AF35A5">
        <w:rPr>
          <w:rFonts w:ascii="Palatino Linotype" w:eastAsia="Palatino Linotype" w:hAnsi="Palatino Linotype" w:cs="Times New Roman"/>
          <w:color w:val="000000" w:themeColor="text1"/>
          <w:sz w:val="24"/>
          <w:szCs w:val="24"/>
        </w:rPr>
        <w:t>Modems or routers, but not computers or human interface devices;</w:t>
      </w:r>
    </w:p>
    <w:p w:rsidR="00C610C7" w:rsidRPr="00AF35A5" w:rsidRDefault="00C610C7" w:rsidP="00B93DB0">
      <w:pPr>
        <w:pStyle w:val="BodyA"/>
        <w:numPr>
          <w:ilvl w:val="0"/>
          <w:numId w:val="24"/>
        </w:numPr>
        <w:pBdr>
          <w:top w:val="none" w:sz="0" w:space="0" w:color="auto"/>
          <w:left w:val="none" w:sz="0" w:space="0" w:color="auto"/>
          <w:bottom w:val="none" w:sz="0" w:space="0" w:color="auto"/>
          <w:right w:val="none" w:sz="0" w:space="0" w:color="auto"/>
          <w:bar w:val="none" w:sz="0" w:color="auto"/>
        </w:pBdr>
        <w:suppressAutoHyphens/>
        <w:ind w:left="990" w:hanging="540"/>
        <w:rPr>
          <w:rFonts w:ascii="Palatino Linotype" w:eastAsia="Palatino Linotype" w:hAnsi="Palatino Linotype" w:cs="Times New Roman"/>
          <w:color w:val="000000" w:themeColor="text1"/>
          <w:sz w:val="24"/>
          <w:szCs w:val="24"/>
        </w:rPr>
      </w:pPr>
      <w:r w:rsidRPr="00AF35A5">
        <w:rPr>
          <w:rFonts w:ascii="Palatino Linotype" w:eastAsia="Palatino Linotype" w:hAnsi="Palatino Linotype" w:cs="Times New Roman"/>
          <w:color w:val="000000" w:themeColor="text1"/>
          <w:sz w:val="24"/>
          <w:szCs w:val="24"/>
        </w:rPr>
        <w:t>Engineering &amp; design;</w:t>
      </w:r>
    </w:p>
    <w:p w:rsidR="00C610C7" w:rsidRPr="00AF35A5" w:rsidRDefault="00C610C7" w:rsidP="00B93DB0">
      <w:pPr>
        <w:pStyle w:val="BodyA"/>
        <w:numPr>
          <w:ilvl w:val="0"/>
          <w:numId w:val="24"/>
        </w:numPr>
        <w:pBdr>
          <w:top w:val="none" w:sz="0" w:space="0" w:color="auto"/>
          <w:left w:val="none" w:sz="0" w:space="0" w:color="auto"/>
          <w:bottom w:val="none" w:sz="0" w:space="0" w:color="auto"/>
          <w:right w:val="none" w:sz="0" w:space="0" w:color="auto"/>
          <w:bar w:val="none" w:sz="0" w:color="auto"/>
        </w:pBdr>
        <w:suppressAutoHyphens/>
        <w:ind w:left="990" w:hanging="540"/>
        <w:rPr>
          <w:rFonts w:ascii="Palatino Linotype" w:eastAsia="Palatino Linotype" w:hAnsi="Palatino Linotype" w:cs="Times New Roman"/>
          <w:color w:val="000000" w:themeColor="text1"/>
          <w:sz w:val="24"/>
          <w:szCs w:val="24"/>
        </w:rPr>
      </w:pPr>
      <w:r w:rsidRPr="00AF35A5">
        <w:rPr>
          <w:rFonts w:ascii="Palatino Linotype" w:eastAsia="Palatino Linotype" w:hAnsi="Palatino Linotype" w:cs="Times New Roman"/>
          <w:color w:val="000000" w:themeColor="text1"/>
          <w:sz w:val="24"/>
          <w:szCs w:val="24"/>
        </w:rPr>
        <w:lastRenderedPageBreak/>
        <w:t>Hardware warranty;</w:t>
      </w:r>
    </w:p>
    <w:p w:rsidR="00C610C7" w:rsidRPr="00AF35A5" w:rsidRDefault="00C610C7" w:rsidP="00B93DB0">
      <w:pPr>
        <w:pStyle w:val="BodyA"/>
        <w:numPr>
          <w:ilvl w:val="0"/>
          <w:numId w:val="24"/>
        </w:numPr>
        <w:pBdr>
          <w:top w:val="none" w:sz="0" w:space="0" w:color="auto"/>
          <w:left w:val="none" w:sz="0" w:space="0" w:color="auto"/>
          <w:bottom w:val="none" w:sz="0" w:space="0" w:color="auto"/>
          <w:right w:val="none" w:sz="0" w:space="0" w:color="auto"/>
          <w:bar w:val="none" w:sz="0" w:color="auto"/>
        </w:pBdr>
        <w:suppressAutoHyphens/>
        <w:ind w:left="990" w:hanging="540"/>
        <w:rPr>
          <w:rFonts w:ascii="Palatino Linotype" w:eastAsia="Palatino Linotype" w:hAnsi="Palatino Linotype" w:cs="Times New Roman"/>
          <w:color w:val="000000" w:themeColor="text1"/>
          <w:sz w:val="24"/>
          <w:szCs w:val="24"/>
        </w:rPr>
      </w:pPr>
      <w:r w:rsidRPr="00AF35A5">
        <w:rPr>
          <w:rFonts w:ascii="Palatino Linotype" w:eastAsia="Palatino Linotype" w:hAnsi="Palatino Linotype" w:cs="Times New Roman"/>
          <w:color w:val="000000" w:themeColor="text1"/>
          <w:sz w:val="24"/>
          <w:szCs w:val="24"/>
        </w:rPr>
        <w:t>Installation labor from the Minimum Point of Entry (MPOE) to the individual unit; and</w:t>
      </w:r>
    </w:p>
    <w:p w:rsidR="00C610C7" w:rsidRPr="00AF35A5" w:rsidRDefault="00C610C7" w:rsidP="00B93DB0">
      <w:pPr>
        <w:pStyle w:val="BodyA"/>
        <w:numPr>
          <w:ilvl w:val="0"/>
          <w:numId w:val="24"/>
        </w:numPr>
        <w:pBdr>
          <w:top w:val="none" w:sz="0" w:space="0" w:color="auto"/>
          <w:left w:val="none" w:sz="0" w:space="0" w:color="auto"/>
          <w:bottom w:val="none" w:sz="0" w:space="0" w:color="auto"/>
          <w:right w:val="none" w:sz="0" w:space="0" w:color="auto"/>
          <w:bar w:val="none" w:sz="0" w:color="auto"/>
        </w:pBdr>
        <w:suppressAutoHyphens/>
        <w:ind w:left="990" w:hanging="540"/>
        <w:rPr>
          <w:rFonts w:ascii="Palatino Linotype" w:hAnsi="Palatino Linotype" w:cs="Times New Roman"/>
          <w:color w:val="000000" w:themeColor="text1"/>
          <w:sz w:val="24"/>
          <w:szCs w:val="24"/>
        </w:rPr>
      </w:pPr>
      <w:r w:rsidRPr="00AF35A5">
        <w:rPr>
          <w:rFonts w:ascii="Palatino Linotype" w:eastAsia="Palatino Linotype" w:hAnsi="Palatino Linotype" w:cs="Times New Roman"/>
          <w:color w:val="000000" w:themeColor="text1"/>
          <w:sz w:val="24"/>
          <w:szCs w:val="24"/>
        </w:rPr>
        <w:t>Taxes, shipping and insurance costs directly related to broadband equipment deployed under the BPHA.</w:t>
      </w:r>
    </w:p>
    <w:p w:rsidR="00C610C7" w:rsidRPr="00AF35A5" w:rsidRDefault="00C610C7" w:rsidP="00C610C7">
      <w:pPr>
        <w:rPr>
          <w:rFonts w:ascii="Palatino Linotype" w:hAnsi="Palatino Linotype"/>
          <w:color w:val="000000" w:themeColor="text1"/>
          <w:sz w:val="24"/>
          <w:szCs w:val="24"/>
        </w:rPr>
      </w:pPr>
    </w:p>
    <w:p w:rsidR="00C610C7" w:rsidRPr="00AF35A5" w:rsidRDefault="00C610C7" w:rsidP="00C610C7">
      <w:pPr>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Commission will fund up to 85 percent of the costs for adoption projects for residents in PSCs and will reimburse the following expenses:</w:t>
      </w:r>
    </w:p>
    <w:p w:rsidR="00C610C7" w:rsidRPr="00AF35A5" w:rsidRDefault="00C610C7" w:rsidP="00B93DB0">
      <w:pPr>
        <w:numPr>
          <w:ilvl w:val="0"/>
          <w:numId w:val="25"/>
        </w:numPr>
        <w:suppressAutoHyphens/>
        <w:ind w:left="990" w:hanging="630"/>
        <w:rPr>
          <w:rFonts w:ascii="Palatino Linotype" w:eastAsia="Palatino Linotype" w:hAnsi="Palatino Linotype"/>
          <w:color w:val="000000" w:themeColor="text1"/>
          <w:sz w:val="24"/>
          <w:szCs w:val="24"/>
        </w:rPr>
      </w:pPr>
      <w:r w:rsidRPr="00AF35A5">
        <w:rPr>
          <w:rFonts w:ascii="Palatino Linotype" w:eastAsia="Palatino Linotype" w:hAnsi="Palatino Linotype"/>
          <w:color w:val="000000" w:themeColor="text1"/>
          <w:sz w:val="24"/>
          <w:szCs w:val="24"/>
        </w:rPr>
        <w:t xml:space="preserve">Education and outreach efforts and materials; </w:t>
      </w:r>
    </w:p>
    <w:p w:rsidR="00C610C7" w:rsidRPr="00AF35A5" w:rsidRDefault="00C610C7" w:rsidP="00B93DB0">
      <w:pPr>
        <w:numPr>
          <w:ilvl w:val="0"/>
          <w:numId w:val="25"/>
        </w:numPr>
        <w:suppressAutoHyphens/>
        <w:ind w:left="990" w:hanging="630"/>
        <w:rPr>
          <w:rFonts w:ascii="Palatino Linotype" w:eastAsia="Palatino Linotype" w:hAnsi="Palatino Linotype"/>
          <w:color w:val="000000" w:themeColor="text1"/>
          <w:sz w:val="24"/>
          <w:szCs w:val="24"/>
        </w:rPr>
      </w:pPr>
      <w:r w:rsidRPr="00AF35A5">
        <w:rPr>
          <w:rFonts w:ascii="Palatino Linotype" w:eastAsia="Palatino Linotype" w:hAnsi="Palatino Linotype"/>
          <w:color w:val="000000" w:themeColor="text1"/>
          <w:sz w:val="24"/>
          <w:szCs w:val="24"/>
        </w:rPr>
        <w:t xml:space="preserve">Desks and chairs to furnish a designated space for digital literacy; </w:t>
      </w:r>
    </w:p>
    <w:p w:rsidR="00C610C7" w:rsidRPr="00AF35A5" w:rsidRDefault="00C610C7" w:rsidP="00B93DB0">
      <w:pPr>
        <w:numPr>
          <w:ilvl w:val="0"/>
          <w:numId w:val="25"/>
        </w:numPr>
        <w:suppressAutoHyphens/>
        <w:ind w:left="990" w:hanging="630"/>
        <w:rPr>
          <w:rFonts w:ascii="Palatino Linotype" w:hAnsi="Palatino Linotype"/>
          <w:color w:val="000000" w:themeColor="text1"/>
          <w:sz w:val="24"/>
          <w:szCs w:val="24"/>
        </w:rPr>
      </w:pPr>
      <w:r w:rsidRPr="00AF35A5">
        <w:rPr>
          <w:rFonts w:ascii="Palatino Linotype" w:eastAsia="Palatino Linotype" w:hAnsi="Palatino Linotype"/>
          <w:color w:val="000000" w:themeColor="text1"/>
          <w:sz w:val="24"/>
          <w:szCs w:val="24"/>
        </w:rPr>
        <w:t>Acceptable computers and devices (excluding smartphones) and software intended for use either in a computer lab or an adoptee’s household;</w:t>
      </w:r>
    </w:p>
    <w:p w:rsidR="00C610C7" w:rsidRPr="00AF35A5" w:rsidRDefault="00C610C7" w:rsidP="00B93DB0">
      <w:pPr>
        <w:numPr>
          <w:ilvl w:val="0"/>
          <w:numId w:val="25"/>
        </w:numPr>
        <w:suppressAutoHyphens/>
        <w:ind w:left="990" w:hanging="630"/>
        <w:rPr>
          <w:rFonts w:ascii="Palatino Linotype" w:hAnsi="Palatino Linotype"/>
          <w:color w:val="000000" w:themeColor="text1"/>
          <w:sz w:val="24"/>
          <w:szCs w:val="24"/>
        </w:rPr>
      </w:pPr>
      <w:r w:rsidRPr="00AF35A5">
        <w:rPr>
          <w:rFonts w:ascii="Palatino Linotype" w:eastAsia="Palatino Linotype" w:hAnsi="Palatino Linotype"/>
          <w:color w:val="000000" w:themeColor="text1"/>
          <w:sz w:val="24"/>
          <w:szCs w:val="24"/>
        </w:rPr>
        <w:t xml:space="preserve">Digital literacy instructors;   </w:t>
      </w:r>
    </w:p>
    <w:p w:rsidR="00C610C7" w:rsidRPr="00AF35A5" w:rsidRDefault="00C610C7" w:rsidP="00B93DB0">
      <w:pPr>
        <w:numPr>
          <w:ilvl w:val="0"/>
          <w:numId w:val="25"/>
        </w:numPr>
        <w:suppressAutoHyphens/>
        <w:ind w:left="990" w:hanging="630"/>
        <w:rPr>
          <w:rFonts w:ascii="Palatino Linotype" w:eastAsia="Palatino Linotype" w:hAnsi="Palatino Linotype"/>
          <w:color w:val="000000" w:themeColor="text1"/>
          <w:sz w:val="24"/>
          <w:szCs w:val="24"/>
        </w:rPr>
      </w:pPr>
      <w:r w:rsidRPr="00AF35A5">
        <w:rPr>
          <w:rFonts w:ascii="Palatino Linotype" w:eastAsia="Palatino Linotype" w:hAnsi="Palatino Linotype"/>
          <w:color w:val="000000" w:themeColor="text1"/>
          <w:sz w:val="24"/>
          <w:szCs w:val="24"/>
        </w:rPr>
        <w:t xml:space="preserve">Printers for a computer lab or other designated space for digital literacy; </w:t>
      </w:r>
    </w:p>
    <w:p w:rsidR="00C610C7" w:rsidRPr="00AF35A5" w:rsidRDefault="00C610C7" w:rsidP="00B93DB0">
      <w:pPr>
        <w:numPr>
          <w:ilvl w:val="0"/>
          <w:numId w:val="25"/>
        </w:numPr>
        <w:suppressAutoHyphens/>
        <w:ind w:left="990" w:hanging="630"/>
        <w:rPr>
          <w:rFonts w:ascii="Palatino Linotype" w:eastAsia="Palatino Linotype" w:hAnsi="Palatino Linotype"/>
          <w:color w:val="000000" w:themeColor="text1"/>
          <w:sz w:val="24"/>
          <w:szCs w:val="24"/>
        </w:rPr>
      </w:pPr>
      <w:r w:rsidRPr="00AF35A5">
        <w:rPr>
          <w:rFonts w:ascii="Palatino Linotype" w:eastAsia="Palatino Linotype" w:hAnsi="Palatino Linotype"/>
          <w:color w:val="000000" w:themeColor="text1"/>
          <w:sz w:val="24"/>
          <w:szCs w:val="24"/>
        </w:rPr>
        <w:t>Routers; and</w:t>
      </w:r>
    </w:p>
    <w:p w:rsidR="00C610C7" w:rsidRPr="00AF35A5" w:rsidRDefault="00C610C7" w:rsidP="00B93DB0">
      <w:pPr>
        <w:numPr>
          <w:ilvl w:val="0"/>
          <w:numId w:val="25"/>
        </w:numPr>
        <w:suppressAutoHyphens/>
        <w:ind w:left="990" w:hanging="630"/>
        <w:rPr>
          <w:rFonts w:ascii="Palatino Linotype" w:eastAsia="Palatino Linotype" w:hAnsi="Palatino Linotype"/>
          <w:color w:val="000000" w:themeColor="text1"/>
          <w:sz w:val="24"/>
          <w:szCs w:val="24"/>
        </w:rPr>
      </w:pPr>
      <w:r w:rsidRPr="00AF35A5">
        <w:rPr>
          <w:rFonts w:ascii="Palatino Linotype" w:eastAsia="Palatino Linotype" w:hAnsi="Palatino Linotype"/>
          <w:color w:val="000000" w:themeColor="text1"/>
          <w:sz w:val="24"/>
          <w:szCs w:val="24"/>
        </w:rPr>
        <w:t>Provision of residential (not network) technical support.</w:t>
      </w:r>
    </w:p>
    <w:p w:rsidR="00C610C7" w:rsidRPr="00AF35A5" w:rsidRDefault="00C610C7" w:rsidP="00C610C7">
      <w:pPr>
        <w:ind w:left="990" w:hanging="630"/>
        <w:rPr>
          <w:rFonts w:ascii="Palatino Linotype" w:hAnsi="Palatino Linotype"/>
          <w:color w:val="000000" w:themeColor="text1"/>
          <w:sz w:val="24"/>
          <w:szCs w:val="24"/>
        </w:rPr>
      </w:pPr>
    </w:p>
    <w:p w:rsidR="00C610C7" w:rsidRPr="00AF35A5" w:rsidRDefault="00C610C7" w:rsidP="009A00FB">
      <w:pPr>
        <w:pStyle w:val="Heading2"/>
        <w:numPr>
          <w:ilvl w:val="0"/>
          <w:numId w:val="0"/>
        </w:numPr>
        <w:ind w:left="1714"/>
      </w:pPr>
      <w:bookmarkStart w:id="880" w:name="_Toc505786748"/>
      <w:bookmarkStart w:id="881" w:name="_Toc514153051"/>
      <w:r w:rsidRPr="00AF35A5">
        <w:t>Definitions</w:t>
      </w:r>
      <w:bookmarkEnd w:id="880"/>
      <w:bookmarkEnd w:id="881"/>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“Project” is a publicly subsidized multifamily housing development which is requesting funds under one application from the BPHA. </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“Publicly subsidized” means either that the housing development receives financial assistance from the United States Department of Housing and Urban Development (HUD) pursuant to an annual contribution contract or is financed with low income housing tax credits, tax exempt mortgage revenue bonds, general obligation bonds, or local, state, or federal loans or grants and the rents of the occupants, who are lower income households, do not exceed those prescribed by deed restrictions or regulatory agreements pursuant to the terms of the financing or financial assistance.</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“Publicly supported community” (PSC) is a publicly subsidized multifamily housing development that is wholly owned by either of the following:</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(i) A public housing agency that has been chartered by the state, or by any city or county in the state, and has been determined an eligible public </w:t>
      </w:r>
      <w:r w:rsidRPr="00AF35A5">
        <w:rPr>
          <w:rFonts w:ascii="Palatino Linotype" w:hAnsi="Palatino Linotype"/>
          <w:color w:val="000000" w:themeColor="text1"/>
          <w:sz w:val="24"/>
          <w:szCs w:val="24"/>
        </w:rPr>
        <w:lastRenderedPageBreak/>
        <w:t>housing agency by the United States Department of Housing and Urban Development.</w:t>
      </w:r>
    </w:p>
    <w:p w:rsidR="00C610C7" w:rsidRPr="00AF35A5" w:rsidRDefault="00C610C7" w:rsidP="00C610C7">
      <w:pPr>
        <w:pStyle w:val="ListParagraph"/>
        <w:rPr>
          <w:rFonts w:ascii="Palatino Linotype" w:hAnsi="Palatino Linotype"/>
          <w:color w:val="000000" w:themeColor="text1"/>
          <w:sz w:val="24"/>
          <w:szCs w:val="24"/>
        </w:rPr>
      </w:pPr>
    </w:p>
    <w:p w:rsidR="00C610C7" w:rsidRPr="00AF35A5" w:rsidRDefault="00C610C7" w:rsidP="00C610C7">
      <w:pPr>
        <w:pStyle w:val="ListParagraph"/>
        <w:rPr>
          <w:rFonts w:ascii="Palatino Linotype" w:hAnsi="Palatino Linotype"/>
          <w:color w:val="000000" w:themeColor="text1"/>
          <w:sz w:val="24"/>
          <w:szCs w:val="24"/>
        </w:rPr>
      </w:pPr>
      <w:r w:rsidRPr="00AF35A5">
        <w:rPr>
          <w:rFonts w:ascii="Palatino Linotype" w:hAnsi="Palatino Linotype"/>
          <w:color w:val="000000" w:themeColor="text1"/>
          <w:sz w:val="24"/>
          <w:szCs w:val="24"/>
        </w:rPr>
        <w:t>(ii) An incorporated nonprofit organization as described in Section 501 (c)(3) of the Internal Revenue Code (26 U.S.C. Sec. 501(c)(3)) that is exempt from taxation under Section 501 (a) of that code (16 U.S.C. Sec. 501(a)), and that has received public funding to subsidize the construction or maintenance of housing occupied by residents whose annual income qualifies as “low</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or “very low” income according to federal poverty guidelines.</w:t>
      </w:r>
    </w:p>
    <w:p w:rsidR="00C610C7" w:rsidRPr="00AF35A5" w:rsidRDefault="00C610C7" w:rsidP="00C610C7">
      <w:pPr>
        <w:pStyle w:val="ListParagraph"/>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 “minimum point of entry” (MPOE) is either the closest practicable point to where the wiring crosses a property line or the closest practicable point to where the wiring enters a multiunit building or buildings.   </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An “unserved” housing development is a housing development where at least one housing unit within the housing development is not offered broadband Internet service.</w:t>
      </w:r>
      <w:r w:rsidRPr="00AF35A5">
        <w:rPr>
          <w:rStyle w:val="FootnoteReference"/>
          <w:rFonts w:ascii="Palatino Linotype" w:hAnsi="Palatino Linotype"/>
          <w:color w:val="000000" w:themeColor="text1"/>
          <w:szCs w:val="24"/>
        </w:rPr>
        <w:t xml:space="preserve"> </w:t>
      </w:r>
      <w:r w:rsidRPr="00AF35A5">
        <w:rPr>
          <w:rStyle w:val="FootnoteReference"/>
          <w:rFonts w:ascii="Palatino Linotype" w:hAnsi="Palatino Linotype"/>
          <w:color w:val="000000" w:themeColor="text1"/>
          <w:szCs w:val="24"/>
        </w:rPr>
        <w:footnoteReference w:id="95"/>
      </w:r>
      <w:r w:rsidRPr="00AF35A5">
        <w:rPr>
          <w:rFonts w:ascii="Palatino Linotype" w:hAnsi="Palatino Linotype"/>
          <w:color w:val="000000" w:themeColor="text1"/>
          <w:sz w:val="24"/>
          <w:szCs w:val="24"/>
        </w:rPr>
        <w:t xml:space="preserve">   A housing unit “is not offered broadband Internet service” if the unit does not have access to a commercially available broadband Internet service, such as Digital Subscriber Line (DSL), a cable modem, or another protocol, available at the unit.</w:t>
      </w:r>
      <w:r w:rsidRPr="00AF35A5">
        <w:rPr>
          <w:rStyle w:val="FootnoteReference"/>
          <w:rFonts w:ascii="Palatino Linotype" w:hAnsi="Palatino Linotype"/>
          <w:color w:val="000000" w:themeColor="text1"/>
          <w:szCs w:val="24"/>
        </w:rPr>
        <w:footnoteReference w:id="96"/>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9A00FB">
      <w:pPr>
        <w:pStyle w:val="Heading2"/>
        <w:numPr>
          <w:ilvl w:val="0"/>
          <w:numId w:val="0"/>
        </w:numPr>
        <w:ind w:left="1714"/>
      </w:pPr>
      <w:bookmarkStart w:id="882" w:name="_Toc505786749"/>
      <w:bookmarkStart w:id="883" w:name="_Toc514153052"/>
      <w:r w:rsidRPr="00AF35A5">
        <w:t>Eligible Applicants</w:t>
      </w:r>
      <w:bookmarkEnd w:id="882"/>
      <w:bookmarkEnd w:id="883"/>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CASF Broadband Public Housing Account funding is limited to publicly subsidized, multifamily housing developments owned by either of the following two entities:</w:t>
      </w:r>
    </w:p>
    <w:p w:rsidR="00C610C7" w:rsidRPr="00AF35A5" w:rsidRDefault="00C610C7" w:rsidP="00B93DB0">
      <w:pPr>
        <w:pStyle w:val="ListParagraph"/>
        <w:numPr>
          <w:ilvl w:val="5"/>
          <w:numId w:val="26"/>
        </w:numPr>
        <w:ind w:left="1080" w:hanging="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 public housing agency that has been chartered by the state, or by any city or county in the state, and has been determined an eligible public housing agency by the United States Department of Housing and Urban Development.</w:t>
      </w:r>
    </w:p>
    <w:p w:rsidR="00C610C7" w:rsidRPr="00AF35A5" w:rsidRDefault="00C610C7" w:rsidP="00B93DB0">
      <w:pPr>
        <w:pStyle w:val="ListParagraph"/>
        <w:numPr>
          <w:ilvl w:val="5"/>
          <w:numId w:val="26"/>
        </w:numPr>
        <w:ind w:left="1080" w:hanging="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An incorporated nonprofit organization as described in Section 501 (c)(3) of the Internal Revenue Code (26 U.S.C. Sec. 501(c)(3)) that is exempt from taxation under Section 501 (a) of that code (16 U.S.C. Sec. 501(a)), and that has received public funding to subsidize the construction or maintenance of housing occupied by residents whose annual income qualifies as “low”</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or “very low” income according to federal poverty guidelines. </w:t>
      </w:r>
    </w:p>
    <w:p w:rsidR="00C610C7" w:rsidRPr="00AF35A5" w:rsidRDefault="00C610C7" w:rsidP="00C610C7">
      <w:pPr>
        <w:pStyle w:val="ListParagraph"/>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Non</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profit housing developers involved in limited partnerships with for</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profit entities participating may also be eligible, since the IRS considers an exempt organization's participation as a general partner in a limited partnership with for</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profit limited partners as consistent with the organization's exempt status under Internal Revenue Code Section 501(c)(3).</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For PSCs applying for infrastructure funds, a PSC may be eligible for funding only if the PSC can verify to the Commission that the PSC has not denied a right of access to any broadband provider that is willing to connect to a broadband network to the facility for which the grant or loan is sought</w:t>
      </w:r>
      <w:r w:rsidRPr="00AF35A5">
        <w:rPr>
          <w:rStyle w:val="FootnoteReference"/>
          <w:rFonts w:ascii="Palatino Linotype" w:hAnsi="Palatino Linotype"/>
          <w:color w:val="000000" w:themeColor="text1"/>
          <w:szCs w:val="24"/>
        </w:rPr>
        <w:footnoteReference w:id="97"/>
      </w:r>
      <w:r w:rsidRPr="00AF35A5">
        <w:rPr>
          <w:rFonts w:ascii="Palatino Linotype" w:hAnsi="Palatino Linotype"/>
          <w:color w:val="000000" w:themeColor="text1"/>
          <w:sz w:val="24"/>
          <w:szCs w:val="24"/>
        </w:rPr>
        <w:t xml:space="preserve"> and the publicly supported community is unserved as defined in Section 2.1.3.</w:t>
      </w:r>
      <w:r w:rsidRPr="00AF35A5">
        <w:rPr>
          <w:rFonts w:ascii="Palatino Linotype" w:hAnsi="Palatino Linotype"/>
          <w:color w:val="000000" w:themeColor="text1"/>
          <w:sz w:val="24"/>
          <w:szCs w:val="24"/>
        </w:rPr>
        <w:footnoteReference w:id="98"/>
      </w:r>
      <w:r w:rsidRPr="00AF35A5">
        <w:rPr>
          <w:rFonts w:ascii="Palatino Linotype" w:hAnsi="Palatino Linotype"/>
          <w:color w:val="000000" w:themeColor="text1"/>
          <w:sz w:val="24"/>
          <w:szCs w:val="24"/>
        </w:rPr>
        <w:t xml:space="preserve">  </w:t>
      </w:r>
    </w:p>
    <w:p w:rsidR="00C610C7" w:rsidRPr="00AF35A5" w:rsidRDefault="00C610C7" w:rsidP="00C610C7">
      <w:pPr>
        <w:rPr>
          <w:rFonts w:ascii="Palatino Linotype" w:hAnsi="Palatino Linotype"/>
          <w:color w:val="000000" w:themeColor="text1"/>
          <w:sz w:val="24"/>
          <w:szCs w:val="24"/>
        </w:rPr>
      </w:pPr>
    </w:p>
    <w:p w:rsidR="00C610C7" w:rsidRPr="00AF35A5" w:rsidRDefault="00C610C7" w:rsidP="00C610C7">
      <w:pPr>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For PSCs applying for adoption funds, a PSC may be eligible for funding only if the residential units in the facility to be served have access to broadband services or will have access to broadband services at the time the funding for adoption is implemented.</w:t>
      </w:r>
    </w:p>
    <w:p w:rsidR="00C610C7" w:rsidRPr="00AF35A5" w:rsidRDefault="00C610C7" w:rsidP="00C610C7">
      <w:pPr>
        <w:pStyle w:val="ListParagraph"/>
        <w:tabs>
          <w:tab w:val="left" w:pos="360"/>
        </w:tabs>
        <w:ind w:left="360"/>
        <w:rPr>
          <w:rFonts w:ascii="Palatino Linotype" w:hAnsi="Palatino Linotype"/>
          <w:color w:val="000000" w:themeColor="text1"/>
          <w:sz w:val="24"/>
          <w:szCs w:val="24"/>
        </w:rPr>
      </w:pPr>
    </w:p>
    <w:p w:rsidR="00C610C7" w:rsidRPr="00AF35A5" w:rsidRDefault="00C610C7" w:rsidP="009A00FB">
      <w:pPr>
        <w:pStyle w:val="Heading2"/>
        <w:numPr>
          <w:ilvl w:val="0"/>
          <w:numId w:val="0"/>
        </w:numPr>
        <w:ind w:left="1714"/>
      </w:pPr>
      <w:bookmarkStart w:id="884" w:name="_Toc499547619"/>
      <w:bookmarkStart w:id="885" w:name="_Toc499566773"/>
      <w:bookmarkStart w:id="886" w:name="_Toc499567756"/>
      <w:bookmarkStart w:id="887" w:name="_Toc499567836"/>
      <w:bookmarkStart w:id="888" w:name="_Toc505786750"/>
      <w:bookmarkStart w:id="889" w:name="_Toc514153053"/>
      <w:bookmarkEnd w:id="884"/>
      <w:bookmarkEnd w:id="885"/>
      <w:bookmarkEnd w:id="886"/>
      <w:bookmarkEnd w:id="887"/>
      <w:r w:rsidRPr="00AF35A5">
        <w:t>Information Required from Applicants</w:t>
      </w:r>
      <w:bookmarkEnd w:id="888"/>
      <w:bookmarkEnd w:id="889"/>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Applicants must submit the following information to the Commission for each proposed project. Applications and supporting material must be submitted online with a hard copy mailed to the CASF Housing Account Coordinator and one sent to the Office of Ratepayer Advocates.</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ind w:left="360" w:firstLine="360"/>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lastRenderedPageBreak/>
        <w:t xml:space="preserve">1.  Infrastructure Project Application  </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Applicants must complete and submit a project application form. </w:t>
      </w:r>
      <w:r w:rsidRPr="00AF35A5">
        <w:rPr>
          <w:rFonts w:ascii="Palatino Linotype" w:hAnsi="Palatino Linotype"/>
          <w:color w:val="000000" w:themeColor="text1"/>
          <w:sz w:val="24"/>
          <w:szCs w:val="24"/>
          <w:lang w:val="en-US"/>
        </w:rPr>
        <w:t xml:space="preserve"> Staff</w:t>
      </w:r>
      <w:r w:rsidRPr="00AF35A5">
        <w:rPr>
          <w:rFonts w:ascii="Palatino Linotype" w:hAnsi="Palatino Linotype"/>
          <w:color w:val="000000" w:themeColor="text1"/>
          <w:sz w:val="24"/>
          <w:szCs w:val="24"/>
        </w:rPr>
        <w:t xml:space="preserve"> will post a list of applicants and projects submitted by the deadline on the CASF webpage</w:t>
      </w:r>
      <w:r w:rsidRPr="00AF35A5">
        <w:rPr>
          <w:rFonts w:ascii="Palatino Linotype" w:hAnsi="Palatino Linotype"/>
          <w:color w:val="000000" w:themeColor="text1"/>
          <w:sz w:val="24"/>
          <w:szCs w:val="24"/>
          <w:lang w:val="en-US"/>
        </w:rPr>
        <w:t xml:space="preserve"> and will notify the CASF Distribution List</w:t>
      </w:r>
      <w:r w:rsidRPr="00AF35A5">
        <w:rPr>
          <w:rStyle w:val="FootnoteReference"/>
          <w:rFonts w:ascii="Palatino Linotype" w:hAnsi="Palatino Linotype"/>
          <w:color w:val="000000" w:themeColor="text1"/>
          <w:szCs w:val="24"/>
          <w:lang w:val="en-US"/>
        </w:rPr>
        <w:footnoteReference w:id="99"/>
      </w:r>
      <w:r w:rsidRPr="00AF35A5">
        <w:rPr>
          <w:rFonts w:ascii="Palatino Linotype" w:hAnsi="Palatino Linotype"/>
          <w:color w:val="000000" w:themeColor="text1"/>
          <w:sz w:val="24"/>
          <w:szCs w:val="24"/>
          <w:lang w:val="en-US"/>
        </w:rPr>
        <w:t xml:space="preserve"> of the submission(s)</w:t>
      </w:r>
      <w:r w:rsidRPr="00AF35A5">
        <w:rPr>
          <w:rFonts w:ascii="Palatino Linotype" w:hAnsi="Palatino Linotype"/>
          <w:color w:val="000000" w:themeColor="text1"/>
          <w:sz w:val="24"/>
          <w:szCs w:val="24"/>
        </w:rPr>
        <w:t xml:space="preserve">, allowing ISPs two weeks to challenge the applications. Additional supporting documentation will not be posted online. </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 housing authority applying for </w:t>
      </w:r>
      <w:r w:rsidRPr="00AF35A5">
        <w:rPr>
          <w:rFonts w:ascii="Palatino Linotype" w:hAnsi="Palatino Linotype"/>
          <w:color w:val="000000" w:themeColor="text1"/>
          <w:sz w:val="24"/>
          <w:szCs w:val="24"/>
          <w:lang w:val="en-US"/>
        </w:rPr>
        <w:t>BPHA</w:t>
      </w:r>
      <w:r w:rsidRPr="00AF35A5">
        <w:rPr>
          <w:rFonts w:ascii="Palatino Linotype" w:hAnsi="Palatino Linotype"/>
          <w:color w:val="000000" w:themeColor="text1"/>
          <w:sz w:val="24"/>
          <w:szCs w:val="24"/>
        </w:rPr>
        <w:t xml:space="preserve"> funds must include in its submission its Annual HUD Contributions Contract and HA Code, allowing staff to verify its certification, along with its most recent HUD Public Housing Assessment System (PHAS) score. </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Non</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profit applicants must submit an IRS letter approving the applicant’s status as a 501(c)(3) entity incorporated for the purposes of providing affordable housing, which must include the applicant’s Tax Identification Number, along with an award letter from a public agency such as the California Tax Credit Allocation Committee (TCAC), proving its receipt of public funding for affordable housing purposes.</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p>
    <w:p w:rsidR="00C610C7" w:rsidRPr="00AF35A5" w:rsidRDefault="00C610C7" w:rsidP="00C610C7">
      <w:pPr>
        <w:pStyle w:val="content"/>
        <w:spacing w:before="0" w:beforeAutospacing="0" w:after="0" w:afterAutospacing="0"/>
        <w:ind w:firstLine="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Applications must contain the following information.</w:t>
      </w:r>
    </w:p>
    <w:p w:rsidR="00C610C7" w:rsidRPr="00AF35A5" w:rsidRDefault="00C610C7" w:rsidP="00C610C7">
      <w:pPr>
        <w:ind w:right="-14"/>
        <w:rPr>
          <w:rFonts w:ascii="Palatino Linotype" w:hAnsi="Palatino Linotype"/>
          <w:b/>
          <w:color w:val="000000" w:themeColor="text1"/>
          <w:sz w:val="24"/>
          <w:szCs w:val="24"/>
        </w:rPr>
      </w:pPr>
    </w:p>
    <w:p w:rsidR="00C610C7" w:rsidRPr="00AF35A5" w:rsidRDefault="00C610C7" w:rsidP="00C610C7">
      <w:pPr>
        <w:spacing w:after="120"/>
        <w:ind w:right="-14" w:firstLine="720"/>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 xml:space="preserve">1.1. </w:t>
      </w:r>
      <w:r w:rsidRPr="00AF35A5">
        <w:rPr>
          <w:rFonts w:ascii="Palatino Linotype" w:hAnsi="Palatino Linotype"/>
          <w:b/>
          <w:iCs/>
          <w:color w:val="000000" w:themeColor="text1"/>
          <w:sz w:val="24"/>
          <w:szCs w:val="24"/>
        </w:rPr>
        <w:t>Funds Requested</w:t>
      </w:r>
      <w:r w:rsidRPr="00AF35A5">
        <w:rPr>
          <w:rFonts w:ascii="Palatino Linotype" w:hAnsi="Palatino Linotype"/>
          <w:b/>
          <w:color w:val="000000" w:themeColor="text1"/>
          <w:sz w:val="24"/>
          <w:szCs w:val="24"/>
        </w:rPr>
        <w:t xml:space="preserve">  </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The applicant must indicate the amount of funding requested. </w:t>
      </w:r>
    </w:p>
    <w:p w:rsidR="00C610C7" w:rsidRPr="00AF35A5" w:rsidRDefault="00C610C7" w:rsidP="00C610C7">
      <w:pPr>
        <w:ind w:left="720" w:right="-14"/>
        <w:rPr>
          <w:rFonts w:ascii="Palatino Linotype" w:hAnsi="Palatino Linotype"/>
          <w:b/>
          <w:color w:val="000000" w:themeColor="text1"/>
          <w:sz w:val="24"/>
          <w:szCs w:val="24"/>
        </w:rPr>
      </w:pPr>
    </w:p>
    <w:p w:rsidR="00C610C7" w:rsidRPr="00AF35A5" w:rsidRDefault="00C610C7" w:rsidP="00C610C7">
      <w:pPr>
        <w:spacing w:after="120"/>
        <w:ind w:right="-14" w:firstLine="720"/>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 xml:space="preserve">1.2. </w:t>
      </w:r>
      <w:r w:rsidRPr="00AF35A5">
        <w:rPr>
          <w:rFonts w:ascii="Palatino Linotype" w:hAnsi="Palatino Linotype"/>
          <w:b/>
          <w:iCs/>
          <w:color w:val="000000" w:themeColor="text1"/>
          <w:sz w:val="24"/>
          <w:szCs w:val="24"/>
        </w:rPr>
        <w:t>Project Location</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The applicant must include each address it intends to serve along with an image of the location on the map. The Commission will accept a screen shot image from Google maps or similar image. </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p>
    <w:p w:rsidR="00C610C7" w:rsidRPr="00AF35A5" w:rsidRDefault="00C610C7" w:rsidP="00C610C7">
      <w:pPr>
        <w:spacing w:after="120"/>
        <w:ind w:left="720" w:right="-14"/>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 xml:space="preserve">1.3. </w:t>
      </w:r>
      <w:r w:rsidRPr="00AF35A5">
        <w:rPr>
          <w:rFonts w:ascii="Palatino Linotype" w:hAnsi="Palatino Linotype"/>
          <w:b/>
          <w:iCs/>
          <w:color w:val="000000" w:themeColor="text1"/>
          <w:sz w:val="24"/>
          <w:szCs w:val="24"/>
        </w:rPr>
        <w:t>Key Contact Information</w:t>
      </w:r>
      <w:r w:rsidRPr="00AF35A5">
        <w:rPr>
          <w:rFonts w:ascii="Palatino Linotype" w:hAnsi="Palatino Linotype"/>
          <w:b/>
          <w:color w:val="000000" w:themeColor="text1"/>
          <w:sz w:val="24"/>
          <w:szCs w:val="24"/>
        </w:rPr>
        <w:t xml:space="preserve"> </w:t>
      </w:r>
    </w:p>
    <w:p w:rsidR="00C610C7" w:rsidRPr="00AF35A5" w:rsidRDefault="00C610C7" w:rsidP="00B93DB0">
      <w:pPr>
        <w:numPr>
          <w:ilvl w:val="0"/>
          <w:numId w:val="17"/>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First name</w:t>
      </w:r>
    </w:p>
    <w:p w:rsidR="00C610C7" w:rsidRPr="00AF35A5" w:rsidRDefault="00C610C7" w:rsidP="00B93DB0">
      <w:pPr>
        <w:numPr>
          <w:ilvl w:val="0"/>
          <w:numId w:val="17"/>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Last name </w:t>
      </w:r>
    </w:p>
    <w:p w:rsidR="00C610C7" w:rsidRPr="00AF35A5" w:rsidRDefault="00C610C7" w:rsidP="00B93DB0">
      <w:pPr>
        <w:numPr>
          <w:ilvl w:val="0"/>
          <w:numId w:val="17"/>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Mailing Address </w:t>
      </w:r>
    </w:p>
    <w:p w:rsidR="00C610C7" w:rsidRPr="00AF35A5" w:rsidRDefault="00C610C7" w:rsidP="00B93DB0">
      <w:pPr>
        <w:numPr>
          <w:ilvl w:val="0"/>
          <w:numId w:val="17"/>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Email </w:t>
      </w:r>
    </w:p>
    <w:p w:rsidR="00C610C7" w:rsidRPr="00AF35A5" w:rsidRDefault="00C610C7" w:rsidP="00B93DB0">
      <w:pPr>
        <w:numPr>
          <w:ilvl w:val="0"/>
          <w:numId w:val="17"/>
        </w:numPr>
        <w:suppressAutoHyphens/>
        <w:ind w:left="1440" w:right="-14"/>
        <w:rPr>
          <w:rFonts w:ascii="Palatino Linotype" w:hAnsi="Palatino Linotype"/>
          <w:b/>
          <w:color w:val="000000" w:themeColor="text1"/>
          <w:sz w:val="24"/>
          <w:szCs w:val="24"/>
        </w:rPr>
      </w:pPr>
      <w:r w:rsidRPr="00AF35A5">
        <w:rPr>
          <w:rFonts w:ascii="Palatino Linotype" w:hAnsi="Palatino Linotype"/>
          <w:color w:val="000000" w:themeColor="text1"/>
          <w:sz w:val="24"/>
          <w:szCs w:val="24"/>
        </w:rPr>
        <w:t>Phone</w:t>
      </w:r>
    </w:p>
    <w:p w:rsidR="00C610C7" w:rsidRPr="00AF35A5" w:rsidRDefault="00C610C7" w:rsidP="00C610C7">
      <w:pPr>
        <w:ind w:right="-14"/>
        <w:rPr>
          <w:rFonts w:ascii="Palatino Linotype" w:hAnsi="Palatino Linotype"/>
          <w:b/>
          <w:color w:val="000000" w:themeColor="text1"/>
          <w:sz w:val="24"/>
          <w:szCs w:val="24"/>
        </w:rPr>
      </w:pPr>
    </w:p>
    <w:p w:rsidR="00C610C7" w:rsidRPr="00AF35A5" w:rsidRDefault="00C610C7" w:rsidP="00C610C7">
      <w:pPr>
        <w:spacing w:after="120"/>
        <w:ind w:left="720" w:right="-14"/>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1.4 Key PSC Management</w:t>
      </w:r>
      <w:r w:rsidRPr="00AF35A5">
        <w:rPr>
          <w:rFonts w:ascii="Palatino Linotype" w:hAnsi="Palatino Linotype"/>
          <w:color w:val="000000" w:themeColor="text1"/>
          <w:sz w:val="24"/>
          <w:szCs w:val="24"/>
        </w:rPr>
        <w:t xml:space="preserve"> </w:t>
      </w:r>
    </w:p>
    <w:p w:rsidR="00C610C7" w:rsidRPr="00AF35A5" w:rsidRDefault="00C610C7" w:rsidP="00B93DB0">
      <w:pPr>
        <w:numPr>
          <w:ilvl w:val="0"/>
          <w:numId w:val="13"/>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Position title </w:t>
      </w:r>
    </w:p>
    <w:p w:rsidR="00C610C7" w:rsidRPr="00AF35A5" w:rsidRDefault="00C610C7" w:rsidP="00B93DB0">
      <w:pPr>
        <w:numPr>
          <w:ilvl w:val="0"/>
          <w:numId w:val="13"/>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First name </w:t>
      </w:r>
    </w:p>
    <w:p w:rsidR="00C610C7" w:rsidRPr="00AF35A5" w:rsidRDefault="00C610C7" w:rsidP="00B93DB0">
      <w:pPr>
        <w:numPr>
          <w:ilvl w:val="0"/>
          <w:numId w:val="13"/>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Last name </w:t>
      </w:r>
    </w:p>
    <w:p w:rsidR="00C610C7" w:rsidRPr="00AF35A5" w:rsidRDefault="00C610C7" w:rsidP="00B93DB0">
      <w:pPr>
        <w:numPr>
          <w:ilvl w:val="0"/>
          <w:numId w:val="13"/>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Email </w:t>
      </w:r>
    </w:p>
    <w:p w:rsidR="00C610C7" w:rsidRPr="00AF35A5" w:rsidRDefault="00C610C7" w:rsidP="00B93DB0">
      <w:pPr>
        <w:numPr>
          <w:ilvl w:val="0"/>
          <w:numId w:val="13"/>
        </w:numPr>
        <w:suppressAutoHyphens/>
        <w:ind w:left="1440" w:right="-14"/>
        <w:rPr>
          <w:rFonts w:ascii="Palatino Linotype" w:hAnsi="Palatino Linotype"/>
          <w:b/>
          <w:color w:val="000000" w:themeColor="text1"/>
          <w:sz w:val="24"/>
          <w:szCs w:val="24"/>
        </w:rPr>
      </w:pPr>
      <w:r w:rsidRPr="00AF35A5">
        <w:rPr>
          <w:rFonts w:ascii="Palatino Linotype" w:hAnsi="Palatino Linotype"/>
          <w:color w:val="000000" w:themeColor="text1"/>
          <w:sz w:val="24"/>
          <w:szCs w:val="24"/>
        </w:rPr>
        <w:t xml:space="preserve">Phone </w:t>
      </w:r>
    </w:p>
    <w:p w:rsidR="00C610C7" w:rsidRPr="00AF35A5" w:rsidRDefault="00C610C7" w:rsidP="00C610C7">
      <w:pPr>
        <w:ind w:left="1440" w:right="-14"/>
        <w:rPr>
          <w:rFonts w:ascii="Palatino Linotype" w:hAnsi="Palatino Linotype"/>
          <w:b/>
          <w:color w:val="000000" w:themeColor="text1"/>
          <w:sz w:val="24"/>
          <w:szCs w:val="24"/>
        </w:rPr>
      </w:pPr>
    </w:p>
    <w:p w:rsidR="00C610C7" w:rsidRPr="00AF35A5" w:rsidRDefault="00C610C7" w:rsidP="00C610C7">
      <w:pPr>
        <w:spacing w:after="120"/>
        <w:ind w:left="720" w:right="-14"/>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1.5 Key vendor contact information</w:t>
      </w:r>
      <w:r w:rsidRPr="00AF35A5">
        <w:rPr>
          <w:rFonts w:ascii="Palatino Linotype" w:hAnsi="Palatino Linotype"/>
          <w:color w:val="000000" w:themeColor="text1"/>
          <w:sz w:val="24"/>
          <w:szCs w:val="24"/>
        </w:rPr>
        <w:t xml:space="preserve"> (if applicant already has identified its vendor)</w:t>
      </w:r>
    </w:p>
    <w:p w:rsidR="00C610C7" w:rsidRPr="00AF35A5" w:rsidRDefault="00C610C7" w:rsidP="00B93DB0">
      <w:pPr>
        <w:numPr>
          <w:ilvl w:val="0"/>
          <w:numId w:val="16"/>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First name </w:t>
      </w:r>
    </w:p>
    <w:p w:rsidR="00C610C7" w:rsidRPr="00AF35A5" w:rsidRDefault="00C610C7" w:rsidP="00B93DB0">
      <w:pPr>
        <w:numPr>
          <w:ilvl w:val="0"/>
          <w:numId w:val="16"/>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Last name</w:t>
      </w:r>
    </w:p>
    <w:p w:rsidR="00C610C7" w:rsidRPr="00AF35A5" w:rsidRDefault="00C610C7" w:rsidP="00B93DB0">
      <w:pPr>
        <w:numPr>
          <w:ilvl w:val="0"/>
          <w:numId w:val="16"/>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Company name</w:t>
      </w:r>
    </w:p>
    <w:p w:rsidR="00C610C7" w:rsidRPr="00AF35A5" w:rsidRDefault="00C610C7" w:rsidP="00B93DB0">
      <w:pPr>
        <w:numPr>
          <w:ilvl w:val="0"/>
          <w:numId w:val="16"/>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Mailing address </w:t>
      </w:r>
    </w:p>
    <w:p w:rsidR="00C610C7" w:rsidRPr="00AF35A5" w:rsidRDefault="00C610C7" w:rsidP="00B93DB0">
      <w:pPr>
        <w:numPr>
          <w:ilvl w:val="0"/>
          <w:numId w:val="16"/>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Email </w:t>
      </w:r>
    </w:p>
    <w:p w:rsidR="00C610C7" w:rsidRPr="00AF35A5" w:rsidRDefault="00C610C7" w:rsidP="00B93DB0">
      <w:pPr>
        <w:numPr>
          <w:ilvl w:val="0"/>
          <w:numId w:val="16"/>
        </w:numPr>
        <w:suppressAutoHyphens/>
        <w:ind w:left="1440" w:right="-14"/>
        <w:rPr>
          <w:rFonts w:ascii="Palatino Linotype" w:hAnsi="Palatino Linotype"/>
          <w:b/>
          <w:color w:val="000000" w:themeColor="text1"/>
          <w:sz w:val="24"/>
          <w:szCs w:val="24"/>
        </w:rPr>
      </w:pPr>
      <w:r w:rsidRPr="00AF35A5">
        <w:rPr>
          <w:rFonts w:ascii="Palatino Linotype" w:hAnsi="Palatino Linotype"/>
          <w:color w:val="000000" w:themeColor="text1"/>
          <w:sz w:val="24"/>
          <w:szCs w:val="24"/>
        </w:rPr>
        <w:t>Phone</w:t>
      </w:r>
    </w:p>
    <w:p w:rsidR="00C610C7" w:rsidRPr="00AF35A5" w:rsidRDefault="00C610C7" w:rsidP="00C610C7">
      <w:pPr>
        <w:ind w:right="-14"/>
        <w:rPr>
          <w:rFonts w:ascii="Palatino Linotype" w:hAnsi="Palatino Linotype"/>
          <w:b/>
          <w:color w:val="000000" w:themeColor="text1"/>
          <w:sz w:val="24"/>
          <w:szCs w:val="24"/>
        </w:rPr>
      </w:pPr>
    </w:p>
    <w:p w:rsidR="00C610C7" w:rsidRPr="00AF35A5" w:rsidRDefault="00C610C7" w:rsidP="00C610C7">
      <w:pPr>
        <w:spacing w:after="120"/>
        <w:ind w:left="720" w:right="-14"/>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1.6 Assertion of Unserved</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The applicant must attest to whether or not the property it proposes to serve under its grant request is unserved, as defined in Section 2.1.3.  The applicant also must verify that it has not denied an ISP access to its property in order to provision broadband service to any unit.  An applicant's previous denial of access for cause (e.g., the ISP's costs to residents or the applicant were unreasonably high) does not constitute a denial of a right of access. </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lang w:val="en-US"/>
        </w:rPr>
        <w:t>Staff</w:t>
      </w:r>
      <w:r w:rsidRPr="00AF35A5">
        <w:rPr>
          <w:rFonts w:ascii="Palatino Linotype" w:hAnsi="Palatino Linotype"/>
          <w:color w:val="000000" w:themeColor="text1"/>
          <w:sz w:val="24"/>
          <w:szCs w:val="24"/>
        </w:rPr>
        <w:t xml:space="preserve"> will post all application forms (but not the supporting materials that accompany the application) on its website after the date</w:t>
      </w:r>
      <w:r w:rsidRPr="00AF35A5">
        <w:rPr>
          <w:rFonts w:ascii="Palatino Linotype" w:hAnsi="Palatino Linotype"/>
          <w:color w:val="000000" w:themeColor="text1"/>
          <w:sz w:val="24"/>
          <w:szCs w:val="24"/>
          <w:lang w:val="en-US"/>
        </w:rPr>
        <w:t xml:space="preserve"> of submission, whereby </w:t>
      </w:r>
      <w:r w:rsidRPr="00AF35A5">
        <w:rPr>
          <w:rFonts w:ascii="Palatino Linotype" w:hAnsi="Palatino Linotype"/>
          <w:color w:val="000000" w:themeColor="text1"/>
          <w:sz w:val="24"/>
          <w:szCs w:val="24"/>
        </w:rPr>
        <w:t xml:space="preserve">ISPs </w:t>
      </w:r>
      <w:r w:rsidRPr="00AF35A5">
        <w:rPr>
          <w:rFonts w:ascii="Palatino Linotype" w:hAnsi="Palatino Linotype"/>
          <w:color w:val="000000" w:themeColor="text1"/>
          <w:sz w:val="24"/>
          <w:szCs w:val="24"/>
          <w:lang w:val="en-US"/>
        </w:rPr>
        <w:t xml:space="preserve">may within </w:t>
      </w:r>
      <w:r w:rsidRPr="00AF35A5">
        <w:rPr>
          <w:rFonts w:ascii="Palatino Linotype" w:hAnsi="Palatino Linotype"/>
          <w:color w:val="000000" w:themeColor="text1"/>
          <w:sz w:val="24"/>
          <w:szCs w:val="24"/>
        </w:rPr>
        <w:t xml:space="preserve">two weeks challenge </w:t>
      </w:r>
      <w:r w:rsidRPr="00AF35A5">
        <w:rPr>
          <w:rFonts w:ascii="Palatino Linotype" w:hAnsi="Palatino Linotype"/>
          <w:color w:val="000000" w:themeColor="text1"/>
          <w:sz w:val="24"/>
          <w:szCs w:val="24"/>
          <w:lang w:val="en-US"/>
        </w:rPr>
        <w:t xml:space="preserve">an </w:t>
      </w:r>
      <w:r w:rsidRPr="00AF35A5">
        <w:rPr>
          <w:rFonts w:ascii="Palatino Linotype" w:hAnsi="Palatino Linotype"/>
          <w:color w:val="000000" w:themeColor="text1"/>
          <w:sz w:val="24"/>
          <w:szCs w:val="24"/>
        </w:rPr>
        <w:t>application.</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p>
    <w:p w:rsidR="00C610C7" w:rsidRPr="00AF35A5" w:rsidRDefault="00C610C7" w:rsidP="00C610C7">
      <w:pPr>
        <w:spacing w:after="120"/>
        <w:ind w:left="720" w:right="-14"/>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1.7 Proposed project description</w:t>
      </w:r>
      <w:r w:rsidRPr="00AF35A5">
        <w:rPr>
          <w:rFonts w:ascii="Palatino Linotype" w:hAnsi="Palatino Linotype"/>
          <w:color w:val="000000" w:themeColor="text1"/>
          <w:sz w:val="24"/>
          <w:szCs w:val="24"/>
        </w:rPr>
        <w:t xml:space="preserve"> </w:t>
      </w:r>
    </w:p>
    <w:p w:rsidR="00C610C7" w:rsidRPr="00AF35A5" w:rsidRDefault="00C610C7" w:rsidP="00C610C7">
      <w:pPr>
        <w:ind w:left="72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 xml:space="preserve">An applicant must provide a detailed description of its proposed project, including the elements discussed below. </w:t>
      </w:r>
    </w:p>
    <w:p w:rsidR="00C610C7" w:rsidRPr="00AF35A5" w:rsidRDefault="00C610C7" w:rsidP="00B93DB0">
      <w:pPr>
        <w:numPr>
          <w:ilvl w:val="0"/>
          <w:numId w:val="12"/>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Description of proposed broadband project plan which the Commission will fund using the BPHA, including:</w:t>
      </w:r>
    </w:p>
    <w:p w:rsidR="00C610C7" w:rsidRPr="00AF35A5" w:rsidRDefault="00C610C7" w:rsidP="00B93DB0">
      <w:pPr>
        <w:numPr>
          <w:ilvl w:val="1"/>
          <w:numId w:val="12"/>
        </w:numPr>
        <w:suppressAutoHyphens/>
        <w:ind w:left="180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type of technology to be used (attach engineering documents/schematics)</w:t>
      </w:r>
    </w:p>
    <w:p w:rsidR="00C610C7" w:rsidRPr="00AF35A5" w:rsidRDefault="00C610C7" w:rsidP="00B93DB0">
      <w:pPr>
        <w:numPr>
          <w:ilvl w:val="1"/>
          <w:numId w:val="12"/>
        </w:numPr>
        <w:suppressAutoHyphens/>
        <w:ind w:left="180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Project size (number of units and residents to be connected) </w:t>
      </w:r>
    </w:p>
    <w:p w:rsidR="00C610C7" w:rsidRPr="00AF35A5" w:rsidRDefault="00C610C7" w:rsidP="00B93DB0">
      <w:pPr>
        <w:numPr>
          <w:ilvl w:val="1"/>
          <w:numId w:val="12"/>
        </w:numPr>
        <w:suppressAutoHyphens/>
        <w:ind w:left="180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Entities that will provide service. (E.g., Wi</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Fi provided by property management or named subcontractor, and/or, Internet service offered by a named ISP, etc.)</w:t>
      </w:r>
    </w:p>
    <w:p w:rsidR="00C610C7" w:rsidRPr="00AF35A5" w:rsidRDefault="00C610C7" w:rsidP="00B93DB0">
      <w:pPr>
        <w:numPr>
          <w:ilvl w:val="1"/>
          <w:numId w:val="12"/>
        </w:numPr>
        <w:suppressAutoHyphens/>
        <w:ind w:left="180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Download speed capabilities for an average user during the peak hours of 7p.m. and 11p.m.</w:t>
      </w:r>
    </w:p>
    <w:p w:rsidR="00C610C7" w:rsidRPr="00AF35A5" w:rsidRDefault="00C610C7" w:rsidP="00B93DB0">
      <w:pPr>
        <w:numPr>
          <w:ilvl w:val="1"/>
          <w:numId w:val="12"/>
        </w:numPr>
        <w:suppressAutoHyphens/>
        <w:ind w:left="180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Upload speed capabilities for an average user during the peak hours of 7p.m. and 11p.m.</w:t>
      </w:r>
    </w:p>
    <w:p w:rsidR="00C610C7" w:rsidRPr="00AF35A5" w:rsidRDefault="00C610C7" w:rsidP="00B93DB0">
      <w:pPr>
        <w:numPr>
          <w:ilvl w:val="0"/>
          <w:numId w:val="12"/>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Project budget outlining a detailed breakdown of cost elements and the availability of matching funds to be supplied by applicant (including bandwidth, maintenance and operation costs).</w:t>
      </w:r>
    </w:p>
    <w:p w:rsidR="00C610C7" w:rsidRPr="00AF35A5" w:rsidRDefault="00C610C7" w:rsidP="00B93DB0">
      <w:pPr>
        <w:numPr>
          <w:ilvl w:val="1"/>
          <w:numId w:val="12"/>
        </w:numPr>
        <w:suppressAutoHyphens/>
        <w:ind w:left="180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Breakdown of projected cost of items funded by grant:</w:t>
      </w:r>
    </w:p>
    <w:p w:rsidR="00C610C7" w:rsidRPr="00AF35A5" w:rsidRDefault="00C610C7" w:rsidP="00B93DB0">
      <w:pPr>
        <w:numPr>
          <w:ilvl w:val="2"/>
          <w:numId w:val="18"/>
        </w:numPr>
        <w:suppressAutoHyphens/>
        <w:ind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All networking equipment, both hardware and software, including wireless access points;</w:t>
      </w:r>
    </w:p>
    <w:p w:rsidR="00C610C7" w:rsidRPr="00AF35A5" w:rsidRDefault="00C610C7" w:rsidP="00B93DB0">
      <w:pPr>
        <w:numPr>
          <w:ilvl w:val="2"/>
          <w:numId w:val="18"/>
        </w:numPr>
        <w:suppressAutoHyphens/>
        <w:ind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Low voltage contracting, provided it does not include major rehabilitation, demolition or construction;</w:t>
      </w:r>
    </w:p>
    <w:p w:rsidR="00C610C7" w:rsidRPr="00AF35A5" w:rsidRDefault="00C610C7" w:rsidP="00B93DB0">
      <w:pPr>
        <w:numPr>
          <w:ilvl w:val="2"/>
          <w:numId w:val="18"/>
        </w:numPr>
        <w:suppressAutoHyphens/>
        <w:ind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Modems or routers, but not computers or human interface devices;</w:t>
      </w:r>
    </w:p>
    <w:p w:rsidR="00C610C7" w:rsidRPr="00AF35A5" w:rsidRDefault="00C610C7" w:rsidP="00B93DB0">
      <w:pPr>
        <w:numPr>
          <w:ilvl w:val="2"/>
          <w:numId w:val="18"/>
        </w:numPr>
        <w:suppressAutoHyphens/>
        <w:ind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Engineering and design;</w:t>
      </w:r>
    </w:p>
    <w:p w:rsidR="00C610C7" w:rsidRPr="00AF35A5" w:rsidRDefault="00C610C7" w:rsidP="00B93DB0">
      <w:pPr>
        <w:numPr>
          <w:ilvl w:val="2"/>
          <w:numId w:val="18"/>
        </w:numPr>
        <w:suppressAutoHyphens/>
        <w:ind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Hardware warranty;</w:t>
      </w:r>
    </w:p>
    <w:p w:rsidR="00C610C7" w:rsidRPr="00AF35A5" w:rsidRDefault="00C610C7" w:rsidP="00B93DB0">
      <w:pPr>
        <w:numPr>
          <w:ilvl w:val="2"/>
          <w:numId w:val="18"/>
        </w:numPr>
        <w:suppressAutoHyphens/>
        <w:ind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Installation labor from the MPOE to the individual unit; and</w:t>
      </w:r>
    </w:p>
    <w:p w:rsidR="00C610C7" w:rsidRPr="00AF35A5" w:rsidRDefault="00C610C7" w:rsidP="00B93DB0">
      <w:pPr>
        <w:numPr>
          <w:ilvl w:val="2"/>
          <w:numId w:val="18"/>
        </w:numPr>
        <w:suppressAutoHyphens/>
        <w:ind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Taxes, shipping, insurance costs directly related to broadband equipment deployed under the BPHA.</w:t>
      </w:r>
    </w:p>
    <w:p w:rsidR="00C610C7" w:rsidRPr="00AF35A5" w:rsidRDefault="00C610C7" w:rsidP="00B93DB0">
      <w:pPr>
        <w:numPr>
          <w:ilvl w:val="2"/>
          <w:numId w:val="14"/>
        </w:numPr>
        <w:suppressAutoHyphens/>
        <w:ind w:left="180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Matching funds provided by applicant</w:t>
      </w:r>
    </w:p>
    <w:p w:rsidR="00C610C7" w:rsidRPr="00AF35A5" w:rsidRDefault="00C610C7" w:rsidP="00B93DB0">
      <w:pPr>
        <w:numPr>
          <w:ilvl w:val="2"/>
          <w:numId w:val="20"/>
        </w:numPr>
        <w:suppressAutoHyphens/>
        <w:ind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Bandwidth costs on a monthly basis for the five</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year project period</w:t>
      </w:r>
    </w:p>
    <w:p w:rsidR="00C610C7" w:rsidRPr="00AF35A5" w:rsidRDefault="00C610C7" w:rsidP="00B93DB0">
      <w:pPr>
        <w:numPr>
          <w:ilvl w:val="2"/>
          <w:numId w:val="20"/>
        </w:numPr>
        <w:suppressAutoHyphens/>
        <w:ind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Maintenance and operations costs to ensure network is operational for at least five years </w:t>
      </w:r>
    </w:p>
    <w:p w:rsidR="00C610C7" w:rsidRPr="00AF35A5" w:rsidRDefault="00C610C7" w:rsidP="00B93DB0">
      <w:pPr>
        <w:pStyle w:val="content"/>
        <w:numPr>
          <w:ilvl w:val="0"/>
          <w:numId w:val="15"/>
        </w:numPr>
        <w:tabs>
          <w:tab w:val="left" w:pos="720"/>
        </w:tabs>
        <w:suppressAutoHyphens/>
        <w:spacing w:before="0" w:beforeAutospacing="0" w:after="0" w:afterAutospacing="0"/>
        <w:ind w:left="1440"/>
        <w:rPr>
          <w:rFonts w:ascii="Palatino Linotype" w:hAnsi="Palatino Linotype"/>
          <w:color w:val="000000" w:themeColor="text1"/>
          <w:sz w:val="24"/>
          <w:szCs w:val="24"/>
        </w:rPr>
      </w:pPr>
      <w:r w:rsidRPr="00AF35A5">
        <w:rPr>
          <w:rFonts w:ascii="Palatino Linotype" w:hAnsi="Palatino Linotype"/>
          <w:color w:val="000000" w:themeColor="text1"/>
          <w:sz w:val="24"/>
          <w:szCs w:val="24"/>
        </w:rPr>
        <w:t>Project schedule</w:t>
      </w:r>
    </w:p>
    <w:p w:rsidR="00C610C7" w:rsidRPr="00AF35A5" w:rsidRDefault="00C610C7" w:rsidP="00B93DB0">
      <w:pPr>
        <w:pStyle w:val="content"/>
        <w:numPr>
          <w:ilvl w:val="1"/>
          <w:numId w:val="15"/>
        </w:numPr>
        <w:suppressAutoHyphens/>
        <w:spacing w:before="0" w:beforeAutospacing="0" w:after="0" w:afterAutospacing="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 delineated deployment schedule with commitment to complete project within 12 month</w:t>
      </w:r>
      <w:r w:rsidRPr="00AF35A5">
        <w:rPr>
          <w:rFonts w:ascii="Palatino Linotype" w:hAnsi="Palatino Linotype"/>
          <w:color w:val="000000" w:themeColor="text1"/>
          <w:sz w:val="24"/>
          <w:szCs w:val="24"/>
          <w:lang w:val="en-US"/>
        </w:rPr>
        <w:t>s</w:t>
      </w:r>
      <w:r w:rsidRPr="00AF35A5">
        <w:rPr>
          <w:rFonts w:ascii="Palatino Linotype" w:hAnsi="Palatino Linotype"/>
          <w:color w:val="000000" w:themeColor="text1"/>
          <w:sz w:val="24"/>
          <w:szCs w:val="24"/>
        </w:rPr>
        <w:t xml:space="preserve"> of Commission approval of the application. </w:t>
      </w:r>
      <w:r w:rsidRPr="00AF35A5">
        <w:rPr>
          <w:rFonts w:ascii="Palatino Linotype" w:hAnsi="Palatino Linotype"/>
          <w:color w:val="000000" w:themeColor="text1"/>
          <w:sz w:val="24"/>
          <w:szCs w:val="24"/>
          <w:lang w:val="en-US"/>
        </w:rPr>
        <w:t xml:space="preserve"> </w:t>
      </w:r>
      <w:r w:rsidRPr="00AF35A5">
        <w:rPr>
          <w:rFonts w:ascii="Palatino Linotype" w:hAnsi="Palatino Linotype"/>
          <w:color w:val="000000" w:themeColor="text1"/>
          <w:sz w:val="24"/>
          <w:szCs w:val="24"/>
        </w:rPr>
        <w:t xml:space="preserve">The schedule should identify major prerequisite(s), construction and any other milestones that can </w:t>
      </w:r>
      <w:r w:rsidRPr="00AF35A5">
        <w:rPr>
          <w:rFonts w:ascii="Palatino Linotype" w:hAnsi="Palatino Linotype"/>
          <w:color w:val="000000" w:themeColor="text1"/>
          <w:sz w:val="24"/>
          <w:szCs w:val="24"/>
        </w:rPr>
        <w:lastRenderedPageBreak/>
        <w:t>be verified by Commission staff.  Milestones will be listed using the following format:</w:t>
      </w:r>
    </w:p>
    <w:p w:rsidR="00C610C7" w:rsidRPr="00AF35A5" w:rsidRDefault="00C610C7" w:rsidP="00B93DB0">
      <w:pPr>
        <w:pStyle w:val="content"/>
        <w:numPr>
          <w:ilvl w:val="0"/>
          <w:numId w:val="21"/>
        </w:numPr>
        <w:tabs>
          <w:tab w:val="left" w:pos="1800"/>
        </w:tabs>
        <w:suppressAutoHyphens/>
        <w:spacing w:before="0" w:beforeAutospacing="0" w:after="0" w:afterAutospacing="0"/>
        <w:rPr>
          <w:rFonts w:ascii="Palatino Linotype" w:hAnsi="Palatino Linotype"/>
          <w:color w:val="000000" w:themeColor="text1"/>
          <w:sz w:val="24"/>
          <w:szCs w:val="24"/>
        </w:rPr>
      </w:pPr>
      <w:r w:rsidRPr="00AF35A5">
        <w:rPr>
          <w:rFonts w:ascii="Palatino Linotype" w:hAnsi="Palatino Linotype"/>
          <w:color w:val="000000" w:themeColor="text1"/>
          <w:sz w:val="24"/>
          <w:szCs w:val="24"/>
        </w:rPr>
        <w:t>Milestone Description</w:t>
      </w:r>
    </w:p>
    <w:p w:rsidR="00C610C7" w:rsidRPr="00AF35A5" w:rsidRDefault="00C610C7" w:rsidP="00B93DB0">
      <w:pPr>
        <w:pStyle w:val="content"/>
        <w:numPr>
          <w:ilvl w:val="0"/>
          <w:numId w:val="21"/>
        </w:numPr>
        <w:tabs>
          <w:tab w:val="left" w:pos="1800"/>
        </w:tabs>
        <w:suppressAutoHyphens/>
        <w:spacing w:before="0" w:beforeAutospacing="0" w:after="0" w:afterAutospacing="0"/>
        <w:rPr>
          <w:rFonts w:ascii="Palatino Linotype" w:hAnsi="Palatino Linotype"/>
          <w:color w:val="000000" w:themeColor="text1"/>
          <w:sz w:val="24"/>
          <w:szCs w:val="24"/>
        </w:rPr>
      </w:pPr>
      <w:r w:rsidRPr="00AF35A5">
        <w:rPr>
          <w:rFonts w:ascii="Palatino Linotype" w:hAnsi="Palatino Linotype"/>
          <w:color w:val="000000" w:themeColor="text1"/>
          <w:sz w:val="24"/>
          <w:szCs w:val="24"/>
        </w:rPr>
        <w:t>Milestone Start and End Date</w:t>
      </w:r>
    </w:p>
    <w:p w:rsidR="00C610C7" w:rsidRPr="00AF35A5" w:rsidRDefault="00C610C7" w:rsidP="00B93DB0">
      <w:pPr>
        <w:pStyle w:val="content"/>
        <w:numPr>
          <w:ilvl w:val="0"/>
          <w:numId w:val="21"/>
        </w:numPr>
        <w:tabs>
          <w:tab w:val="left" w:pos="1800"/>
        </w:tabs>
        <w:suppressAutoHyphens/>
        <w:spacing w:before="0" w:beforeAutospacing="0" w:after="0" w:afterAutospacing="0"/>
        <w:rPr>
          <w:rFonts w:ascii="Palatino Linotype" w:hAnsi="Palatino Linotype"/>
          <w:color w:val="000000" w:themeColor="text1"/>
          <w:sz w:val="24"/>
          <w:szCs w:val="24"/>
        </w:rPr>
      </w:pPr>
      <w:r w:rsidRPr="00AF35A5">
        <w:rPr>
          <w:rFonts w:ascii="Palatino Linotype" w:hAnsi="Palatino Linotype"/>
          <w:color w:val="000000" w:themeColor="text1"/>
          <w:sz w:val="24"/>
          <w:szCs w:val="24"/>
        </w:rPr>
        <w:t>Milestone Risks</w:t>
      </w:r>
    </w:p>
    <w:p w:rsidR="00C610C7" w:rsidRPr="00AF35A5" w:rsidRDefault="00C610C7" w:rsidP="00B93DB0">
      <w:pPr>
        <w:pStyle w:val="content"/>
        <w:numPr>
          <w:ilvl w:val="0"/>
          <w:numId w:val="19"/>
        </w:numPr>
        <w:tabs>
          <w:tab w:val="left" w:pos="1800"/>
        </w:tabs>
        <w:suppressAutoHyphens/>
        <w:spacing w:before="0" w:beforeAutospacing="0" w:after="0" w:afterAutospacing="0"/>
        <w:rPr>
          <w:rFonts w:ascii="Palatino Linotype" w:hAnsi="Palatino Linotype"/>
          <w:color w:val="000000" w:themeColor="text1"/>
          <w:sz w:val="24"/>
          <w:szCs w:val="24"/>
        </w:rPr>
      </w:pPr>
      <w:r w:rsidRPr="00AF35A5">
        <w:rPr>
          <w:rFonts w:ascii="Palatino Linotype" w:hAnsi="Palatino Linotype"/>
          <w:color w:val="000000" w:themeColor="text1"/>
          <w:sz w:val="24"/>
          <w:szCs w:val="24"/>
        </w:rPr>
        <w:t>Included in its proposed schedule, the applicant must submit its plan to encourage adoption of the broadband Internet service it proposes, in particular what activities it will employ to encourage residents to sign up for the service.</w:t>
      </w:r>
    </w:p>
    <w:p w:rsidR="00C610C7" w:rsidRPr="00AF35A5" w:rsidRDefault="00C610C7" w:rsidP="00B93DB0">
      <w:pPr>
        <w:pStyle w:val="content"/>
        <w:numPr>
          <w:ilvl w:val="0"/>
          <w:numId w:val="19"/>
        </w:numPr>
        <w:suppressAutoHyphens/>
        <w:spacing w:before="0" w:beforeAutospacing="0" w:after="0" w:afterAutospacing="0"/>
        <w:rPr>
          <w:rFonts w:ascii="Palatino Linotype" w:hAnsi="Palatino Linotype"/>
          <w:color w:val="000000" w:themeColor="text1"/>
          <w:sz w:val="24"/>
          <w:szCs w:val="24"/>
        </w:rPr>
      </w:pPr>
      <w:r w:rsidRPr="00AF35A5">
        <w:rPr>
          <w:rFonts w:ascii="Palatino Linotype" w:hAnsi="Palatino Linotype"/>
          <w:color w:val="000000" w:themeColor="text1"/>
          <w:sz w:val="24"/>
          <w:szCs w:val="24"/>
        </w:rPr>
        <w:t>In developing the schedule, applicant must include the timeline required for California Environmental Quality Act (CEQA) or other relevant government agency permit review, if needed.</w:t>
      </w:r>
    </w:p>
    <w:p w:rsidR="00C610C7" w:rsidRPr="00AF35A5" w:rsidRDefault="00C610C7" w:rsidP="00B93DB0">
      <w:pPr>
        <w:pStyle w:val="content"/>
        <w:numPr>
          <w:ilvl w:val="0"/>
          <w:numId w:val="19"/>
        </w:numPr>
        <w:suppressAutoHyphens/>
        <w:spacing w:before="0" w:beforeAutospacing="0" w:after="0" w:afterAutospacing="0"/>
        <w:rPr>
          <w:rFonts w:ascii="Palatino Linotype" w:hAnsi="Palatino Linotype"/>
          <w:color w:val="000000" w:themeColor="text1"/>
          <w:sz w:val="24"/>
          <w:szCs w:val="24"/>
        </w:rPr>
      </w:pPr>
      <w:r w:rsidRPr="00AF35A5">
        <w:rPr>
          <w:rFonts w:ascii="Palatino Linotype" w:hAnsi="Palatino Linotype"/>
          <w:color w:val="000000" w:themeColor="text1"/>
          <w:sz w:val="24"/>
          <w:szCs w:val="24"/>
        </w:rPr>
        <w:t>If the applicant is unable to complete the proposed project within the required 12</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month timeframe, it must notify the Commission as soon as it is aware of this prospect. </w:t>
      </w:r>
      <w:r w:rsidRPr="00AF35A5">
        <w:rPr>
          <w:rFonts w:ascii="Palatino Linotype" w:hAnsi="Palatino Linotype"/>
          <w:color w:val="000000" w:themeColor="text1"/>
          <w:sz w:val="24"/>
          <w:szCs w:val="24"/>
          <w:lang w:val="en-US"/>
        </w:rPr>
        <w:t xml:space="preserve"> </w:t>
      </w:r>
      <w:r w:rsidRPr="00AF35A5">
        <w:rPr>
          <w:rFonts w:ascii="Palatino Linotype" w:hAnsi="Palatino Linotype"/>
          <w:color w:val="000000" w:themeColor="text1"/>
          <w:sz w:val="24"/>
          <w:szCs w:val="24"/>
        </w:rPr>
        <w:t>The Commission reserves the right to reduce payment for failure to satisfy this requirement.</w:t>
      </w:r>
    </w:p>
    <w:p w:rsidR="00C610C7" w:rsidRPr="00AF35A5" w:rsidRDefault="00C610C7" w:rsidP="00C610C7">
      <w:pPr>
        <w:ind w:left="720" w:right="-14"/>
        <w:rPr>
          <w:rFonts w:ascii="Palatino Linotype" w:hAnsi="Palatino Linotype"/>
          <w:b/>
          <w:color w:val="000000" w:themeColor="text1"/>
          <w:sz w:val="24"/>
          <w:szCs w:val="24"/>
        </w:rPr>
      </w:pPr>
    </w:p>
    <w:p w:rsidR="00C610C7" w:rsidRPr="00AF35A5" w:rsidRDefault="00C610C7" w:rsidP="00C610C7">
      <w:pPr>
        <w:spacing w:after="120"/>
        <w:ind w:left="720" w:right="-14"/>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1.8 Organizational Chart and Background</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applicant must submit an organizational chart showing the parent organization, subsidiaries and affiliates.</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p>
    <w:p w:rsidR="00C610C7" w:rsidRPr="00AF35A5" w:rsidRDefault="00C610C7" w:rsidP="00C610C7">
      <w:pPr>
        <w:spacing w:after="120"/>
        <w:ind w:left="720" w:right="-14"/>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1.9 Economic Useful Life of Assets to be Funded</w:t>
      </w:r>
    </w:p>
    <w:p w:rsidR="00C610C7" w:rsidRPr="00AF35A5" w:rsidRDefault="00C610C7" w:rsidP="00C610C7">
      <w:pPr>
        <w:ind w:left="72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applicant must identify the expected economic useful life of the assets funded by the BPHA grant.</w:t>
      </w:r>
    </w:p>
    <w:p w:rsidR="00C610C7" w:rsidRPr="00AF35A5" w:rsidRDefault="00C610C7" w:rsidP="00C610C7">
      <w:pPr>
        <w:ind w:left="720" w:right="-14"/>
        <w:rPr>
          <w:rFonts w:ascii="Palatino Linotype" w:hAnsi="Palatino Linotype"/>
          <w:color w:val="000000" w:themeColor="text1"/>
          <w:sz w:val="24"/>
          <w:szCs w:val="24"/>
        </w:rPr>
      </w:pPr>
    </w:p>
    <w:p w:rsidR="00C610C7" w:rsidRPr="00AF35A5" w:rsidRDefault="00C610C7" w:rsidP="00C610C7">
      <w:pPr>
        <w:spacing w:after="120"/>
        <w:ind w:left="720" w:right="-14"/>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1.10 Current Condition of Property</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An applicant must attest that (1) it expects its property to be in residential use for at least the next 10 years, </w:t>
      </w:r>
      <w:r w:rsidRPr="00AF35A5">
        <w:rPr>
          <w:rFonts w:ascii="Palatino Linotype" w:hAnsi="Palatino Linotype"/>
          <w:color w:val="000000" w:themeColor="text1"/>
          <w:sz w:val="24"/>
          <w:szCs w:val="24"/>
          <w:lang w:val="en-US"/>
        </w:rPr>
        <w:t xml:space="preserve">and </w:t>
      </w:r>
      <w:r w:rsidRPr="00AF35A5">
        <w:rPr>
          <w:rFonts w:ascii="Palatino Linotype" w:hAnsi="Palatino Linotype"/>
          <w:color w:val="000000" w:themeColor="text1"/>
          <w:sz w:val="24"/>
          <w:szCs w:val="24"/>
        </w:rPr>
        <w:t>(2) the buildings included in the application meet standards for acceptable basic living conditions as determined under HUD’s Uniform Physical Condition Standards or similar guidelines provided by other housing funding agencies in the States</w:t>
      </w:r>
      <w:r w:rsidRPr="00AF35A5">
        <w:rPr>
          <w:rFonts w:ascii="Palatino Linotype" w:hAnsi="Palatino Linotype"/>
          <w:color w:val="000000" w:themeColor="text1"/>
          <w:sz w:val="24"/>
          <w:szCs w:val="24"/>
          <w:lang w:val="en-US"/>
        </w:rPr>
        <w:t>.</w:t>
      </w:r>
      <w:r w:rsidRPr="00AF35A5">
        <w:rPr>
          <w:rFonts w:ascii="Palatino Linotype" w:hAnsi="Palatino Linotype"/>
          <w:color w:val="000000" w:themeColor="text1"/>
          <w:sz w:val="24"/>
          <w:szCs w:val="24"/>
        </w:rPr>
        <w:t xml:space="preserve"> </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p>
    <w:p w:rsidR="00C610C7" w:rsidRPr="00AF35A5" w:rsidRDefault="00C610C7" w:rsidP="00C610C7">
      <w:pPr>
        <w:pStyle w:val="content"/>
        <w:spacing w:before="0" w:beforeAutospacing="0" w:after="120" w:afterAutospacing="0"/>
        <w:ind w:left="720"/>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1.11 Proposed Pricing</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An applicant must commit to charging residents no more than $20 per month for broadband Internet service.</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p>
    <w:p w:rsidR="00C610C7" w:rsidRPr="00AF35A5" w:rsidRDefault="00C610C7" w:rsidP="00C610C7">
      <w:pPr>
        <w:pStyle w:val="content"/>
        <w:spacing w:before="0" w:beforeAutospacing="0" w:after="120" w:afterAutospacing="0"/>
        <w:ind w:left="720"/>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1.12 Financials</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Applicants must submit the most recently prepared annual reports and audits that it submitted to </w:t>
      </w:r>
      <w:r w:rsidRPr="00AF35A5">
        <w:rPr>
          <w:rFonts w:ascii="Palatino Linotype" w:hAnsi="Palatino Linotype"/>
          <w:color w:val="000000" w:themeColor="text1"/>
          <w:sz w:val="24"/>
          <w:szCs w:val="24"/>
          <w:lang w:val="en-US"/>
        </w:rPr>
        <w:t xml:space="preserve">its respective reporting authority, ie. </w:t>
      </w:r>
      <w:r w:rsidRPr="00AF35A5">
        <w:rPr>
          <w:rFonts w:ascii="Palatino Linotype" w:hAnsi="Palatino Linotype"/>
          <w:color w:val="000000" w:themeColor="text1"/>
          <w:sz w:val="24"/>
          <w:szCs w:val="24"/>
        </w:rPr>
        <w:t>HUD, the California Tax Credit Allocation Committee</w:t>
      </w:r>
      <w:r w:rsidRPr="00AF35A5">
        <w:rPr>
          <w:rFonts w:ascii="Palatino Linotype" w:hAnsi="Palatino Linotype"/>
          <w:color w:val="000000" w:themeColor="text1"/>
          <w:sz w:val="24"/>
          <w:szCs w:val="24"/>
          <w:lang w:val="en-US"/>
        </w:rPr>
        <w:t>, etc.</w:t>
      </w:r>
      <w:r w:rsidRPr="00AF35A5">
        <w:rPr>
          <w:rFonts w:ascii="Palatino Linotype" w:hAnsi="Palatino Linotype"/>
          <w:color w:val="000000" w:themeColor="text1"/>
          <w:sz w:val="24"/>
          <w:szCs w:val="24"/>
        </w:rPr>
        <w:t>).</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 housing authority applying for </w:t>
      </w:r>
      <w:r w:rsidRPr="00AF35A5">
        <w:rPr>
          <w:rFonts w:ascii="Palatino Linotype" w:hAnsi="Palatino Linotype"/>
          <w:color w:val="000000" w:themeColor="text1"/>
          <w:sz w:val="24"/>
          <w:szCs w:val="24"/>
          <w:lang w:val="en-US"/>
        </w:rPr>
        <w:t>BPHA</w:t>
      </w:r>
      <w:r w:rsidRPr="00AF35A5">
        <w:rPr>
          <w:rFonts w:ascii="Palatino Linotype" w:hAnsi="Palatino Linotype"/>
          <w:color w:val="000000" w:themeColor="text1"/>
          <w:sz w:val="24"/>
          <w:szCs w:val="24"/>
        </w:rPr>
        <w:t xml:space="preserve"> funds must include in its submission its Annual HUD Contributions Contract and HA Code, allowing staff to verify its certification, along with its most recent HUD Public Housing Assessment System (PHAS) score. </w:t>
      </w:r>
    </w:p>
    <w:p w:rsidR="00C610C7" w:rsidRPr="00AF35A5" w:rsidRDefault="00C610C7" w:rsidP="00C610C7">
      <w:pPr>
        <w:pStyle w:val="content"/>
        <w:spacing w:before="0" w:beforeAutospacing="0" w:after="0" w:afterAutospacing="0"/>
        <w:ind w:left="360"/>
        <w:rPr>
          <w:rFonts w:ascii="Palatino Linotype" w:hAnsi="Palatino Linotype"/>
          <w:color w:val="000000" w:themeColor="text1"/>
          <w:sz w:val="24"/>
          <w:szCs w:val="24"/>
        </w:rPr>
      </w:pP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Non</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profit applicants must submit an IRS letter approving the applicant’s status as a 501(c)(3) entity incorporated for the purposes of providing affordable housing, which must include the applicant’s Tax Identification Number, along with an award letter from a public agency such as the California Tax Credit Allocation Committee (TCAC), proving its receipt of public funding for affordable housing purposes.</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p>
    <w:p w:rsidR="00C610C7" w:rsidRPr="00AF35A5" w:rsidRDefault="00C610C7" w:rsidP="00C610C7">
      <w:pPr>
        <w:spacing w:after="120"/>
        <w:ind w:left="720" w:right="-14"/>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1.13 Permitting Compliance</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An application should state whether the project is statutorily or categorically exempt from CEQA requirements and cite the relevant authority, as applicable. </w:t>
      </w:r>
      <w:r w:rsidRPr="00AF35A5">
        <w:rPr>
          <w:rFonts w:ascii="Palatino Linotype" w:hAnsi="Palatino Linotype"/>
          <w:color w:val="000000" w:themeColor="text1"/>
          <w:sz w:val="24"/>
          <w:szCs w:val="24"/>
          <w:lang w:val="en-US"/>
        </w:rPr>
        <w:t xml:space="preserve"> I</w:t>
      </w:r>
      <w:r w:rsidRPr="00AF35A5">
        <w:rPr>
          <w:rFonts w:ascii="Palatino Linotype" w:hAnsi="Palatino Linotype"/>
          <w:color w:val="000000" w:themeColor="text1"/>
          <w:sz w:val="24"/>
          <w:szCs w:val="24"/>
        </w:rPr>
        <w:t xml:space="preserve">f a project </w:t>
      </w:r>
      <w:r w:rsidRPr="00AF35A5">
        <w:rPr>
          <w:rFonts w:ascii="Palatino Linotype" w:hAnsi="Palatino Linotype"/>
          <w:color w:val="000000" w:themeColor="text1"/>
          <w:sz w:val="24"/>
          <w:szCs w:val="24"/>
          <w:lang w:val="en-US"/>
        </w:rPr>
        <w:t xml:space="preserve">does </w:t>
      </w:r>
      <w:r w:rsidRPr="00AF35A5">
        <w:rPr>
          <w:rFonts w:ascii="Palatino Linotype" w:hAnsi="Palatino Linotype"/>
          <w:color w:val="000000" w:themeColor="text1"/>
          <w:sz w:val="24"/>
          <w:szCs w:val="24"/>
        </w:rPr>
        <w:t>require review under CEQA, the grantee must provide the Proponent’s Environmental Assessment (PEA) prior to the first 25 percent payment.  The PEA submission should include information on any land crossing sites requiring discretionary or mandatory permits or environmental review pursuant to CEQA (include the type of permit required, the name of the permitting agency/agencies and the Lead Agency if an environmental review is required).  Additionally, applicants must include any</w:t>
      </w:r>
      <w:r w:rsidRPr="00AF35A5">
        <w:rPr>
          <w:rFonts w:ascii="Palatino Linotype" w:hAnsi="Palatino Linotype"/>
          <w:color w:val="000000" w:themeColor="text1"/>
          <w:sz w:val="24"/>
          <w:szCs w:val="24"/>
          <w:lang w:val="en-US"/>
        </w:rPr>
        <w:t xml:space="preserve"> applicable</w:t>
      </w:r>
      <w:r w:rsidRPr="00AF35A5">
        <w:rPr>
          <w:rFonts w:ascii="Palatino Linotype" w:hAnsi="Palatino Linotype"/>
          <w:color w:val="000000" w:themeColor="text1"/>
          <w:sz w:val="24"/>
          <w:szCs w:val="24"/>
        </w:rPr>
        <w:t xml:space="preserve"> permit review timeline in its construction schedule, with a reference to the government agencies that will issue the permits. </w:t>
      </w:r>
      <w:r w:rsidRPr="00AF35A5">
        <w:rPr>
          <w:rFonts w:ascii="Palatino Linotype" w:hAnsi="Palatino Linotype"/>
          <w:color w:val="000000" w:themeColor="text1"/>
          <w:sz w:val="24"/>
          <w:szCs w:val="24"/>
          <w:lang w:val="en-US"/>
        </w:rPr>
        <w:t xml:space="preserve"> </w:t>
      </w:r>
      <w:r w:rsidRPr="00AF35A5">
        <w:rPr>
          <w:rFonts w:ascii="Palatino Linotype" w:hAnsi="Palatino Linotype"/>
          <w:color w:val="000000" w:themeColor="text1"/>
          <w:sz w:val="24"/>
          <w:szCs w:val="24"/>
        </w:rPr>
        <w:t>Grantees must provide staff with proof of permit approvals before seeking reimbursement.</w:t>
      </w:r>
      <w:r w:rsidRPr="00AF35A5">
        <w:rPr>
          <w:rFonts w:ascii="Palatino Linotype" w:hAnsi="Palatino Linotype"/>
          <w:color w:val="000000" w:themeColor="text1"/>
          <w:sz w:val="24"/>
          <w:szCs w:val="24"/>
          <w:lang w:val="en-US"/>
        </w:rPr>
        <w:t xml:space="preserve"> </w:t>
      </w:r>
      <w:r w:rsidRPr="00AF35A5">
        <w:rPr>
          <w:rFonts w:ascii="Palatino Linotype" w:hAnsi="Palatino Linotype"/>
          <w:color w:val="000000" w:themeColor="text1"/>
          <w:sz w:val="24"/>
          <w:szCs w:val="24"/>
        </w:rPr>
        <w:t xml:space="preserve"> </w:t>
      </w:r>
    </w:p>
    <w:p w:rsidR="00C610C7" w:rsidRPr="00AF35A5" w:rsidRDefault="00C610C7" w:rsidP="00C610C7">
      <w:pPr>
        <w:pStyle w:val="content"/>
        <w:spacing w:before="0" w:beforeAutospacing="0" w:after="0" w:afterAutospacing="0"/>
        <w:ind w:left="720"/>
        <w:rPr>
          <w:rFonts w:ascii="Palatino Linotype" w:hAnsi="Palatino Linotype"/>
          <w:b/>
          <w:color w:val="000000" w:themeColor="text1"/>
          <w:sz w:val="24"/>
          <w:szCs w:val="24"/>
        </w:rPr>
      </w:pPr>
    </w:p>
    <w:p w:rsidR="00C610C7" w:rsidRPr="00AF35A5" w:rsidRDefault="00C610C7" w:rsidP="00C610C7">
      <w:pPr>
        <w:keepNext/>
        <w:spacing w:after="120"/>
        <w:ind w:left="720" w:right="-14"/>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 xml:space="preserve">1.14 Affidavit </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An applicant must submit an affidavit, under penalty of perjury, that to the best of their knowledge all the statements and representations made in the application information submitted is true and correct (Attachment A). </w:t>
      </w:r>
      <w:r w:rsidRPr="00AF35A5">
        <w:rPr>
          <w:rFonts w:ascii="Palatino Linotype" w:hAnsi="Palatino Linotype"/>
          <w:color w:val="000000" w:themeColor="text1"/>
          <w:sz w:val="24"/>
          <w:szCs w:val="24"/>
          <w:lang w:val="en-US"/>
        </w:rPr>
        <w:t xml:space="preserve"> </w:t>
      </w:r>
      <w:r w:rsidRPr="00AF35A5">
        <w:rPr>
          <w:rFonts w:ascii="Palatino Linotype" w:hAnsi="Palatino Linotype"/>
          <w:color w:val="000000" w:themeColor="text1"/>
          <w:sz w:val="24"/>
          <w:szCs w:val="24"/>
        </w:rPr>
        <w:t>Additionally, an applicant must also agree to abide by the Commission</w:t>
      </w:r>
      <w:r w:rsidRPr="00AF35A5">
        <w:rPr>
          <w:rFonts w:ascii="Palatino Linotype" w:hAnsi="Palatino Linotype"/>
          <w:color w:val="000000" w:themeColor="text1"/>
          <w:sz w:val="24"/>
          <w:szCs w:val="24"/>
          <w:lang w:val="en-US"/>
        </w:rPr>
        <w:t>’s</w:t>
      </w:r>
      <w:r w:rsidRPr="00AF35A5">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lastRenderedPageBreak/>
        <w:t xml:space="preserve">Rules of Practice and Procedure, be subject to Public Utilities Code sections 2108 and 2111 and to submit quarterly reports and annual recertification or audit documents. </w:t>
      </w:r>
    </w:p>
    <w:p w:rsidR="00C610C7" w:rsidRPr="00AF35A5" w:rsidRDefault="00C610C7" w:rsidP="00C610C7">
      <w:pPr>
        <w:pStyle w:val="content"/>
        <w:spacing w:before="0" w:beforeAutospacing="0" w:after="0" w:afterAutospacing="0"/>
        <w:rPr>
          <w:rFonts w:ascii="Palatino Linotype" w:hAnsi="Palatino Linotype"/>
          <w:color w:val="000000" w:themeColor="text1"/>
          <w:sz w:val="24"/>
          <w:szCs w:val="24"/>
        </w:rPr>
      </w:pPr>
    </w:p>
    <w:p w:rsidR="00C610C7" w:rsidRPr="00AF35A5" w:rsidRDefault="00C610C7" w:rsidP="00C610C7">
      <w:pPr>
        <w:spacing w:after="120"/>
        <w:ind w:left="446" w:firstLine="360"/>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 xml:space="preserve">2.  BPHA PSC Adoption Project Application  </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Applicants must complete and submit a project application form, which will be available on the Commission’s website.  </w:t>
      </w:r>
      <w:r w:rsidRPr="00AF35A5">
        <w:rPr>
          <w:rFonts w:ascii="Palatino Linotype" w:hAnsi="Palatino Linotype"/>
          <w:color w:val="000000" w:themeColor="text1"/>
          <w:sz w:val="24"/>
          <w:szCs w:val="24"/>
          <w:lang w:val="en-US"/>
        </w:rPr>
        <w:t>Staff</w:t>
      </w:r>
      <w:r w:rsidRPr="00AF35A5">
        <w:rPr>
          <w:rFonts w:ascii="Palatino Linotype" w:hAnsi="Palatino Linotype"/>
          <w:color w:val="000000" w:themeColor="text1"/>
          <w:sz w:val="24"/>
          <w:szCs w:val="24"/>
        </w:rPr>
        <w:t xml:space="preserve"> will post the all applications submitted by the quarterly deadline on the CASF webpage.</w:t>
      </w:r>
    </w:p>
    <w:p w:rsidR="00C610C7" w:rsidRPr="00AF35A5" w:rsidRDefault="00C610C7" w:rsidP="00C610C7">
      <w:pPr>
        <w:pStyle w:val="content"/>
        <w:spacing w:before="0" w:beforeAutospacing="0" w:after="0" w:afterAutospacing="0"/>
        <w:ind w:left="360"/>
        <w:rPr>
          <w:rFonts w:ascii="Palatino Linotype" w:hAnsi="Palatino Linotype"/>
          <w:color w:val="000000" w:themeColor="text1"/>
          <w:sz w:val="24"/>
          <w:szCs w:val="24"/>
        </w:rPr>
      </w:pP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lang w:val="en-US"/>
        </w:rPr>
        <w:t>Attestation that all units have or will have access to broadband Internet service at the time for the funding for adoption is implemented.</w:t>
      </w:r>
    </w:p>
    <w:p w:rsidR="00C610C7" w:rsidRPr="00AF35A5" w:rsidRDefault="00C610C7" w:rsidP="00C610C7">
      <w:pPr>
        <w:pStyle w:val="content"/>
        <w:spacing w:before="0" w:beforeAutospacing="0" w:after="0" w:afterAutospacing="0"/>
        <w:ind w:left="360"/>
        <w:rPr>
          <w:rFonts w:ascii="Palatino Linotype" w:hAnsi="Palatino Linotype"/>
          <w:color w:val="000000" w:themeColor="text1"/>
          <w:sz w:val="24"/>
          <w:szCs w:val="24"/>
        </w:rPr>
      </w:pPr>
    </w:p>
    <w:p w:rsidR="00C610C7" w:rsidRPr="00AF35A5" w:rsidRDefault="00C610C7" w:rsidP="00C610C7">
      <w:pPr>
        <w:pStyle w:val="content"/>
        <w:spacing w:before="0" w:beforeAutospacing="0" w:after="0" w:afterAutospacing="0"/>
        <w:ind w:left="360" w:firstLine="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Applications must contain the following information:</w:t>
      </w:r>
    </w:p>
    <w:p w:rsidR="00C610C7" w:rsidRPr="00AF35A5" w:rsidRDefault="00C610C7" w:rsidP="00C610C7">
      <w:pPr>
        <w:pStyle w:val="content"/>
        <w:spacing w:before="0" w:beforeAutospacing="0" w:after="0" w:afterAutospacing="0"/>
        <w:ind w:left="360"/>
        <w:rPr>
          <w:rFonts w:ascii="Palatino Linotype" w:hAnsi="Palatino Linotype"/>
          <w:color w:val="000000" w:themeColor="text1"/>
          <w:sz w:val="24"/>
          <w:szCs w:val="24"/>
        </w:rPr>
      </w:pPr>
    </w:p>
    <w:p w:rsidR="00C610C7" w:rsidRPr="00AF35A5" w:rsidRDefault="00C610C7" w:rsidP="00976DFC">
      <w:pPr>
        <w:pStyle w:val="content"/>
        <w:keepNext/>
        <w:keepLines/>
        <w:spacing w:before="0" w:beforeAutospacing="0" w:after="120" w:afterAutospacing="0"/>
        <w:ind w:left="360" w:firstLine="360"/>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2.1. Funds Requested</w:t>
      </w:r>
    </w:p>
    <w:p w:rsidR="00C610C7" w:rsidRPr="00AF35A5" w:rsidRDefault="00C610C7" w:rsidP="00C610C7">
      <w:pPr>
        <w:pStyle w:val="content"/>
        <w:spacing w:before="0" w:beforeAutospacing="0" w:after="0" w:afterAutospacing="0"/>
        <w:ind w:left="720"/>
        <w:rPr>
          <w:rFonts w:ascii="Palatino Linotype" w:eastAsia="Palatino Linotype" w:hAnsi="Palatino Linotype"/>
          <w:color w:val="000000" w:themeColor="text1"/>
          <w:sz w:val="24"/>
          <w:szCs w:val="24"/>
        </w:rPr>
      </w:pPr>
      <w:r w:rsidRPr="00AF35A5">
        <w:rPr>
          <w:rFonts w:ascii="Palatino Linotype" w:hAnsi="Palatino Linotype"/>
          <w:color w:val="000000" w:themeColor="text1"/>
          <w:sz w:val="24"/>
          <w:szCs w:val="24"/>
        </w:rPr>
        <w:t xml:space="preserve">The applicant must indicate the amount requested. </w:t>
      </w:r>
      <w:r w:rsidRPr="00AF35A5">
        <w:rPr>
          <w:rFonts w:ascii="Palatino Linotype" w:hAnsi="Palatino Linotype"/>
          <w:color w:val="000000" w:themeColor="text1"/>
          <w:sz w:val="24"/>
          <w:szCs w:val="24"/>
          <w:lang w:val="en-US"/>
        </w:rPr>
        <w:t xml:space="preserve"> </w:t>
      </w:r>
      <w:r w:rsidRPr="00AF35A5">
        <w:rPr>
          <w:rFonts w:ascii="Palatino Linotype" w:hAnsi="Palatino Linotype"/>
          <w:color w:val="000000" w:themeColor="text1"/>
          <w:sz w:val="24"/>
          <w:szCs w:val="24"/>
        </w:rPr>
        <w:t xml:space="preserve">As stated in Section </w:t>
      </w:r>
      <w:r w:rsidRPr="00AF35A5">
        <w:rPr>
          <w:rFonts w:ascii="Palatino Linotype" w:hAnsi="Palatino Linotype"/>
          <w:color w:val="000000" w:themeColor="text1"/>
          <w:sz w:val="24"/>
          <w:szCs w:val="24"/>
          <w:lang w:val="en-US"/>
        </w:rPr>
        <w:t>2.1.2</w:t>
      </w:r>
      <w:r w:rsidRPr="00AF35A5">
        <w:rPr>
          <w:rFonts w:ascii="Palatino Linotype" w:hAnsi="Palatino Linotype"/>
          <w:color w:val="000000" w:themeColor="text1"/>
          <w:sz w:val="24"/>
          <w:szCs w:val="24"/>
        </w:rPr>
        <w:t>, th</w:t>
      </w:r>
      <w:r w:rsidRPr="00AF35A5">
        <w:rPr>
          <w:rFonts w:ascii="Palatino Linotype" w:eastAsia="Palatino Linotype" w:hAnsi="Palatino Linotype"/>
          <w:color w:val="000000" w:themeColor="text1"/>
          <w:sz w:val="24"/>
          <w:szCs w:val="24"/>
        </w:rPr>
        <w:t xml:space="preserve">e Commission will fund up to 85 percent of the costs for adoption projects for residents in PSCs, including reimbursement of the following adoption activities/items: </w:t>
      </w:r>
    </w:p>
    <w:p w:rsidR="00C610C7" w:rsidRPr="00AF35A5" w:rsidRDefault="00C610C7" w:rsidP="00C610C7">
      <w:pPr>
        <w:pStyle w:val="content"/>
        <w:spacing w:before="0" w:beforeAutospacing="0" w:after="0" w:afterAutospacing="0"/>
        <w:ind w:left="360"/>
        <w:rPr>
          <w:rFonts w:ascii="Palatino Linotype" w:eastAsia="Palatino Linotype" w:hAnsi="Palatino Linotype"/>
          <w:color w:val="000000" w:themeColor="text1"/>
          <w:sz w:val="24"/>
          <w:szCs w:val="24"/>
        </w:rPr>
      </w:pPr>
    </w:p>
    <w:p w:rsidR="00C610C7" w:rsidRPr="00AF35A5" w:rsidRDefault="00C610C7" w:rsidP="00B93DB0">
      <w:pPr>
        <w:numPr>
          <w:ilvl w:val="0"/>
          <w:numId w:val="27"/>
        </w:numPr>
        <w:tabs>
          <w:tab w:val="left" w:pos="1350"/>
          <w:tab w:val="left" w:pos="1530"/>
        </w:tabs>
        <w:suppressAutoHyphens/>
        <w:ind w:left="1260" w:hanging="540"/>
        <w:rPr>
          <w:rFonts w:ascii="Palatino Linotype" w:eastAsia="Palatino Linotype" w:hAnsi="Palatino Linotype"/>
          <w:color w:val="000000" w:themeColor="text1"/>
          <w:sz w:val="24"/>
          <w:szCs w:val="24"/>
        </w:rPr>
      </w:pPr>
      <w:r w:rsidRPr="00AF35A5">
        <w:rPr>
          <w:rFonts w:ascii="Palatino Linotype" w:eastAsia="Palatino Linotype" w:hAnsi="Palatino Linotype"/>
          <w:color w:val="000000" w:themeColor="text1"/>
          <w:sz w:val="24"/>
          <w:szCs w:val="24"/>
        </w:rPr>
        <w:t xml:space="preserve">Education and outreach efforts and materials; </w:t>
      </w:r>
    </w:p>
    <w:p w:rsidR="00C610C7" w:rsidRPr="00AF35A5" w:rsidRDefault="00C610C7" w:rsidP="00B93DB0">
      <w:pPr>
        <w:numPr>
          <w:ilvl w:val="0"/>
          <w:numId w:val="27"/>
        </w:numPr>
        <w:tabs>
          <w:tab w:val="left" w:pos="1350"/>
          <w:tab w:val="left" w:pos="1530"/>
        </w:tabs>
        <w:suppressAutoHyphens/>
        <w:ind w:left="1260" w:hanging="540"/>
        <w:rPr>
          <w:rFonts w:ascii="Palatino Linotype" w:eastAsia="Palatino Linotype" w:hAnsi="Palatino Linotype"/>
          <w:color w:val="000000" w:themeColor="text1"/>
          <w:sz w:val="24"/>
          <w:szCs w:val="24"/>
        </w:rPr>
      </w:pPr>
      <w:r w:rsidRPr="00AF35A5">
        <w:rPr>
          <w:rFonts w:ascii="Palatino Linotype" w:eastAsia="Palatino Linotype" w:hAnsi="Palatino Linotype"/>
          <w:color w:val="000000" w:themeColor="text1"/>
          <w:sz w:val="24"/>
          <w:szCs w:val="24"/>
        </w:rPr>
        <w:t xml:space="preserve">Desks and chairs to furnish a designated space for digital literacy; </w:t>
      </w:r>
    </w:p>
    <w:p w:rsidR="00C610C7" w:rsidRPr="00AF35A5" w:rsidRDefault="00C610C7" w:rsidP="00B93DB0">
      <w:pPr>
        <w:numPr>
          <w:ilvl w:val="0"/>
          <w:numId w:val="27"/>
        </w:numPr>
        <w:tabs>
          <w:tab w:val="left" w:pos="1350"/>
          <w:tab w:val="left" w:pos="1530"/>
        </w:tabs>
        <w:suppressAutoHyphens/>
        <w:ind w:left="1260" w:hanging="540"/>
        <w:rPr>
          <w:rFonts w:ascii="Palatino Linotype" w:eastAsia="Palatino Linotype" w:hAnsi="Palatino Linotype"/>
          <w:color w:val="000000" w:themeColor="text1"/>
          <w:sz w:val="24"/>
          <w:szCs w:val="24"/>
        </w:rPr>
      </w:pPr>
      <w:r w:rsidRPr="00AF35A5">
        <w:rPr>
          <w:rFonts w:ascii="Palatino Linotype" w:eastAsia="Palatino Linotype" w:hAnsi="Palatino Linotype"/>
          <w:color w:val="000000" w:themeColor="text1"/>
          <w:sz w:val="24"/>
          <w:szCs w:val="24"/>
        </w:rPr>
        <w:t>Acceptable computers and devices (excluding smartphones) and software intended for use either in a computer lab or their household;</w:t>
      </w:r>
    </w:p>
    <w:p w:rsidR="00C610C7" w:rsidRPr="00AF35A5" w:rsidRDefault="00C610C7" w:rsidP="00B93DB0">
      <w:pPr>
        <w:numPr>
          <w:ilvl w:val="0"/>
          <w:numId w:val="27"/>
        </w:numPr>
        <w:tabs>
          <w:tab w:val="left" w:pos="1350"/>
          <w:tab w:val="left" w:pos="1530"/>
        </w:tabs>
        <w:suppressAutoHyphens/>
        <w:ind w:left="1260" w:hanging="540"/>
        <w:rPr>
          <w:rFonts w:ascii="Palatino Linotype" w:hAnsi="Palatino Linotype"/>
          <w:color w:val="000000" w:themeColor="text1"/>
          <w:sz w:val="24"/>
          <w:szCs w:val="24"/>
        </w:rPr>
      </w:pPr>
      <w:r w:rsidRPr="00AF35A5">
        <w:rPr>
          <w:rFonts w:ascii="Palatino Linotype" w:eastAsia="Palatino Linotype" w:hAnsi="Palatino Linotype"/>
          <w:color w:val="000000" w:themeColor="text1"/>
          <w:sz w:val="24"/>
          <w:szCs w:val="24"/>
        </w:rPr>
        <w:t xml:space="preserve">Digital literacy instructors;   </w:t>
      </w:r>
    </w:p>
    <w:p w:rsidR="00C610C7" w:rsidRPr="00AF35A5" w:rsidRDefault="00C610C7" w:rsidP="00B93DB0">
      <w:pPr>
        <w:numPr>
          <w:ilvl w:val="0"/>
          <w:numId w:val="27"/>
        </w:numPr>
        <w:tabs>
          <w:tab w:val="left" w:pos="1350"/>
          <w:tab w:val="left" w:pos="1530"/>
        </w:tabs>
        <w:suppressAutoHyphens/>
        <w:ind w:left="1260" w:hanging="540"/>
        <w:rPr>
          <w:rFonts w:ascii="Palatino Linotype" w:eastAsia="Palatino Linotype" w:hAnsi="Palatino Linotype"/>
          <w:color w:val="000000" w:themeColor="text1"/>
          <w:sz w:val="24"/>
          <w:szCs w:val="24"/>
        </w:rPr>
      </w:pPr>
      <w:r w:rsidRPr="00AF35A5">
        <w:rPr>
          <w:rFonts w:ascii="Palatino Linotype" w:eastAsia="Palatino Linotype" w:hAnsi="Palatino Linotype"/>
          <w:color w:val="000000" w:themeColor="text1"/>
          <w:sz w:val="24"/>
          <w:szCs w:val="24"/>
        </w:rPr>
        <w:t xml:space="preserve">Printers for a computer lab or other designated space for digital literacy; </w:t>
      </w:r>
    </w:p>
    <w:p w:rsidR="00C610C7" w:rsidRPr="00AF35A5" w:rsidRDefault="00C610C7" w:rsidP="00B93DB0">
      <w:pPr>
        <w:numPr>
          <w:ilvl w:val="0"/>
          <w:numId w:val="27"/>
        </w:numPr>
        <w:tabs>
          <w:tab w:val="left" w:pos="1350"/>
          <w:tab w:val="left" w:pos="1530"/>
        </w:tabs>
        <w:suppressAutoHyphens/>
        <w:ind w:left="1260" w:hanging="540"/>
        <w:rPr>
          <w:rFonts w:ascii="Palatino Linotype" w:eastAsia="Palatino Linotype" w:hAnsi="Palatino Linotype"/>
          <w:color w:val="000000" w:themeColor="text1"/>
          <w:sz w:val="24"/>
          <w:szCs w:val="24"/>
        </w:rPr>
      </w:pPr>
      <w:r w:rsidRPr="00AF35A5">
        <w:rPr>
          <w:rFonts w:ascii="Palatino Linotype" w:eastAsia="Palatino Linotype" w:hAnsi="Palatino Linotype"/>
          <w:color w:val="000000" w:themeColor="text1"/>
          <w:sz w:val="24"/>
          <w:szCs w:val="24"/>
        </w:rPr>
        <w:t>Routers; and</w:t>
      </w:r>
    </w:p>
    <w:p w:rsidR="00C610C7" w:rsidRPr="00AF35A5" w:rsidRDefault="00C610C7" w:rsidP="00B93DB0">
      <w:pPr>
        <w:numPr>
          <w:ilvl w:val="0"/>
          <w:numId w:val="27"/>
        </w:numPr>
        <w:tabs>
          <w:tab w:val="left" w:pos="1350"/>
          <w:tab w:val="left" w:pos="1530"/>
        </w:tabs>
        <w:suppressAutoHyphens/>
        <w:ind w:left="1260" w:hanging="540"/>
        <w:rPr>
          <w:rFonts w:ascii="Palatino Linotype" w:eastAsia="Palatino Linotype" w:hAnsi="Palatino Linotype"/>
          <w:color w:val="000000" w:themeColor="text1"/>
          <w:sz w:val="24"/>
          <w:szCs w:val="24"/>
        </w:rPr>
      </w:pPr>
      <w:r w:rsidRPr="00AF35A5">
        <w:rPr>
          <w:rFonts w:ascii="Palatino Linotype" w:eastAsia="Palatino Linotype" w:hAnsi="Palatino Linotype"/>
          <w:color w:val="000000" w:themeColor="text1"/>
          <w:sz w:val="24"/>
          <w:szCs w:val="24"/>
        </w:rPr>
        <w:t>Provision of residential (not network) technical support.</w:t>
      </w:r>
    </w:p>
    <w:p w:rsidR="00C610C7" w:rsidRPr="00AF35A5" w:rsidRDefault="00C610C7" w:rsidP="00C610C7">
      <w:pPr>
        <w:rPr>
          <w:rFonts w:ascii="Palatino Linotype" w:hAnsi="Palatino Linotype"/>
          <w:color w:val="000000" w:themeColor="text1"/>
          <w:sz w:val="24"/>
          <w:szCs w:val="24"/>
        </w:rPr>
      </w:pPr>
    </w:p>
    <w:p w:rsidR="00C610C7" w:rsidRPr="00AF35A5" w:rsidRDefault="00C610C7" w:rsidP="00C610C7">
      <w:pPr>
        <w:ind w:left="72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In order to obtain reimbursement, grantees must also provide sufficient documentation, such as a receipt for the goods or documentation of hours worked. </w:t>
      </w:r>
    </w:p>
    <w:p w:rsidR="00C610C7" w:rsidRPr="00AF35A5" w:rsidRDefault="00C610C7" w:rsidP="00C610C7">
      <w:pPr>
        <w:ind w:left="720" w:right="-14"/>
        <w:rPr>
          <w:rFonts w:ascii="Palatino Linotype" w:hAnsi="Palatino Linotype"/>
          <w:color w:val="000000" w:themeColor="text1"/>
          <w:sz w:val="24"/>
          <w:szCs w:val="24"/>
        </w:rPr>
      </w:pPr>
    </w:p>
    <w:p w:rsidR="00C610C7" w:rsidRPr="00AF35A5" w:rsidRDefault="00C610C7" w:rsidP="00C610C7">
      <w:pPr>
        <w:spacing w:after="120"/>
        <w:ind w:left="274" w:right="-14" w:firstLine="446"/>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2.2. Project Location</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 xml:space="preserve">The applicant must provide the location it intends to serve along with an image of the location on the map (the Commission will accept a screen shot image from Google maps or similar image). </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p>
    <w:p w:rsidR="00C610C7" w:rsidRPr="00AF35A5" w:rsidRDefault="00C610C7" w:rsidP="00C610C7">
      <w:pPr>
        <w:spacing w:after="120"/>
        <w:ind w:left="360" w:right="-14" w:firstLine="360"/>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 xml:space="preserve">2.3. Key Contact Information </w:t>
      </w:r>
    </w:p>
    <w:p w:rsidR="00C610C7" w:rsidRPr="00AF35A5" w:rsidRDefault="00C610C7" w:rsidP="00B93DB0">
      <w:pPr>
        <w:numPr>
          <w:ilvl w:val="0"/>
          <w:numId w:val="17"/>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First name</w:t>
      </w:r>
    </w:p>
    <w:p w:rsidR="00C610C7" w:rsidRPr="00AF35A5" w:rsidRDefault="00C610C7" w:rsidP="00B93DB0">
      <w:pPr>
        <w:numPr>
          <w:ilvl w:val="0"/>
          <w:numId w:val="17"/>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Last name </w:t>
      </w:r>
    </w:p>
    <w:p w:rsidR="00C610C7" w:rsidRPr="00AF35A5" w:rsidRDefault="00C610C7" w:rsidP="00B93DB0">
      <w:pPr>
        <w:numPr>
          <w:ilvl w:val="0"/>
          <w:numId w:val="17"/>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Mailing Address </w:t>
      </w:r>
    </w:p>
    <w:p w:rsidR="00C610C7" w:rsidRPr="00AF35A5" w:rsidRDefault="00C610C7" w:rsidP="00B93DB0">
      <w:pPr>
        <w:numPr>
          <w:ilvl w:val="0"/>
          <w:numId w:val="17"/>
        </w:numPr>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Email </w:t>
      </w:r>
    </w:p>
    <w:p w:rsidR="00C610C7" w:rsidRPr="00AF35A5" w:rsidRDefault="00C610C7" w:rsidP="00B93DB0">
      <w:pPr>
        <w:numPr>
          <w:ilvl w:val="0"/>
          <w:numId w:val="17"/>
        </w:numPr>
        <w:suppressAutoHyphens/>
        <w:ind w:left="1440" w:right="-14"/>
        <w:rPr>
          <w:rFonts w:ascii="Palatino Linotype" w:hAnsi="Palatino Linotype"/>
          <w:b/>
          <w:color w:val="000000" w:themeColor="text1"/>
          <w:sz w:val="24"/>
          <w:szCs w:val="24"/>
        </w:rPr>
      </w:pPr>
      <w:r w:rsidRPr="00AF35A5">
        <w:rPr>
          <w:rFonts w:ascii="Palatino Linotype" w:hAnsi="Palatino Linotype"/>
          <w:color w:val="000000" w:themeColor="text1"/>
          <w:sz w:val="24"/>
          <w:szCs w:val="24"/>
        </w:rPr>
        <w:t>Phone</w:t>
      </w:r>
    </w:p>
    <w:p w:rsidR="00C610C7" w:rsidRPr="00AF35A5" w:rsidRDefault="00C610C7" w:rsidP="00C610C7">
      <w:pPr>
        <w:ind w:right="-14"/>
        <w:rPr>
          <w:rFonts w:ascii="Palatino Linotype" w:hAnsi="Palatino Linotype"/>
          <w:b/>
          <w:color w:val="000000" w:themeColor="text1"/>
          <w:sz w:val="24"/>
          <w:szCs w:val="24"/>
        </w:rPr>
      </w:pPr>
    </w:p>
    <w:p w:rsidR="00C610C7" w:rsidRPr="00AF35A5" w:rsidRDefault="00C610C7" w:rsidP="00C610C7">
      <w:pPr>
        <w:spacing w:after="120"/>
        <w:ind w:right="-14" w:firstLine="720"/>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2.4 Key PSC Management</w:t>
      </w:r>
    </w:p>
    <w:p w:rsidR="00C610C7" w:rsidRPr="00AF35A5" w:rsidRDefault="00C610C7" w:rsidP="00B93DB0">
      <w:pPr>
        <w:numPr>
          <w:ilvl w:val="0"/>
          <w:numId w:val="13"/>
        </w:numPr>
        <w:tabs>
          <w:tab w:val="clear" w:pos="0"/>
          <w:tab w:val="num" w:pos="360"/>
        </w:tabs>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Position title </w:t>
      </w:r>
    </w:p>
    <w:p w:rsidR="00C610C7" w:rsidRPr="00AF35A5" w:rsidRDefault="00C610C7" w:rsidP="00B93DB0">
      <w:pPr>
        <w:numPr>
          <w:ilvl w:val="0"/>
          <w:numId w:val="13"/>
        </w:numPr>
        <w:tabs>
          <w:tab w:val="clear" w:pos="0"/>
          <w:tab w:val="num" w:pos="360"/>
        </w:tabs>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First name </w:t>
      </w:r>
    </w:p>
    <w:p w:rsidR="00C610C7" w:rsidRPr="00AF35A5" w:rsidRDefault="00C610C7" w:rsidP="00B93DB0">
      <w:pPr>
        <w:numPr>
          <w:ilvl w:val="0"/>
          <w:numId w:val="13"/>
        </w:numPr>
        <w:tabs>
          <w:tab w:val="clear" w:pos="0"/>
          <w:tab w:val="num" w:pos="360"/>
        </w:tabs>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Last name </w:t>
      </w:r>
    </w:p>
    <w:p w:rsidR="00C610C7" w:rsidRPr="00AF35A5" w:rsidRDefault="00C610C7" w:rsidP="00B93DB0">
      <w:pPr>
        <w:numPr>
          <w:ilvl w:val="0"/>
          <w:numId w:val="13"/>
        </w:numPr>
        <w:tabs>
          <w:tab w:val="clear" w:pos="0"/>
          <w:tab w:val="num" w:pos="360"/>
        </w:tabs>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Email </w:t>
      </w:r>
    </w:p>
    <w:p w:rsidR="00C610C7" w:rsidRPr="00AF35A5" w:rsidRDefault="00C610C7" w:rsidP="00B93DB0">
      <w:pPr>
        <w:numPr>
          <w:ilvl w:val="0"/>
          <w:numId w:val="13"/>
        </w:numPr>
        <w:tabs>
          <w:tab w:val="clear" w:pos="0"/>
          <w:tab w:val="num" w:pos="360"/>
          <w:tab w:val="left" w:pos="1080"/>
        </w:tabs>
        <w:suppressAutoHyphens/>
        <w:ind w:left="1440" w:right="-14"/>
        <w:rPr>
          <w:rFonts w:ascii="Palatino Linotype" w:hAnsi="Palatino Linotype"/>
          <w:b/>
          <w:color w:val="000000" w:themeColor="text1"/>
          <w:sz w:val="24"/>
          <w:szCs w:val="24"/>
        </w:rPr>
      </w:pPr>
      <w:r w:rsidRPr="00AF35A5">
        <w:rPr>
          <w:rFonts w:ascii="Palatino Linotype" w:hAnsi="Palatino Linotype"/>
          <w:color w:val="000000" w:themeColor="text1"/>
          <w:sz w:val="24"/>
          <w:szCs w:val="24"/>
        </w:rPr>
        <w:t xml:space="preserve">Phone </w:t>
      </w:r>
    </w:p>
    <w:p w:rsidR="00C610C7" w:rsidRPr="00AF35A5" w:rsidRDefault="00C610C7" w:rsidP="00C610C7">
      <w:pPr>
        <w:ind w:right="-14"/>
        <w:rPr>
          <w:rFonts w:ascii="Palatino Linotype" w:hAnsi="Palatino Linotype"/>
          <w:b/>
          <w:color w:val="000000" w:themeColor="text1"/>
          <w:sz w:val="24"/>
          <w:szCs w:val="24"/>
        </w:rPr>
      </w:pPr>
    </w:p>
    <w:p w:rsidR="00C610C7" w:rsidRPr="00AF35A5" w:rsidRDefault="00C610C7" w:rsidP="00C610C7">
      <w:pPr>
        <w:tabs>
          <w:tab w:val="left" w:pos="360"/>
        </w:tabs>
        <w:spacing w:after="120"/>
        <w:ind w:right="-14"/>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 xml:space="preserve">     </w:t>
      </w:r>
      <w:r w:rsidRPr="00AF35A5">
        <w:rPr>
          <w:rFonts w:ascii="Palatino Linotype" w:hAnsi="Palatino Linotype"/>
          <w:b/>
          <w:color w:val="000000" w:themeColor="text1"/>
          <w:sz w:val="24"/>
          <w:szCs w:val="24"/>
        </w:rPr>
        <w:tab/>
        <w:t xml:space="preserve"> </w:t>
      </w:r>
      <w:r w:rsidRPr="00AF35A5">
        <w:rPr>
          <w:rFonts w:ascii="Palatino Linotype" w:hAnsi="Palatino Linotype"/>
          <w:b/>
          <w:color w:val="000000" w:themeColor="text1"/>
          <w:sz w:val="24"/>
          <w:szCs w:val="24"/>
        </w:rPr>
        <w:tab/>
        <w:t>2.5 Key vendor contact information</w:t>
      </w:r>
      <w:r w:rsidRPr="00AF35A5">
        <w:rPr>
          <w:rFonts w:ascii="Palatino Linotype" w:hAnsi="Palatino Linotype"/>
          <w:color w:val="000000" w:themeColor="text1"/>
          <w:sz w:val="24"/>
          <w:szCs w:val="24"/>
        </w:rPr>
        <w:t xml:space="preserve"> </w:t>
      </w:r>
    </w:p>
    <w:p w:rsidR="00C610C7" w:rsidRPr="00AF35A5" w:rsidRDefault="00C610C7" w:rsidP="00B93DB0">
      <w:pPr>
        <w:numPr>
          <w:ilvl w:val="0"/>
          <w:numId w:val="16"/>
        </w:numPr>
        <w:tabs>
          <w:tab w:val="clear" w:pos="0"/>
          <w:tab w:val="num" w:pos="360"/>
        </w:tabs>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First name </w:t>
      </w:r>
    </w:p>
    <w:p w:rsidR="00C610C7" w:rsidRPr="00AF35A5" w:rsidRDefault="00C610C7" w:rsidP="00B93DB0">
      <w:pPr>
        <w:numPr>
          <w:ilvl w:val="0"/>
          <w:numId w:val="16"/>
        </w:numPr>
        <w:tabs>
          <w:tab w:val="clear" w:pos="0"/>
          <w:tab w:val="num" w:pos="360"/>
        </w:tabs>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Last name</w:t>
      </w:r>
    </w:p>
    <w:p w:rsidR="00C610C7" w:rsidRPr="00AF35A5" w:rsidRDefault="00C610C7" w:rsidP="00B93DB0">
      <w:pPr>
        <w:numPr>
          <w:ilvl w:val="0"/>
          <w:numId w:val="16"/>
        </w:numPr>
        <w:tabs>
          <w:tab w:val="clear" w:pos="0"/>
          <w:tab w:val="num" w:pos="360"/>
        </w:tabs>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Company name</w:t>
      </w:r>
    </w:p>
    <w:p w:rsidR="00C610C7" w:rsidRPr="00AF35A5" w:rsidRDefault="00C610C7" w:rsidP="00B93DB0">
      <w:pPr>
        <w:numPr>
          <w:ilvl w:val="0"/>
          <w:numId w:val="16"/>
        </w:numPr>
        <w:tabs>
          <w:tab w:val="clear" w:pos="0"/>
          <w:tab w:val="num" w:pos="360"/>
        </w:tabs>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Mailing address </w:t>
      </w:r>
    </w:p>
    <w:p w:rsidR="00C610C7" w:rsidRPr="00AF35A5" w:rsidRDefault="00C610C7" w:rsidP="00B93DB0">
      <w:pPr>
        <w:numPr>
          <w:ilvl w:val="0"/>
          <w:numId w:val="16"/>
        </w:numPr>
        <w:tabs>
          <w:tab w:val="clear" w:pos="0"/>
          <w:tab w:val="num" w:pos="360"/>
        </w:tabs>
        <w:suppressAutoHyphens/>
        <w:ind w:left="144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Email </w:t>
      </w:r>
    </w:p>
    <w:p w:rsidR="00C610C7" w:rsidRPr="00AF35A5" w:rsidRDefault="00C610C7" w:rsidP="00B93DB0">
      <w:pPr>
        <w:numPr>
          <w:ilvl w:val="0"/>
          <w:numId w:val="16"/>
        </w:numPr>
        <w:tabs>
          <w:tab w:val="clear" w:pos="0"/>
          <w:tab w:val="num" w:pos="360"/>
        </w:tabs>
        <w:suppressAutoHyphens/>
        <w:ind w:left="1440" w:right="-14"/>
        <w:rPr>
          <w:rFonts w:ascii="Palatino Linotype" w:hAnsi="Palatino Linotype"/>
          <w:b/>
          <w:color w:val="000000" w:themeColor="text1"/>
          <w:sz w:val="24"/>
          <w:szCs w:val="24"/>
        </w:rPr>
      </w:pPr>
      <w:r w:rsidRPr="00AF35A5">
        <w:rPr>
          <w:rFonts w:ascii="Palatino Linotype" w:hAnsi="Palatino Linotype"/>
          <w:color w:val="000000" w:themeColor="text1"/>
          <w:sz w:val="24"/>
          <w:szCs w:val="24"/>
        </w:rPr>
        <w:t>Phone</w:t>
      </w:r>
    </w:p>
    <w:p w:rsidR="00C610C7" w:rsidRPr="00AF35A5" w:rsidRDefault="00C610C7" w:rsidP="00C610C7">
      <w:pPr>
        <w:ind w:right="-14"/>
        <w:rPr>
          <w:rFonts w:ascii="Palatino Linotype" w:hAnsi="Palatino Linotype"/>
          <w:b/>
          <w:color w:val="000000" w:themeColor="text1"/>
          <w:sz w:val="24"/>
          <w:szCs w:val="24"/>
        </w:rPr>
      </w:pPr>
    </w:p>
    <w:p w:rsidR="00C610C7" w:rsidRPr="00AF35A5" w:rsidRDefault="00C610C7" w:rsidP="00C610C7">
      <w:pPr>
        <w:tabs>
          <w:tab w:val="left" w:pos="360"/>
        </w:tabs>
        <w:spacing w:after="120"/>
        <w:ind w:right="-14"/>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 xml:space="preserve">      </w:t>
      </w:r>
      <w:r w:rsidRPr="00AF35A5">
        <w:rPr>
          <w:rFonts w:ascii="Palatino Linotype" w:hAnsi="Palatino Linotype"/>
          <w:b/>
          <w:color w:val="000000" w:themeColor="text1"/>
          <w:sz w:val="24"/>
          <w:szCs w:val="24"/>
        </w:rPr>
        <w:tab/>
        <w:t xml:space="preserve">2.6 Proposed Project Description </w:t>
      </w:r>
    </w:p>
    <w:p w:rsidR="00C610C7" w:rsidRPr="00AF35A5" w:rsidRDefault="00C610C7" w:rsidP="00C610C7">
      <w:pPr>
        <w:ind w:left="72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An applicant must provide a detailed description of its proposed project, including the elements discussed below. </w:t>
      </w:r>
    </w:p>
    <w:p w:rsidR="00C610C7" w:rsidRPr="00AF35A5" w:rsidRDefault="00C610C7" w:rsidP="00B93DB0">
      <w:pPr>
        <w:numPr>
          <w:ilvl w:val="0"/>
          <w:numId w:val="12"/>
        </w:numPr>
        <w:tabs>
          <w:tab w:val="clear" w:pos="0"/>
          <w:tab w:val="num" w:pos="1530"/>
        </w:tabs>
        <w:suppressAutoHyphens/>
        <w:ind w:left="1350" w:right="-14" w:hanging="630"/>
        <w:rPr>
          <w:rFonts w:ascii="Palatino Linotype" w:hAnsi="Palatino Linotype"/>
          <w:color w:val="000000" w:themeColor="text1"/>
          <w:sz w:val="24"/>
          <w:szCs w:val="24"/>
        </w:rPr>
      </w:pPr>
      <w:r w:rsidRPr="00AF35A5">
        <w:rPr>
          <w:rFonts w:ascii="Palatino Linotype" w:hAnsi="Palatino Linotype"/>
          <w:color w:val="000000" w:themeColor="text1"/>
          <w:sz w:val="24"/>
          <w:szCs w:val="24"/>
        </w:rPr>
        <w:t>Description of proposed activities the Commission will fund using the BPHA, such as education,</w:t>
      </w:r>
      <w:r w:rsidRPr="00AF35A5">
        <w:rPr>
          <w:rFonts w:ascii="Palatino Linotype" w:hAnsi="Palatino Linotype"/>
          <w:strike/>
          <w:color w:val="000000" w:themeColor="text1"/>
          <w:sz w:val="24"/>
          <w:szCs w:val="24"/>
        </w:rPr>
        <w:t xml:space="preserve"> and</w:t>
      </w:r>
      <w:r w:rsidRPr="00AF35A5">
        <w:rPr>
          <w:rFonts w:ascii="Palatino Linotype" w:hAnsi="Palatino Linotype"/>
          <w:color w:val="000000" w:themeColor="text1"/>
          <w:sz w:val="24"/>
          <w:szCs w:val="24"/>
        </w:rPr>
        <w:t xml:space="preserve"> outreach efforts and a strategy for ensuring new residential broadband subscriptions.</w:t>
      </w:r>
    </w:p>
    <w:p w:rsidR="00C610C7" w:rsidRPr="00AF35A5" w:rsidRDefault="00C610C7" w:rsidP="00B93DB0">
      <w:pPr>
        <w:numPr>
          <w:ilvl w:val="0"/>
          <w:numId w:val="12"/>
        </w:numPr>
        <w:tabs>
          <w:tab w:val="clear" w:pos="0"/>
          <w:tab w:val="num" w:pos="1440"/>
        </w:tabs>
        <w:suppressAutoHyphens/>
        <w:ind w:left="1350" w:right="-14" w:hanging="63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Project budget outlining a detailed breakdown of cost elements funded by the grant (85 percent) and provided as match by the Applicant (15 percent).  The grant will reimburse for the activities and items listed in section 2.1. </w:t>
      </w:r>
    </w:p>
    <w:p w:rsidR="00C610C7" w:rsidRPr="00AF35A5" w:rsidRDefault="00C610C7" w:rsidP="00B93DB0">
      <w:pPr>
        <w:numPr>
          <w:ilvl w:val="0"/>
          <w:numId w:val="12"/>
        </w:numPr>
        <w:tabs>
          <w:tab w:val="clear" w:pos="0"/>
          <w:tab w:val="num" w:pos="1440"/>
        </w:tabs>
        <w:suppressAutoHyphens/>
        <w:ind w:left="1350" w:right="-14" w:hanging="630"/>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 xml:space="preserve">The Applicant may provide the 15 percent match using the following (1) donations from residents in exchange for devices; (2) donations of devices or software from third parties; and (3) volunteer personnel hours worked to train residents.  Applicants must identify the goods and/ or hours worked and its monetary value. </w:t>
      </w:r>
    </w:p>
    <w:p w:rsidR="00C610C7" w:rsidRPr="00AF35A5" w:rsidRDefault="00C610C7" w:rsidP="00B93DB0">
      <w:pPr>
        <w:numPr>
          <w:ilvl w:val="0"/>
          <w:numId w:val="12"/>
        </w:numPr>
        <w:tabs>
          <w:tab w:val="clear" w:pos="0"/>
          <w:tab w:val="num" w:pos="1440"/>
        </w:tabs>
        <w:suppressAutoHyphens/>
        <w:ind w:left="1350" w:right="-14" w:hanging="63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Project schedule </w:t>
      </w:r>
      <w:r w:rsidR="00B34BCE">
        <w:rPr>
          <w:rFonts w:ascii="Palatino Linotype" w:hAnsi="Palatino Linotype"/>
          <w:color w:val="000000" w:themeColor="text1"/>
          <w:sz w:val="24"/>
          <w:szCs w:val="24"/>
        </w:rPr>
        <w:noBreakHyphen/>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 A delineated deployment schedule with a commitment to begin the project within six months of Commission approval of the application (the ramp</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up period) and to complete project within 12 months thereafter. </w:t>
      </w:r>
    </w:p>
    <w:p w:rsidR="00C610C7" w:rsidRPr="00AF35A5" w:rsidRDefault="00C610C7" w:rsidP="00B93DB0">
      <w:pPr>
        <w:pStyle w:val="content"/>
        <w:numPr>
          <w:ilvl w:val="0"/>
          <w:numId w:val="30"/>
        </w:numPr>
        <w:tabs>
          <w:tab w:val="left" w:pos="1800"/>
        </w:tabs>
        <w:suppressAutoHyphens/>
        <w:spacing w:before="0" w:beforeAutospacing="0" w:after="0" w:afterAutospacing="0"/>
        <w:rPr>
          <w:rFonts w:ascii="Palatino Linotype" w:hAnsi="Palatino Linotype"/>
          <w:color w:val="000000" w:themeColor="text1"/>
          <w:sz w:val="24"/>
          <w:szCs w:val="24"/>
        </w:rPr>
      </w:pPr>
      <w:r w:rsidRPr="00AF35A5">
        <w:rPr>
          <w:rFonts w:ascii="Palatino Linotype" w:hAnsi="Palatino Linotype"/>
          <w:color w:val="000000" w:themeColor="text1"/>
          <w:sz w:val="24"/>
          <w:szCs w:val="24"/>
        </w:rPr>
        <w:t>Milestone Description</w:t>
      </w:r>
    </w:p>
    <w:p w:rsidR="00C610C7" w:rsidRPr="00AF35A5" w:rsidRDefault="00C610C7" w:rsidP="00B93DB0">
      <w:pPr>
        <w:pStyle w:val="content"/>
        <w:numPr>
          <w:ilvl w:val="0"/>
          <w:numId w:val="30"/>
        </w:numPr>
        <w:tabs>
          <w:tab w:val="left" w:pos="1800"/>
        </w:tabs>
        <w:suppressAutoHyphens/>
        <w:spacing w:before="0" w:beforeAutospacing="0" w:after="0" w:afterAutospacing="0"/>
        <w:rPr>
          <w:rFonts w:ascii="Palatino Linotype" w:hAnsi="Palatino Linotype"/>
          <w:color w:val="000000" w:themeColor="text1"/>
          <w:sz w:val="24"/>
          <w:szCs w:val="24"/>
        </w:rPr>
      </w:pPr>
      <w:r w:rsidRPr="00AF35A5">
        <w:rPr>
          <w:rFonts w:ascii="Palatino Linotype" w:hAnsi="Palatino Linotype"/>
          <w:color w:val="000000" w:themeColor="text1"/>
          <w:sz w:val="24"/>
          <w:szCs w:val="24"/>
        </w:rPr>
        <w:t>Milestone Start and End Date</w:t>
      </w:r>
    </w:p>
    <w:p w:rsidR="00C610C7" w:rsidRPr="00AF35A5" w:rsidRDefault="00C610C7" w:rsidP="00B93DB0">
      <w:pPr>
        <w:pStyle w:val="content"/>
        <w:numPr>
          <w:ilvl w:val="0"/>
          <w:numId w:val="30"/>
        </w:numPr>
        <w:tabs>
          <w:tab w:val="left" w:pos="1800"/>
        </w:tabs>
        <w:suppressAutoHyphens/>
        <w:spacing w:before="0" w:beforeAutospacing="0" w:after="0" w:afterAutospacing="0"/>
        <w:rPr>
          <w:rFonts w:ascii="Palatino Linotype" w:hAnsi="Palatino Linotype"/>
          <w:color w:val="000000" w:themeColor="text1"/>
          <w:sz w:val="24"/>
          <w:szCs w:val="24"/>
        </w:rPr>
      </w:pPr>
      <w:r w:rsidRPr="00AF35A5">
        <w:rPr>
          <w:rFonts w:ascii="Palatino Linotype" w:hAnsi="Palatino Linotype"/>
          <w:color w:val="000000" w:themeColor="text1"/>
          <w:sz w:val="24"/>
          <w:szCs w:val="24"/>
        </w:rPr>
        <w:t>Milestone Risks</w:t>
      </w:r>
    </w:p>
    <w:p w:rsidR="00C610C7" w:rsidRPr="00AF35A5" w:rsidRDefault="00C610C7" w:rsidP="00C610C7">
      <w:pPr>
        <w:pStyle w:val="content"/>
        <w:spacing w:before="0" w:beforeAutospacing="0" w:after="0" w:afterAutospacing="0"/>
        <w:ind w:hanging="720"/>
        <w:rPr>
          <w:rFonts w:ascii="Palatino Linotype" w:hAnsi="Palatino Linotype"/>
          <w:color w:val="000000" w:themeColor="text1"/>
          <w:sz w:val="24"/>
          <w:szCs w:val="24"/>
        </w:rPr>
      </w:pP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If the applicant is unable to complete the proposed project within the required 12</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month timeframe, it must notify the Commission as soon as it becomes aware of this prospect.  The Commission reserves the right to reduce payment for failure to satisfy this requirement.</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p>
    <w:p w:rsidR="00C610C7" w:rsidRPr="00AF35A5" w:rsidRDefault="00C610C7" w:rsidP="00C610C7">
      <w:pPr>
        <w:spacing w:after="120"/>
        <w:ind w:left="720" w:right="-14"/>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2.7 Assertion of Property Having Access to Broadband Services</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The applicant must attest that all PSC units on the </w:t>
      </w:r>
      <w:r w:rsidRPr="00AF35A5">
        <w:rPr>
          <w:rFonts w:ascii="Palatino Linotype" w:hAnsi="Palatino Linotype"/>
          <w:color w:val="000000" w:themeColor="text1"/>
          <w:sz w:val="24"/>
          <w:szCs w:val="24"/>
          <w:lang w:val="en-US"/>
        </w:rPr>
        <w:t xml:space="preserve">project’s </w:t>
      </w:r>
      <w:r w:rsidRPr="00AF35A5">
        <w:rPr>
          <w:rFonts w:ascii="Palatino Linotype" w:hAnsi="Palatino Linotype"/>
          <w:color w:val="000000" w:themeColor="text1"/>
          <w:sz w:val="24"/>
          <w:szCs w:val="24"/>
        </w:rPr>
        <w:t>property</w:t>
      </w:r>
      <w:r w:rsidRPr="00AF35A5">
        <w:rPr>
          <w:rFonts w:ascii="Palatino Linotype" w:hAnsi="Palatino Linotype"/>
          <w:color w:val="000000" w:themeColor="text1"/>
          <w:sz w:val="24"/>
          <w:szCs w:val="24"/>
          <w:lang w:val="en-US"/>
        </w:rPr>
        <w:t xml:space="preserve"> have access to broadband Internet service, or that all PSC units will have access at the time the funding for adoption is implemented.</w:t>
      </w:r>
      <w:r w:rsidRPr="00AF35A5">
        <w:rPr>
          <w:rFonts w:ascii="Palatino Linotype" w:hAnsi="Palatino Linotype"/>
          <w:color w:val="000000" w:themeColor="text1"/>
          <w:sz w:val="24"/>
          <w:szCs w:val="24"/>
        </w:rPr>
        <w:t xml:space="preserve"> </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p>
    <w:p w:rsidR="00C610C7" w:rsidRPr="00AF35A5" w:rsidRDefault="00C610C7" w:rsidP="00C610C7">
      <w:pPr>
        <w:spacing w:after="120"/>
        <w:ind w:left="720" w:right="-14"/>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2.8 Organizational Chart and Background</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applicant must submit an organizational chart showing its parent organization, subsidiaries and affiliates.</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p>
    <w:p w:rsidR="00C610C7" w:rsidRPr="00AF35A5" w:rsidRDefault="00C610C7" w:rsidP="00C610C7">
      <w:pPr>
        <w:spacing w:after="120"/>
        <w:ind w:left="720" w:right="-14"/>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2.9 Economic Useful Life of Assets to be Funded</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The applicant must identify the expected economic useful life of the assets funded by the BPHA CASF </w:t>
      </w:r>
      <w:r w:rsidRPr="00AF35A5">
        <w:rPr>
          <w:rFonts w:ascii="Palatino Linotype" w:hAnsi="Palatino Linotype"/>
          <w:color w:val="000000" w:themeColor="text1"/>
          <w:sz w:val="24"/>
          <w:szCs w:val="24"/>
          <w:lang w:val="en-US"/>
        </w:rPr>
        <w:t xml:space="preserve">adoption </w:t>
      </w:r>
      <w:r w:rsidRPr="00AF35A5">
        <w:rPr>
          <w:rFonts w:ascii="Palatino Linotype" w:hAnsi="Palatino Linotype"/>
          <w:color w:val="000000" w:themeColor="text1"/>
          <w:sz w:val="24"/>
          <w:szCs w:val="24"/>
        </w:rPr>
        <w:t xml:space="preserve">grant. </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p>
    <w:p w:rsidR="00C610C7" w:rsidRPr="00AF35A5" w:rsidRDefault="00C610C7" w:rsidP="00C610C7">
      <w:pPr>
        <w:pStyle w:val="content"/>
        <w:spacing w:before="0" w:beforeAutospacing="0" w:after="120" w:afterAutospacing="0"/>
        <w:ind w:left="720"/>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2.10 Financials</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Applicants must submit the most recently prepared annual reports and audits that it submitted to HUD, in the case of chartered public housing authorities, or another government entity, in the case of non</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profits (for example, the California Tax Credit Allocation Committee).</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 housing authority applying for </w:t>
      </w:r>
      <w:r w:rsidRPr="00AF35A5">
        <w:rPr>
          <w:rFonts w:ascii="Palatino Linotype" w:hAnsi="Palatino Linotype"/>
          <w:color w:val="000000" w:themeColor="text1"/>
          <w:sz w:val="24"/>
          <w:szCs w:val="24"/>
          <w:lang w:val="en-US"/>
        </w:rPr>
        <w:t>BPHA</w:t>
      </w:r>
      <w:r w:rsidRPr="00AF35A5">
        <w:rPr>
          <w:rFonts w:ascii="Palatino Linotype" w:hAnsi="Palatino Linotype"/>
          <w:color w:val="000000" w:themeColor="text1"/>
          <w:sz w:val="24"/>
          <w:szCs w:val="24"/>
        </w:rPr>
        <w:t xml:space="preserve"> funds must include in its submission its Annual HUD Contributions Contract and HA Code, allowing staff to verify its certification, along with its most recent HUD Public Housing Assessment System (PHAS) score. </w:t>
      </w:r>
    </w:p>
    <w:p w:rsidR="00C610C7" w:rsidRPr="00AF35A5" w:rsidRDefault="00C610C7" w:rsidP="00C610C7">
      <w:pPr>
        <w:pStyle w:val="content"/>
        <w:spacing w:before="0" w:beforeAutospacing="0" w:after="0" w:afterAutospacing="0"/>
        <w:ind w:left="360"/>
        <w:rPr>
          <w:rFonts w:ascii="Palatino Linotype" w:hAnsi="Palatino Linotype"/>
          <w:color w:val="000000" w:themeColor="text1"/>
          <w:sz w:val="24"/>
          <w:szCs w:val="24"/>
        </w:rPr>
      </w:pP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r w:rsidRPr="00AF35A5">
        <w:rPr>
          <w:rFonts w:ascii="Palatino Linotype" w:hAnsi="Palatino Linotype"/>
          <w:color w:val="000000" w:themeColor="text1"/>
          <w:sz w:val="24"/>
          <w:szCs w:val="24"/>
        </w:rPr>
        <w:t>Non</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profit applicants must submit an IRS letter approving the applicant’s status as a 501(c)(3) entity incorporated for the purposes of providing affordable housing, which must include the applicant’s Tax Identification Number, along with an award letter from a public agency such as the California Tax Credit Allocation Committee (TCAC), proving its receipt of public funding for affordable housing purposes.</w:t>
      </w:r>
    </w:p>
    <w:p w:rsidR="00C610C7" w:rsidRPr="00AF35A5" w:rsidRDefault="00C610C7" w:rsidP="00C610C7">
      <w:pPr>
        <w:pStyle w:val="content"/>
        <w:spacing w:before="0" w:beforeAutospacing="0" w:after="0" w:afterAutospacing="0"/>
        <w:ind w:left="720"/>
        <w:rPr>
          <w:rFonts w:ascii="Palatino Linotype" w:hAnsi="Palatino Linotype"/>
          <w:color w:val="000000" w:themeColor="text1"/>
          <w:sz w:val="24"/>
          <w:szCs w:val="24"/>
        </w:rPr>
      </w:pPr>
    </w:p>
    <w:p w:rsidR="00C610C7" w:rsidRPr="00AF35A5" w:rsidRDefault="00C610C7" w:rsidP="00C610C7">
      <w:pPr>
        <w:keepNext/>
        <w:spacing w:after="120"/>
        <w:ind w:left="720" w:right="-14"/>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2.11 Affidavit of Application’s Accuracy</w:t>
      </w:r>
    </w:p>
    <w:p w:rsidR="00C610C7" w:rsidRPr="00AF35A5" w:rsidRDefault="00C610C7" w:rsidP="00C610C7">
      <w:pPr>
        <w:pStyle w:val="sub3"/>
        <w:spacing w:line="240" w:lineRule="auto"/>
        <w:ind w:left="720" w:firstLine="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Applicants must submit an affidavit, under penalty of perjury, that to the best of their knowledge all the</w:t>
      </w:r>
      <w:r w:rsidRPr="00AF35A5">
        <w:rPr>
          <w:rFonts w:ascii="Palatino Linotype" w:hAnsi="Palatino Linotype"/>
          <w:b/>
          <w:i/>
          <w:color w:val="000000" w:themeColor="text1"/>
          <w:sz w:val="24"/>
          <w:szCs w:val="24"/>
        </w:rPr>
        <w:t xml:space="preserve"> </w:t>
      </w:r>
      <w:r w:rsidRPr="00AF35A5">
        <w:rPr>
          <w:rFonts w:ascii="Palatino Linotype" w:hAnsi="Palatino Linotype"/>
          <w:color w:val="000000" w:themeColor="text1"/>
          <w:sz w:val="24"/>
          <w:szCs w:val="24"/>
        </w:rPr>
        <w:t xml:space="preserve">statements and representations made in the application information submitted is true and correct (Attachment B).  Additionally, an applicant must also agree to abide by the Commission’s rules of practice and procedure, be subject to Public Utilities Code sections 2108 and 2111 and to submit quarterly reports and annual recertification or audit documents. </w:t>
      </w:r>
    </w:p>
    <w:p w:rsidR="00C610C7" w:rsidRPr="00AF35A5" w:rsidRDefault="00C610C7" w:rsidP="00C610C7">
      <w:pPr>
        <w:pStyle w:val="ListParagraph"/>
        <w:rPr>
          <w:rFonts w:ascii="Palatino Linotype" w:hAnsi="Palatino Linotype"/>
          <w:color w:val="000000" w:themeColor="text1"/>
          <w:sz w:val="24"/>
          <w:szCs w:val="24"/>
        </w:rPr>
      </w:pPr>
    </w:p>
    <w:p w:rsidR="00C610C7" w:rsidRPr="00AF35A5" w:rsidRDefault="00C610C7" w:rsidP="009A00FB">
      <w:pPr>
        <w:pStyle w:val="Heading2"/>
        <w:numPr>
          <w:ilvl w:val="0"/>
          <w:numId w:val="0"/>
        </w:numPr>
        <w:ind w:left="1710"/>
      </w:pPr>
      <w:bookmarkStart w:id="890" w:name="_Toc505786751"/>
      <w:bookmarkStart w:id="891" w:name="_Toc514153054"/>
      <w:r w:rsidRPr="00AF35A5">
        <w:lastRenderedPageBreak/>
        <w:t>Submission and Timelines</w:t>
      </w:r>
      <w:bookmarkEnd w:id="890"/>
      <w:bookmarkEnd w:id="891"/>
    </w:p>
    <w:p w:rsidR="00C610C7" w:rsidRPr="00AF35A5" w:rsidRDefault="00C610C7" w:rsidP="00C610C7">
      <w:pPr>
        <w:keepNext/>
        <w:ind w:left="72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Applicants should electronically file their completed applications using the Commission’s FTP file server available at </w:t>
      </w:r>
      <w:hyperlink r:id="rId33" w:history="1">
        <w:r w:rsidRPr="00AF35A5">
          <w:rPr>
            <w:rFonts w:ascii="Palatino Linotype" w:hAnsi="Palatino Linotype"/>
            <w:color w:val="000000" w:themeColor="text1"/>
            <w:sz w:val="24"/>
            <w:szCs w:val="24"/>
            <w:lang w:val="en"/>
          </w:rPr>
          <w:t>https://kwftp.cpuc.ca.gov</w:t>
        </w:r>
      </w:hyperlink>
      <w:r w:rsidRPr="00AF35A5">
        <w:rPr>
          <w:rFonts w:ascii="Palatino Linotype" w:hAnsi="Palatino Linotype"/>
          <w:color w:val="000000" w:themeColor="text1"/>
          <w:sz w:val="24"/>
          <w:szCs w:val="24"/>
          <w:lang w:val="en"/>
        </w:rPr>
        <w:t xml:space="preserve"> </w:t>
      </w:r>
      <w:r w:rsidRPr="00AF35A5">
        <w:rPr>
          <w:rFonts w:ascii="Palatino Linotype" w:hAnsi="Palatino Linotype"/>
          <w:color w:val="000000" w:themeColor="text1"/>
          <w:sz w:val="24"/>
          <w:szCs w:val="24"/>
        </w:rPr>
        <w:t xml:space="preserve">and mail a separate hard copy to the Communications Division, Attn: California Advanced Services Fund, Housing Coordinator, and mail another hard copy to the Office of Ratepayers Advocates.  Since applications are not filed with the Commission’s Docket Office, they will not be assigned proceeding number(s).  </w:t>
      </w:r>
    </w:p>
    <w:p w:rsidR="00C610C7" w:rsidRPr="00AF35A5" w:rsidRDefault="00C610C7" w:rsidP="00C610C7">
      <w:pPr>
        <w:keepNext/>
        <w:ind w:left="360" w:right="-14"/>
        <w:rPr>
          <w:rFonts w:ascii="Palatino Linotype" w:hAnsi="Palatino Linotype"/>
          <w:color w:val="000000" w:themeColor="text1"/>
          <w:sz w:val="24"/>
          <w:szCs w:val="24"/>
        </w:rPr>
      </w:pPr>
    </w:p>
    <w:p w:rsidR="00C610C7" w:rsidRPr="00AF35A5" w:rsidRDefault="00C610C7" w:rsidP="00C610C7">
      <w:pPr>
        <w:keepNext/>
        <w:ind w:left="72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Applications may be submitted at any time, until all funds available for the BPHA have been awarded.  However, staff will consider applications submitted on or before each deadline listed below as a batch.  Additionally, after each deadline, staff will post all applications on its website to give ISPs two weeks from the date of posting to challenge applications.</w:t>
      </w:r>
    </w:p>
    <w:p w:rsidR="00C610C7" w:rsidRPr="00AF35A5" w:rsidRDefault="00C610C7" w:rsidP="00C610C7">
      <w:pPr>
        <w:keepNext/>
        <w:ind w:left="360" w:right="-14"/>
        <w:rPr>
          <w:rFonts w:ascii="Palatino Linotype" w:hAnsi="Palatino Linotype"/>
          <w:b/>
          <w:color w:val="000000" w:themeColor="text1"/>
          <w:sz w:val="24"/>
          <w:szCs w:val="24"/>
        </w:rPr>
      </w:pPr>
    </w:p>
    <w:p w:rsidR="00C610C7" w:rsidRPr="00AF35A5" w:rsidRDefault="00C610C7" w:rsidP="00C610C7">
      <w:pPr>
        <w:keepNext/>
        <w:ind w:left="360" w:right="-14" w:firstLine="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Deadlines:</w:t>
      </w:r>
    </w:p>
    <w:p w:rsidR="00C610C7" w:rsidRPr="00AF35A5" w:rsidRDefault="00C610C7" w:rsidP="00B93DB0">
      <w:pPr>
        <w:pStyle w:val="ListParagraph"/>
        <w:numPr>
          <w:ilvl w:val="0"/>
          <w:numId w:val="29"/>
        </w:numPr>
        <w:ind w:left="117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July 1, 2018</w:t>
      </w:r>
    </w:p>
    <w:p w:rsidR="00C610C7" w:rsidRPr="00AF35A5" w:rsidRDefault="00C610C7" w:rsidP="00B93DB0">
      <w:pPr>
        <w:pStyle w:val="ListParagraph"/>
        <w:numPr>
          <w:ilvl w:val="0"/>
          <w:numId w:val="29"/>
        </w:numPr>
        <w:ind w:left="117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January 1, 2019</w:t>
      </w:r>
    </w:p>
    <w:p w:rsidR="00C610C7" w:rsidRPr="00AF35A5" w:rsidRDefault="00C610C7" w:rsidP="00B93DB0">
      <w:pPr>
        <w:pStyle w:val="ListParagraph"/>
        <w:numPr>
          <w:ilvl w:val="0"/>
          <w:numId w:val="29"/>
        </w:numPr>
        <w:ind w:left="117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July 1, 2019</w:t>
      </w:r>
    </w:p>
    <w:p w:rsidR="00C610C7" w:rsidRPr="00AF35A5" w:rsidRDefault="00C610C7" w:rsidP="00B93DB0">
      <w:pPr>
        <w:pStyle w:val="ListParagraph"/>
        <w:numPr>
          <w:ilvl w:val="0"/>
          <w:numId w:val="29"/>
        </w:numPr>
        <w:ind w:left="117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January 1, 2020</w:t>
      </w:r>
    </w:p>
    <w:p w:rsidR="00C610C7" w:rsidRPr="00AF35A5" w:rsidRDefault="00C610C7" w:rsidP="00B93DB0">
      <w:pPr>
        <w:pStyle w:val="ListParagraph"/>
        <w:numPr>
          <w:ilvl w:val="0"/>
          <w:numId w:val="29"/>
        </w:numPr>
        <w:ind w:left="117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July 1, 2020</w:t>
      </w:r>
    </w:p>
    <w:p w:rsidR="00C610C7" w:rsidRPr="00AF35A5" w:rsidRDefault="00C610C7" w:rsidP="00B93DB0">
      <w:pPr>
        <w:pStyle w:val="ListParagraph"/>
        <w:numPr>
          <w:ilvl w:val="0"/>
          <w:numId w:val="29"/>
        </w:numPr>
        <w:ind w:left="117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January 1, 2021</w:t>
      </w:r>
    </w:p>
    <w:p w:rsidR="00C610C7" w:rsidRPr="00AF35A5" w:rsidRDefault="00C610C7" w:rsidP="00B93DB0">
      <w:pPr>
        <w:pStyle w:val="ListParagraph"/>
        <w:numPr>
          <w:ilvl w:val="0"/>
          <w:numId w:val="29"/>
        </w:numPr>
        <w:ind w:left="117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July 1, 2021</w:t>
      </w:r>
    </w:p>
    <w:p w:rsidR="00C610C7" w:rsidRPr="00AF35A5" w:rsidRDefault="00C610C7" w:rsidP="00B93DB0">
      <w:pPr>
        <w:pStyle w:val="ListParagraph"/>
        <w:numPr>
          <w:ilvl w:val="0"/>
          <w:numId w:val="29"/>
        </w:numPr>
        <w:ind w:left="117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January 1, 2022</w:t>
      </w:r>
    </w:p>
    <w:p w:rsidR="00C610C7" w:rsidRPr="00AF35A5" w:rsidRDefault="00C610C7" w:rsidP="00B93DB0">
      <w:pPr>
        <w:pStyle w:val="ListParagraph"/>
        <w:numPr>
          <w:ilvl w:val="0"/>
          <w:numId w:val="29"/>
        </w:numPr>
        <w:ind w:left="117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July 1, 2022</w:t>
      </w:r>
    </w:p>
    <w:p w:rsidR="00C610C7" w:rsidRPr="00AF35A5" w:rsidRDefault="00C610C7" w:rsidP="00C610C7">
      <w:pPr>
        <w:keepNext/>
        <w:ind w:right="-14"/>
        <w:rPr>
          <w:rFonts w:ascii="Palatino Linotype" w:hAnsi="Palatino Linotype"/>
          <w:color w:val="000000" w:themeColor="text1"/>
          <w:sz w:val="24"/>
          <w:szCs w:val="24"/>
        </w:rPr>
      </w:pPr>
    </w:p>
    <w:p w:rsidR="00C610C7" w:rsidRPr="00AF35A5" w:rsidRDefault="00C610C7" w:rsidP="00C610C7">
      <w:pPr>
        <w:keepNext/>
        <w:ind w:left="72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Any deadline falling on a holiday or a weekend will be extended to the following business day.  Staff will notify the CASF Distribution List when all funds available for the BPHA have been awarded, and an eligible PSC may submit an application for funding from the Infrastructure and/or Adoption accounts using the same criteria set forth here.  </w:t>
      </w:r>
    </w:p>
    <w:p w:rsidR="00C610C7" w:rsidRPr="00AF35A5" w:rsidRDefault="00C610C7" w:rsidP="00C610C7">
      <w:pPr>
        <w:pStyle w:val="ListParagraph"/>
        <w:ind w:left="360"/>
        <w:rPr>
          <w:rFonts w:ascii="Palatino Linotype" w:hAnsi="Palatino Linotype"/>
          <w:b/>
          <w:color w:val="000000" w:themeColor="text1"/>
          <w:sz w:val="24"/>
          <w:szCs w:val="24"/>
        </w:rPr>
      </w:pPr>
    </w:p>
    <w:p w:rsidR="00C610C7" w:rsidRPr="00AF35A5" w:rsidRDefault="00C610C7" w:rsidP="009A00FB">
      <w:pPr>
        <w:pStyle w:val="Heading2"/>
        <w:numPr>
          <w:ilvl w:val="0"/>
          <w:numId w:val="0"/>
        </w:numPr>
        <w:ind w:left="1710"/>
      </w:pPr>
      <w:bookmarkStart w:id="892" w:name="_Toc505786752"/>
      <w:bookmarkStart w:id="893" w:name="_Toc514153055"/>
      <w:r w:rsidRPr="00AF35A5">
        <w:t>Expedited Review</w:t>
      </w:r>
      <w:bookmarkEnd w:id="892"/>
      <w:bookmarkEnd w:id="893"/>
    </w:p>
    <w:p w:rsidR="00C610C7" w:rsidRPr="00AF35A5" w:rsidRDefault="00C610C7" w:rsidP="00C610C7">
      <w:pPr>
        <w:ind w:left="720"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Commission assigns staff the task of approving applications that meet all of the following criteria:</w:t>
      </w:r>
    </w:p>
    <w:p w:rsidR="00C610C7" w:rsidRPr="00AF35A5" w:rsidRDefault="00C610C7" w:rsidP="00C610C7">
      <w:pPr>
        <w:ind w:left="360" w:right="-14"/>
        <w:rPr>
          <w:rFonts w:ascii="Palatino Linotype" w:hAnsi="Palatino Linotype"/>
          <w:color w:val="000000" w:themeColor="text1"/>
          <w:sz w:val="24"/>
          <w:szCs w:val="24"/>
        </w:rPr>
      </w:pPr>
    </w:p>
    <w:p w:rsidR="00C610C7" w:rsidRPr="00413799" w:rsidRDefault="00C610C7" w:rsidP="00C610C7">
      <w:pPr>
        <w:ind w:left="360" w:right="-14" w:firstLine="360"/>
        <w:rPr>
          <w:rFonts w:ascii="Palatino Linotype" w:hAnsi="Palatino Linotype"/>
          <w:b/>
          <w:color w:val="000000" w:themeColor="text1"/>
          <w:sz w:val="24"/>
          <w:szCs w:val="24"/>
        </w:rPr>
      </w:pPr>
      <w:r w:rsidRPr="00413799">
        <w:rPr>
          <w:rFonts w:ascii="Palatino Linotype" w:hAnsi="Palatino Linotype"/>
          <w:b/>
          <w:color w:val="000000" w:themeColor="text1"/>
          <w:sz w:val="24"/>
          <w:szCs w:val="24"/>
        </w:rPr>
        <w:t>Infrastructure Projects</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 xml:space="preserve">Applicant meets the eligibility requirements under Pub. Util. Code, § 281 (i)(1), , § 281(i)(2) and (i)(3). </w:t>
      </w:r>
    </w:p>
    <w:p w:rsidR="00C610C7" w:rsidRPr="00AF35A5" w:rsidRDefault="00C610C7" w:rsidP="00B93DB0">
      <w:pPr>
        <w:pStyle w:val="ListParagraph"/>
        <w:numPr>
          <w:ilvl w:val="0"/>
          <w:numId w:val="28"/>
        </w:numPr>
        <w:tabs>
          <w:tab w:val="left" w:pos="810"/>
        </w:tabs>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attests that the housing development is “unserved” as defined in Section 2.1.3, which is a housing development where at least one housing unit within the housing development is not offered broadband Internet service.</w:t>
      </w:r>
      <w:r w:rsidRPr="00AF35A5">
        <w:rPr>
          <w:rStyle w:val="FootnoteReference"/>
          <w:rFonts w:ascii="Palatino Linotype" w:hAnsi="Palatino Linotype"/>
          <w:color w:val="000000" w:themeColor="text1"/>
          <w:szCs w:val="24"/>
        </w:rPr>
        <w:footnoteReference w:id="100"/>
      </w:r>
      <w:r w:rsidRPr="00AF35A5">
        <w:rPr>
          <w:rFonts w:ascii="Palatino Linotype" w:hAnsi="Palatino Linotype"/>
          <w:color w:val="000000" w:themeColor="text1"/>
          <w:sz w:val="24"/>
          <w:szCs w:val="24"/>
        </w:rPr>
        <w:t xml:space="preserve">  </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Applicant declares that it has not denied an ISP access to its property to provide broadband Internet service and no ISP challenged this statement; if an ISP challenged an application alleging it was denied access to a PSC, staff determined the denial was reasonable. </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Applicant requests a grant of less than $75,000 in BPHA infrastructure grant funds per project. </w:t>
      </w:r>
    </w:p>
    <w:p w:rsidR="00C610C7" w:rsidRPr="00AF35A5" w:rsidRDefault="00C610C7" w:rsidP="00B93DB0">
      <w:pPr>
        <w:numPr>
          <w:ilvl w:val="0"/>
          <w:numId w:val="28"/>
        </w:numPr>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For projects connecting 51</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100 PSC units, proposed project costs $450 per unit or less.</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For projects connecting 101 PSC units and more proposed project costs $300 per unit or less. </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buildings included in the application meet standards for acceptable basic living conditions as determined under HUD’s Uniform Physical Condition Standards or similar guidelines provided by other housing funding agencies in the State.</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Applicant expects property to be in residential use for at least the next 10 years. </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Property qualifies for an exemption pursuant to CEQA Guidelines § 15300.2.</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For wireless networking projects equipment will at least meet the 802.11n standard. </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attests it will operate and maintain project equipment and technology for at least five years after completion and that it has sufficient funds and warranty to do so, including replacing equipment as needed, and a maintenance agreement and budget have been submitted.</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Proposed project network is capable of offering residents Internet service speeds of at least 6 Mbps downstream/1 Mbps upstream which is supported with appropriate documentation.</w:t>
      </w:r>
    </w:p>
    <w:p w:rsidR="00C610C7" w:rsidRPr="00AF35A5" w:rsidRDefault="00C610C7" w:rsidP="00B93DB0">
      <w:pPr>
        <w:numPr>
          <w:ilvl w:val="0"/>
          <w:numId w:val="28"/>
        </w:numPr>
        <w:tabs>
          <w:tab w:val="left" w:pos="810"/>
        </w:tabs>
        <w:suppressAutoHyphens/>
        <w:ind w:right="-14"/>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commits to provide residents with minimum download speeds of 1.5 mbps per unit, during average peak utilization periods, subject to reasonable network management practices.</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Residents will be charged no more than $20 per month for Internet service.</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Applicant has signed an affidavit agreeing to abide by Commission rules of practice and procedure; Pub. Util. Code, §§ 2111 and 2108; and to quarterly reports and submission of annual recertification/audit documents. </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agrees to complete project within 12 months.</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has identified its bandwidth source, either at the MPOE or its wireless equivalent.</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agrees to secure project funded hardware to prevent theft and vandalism.</w:t>
      </w:r>
    </w:p>
    <w:p w:rsidR="00C610C7" w:rsidRPr="00AF35A5" w:rsidRDefault="00C610C7" w:rsidP="00C610C7">
      <w:pPr>
        <w:ind w:right="-14"/>
        <w:rPr>
          <w:rFonts w:ascii="Palatino Linotype" w:hAnsi="Palatino Linotype"/>
          <w:color w:val="000000" w:themeColor="text1"/>
          <w:sz w:val="24"/>
          <w:szCs w:val="24"/>
        </w:rPr>
      </w:pPr>
    </w:p>
    <w:p w:rsidR="00C610C7" w:rsidRPr="00413799" w:rsidRDefault="00C610C7" w:rsidP="00C610C7">
      <w:pPr>
        <w:ind w:left="720" w:right="-14" w:firstLine="360"/>
        <w:rPr>
          <w:rFonts w:ascii="Palatino Linotype" w:hAnsi="Palatino Linotype"/>
          <w:b/>
          <w:color w:val="000000" w:themeColor="text1"/>
          <w:sz w:val="24"/>
          <w:szCs w:val="24"/>
        </w:rPr>
      </w:pPr>
      <w:r w:rsidRPr="00413799">
        <w:rPr>
          <w:rFonts w:ascii="Palatino Linotype" w:hAnsi="Palatino Linotype"/>
          <w:b/>
          <w:color w:val="000000" w:themeColor="text1"/>
          <w:sz w:val="24"/>
          <w:szCs w:val="24"/>
        </w:rPr>
        <w:t>Adoption Projects</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Applicant meets the eligibility requirements under Pub. Util. Code, § 281 (i)(1), § 281(i)(2) and (i)(4). </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requests a grant of $50,000 or less</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agrees to perform education and outreach to educate residents of best practice use of available broadband Internet services.</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or partner organization possesses at least one</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year experience in digital literacy training or has previously carried out at least one digital literacy project.</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must provide at least eight hours of digital literacy training to participating residents.</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Applicant or partner organization will use existing curriculum.</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Applicant has identified onsite designated space for digital literacy training. </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If the applicant or partner organization provides residents computers or other devices to be use as part of its digital literacy training, the devices cost no more than $250 per device. New or refurbished computers or devices may be used; if the computer or device is refurbished, it must not be more than two years old. Additionally, a Smartphone is not an eligible device.</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 xml:space="preserve">Technical support, either by phone or in person, must be able to respond within 48 hours. A refurbished device supplier should provide a warranty of at least six months and seller of new products should provide a warranty of at least 30 days. </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Applicants must be ready to provide classes within six months of being selected for a BPHA /CASF grant and must submit a work plan with major milestones showing how they propose to meet this deadline. </w:t>
      </w:r>
    </w:p>
    <w:p w:rsidR="00C610C7" w:rsidRPr="00AF35A5" w:rsidRDefault="00C610C7" w:rsidP="00B93DB0">
      <w:pPr>
        <w:numPr>
          <w:ilvl w:val="0"/>
          <w:numId w:val="28"/>
        </w:numPr>
        <w:tabs>
          <w:tab w:val="left" w:pos="810"/>
        </w:tabs>
        <w:suppressAutoHyphens/>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Applicants must sustain the adoption project for 12 months or until work plan milestones/deliverables have been accomplished. The applicant must submit a work plan with major milestones showing how they propose to meet this deadline.   </w:t>
      </w:r>
    </w:p>
    <w:p w:rsidR="00C610C7" w:rsidRPr="00AF35A5" w:rsidRDefault="00C610C7" w:rsidP="00C610C7">
      <w:pPr>
        <w:tabs>
          <w:tab w:val="left" w:pos="810"/>
          <w:tab w:val="left" w:pos="1080"/>
          <w:tab w:val="left" w:pos="1440"/>
        </w:tabs>
        <w:suppressAutoHyphens/>
        <w:ind w:left="1080"/>
        <w:rPr>
          <w:rFonts w:ascii="Palatino Linotype" w:hAnsi="Palatino Linotype"/>
          <w:color w:val="000000" w:themeColor="text1"/>
          <w:sz w:val="24"/>
          <w:szCs w:val="24"/>
        </w:rPr>
      </w:pPr>
    </w:p>
    <w:p w:rsidR="00C610C7" w:rsidRPr="00AF35A5" w:rsidRDefault="00C610C7" w:rsidP="009A00FB">
      <w:pPr>
        <w:pStyle w:val="Heading2"/>
        <w:numPr>
          <w:ilvl w:val="0"/>
          <w:numId w:val="0"/>
        </w:numPr>
        <w:ind w:left="1710"/>
      </w:pPr>
      <w:bookmarkStart w:id="894" w:name="_Toc505786753"/>
      <w:bookmarkStart w:id="895" w:name="_Toc514153056"/>
      <w:r w:rsidRPr="00AF35A5">
        <w:t>Resolution Review</w:t>
      </w:r>
      <w:bookmarkEnd w:id="894"/>
      <w:bookmarkEnd w:id="895"/>
    </w:p>
    <w:p w:rsidR="00C610C7" w:rsidRPr="00AF35A5" w:rsidRDefault="00C610C7" w:rsidP="00C610C7">
      <w:pPr>
        <w:pStyle w:val="ListParagraph"/>
        <w:tabs>
          <w:tab w:val="left" w:pos="720"/>
        </w:tabs>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Where an application does not meet the above expedited review criteria, eligible applicants as defined in Section 2.1.4 may still be considered for a grant, but it must go through the normal Commission Resolution approval process.</w:t>
      </w:r>
    </w:p>
    <w:p w:rsidR="00C610C7" w:rsidRPr="00AF35A5" w:rsidRDefault="00C610C7" w:rsidP="00C610C7">
      <w:pPr>
        <w:pStyle w:val="ListParagraph"/>
        <w:ind w:left="360"/>
        <w:rPr>
          <w:rFonts w:ascii="Palatino Linotype" w:hAnsi="Palatino Linotype"/>
          <w:b/>
          <w:color w:val="000000" w:themeColor="text1"/>
          <w:sz w:val="24"/>
          <w:szCs w:val="24"/>
        </w:rPr>
      </w:pPr>
    </w:p>
    <w:p w:rsidR="00C610C7" w:rsidRPr="00AF35A5" w:rsidRDefault="00C610C7" w:rsidP="009A00FB">
      <w:pPr>
        <w:pStyle w:val="Heading2"/>
        <w:numPr>
          <w:ilvl w:val="0"/>
          <w:numId w:val="0"/>
        </w:numPr>
        <w:ind w:left="1710"/>
      </w:pPr>
      <w:bookmarkStart w:id="896" w:name="_Toc505786754"/>
      <w:bookmarkStart w:id="897" w:name="_Toc514153057"/>
      <w:r w:rsidRPr="00AF35A5">
        <w:t>Reporting</w:t>
      </w:r>
      <w:bookmarkEnd w:id="896"/>
      <w:bookmarkEnd w:id="897"/>
    </w:p>
    <w:p w:rsidR="00C610C7" w:rsidRPr="00AF35A5" w:rsidRDefault="00C610C7" w:rsidP="00C610C7">
      <w:pPr>
        <w:pStyle w:val="ListParagraph"/>
        <w:ind w:left="360"/>
        <w:rPr>
          <w:rFonts w:ascii="Palatino Linotype" w:hAnsi="Palatino Linotype"/>
          <w:strike/>
          <w:color w:val="000000" w:themeColor="text1"/>
          <w:sz w:val="24"/>
          <w:szCs w:val="24"/>
        </w:rPr>
      </w:pPr>
      <w:r w:rsidRPr="00AF35A5">
        <w:rPr>
          <w:rFonts w:ascii="Palatino Linotype" w:hAnsi="Palatino Linotype"/>
          <w:color w:val="000000" w:themeColor="text1"/>
          <w:sz w:val="24"/>
          <w:szCs w:val="24"/>
        </w:rPr>
        <w:t xml:space="preserve">Infrastructure project grantees must submit a progress report six months after the project award date if the project has not been completed, irrespective of whether grantees request reimbursement or payment.  The progress reports shall include both the schedule for deployment; it shall include major milestones and costs submitted in the proposals and it shall indicate the completion date of each task/milestone as well as problems/issues encountered, and the actions taken to resolve these issues/problems during project implementation and construction.  Grantees must certify that each progress report is true and correct under penalty of perjury.  </w:t>
      </w:r>
    </w:p>
    <w:p w:rsidR="00C610C7" w:rsidRPr="00AF35A5" w:rsidRDefault="00C610C7" w:rsidP="00C610C7">
      <w:pPr>
        <w:pStyle w:val="ListParagraph"/>
        <w:ind w:left="360"/>
        <w:rPr>
          <w:rFonts w:ascii="Palatino Linotype" w:hAnsi="Palatino Linotype"/>
          <w:strik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Infrastructure project grantees must submit a project completion report describing the total project costs, including engineering, planning, material costs, and an assessment of the average speed the network is delivering to a resident during the peak hours of 7 p.m. to 11 p.m.  The grantee must include speed test results in its completion report.</w:t>
      </w:r>
    </w:p>
    <w:p w:rsidR="00C610C7" w:rsidRPr="00AF35A5" w:rsidRDefault="00C610C7" w:rsidP="00C610C7">
      <w:pPr>
        <w:pStyle w:val="ListParagraph"/>
        <w:ind w:left="360"/>
        <w:rPr>
          <w:rFonts w:ascii="Palatino Linotype" w:hAnsi="Palatino Linotype"/>
          <w:color w:val="000000" w:themeColor="text1"/>
          <w:sz w:val="24"/>
          <w:szCs w:val="24"/>
        </w:rPr>
      </w:pPr>
    </w:p>
    <w:p w:rsidR="00A2729F" w:rsidRPr="00AF35A5" w:rsidRDefault="00A2729F" w:rsidP="00A2729F">
      <w:pPr>
        <w:pStyle w:val="ListParagraph"/>
        <w:ind w:left="360"/>
        <w:rPr>
          <w:rFonts w:ascii="Palatino Linotype" w:hAnsi="Palatino Linotype"/>
          <w:color w:val="000000" w:themeColor="text1"/>
          <w:sz w:val="24"/>
          <w:szCs w:val="24"/>
        </w:rPr>
      </w:pPr>
      <w:r>
        <w:rPr>
          <w:rFonts w:ascii="Palatino Linotype" w:hAnsi="Palatino Linotype"/>
          <w:b/>
          <w:color w:val="000000" w:themeColor="text1"/>
          <w:sz w:val="24"/>
          <w:szCs w:val="24"/>
        </w:rPr>
        <w:lastRenderedPageBreak/>
        <w:t>R</w:t>
      </w:r>
      <w:r w:rsidRPr="00AF35A5">
        <w:rPr>
          <w:rFonts w:ascii="Palatino Linotype" w:hAnsi="Palatino Linotype"/>
          <w:b/>
          <w:color w:val="000000" w:themeColor="text1"/>
          <w:sz w:val="24"/>
          <w:szCs w:val="24"/>
        </w:rPr>
        <w:t>amp</w:t>
      </w:r>
      <w:r w:rsidR="00B34BCE">
        <w:rPr>
          <w:rFonts w:ascii="Palatino Linotype" w:hAnsi="Palatino Linotype"/>
          <w:b/>
          <w:color w:val="000000" w:themeColor="text1"/>
          <w:sz w:val="24"/>
          <w:szCs w:val="24"/>
        </w:rPr>
        <w:noBreakHyphen/>
      </w:r>
      <w:r w:rsidRPr="00AF35A5">
        <w:rPr>
          <w:rFonts w:ascii="Palatino Linotype" w:hAnsi="Palatino Linotype"/>
          <w:b/>
          <w:color w:val="000000" w:themeColor="text1"/>
          <w:sz w:val="24"/>
          <w:szCs w:val="24"/>
        </w:rPr>
        <w:t>up period</w:t>
      </w:r>
      <w:r>
        <w:rPr>
          <w:rFonts w:ascii="Palatino Linotype" w:hAnsi="Palatino Linotype"/>
          <w:b/>
          <w:color w:val="000000" w:themeColor="text1"/>
          <w:sz w:val="24"/>
          <w:szCs w:val="24"/>
        </w:rPr>
        <w:t xml:space="preserve"> report</w:t>
      </w:r>
      <w:r w:rsidRPr="00AF35A5">
        <w:rPr>
          <w:rFonts w:ascii="Palatino Linotype" w:hAnsi="Palatino Linotype"/>
          <w:b/>
          <w:color w:val="000000" w:themeColor="text1"/>
          <w:sz w:val="24"/>
          <w:szCs w:val="24"/>
        </w:rPr>
        <w:t>:</w:t>
      </w:r>
      <w:r w:rsidRPr="00AF35A5">
        <w:rPr>
          <w:rFonts w:ascii="Palatino Linotype" w:hAnsi="Palatino Linotype"/>
          <w:color w:val="000000" w:themeColor="text1"/>
          <w:sz w:val="24"/>
          <w:szCs w:val="24"/>
        </w:rPr>
        <w:t xml:space="preserve">  </w:t>
      </w:r>
      <w:r>
        <w:rPr>
          <w:rFonts w:ascii="Palatino Linotype" w:hAnsi="Palatino Linotype"/>
          <w:color w:val="000000" w:themeColor="text1"/>
          <w:sz w:val="24"/>
          <w:szCs w:val="24"/>
        </w:rPr>
        <w:t>A</w:t>
      </w:r>
      <w:r w:rsidRPr="00AF35A5">
        <w:rPr>
          <w:rFonts w:ascii="Palatino Linotype" w:hAnsi="Palatino Linotype"/>
          <w:color w:val="000000" w:themeColor="text1"/>
          <w:sz w:val="24"/>
          <w:szCs w:val="24"/>
        </w:rPr>
        <w:t xml:space="preserve"> “ramp</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up period report” is </w:t>
      </w:r>
      <w:r>
        <w:rPr>
          <w:rFonts w:ascii="Palatino Linotype" w:hAnsi="Palatino Linotype"/>
          <w:color w:val="000000" w:themeColor="text1"/>
          <w:sz w:val="24"/>
          <w:szCs w:val="24"/>
        </w:rPr>
        <w:t>required after completion of the ramp up activities and when deployment is set to begin.  In this report, recipients will report on the completion of the ramp up activities per the work plan, milestones met, as well as request payment for relevant expenses to date</w:t>
      </w:r>
      <w:r w:rsidRPr="00AF35A5">
        <w:rPr>
          <w:rFonts w:ascii="Palatino Linotype" w:hAnsi="Palatino Linotype"/>
          <w:color w:val="000000" w:themeColor="text1"/>
          <w:sz w:val="24"/>
          <w:szCs w:val="24"/>
        </w:rPr>
        <w:t>.</w:t>
      </w:r>
      <w:r>
        <w:rPr>
          <w:rFonts w:ascii="Palatino Linotype" w:hAnsi="Palatino Linotype"/>
          <w:color w:val="000000" w:themeColor="text1"/>
          <w:sz w:val="24"/>
          <w:szCs w:val="24"/>
        </w:rPr>
        <w:t xml:space="preserve"> The ramp up period may not exceed 6 months from the time the application is approved.  </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Adoption project grantees must submit a completion report at the end of the 12</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month period, or after the work plan milestones/deliverables have been accomplished.  A milestone report (e.g. a report after 6 months of deployment) is required when payment is requested, see Attachment B.  </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“milestone/completion report” shall include:</w:t>
      </w:r>
    </w:p>
    <w:p w:rsidR="00C610C7" w:rsidRPr="00AF35A5" w:rsidRDefault="00C610C7" w:rsidP="00B93DB0">
      <w:pPr>
        <w:pStyle w:val="ListParagraph"/>
        <w:numPr>
          <w:ilvl w:val="0"/>
          <w:numId w:val="22"/>
        </w:numPr>
        <w:ind w:left="81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 summary of all work done for the digital literacy project including an itemized list of materials purchased and money spent</w:t>
      </w:r>
    </w:p>
    <w:p w:rsidR="00C610C7" w:rsidRPr="00AF35A5" w:rsidRDefault="00C610C7" w:rsidP="00B93DB0">
      <w:pPr>
        <w:pStyle w:val="ListParagraph"/>
        <w:numPr>
          <w:ilvl w:val="0"/>
          <w:numId w:val="22"/>
        </w:numPr>
        <w:ind w:left="81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 description of each milestone in the period and how that milestone was met.</w:t>
      </w:r>
    </w:p>
    <w:p w:rsidR="00C610C7" w:rsidRPr="00AF35A5" w:rsidRDefault="00C610C7" w:rsidP="00B93DB0">
      <w:pPr>
        <w:pStyle w:val="ListParagraph"/>
        <w:numPr>
          <w:ilvl w:val="0"/>
          <w:numId w:val="22"/>
        </w:numPr>
        <w:ind w:left="81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total number of participants trained</w:t>
      </w:r>
    </w:p>
    <w:p w:rsidR="00C610C7" w:rsidRPr="00AF35A5" w:rsidRDefault="00C610C7" w:rsidP="00B93DB0">
      <w:pPr>
        <w:pStyle w:val="ListParagraph"/>
        <w:numPr>
          <w:ilvl w:val="0"/>
          <w:numId w:val="22"/>
        </w:numPr>
        <w:ind w:left="81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total number of hours that access has been provided to the community and the number of participants served</w:t>
      </w:r>
    </w:p>
    <w:p w:rsidR="00C610C7" w:rsidRPr="00AF35A5" w:rsidRDefault="00C610C7" w:rsidP="00B93DB0">
      <w:pPr>
        <w:pStyle w:val="ListParagraph"/>
        <w:numPr>
          <w:ilvl w:val="0"/>
          <w:numId w:val="22"/>
        </w:numPr>
        <w:ind w:left="81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The number of participants that subsequently subscribe to a broadband Internet service provider to use a device in their home.  </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An infrastructure project grantee is required to maintain the broadband network for five years after it has been installed.  After installation, for a five</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year period, grantees must report for every project awarded on a biennial basis the average monthly percentage of up time, the average monthly number of individual devices that access the system and the average amount of data transferred over the network.  This data must be reported by email.</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Grantees are required to maintain files, invoices, and other related documentation for three years after final payment.  Grantee shall make these records available to the Commission upon request and agrees that these records are subject to a financial audit by the Commission at any time within three years after the Grantee incurred the expense being audited.  </w:t>
      </w:r>
    </w:p>
    <w:p w:rsidR="00C610C7" w:rsidRPr="00AF35A5" w:rsidRDefault="00C610C7" w:rsidP="00CC50F3">
      <w:pPr>
        <w:pStyle w:val="Heading4"/>
        <w:numPr>
          <w:ilvl w:val="0"/>
          <w:numId w:val="0"/>
        </w:numPr>
        <w:spacing w:before="0" w:after="0"/>
        <w:ind w:left="3060"/>
        <w:rPr>
          <w:rFonts w:ascii="Palatino Linotype" w:hAnsi="Palatino Linotype"/>
          <w:color w:val="000000" w:themeColor="text1"/>
          <w:sz w:val="24"/>
          <w:szCs w:val="24"/>
        </w:rPr>
      </w:pPr>
    </w:p>
    <w:p w:rsidR="00C610C7" w:rsidRPr="00AF35A5" w:rsidRDefault="00C610C7" w:rsidP="009A00FB">
      <w:pPr>
        <w:pStyle w:val="Heading2"/>
        <w:numPr>
          <w:ilvl w:val="0"/>
          <w:numId w:val="0"/>
        </w:numPr>
        <w:ind w:left="1710"/>
      </w:pPr>
      <w:bookmarkStart w:id="898" w:name="_Toc505786755"/>
      <w:bookmarkStart w:id="899" w:name="_Toc514153058"/>
      <w:r w:rsidRPr="00AF35A5">
        <w:t>Payment</w:t>
      </w:r>
      <w:bookmarkEnd w:id="898"/>
      <w:bookmarkEnd w:id="899"/>
    </w:p>
    <w:p w:rsidR="00C610C7" w:rsidRPr="00AF35A5" w:rsidRDefault="00C610C7" w:rsidP="00C610C7">
      <w:pPr>
        <w:pStyle w:val="ListParagraph"/>
        <w:ind w:left="360"/>
        <w:rPr>
          <w:rFonts w:ascii="Palatino Linotype" w:hAnsi="Palatino Linotype"/>
          <w:strike/>
          <w:color w:val="000000" w:themeColor="text1"/>
          <w:sz w:val="24"/>
          <w:szCs w:val="24"/>
        </w:rPr>
      </w:pPr>
      <w:r w:rsidRPr="00AF35A5">
        <w:rPr>
          <w:rFonts w:ascii="Palatino Linotype" w:hAnsi="Palatino Linotype"/>
          <w:color w:val="000000" w:themeColor="text1"/>
          <w:sz w:val="24"/>
          <w:szCs w:val="24"/>
        </w:rPr>
        <w:t>Payment to the project grantee will be made upon project completion and the submission of a project completion report.  The infrastructure project grantee may request payment for expenditures incurred during the first six months if the grantee submits a six</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month progress report, and certifies that the progress report is true and correct under penalty of perjury.  The adoption project grantee may request payment for expenditures incurred during the ramp</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up time if the grantee submits a ramp</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up report.  </w:t>
      </w:r>
    </w:p>
    <w:p w:rsidR="00C610C7" w:rsidRPr="00AF35A5" w:rsidRDefault="00C610C7" w:rsidP="00C610C7">
      <w:pPr>
        <w:pStyle w:val="ListParagraph"/>
        <w:ind w:left="360"/>
        <w:rPr>
          <w:rFonts w:ascii="Palatino Linotype" w:hAnsi="Palatino Linotype"/>
          <w:strik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Payment will be based upon receipt and approval of invoices/other supporting documents showing the expenditures incurred for the project in accordance with the CASF funding submitted by the BPHA CASF recipient in their application.</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B93DB0">
      <w:pPr>
        <w:pStyle w:val="ListParagraph"/>
        <w:numPr>
          <w:ilvl w:val="0"/>
          <w:numId w:val="23"/>
        </w:numPr>
        <w:tabs>
          <w:tab w:val="left" w:pos="810"/>
        </w:tabs>
        <w:ind w:left="81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Grantees must submit a project completion report before submitting a full payment request. </w:t>
      </w:r>
    </w:p>
    <w:p w:rsidR="00C610C7" w:rsidRPr="00AF35A5" w:rsidRDefault="00C610C7" w:rsidP="00B93DB0">
      <w:pPr>
        <w:pStyle w:val="ListParagraph"/>
        <w:numPr>
          <w:ilvl w:val="0"/>
          <w:numId w:val="23"/>
        </w:numPr>
        <w:tabs>
          <w:tab w:val="left" w:pos="810"/>
        </w:tabs>
        <w:ind w:left="81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Grantees may submit a payment request after six months of deployment, along with a “milestone” report</w:t>
      </w:r>
    </w:p>
    <w:p w:rsidR="00C610C7" w:rsidRPr="00AF35A5" w:rsidRDefault="00C610C7" w:rsidP="00B93DB0">
      <w:pPr>
        <w:pStyle w:val="ListParagraph"/>
        <w:numPr>
          <w:ilvl w:val="0"/>
          <w:numId w:val="23"/>
        </w:numPr>
        <w:tabs>
          <w:tab w:val="left" w:pos="810"/>
        </w:tabs>
        <w:ind w:left="81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Payment can be made for the entire project on the submission of the completion report if the grantee prefers to wait until the completion of the project for payment request. Payment to the project grantee will be made upon project completion and the submission of a project completion report.  </w:t>
      </w:r>
    </w:p>
    <w:p w:rsidR="00C610C7" w:rsidRPr="00AF35A5" w:rsidRDefault="00C610C7" w:rsidP="00B93DB0">
      <w:pPr>
        <w:pStyle w:val="ListParagraph"/>
        <w:numPr>
          <w:ilvl w:val="0"/>
          <w:numId w:val="23"/>
        </w:numPr>
        <w:tabs>
          <w:tab w:val="left" w:pos="810"/>
        </w:tabs>
        <w:ind w:left="81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Grantees shall submit final requests for payment no later than 90 days after completion of the project.</w:t>
      </w:r>
    </w:p>
    <w:p w:rsidR="00C610C7" w:rsidRPr="00AF35A5" w:rsidRDefault="00C610C7" w:rsidP="00B93DB0">
      <w:pPr>
        <w:pStyle w:val="ListParagraph"/>
        <w:numPr>
          <w:ilvl w:val="0"/>
          <w:numId w:val="23"/>
        </w:numPr>
        <w:ind w:left="81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Payment will be based upon receipt and approval of invoices/other supporting documents showing the expenditures incurred for the project are in accordance with their application.</w:t>
      </w:r>
    </w:p>
    <w:p w:rsidR="00C610C7" w:rsidRPr="00AF35A5" w:rsidRDefault="00C610C7" w:rsidP="00B93DB0">
      <w:pPr>
        <w:pStyle w:val="ListParagraph"/>
        <w:numPr>
          <w:ilvl w:val="0"/>
          <w:numId w:val="23"/>
        </w:numPr>
        <w:ind w:left="81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Grantees must notify the Commission as soon as they become aware that they may not be able to meet project deadlines.  </w:t>
      </w:r>
    </w:p>
    <w:p w:rsidR="00C610C7" w:rsidRPr="00AF35A5" w:rsidRDefault="00C610C7" w:rsidP="00B93DB0">
      <w:pPr>
        <w:pStyle w:val="ListParagraph"/>
        <w:numPr>
          <w:ilvl w:val="0"/>
          <w:numId w:val="23"/>
        </w:numPr>
        <w:ind w:left="81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Payment will be made in accordance with, and within the time specified in California Government Code § 927 et seq.</w:t>
      </w:r>
    </w:p>
    <w:p w:rsidR="00C610C7" w:rsidRPr="00AF35A5" w:rsidRDefault="00C610C7" w:rsidP="00B93DB0">
      <w:pPr>
        <w:pStyle w:val="ListParagraph"/>
        <w:numPr>
          <w:ilvl w:val="0"/>
          <w:numId w:val="23"/>
        </w:numPr>
        <w:ind w:left="81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Commission has the right to conduct any necessary audit, verification, and discovery during project implementation/construction to ensure that CASF funds are spent in accordance with the terms of approval granted by the Commission.</w:t>
      </w:r>
    </w:p>
    <w:p w:rsidR="00C610C7" w:rsidRPr="00AF35A5" w:rsidRDefault="00C610C7" w:rsidP="00B93DB0">
      <w:pPr>
        <w:pStyle w:val="ListParagraph"/>
        <w:numPr>
          <w:ilvl w:val="0"/>
          <w:numId w:val="23"/>
        </w:numPr>
        <w:ind w:left="810" w:hanging="450"/>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The recipient’s invoices will be subject to a financial audit by the Commission at any time within three years of final payment.</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Commission has the right to conduct any necessary audit, verification, and discovery during project implementation/construction to ensure that CASF funds are spent in accordance with Commission approval.</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 recipient’s invoices will be subject to a financial audit by the Commission at any time within three years of completion of the project.</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9A00FB">
      <w:pPr>
        <w:pStyle w:val="Heading2"/>
        <w:numPr>
          <w:ilvl w:val="0"/>
          <w:numId w:val="0"/>
        </w:numPr>
        <w:ind w:left="1710"/>
      </w:pPr>
      <w:bookmarkStart w:id="900" w:name="_Toc499547626"/>
      <w:bookmarkStart w:id="901" w:name="_Toc499566780"/>
      <w:bookmarkStart w:id="902" w:name="_Toc499567763"/>
      <w:bookmarkStart w:id="903" w:name="_Toc499567843"/>
      <w:bookmarkStart w:id="904" w:name="_Toc505786756"/>
      <w:bookmarkStart w:id="905" w:name="_Toc514153059"/>
      <w:bookmarkEnd w:id="900"/>
      <w:bookmarkEnd w:id="901"/>
      <w:bookmarkEnd w:id="902"/>
      <w:bookmarkEnd w:id="903"/>
      <w:r w:rsidRPr="00AF35A5">
        <w:t>Execution and Performance</w:t>
      </w:r>
      <w:bookmarkEnd w:id="904"/>
      <w:bookmarkEnd w:id="905"/>
    </w:p>
    <w:p w:rsidR="00C610C7" w:rsidRPr="00AF35A5" w:rsidRDefault="00C610C7" w:rsidP="00C610C7">
      <w:pPr>
        <w:keepLines/>
        <w:widowControl w:val="0"/>
        <w:overflowPunct w:val="0"/>
        <w:autoSpaceDE w:val="0"/>
        <w:autoSpaceDN w:val="0"/>
        <w:adjustRightInd w:val="0"/>
        <w:ind w:left="360"/>
        <w:textAlignment w:val="baseline"/>
        <w:rPr>
          <w:rFonts w:ascii="Palatino Linotype" w:hAnsi="Palatino Linotype"/>
          <w:strike/>
          <w:color w:val="000000" w:themeColor="text1"/>
          <w:sz w:val="24"/>
          <w:szCs w:val="24"/>
        </w:rPr>
      </w:pPr>
      <w:r w:rsidRPr="00AF35A5">
        <w:rPr>
          <w:rFonts w:ascii="Palatino Linotype" w:hAnsi="Palatino Linotype"/>
          <w:color w:val="000000" w:themeColor="text1"/>
          <w:sz w:val="24"/>
          <w:szCs w:val="24"/>
        </w:rPr>
        <w:t>The infrastructure project grantee shall start the project soon after grant approval and complete the project within a 12</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month timeframe.  The adoption project grantee shall start the project within six months after the grant approval (after the ramp</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up time) and complete the project within a 12</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month timeframe or until work plan milestones/deliverables have been accomplished.  The Commission may withhold or terminate grant payments if the grantee does not comply with any of the requirements set forth in its application and compliance with the CASF.  In the event that the project grantee is unable to complete the proposed project within the required 12</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month timeframe, it must notify the Commission as soon as it becomes aware of this prospect.  The Commission reserves the right to reduce payment for failure to satisfy this requirement.  </w:t>
      </w:r>
    </w:p>
    <w:p w:rsidR="00C610C7" w:rsidRPr="00AF35A5" w:rsidRDefault="00C610C7" w:rsidP="00C610C7">
      <w:pPr>
        <w:keepLines/>
        <w:widowControl w:val="0"/>
        <w:overflowPunct w:val="0"/>
        <w:autoSpaceDE w:val="0"/>
        <w:autoSpaceDN w:val="0"/>
        <w:adjustRightInd w:val="0"/>
        <w:ind w:left="360"/>
        <w:textAlignment w:val="baseline"/>
        <w:rPr>
          <w:rFonts w:ascii="Palatino Linotype" w:hAnsi="Palatino Linotype"/>
          <w:color w:val="000000" w:themeColor="text1"/>
          <w:sz w:val="24"/>
          <w:szCs w:val="24"/>
        </w:rPr>
      </w:pPr>
    </w:p>
    <w:p w:rsidR="00C610C7" w:rsidRPr="00AF35A5" w:rsidRDefault="00C610C7" w:rsidP="00C610C7">
      <w:pPr>
        <w:keepLines/>
        <w:widowControl w:val="0"/>
        <w:overflowPunct w:val="0"/>
        <w:autoSpaceDE w:val="0"/>
        <w:autoSpaceDN w:val="0"/>
        <w:adjustRightInd w:val="0"/>
        <w:ind w:left="360"/>
        <w:textAlignment w:val="baseline"/>
        <w:rPr>
          <w:rFonts w:ascii="Palatino Linotype" w:hAnsi="Palatino Linotype"/>
          <w:color w:val="000000" w:themeColor="text1"/>
          <w:sz w:val="24"/>
          <w:szCs w:val="24"/>
        </w:rPr>
      </w:pPr>
      <w:r w:rsidRPr="00AF35A5">
        <w:rPr>
          <w:rFonts w:ascii="Palatino Linotype" w:hAnsi="Palatino Linotype"/>
          <w:color w:val="000000" w:themeColor="text1"/>
          <w:sz w:val="24"/>
          <w:szCs w:val="24"/>
        </w:rPr>
        <w:t>In the event that the BPHA CASF recipient fails to complete the project, in accordance with the terms of approval granted by the Commission, the CASF recipient must reimburse some or all of the BPHA CASF funds that it has received.</w:t>
      </w:r>
    </w:p>
    <w:p w:rsidR="00C610C7" w:rsidRPr="00AF35A5" w:rsidRDefault="00C610C7" w:rsidP="00C610C7">
      <w:pPr>
        <w:keepLines/>
        <w:widowControl w:val="0"/>
        <w:overflowPunct w:val="0"/>
        <w:autoSpaceDE w:val="0"/>
        <w:autoSpaceDN w:val="0"/>
        <w:adjustRightInd w:val="0"/>
        <w:ind w:left="360"/>
        <w:textAlignment w:val="baseline"/>
        <w:rPr>
          <w:rFonts w:ascii="Palatino Linotype" w:hAnsi="Palatino Linotype"/>
          <w:color w:val="000000" w:themeColor="text1"/>
          <w:sz w:val="24"/>
          <w:szCs w:val="24"/>
        </w:rPr>
      </w:pPr>
    </w:p>
    <w:p w:rsidR="00C610C7" w:rsidRPr="00AF35A5" w:rsidRDefault="00C610C7" w:rsidP="00C610C7">
      <w:pPr>
        <w:keepLines/>
        <w:widowControl w:val="0"/>
        <w:pBdr>
          <w:bottom w:val="single" w:sz="6" w:space="1" w:color="auto"/>
        </w:pBdr>
        <w:overflowPunct w:val="0"/>
        <w:autoSpaceDE w:val="0"/>
        <w:autoSpaceDN w:val="0"/>
        <w:adjustRightInd w:val="0"/>
        <w:ind w:left="360"/>
        <w:textAlignment w:val="baseline"/>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The BPHA CASF grant recipient must complete all performance under the award on or before the termination date of the award.  Material changes in the entries for this application, such as discontinuing operation or bankruptcy, or change of name (DBA), change of address, telephone, fax number or E mail address should be reported by a letter to the CPUC, Director of the Communications Division, 505 Van Ness Avenue, San Francisco, CA  94102. </w:t>
      </w:r>
    </w:p>
    <w:p w:rsidR="00C610C7" w:rsidRPr="00AF35A5" w:rsidRDefault="00C610C7" w:rsidP="00C610C7">
      <w:pPr>
        <w:keepLines/>
        <w:widowControl w:val="0"/>
        <w:pBdr>
          <w:bottom w:val="single" w:sz="6" w:space="1" w:color="auto"/>
        </w:pBdr>
        <w:overflowPunct w:val="0"/>
        <w:autoSpaceDE w:val="0"/>
        <w:autoSpaceDN w:val="0"/>
        <w:adjustRightInd w:val="0"/>
        <w:ind w:left="360"/>
        <w:textAlignment w:val="baseline"/>
        <w:rPr>
          <w:rFonts w:ascii="Palatino Linotype" w:hAnsi="Palatino Linotype"/>
          <w:color w:val="000000" w:themeColor="text1"/>
          <w:sz w:val="24"/>
          <w:szCs w:val="24"/>
        </w:rPr>
      </w:pPr>
    </w:p>
    <w:p w:rsidR="00C610C7" w:rsidRPr="00AF35A5" w:rsidRDefault="00C610C7" w:rsidP="00C610C7">
      <w:pPr>
        <w:keepLines/>
        <w:widowControl w:val="0"/>
        <w:pBdr>
          <w:bottom w:val="single" w:sz="6" w:space="1" w:color="auto"/>
        </w:pBdr>
        <w:overflowPunct w:val="0"/>
        <w:autoSpaceDE w:val="0"/>
        <w:autoSpaceDN w:val="0"/>
        <w:adjustRightInd w:val="0"/>
        <w:ind w:left="360"/>
        <w:textAlignment w:val="baseline"/>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 xml:space="preserve">Submit completed applications online at </w:t>
      </w:r>
      <w:hyperlink r:id="rId34" w:history="1">
        <w:r w:rsidRPr="00AF35A5">
          <w:rPr>
            <w:rStyle w:val="Hyperlink"/>
            <w:rFonts w:ascii="Palatino Linotype" w:hAnsi="Palatino Linotype"/>
            <w:color w:val="000000" w:themeColor="text1"/>
            <w:sz w:val="24"/>
            <w:szCs w:val="24"/>
          </w:rPr>
          <w:t>https://kwftp.cpuc.ca.gov</w:t>
        </w:r>
      </w:hyperlink>
      <w:r w:rsidRPr="00AF35A5">
        <w:rPr>
          <w:rFonts w:ascii="Palatino Linotype" w:hAnsi="Palatino Linotype"/>
          <w:color w:val="000000" w:themeColor="text1"/>
          <w:sz w:val="24"/>
          <w:szCs w:val="24"/>
        </w:rPr>
        <w:t xml:space="preserve"> with hard copies mailed separately to:</w:t>
      </w:r>
    </w:p>
    <w:p w:rsidR="00C610C7" w:rsidRPr="00AF35A5" w:rsidRDefault="00C610C7" w:rsidP="00C610C7">
      <w:pPr>
        <w:keepLines/>
        <w:widowControl w:val="0"/>
        <w:pBdr>
          <w:bottom w:val="single" w:sz="6" w:space="1" w:color="auto"/>
        </w:pBdr>
        <w:overflowPunct w:val="0"/>
        <w:autoSpaceDE w:val="0"/>
        <w:autoSpaceDN w:val="0"/>
        <w:adjustRightInd w:val="0"/>
        <w:ind w:left="360"/>
        <w:jc w:val="center"/>
        <w:textAlignment w:val="baseline"/>
        <w:rPr>
          <w:rFonts w:ascii="Palatino Linotype" w:hAnsi="Palatino Linotype"/>
          <w:color w:val="000000" w:themeColor="text1"/>
          <w:sz w:val="24"/>
          <w:szCs w:val="24"/>
        </w:rPr>
      </w:pPr>
    </w:p>
    <w:p w:rsidR="00C610C7" w:rsidRPr="00AF35A5" w:rsidRDefault="00C610C7" w:rsidP="00C610C7">
      <w:pPr>
        <w:keepLines/>
        <w:widowControl w:val="0"/>
        <w:pBdr>
          <w:bottom w:val="single" w:sz="6" w:space="1" w:color="auto"/>
        </w:pBdr>
        <w:overflowPunct w:val="0"/>
        <w:autoSpaceDE w:val="0"/>
        <w:autoSpaceDN w:val="0"/>
        <w:adjustRightInd w:val="0"/>
        <w:ind w:left="360"/>
        <w:jc w:val="center"/>
        <w:textAlignment w:val="baseline"/>
        <w:rPr>
          <w:rFonts w:ascii="Palatino Linotype" w:hAnsi="Palatino Linotype"/>
          <w:color w:val="000000" w:themeColor="text1"/>
          <w:sz w:val="24"/>
          <w:szCs w:val="24"/>
        </w:rPr>
      </w:pPr>
      <w:r w:rsidRPr="00AF35A5">
        <w:rPr>
          <w:rFonts w:ascii="Palatino Linotype" w:hAnsi="Palatino Linotype"/>
          <w:color w:val="000000" w:themeColor="text1"/>
          <w:sz w:val="24"/>
          <w:szCs w:val="24"/>
        </w:rPr>
        <w:t>Communications Division</w:t>
      </w:r>
    </w:p>
    <w:p w:rsidR="00C610C7" w:rsidRPr="00AF35A5" w:rsidRDefault="00C610C7" w:rsidP="00C610C7">
      <w:pPr>
        <w:keepLines/>
        <w:widowControl w:val="0"/>
        <w:pBdr>
          <w:bottom w:val="single" w:sz="6" w:space="1" w:color="auto"/>
        </w:pBdr>
        <w:overflowPunct w:val="0"/>
        <w:autoSpaceDE w:val="0"/>
        <w:autoSpaceDN w:val="0"/>
        <w:adjustRightInd w:val="0"/>
        <w:ind w:left="360"/>
        <w:jc w:val="center"/>
        <w:textAlignment w:val="baseline"/>
        <w:rPr>
          <w:rFonts w:ascii="Palatino Linotype" w:hAnsi="Palatino Linotype"/>
          <w:color w:val="000000" w:themeColor="text1"/>
          <w:sz w:val="24"/>
          <w:szCs w:val="24"/>
        </w:rPr>
      </w:pPr>
      <w:r w:rsidRPr="00AF35A5">
        <w:rPr>
          <w:rFonts w:ascii="Palatino Linotype" w:hAnsi="Palatino Linotype"/>
          <w:color w:val="000000" w:themeColor="text1"/>
          <w:sz w:val="24"/>
          <w:szCs w:val="24"/>
        </w:rPr>
        <w:t>Attn:  California Advanced Services Fund</w:t>
      </w:r>
    </w:p>
    <w:p w:rsidR="00C610C7" w:rsidRPr="00AF35A5" w:rsidRDefault="00C610C7" w:rsidP="00C610C7">
      <w:pPr>
        <w:keepLines/>
        <w:widowControl w:val="0"/>
        <w:pBdr>
          <w:bottom w:val="single" w:sz="6" w:space="1" w:color="auto"/>
        </w:pBdr>
        <w:overflowPunct w:val="0"/>
        <w:autoSpaceDE w:val="0"/>
        <w:autoSpaceDN w:val="0"/>
        <w:adjustRightInd w:val="0"/>
        <w:ind w:left="360"/>
        <w:jc w:val="center"/>
        <w:textAlignment w:val="baseline"/>
        <w:rPr>
          <w:rFonts w:ascii="Palatino Linotype" w:hAnsi="Palatino Linotype"/>
          <w:color w:val="000000" w:themeColor="text1"/>
          <w:sz w:val="24"/>
          <w:szCs w:val="24"/>
        </w:rPr>
      </w:pPr>
      <w:r w:rsidRPr="00AF35A5">
        <w:rPr>
          <w:rFonts w:ascii="Palatino Linotype" w:hAnsi="Palatino Linotype"/>
          <w:color w:val="000000" w:themeColor="text1"/>
          <w:sz w:val="24"/>
          <w:szCs w:val="24"/>
        </w:rPr>
        <w:t>California Public Utilities Commission</w:t>
      </w:r>
    </w:p>
    <w:p w:rsidR="00C610C7" w:rsidRPr="00AF35A5" w:rsidRDefault="00C610C7" w:rsidP="00C610C7">
      <w:pPr>
        <w:keepLines/>
        <w:widowControl w:val="0"/>
        <w:pBdr>
          <w:bottom w:val="single" w:sz="6" w:space="1" w:color="auto"/>
        </w:pBdr>
        <w:overflowPunct w:val="0"/>
        <w:autoSpaceDE w:val="0"/>
        <w:autoSpaceDN w:val="0"/>
        <w:adjustRightInd w:val="0"/>
        <w:ind w:left="360"/>
        <w:jc w:val="center"/>
        <w:textAlignment w:val="baseline"/>
        <w:rPr>
          <w:rFonts w:ascii="Palatino Linotype" w:hAnsi="Palatino Linotype"/>
          <w:color w:val="000000" w:themeColor="text1"/>
          <w:sz w:val="24"/>
          <w:szCs w:val="24"/>
        </w:rPr>
      </w:pPr>
      <w:r w:rsidRPr="00AF35A5">
        <w:rPr>
          <w:rFonts w:ascii="Palatino Linotype" w:hAnsi="Palatino Linotype"/>
          <w:color w:val="000000" w:themeColor="text1"/>
          <w:sz w:val="24"/>
          <w:szCs w:val="24"/>
        </w:rPr>
        <w:t>505 Van Ness Ave.</w:t>
      </w:r>
    </w:p>
    <w:p w:rsidR="00C610C7" w:rsidRDefault="00C610C7" w:rsidP="00976DFC">
      <w:pPr>
        <w:widowControl w:val="0"/>
        <w:pBdr>
          <w:bottom w:val="single" w:sz="6" w:space="1" w:color="auto"/>
        </w:pBdr>
        <w:overflowPunct w:val="0"/>
        <w:autoSpaceDE w:val="0"/>
        <w:autoSpaceDN w:val="0"/>
        <w:adjustRightInd w:val="0"/>
        <w:ind w:left="360"/>
        <w:jc w:val="center"/>
        <w:textAlignment w:val="baseline"/>
        <w:rPr>
          <w:rFonts w:ascii="Palatino Linotype" w:hAnsi="Palatino Linotype"/>
          <w:color w:val="000000" w:themeColor="text1"/>
          <w:sz w:val="24"/>
          <w:szCs w:val="24"/>
        </w:rPr>
      </w:pPr>
      <w:r w:rsidRPr="00AF35A5">
        <w:rPr>
          <w:rFonts w:ascii="Palatino Linotype" w:hAnsi="Palatino Linotype"/>
          <w:color w:val="000000" w:themeColor="text1"/>
          <w:sz w:val="24"/>
          <w:szCs w:val="24"/>
        </w:rPr>
        <w:t>San Francisco, CA   94102</w:t>
      </w:r>
    </w:p>
    <w:p w:rsidR="00F20C54" w:rsidRPr="00AF35A5" w:rsidRDefault="00F20C54" w:rsidP="00976DFC">
      <w:pPr>
        <w:widowControl w:val="0"/>
        <w:pBdr>
          <w:bottom w:val="single" w:sz="6" w:space="1" w:color="auto"/>
        </w:pBdr>
        <w:overflowPunct w:val="0"/>
        <w:autoSpaceDE w:val="0"/>
        <w:autoSpaceDN w:val="0"/>
        <w:adjustRightInd w:val="0"/>
        <w:ind w:left="360"/>
        <w:jc w:val="center"/>
        <w:textAlignment w:val="baseline"/>
        <w:rPr>
          <w:rFonts w:ascii="Palatino Linotype" w:hAnsi="Palatino Linotype"/>
          <w:color w:val="000000" w:themeColor="text1"/>
          <w:sz w:val="24"/>
          <w:szCs w:val="24"/>
        </w:rPr>
      </w:pPr>
    </w:p>
    <w:p w:rsidR="00C610C7" w:rsidRPr="00AF35A5" w:rsidRDefault="00C610C7" w:rsidP="00976DFC">
      <w:pPr>
        <w:keepNext/>
        <w:widowControl w:val="0"/>
        <w:pBdr>
          <w:bottom w:val="single" w:sz="6" w:space="1" w:color="auto"/>
        </w:pBdr>
        <w:overflowPunct w:val="0"/>
        <w:autoSpaceDE w:val="0"/>
        <w:autoSpaceDN w:val="0"/>
        <w:adjustRightInd w:val="0"/>
        <w:ind w:left="360"/>
        <w:jc w:val="center"/>
        <w:textAlignment w:val="baseline"/>
        <w:rPr>
          <w:rFonts w:ascii="Palatino Linotype" w:hAnsi="Palatino Linotype"/>
          <w:color w:val="000000" w:themeColor="text1"/>
          <w:sz w:val="24"/>
          <w:szCs w:val="24"/>
        </w:rPr>
      </w:pPr>
    </w:p>
    <w:p w:rsidR="00C610C7" w:rsidRPr="00AF35A5" w:rsidRDefault="00C610C7" w:rsidP="00C610C7">
      <w:pPr>
        <w:keepLines/>
        <w:widowControl w:val="0"/>
        <w:pBdr>
          <w:bottom w:val="single" w:sz="6" w:space="1" w:color="auto"/>
        </w:pBdr>
        <w:overflowPunct w:val="0"/>
        <w:autoSpaceDE w:val="0"/>
        <w:autoSpaceDN w:val="0"/>
        <w:adjustRightInd w:val="0"/>
        <w:ind w:left="360"/>
        <w:jc w:val="center"/>
        <w:textAlignment w:val="baseline"/>
        <w:rPr>
          <w:rFonts w:ascii="Palatino Linotype" w:hAnsi="Palatino Linotype"/>
          <w:color w:val="000000" w:themeColor="text1"/>
          <w:sz w:val="24"/>
          <w:szCs w:val="24"/>
        </w:rPr>
      </w:pPr>
      <w:r w:rsidRPr="00AF35A5">
        <w:rPr>
          <w:rFonts w:ascii="Palatino Linotype" w:hAnsi="Palatino Linotype"/>
          <w:color w:val="000000" w:themeColor="text1"/>
          <w:sz w:val="24"/>
          <w:szCs w:val="24"/>
        </w:rPr>
        <w:t>Office of Ratepayer Advocates</w:t>
      </w:r>
    </w:p>
    <w:p w:rsidR="00C610C7" w:rsidRPr="00AF35A5" w:rsidRDefault="00C610C7" w:rsidP="00C610C7">
      <w:pPr>
        <w:keepLines/>
        <w:widowControl w:val="0"/>
        <w:pBdr>
          <w:bottom w:val="single" w:sz="6" w:space="1" w:color="auto"/>
        </w:pBdr>
        <w:overflowPunct w:val="0"/>
        <w:autoSpaceDE w:val="0"/>
        <w:autoSpaceDN w:val="0"/>
        <w:adjustRightInd w:val="0"/>
        <w:ind w:left="360"/>
        <w:jc w:val="center"/>
        <w:textAlignment w:val="baseline"/>
        <w:rPr>
          <w:rFonts w:ascii="Palatino Linotype" w:hAnsi="Palatino Linotype"/>
          <w:color w:val="000000" w:themeColor="text1"/>
          <w:sz w:val="24"/>
          <w:szCs w:val="24"/>
        </w:rPr>
      </w:pPr>
      <w:r w:rsidRPr="00AF35A5">
        <w:rPr>
          <w:rFonts w:ascii="Palatino Linotype" w:hAnsi="Palatino Linotype"/>
          <w:color w:val="000000" w:themeColor="text1"/>
          <w:sz w:val="24"/>
          <w:szCs w:val="24"/>
        </w:rPr>
        <w:t>Re:  California Advanced Services Fund</w:t>
      </w:r>
    </w:p>
    <w:p w:rsidR="00C610C7" w:rsidRPr="00AF35A5" w:rsidRDefault="00C610C7" w:rsidP="00C610C7">
      <w:pPr>
        <w:keepLines/>
        <w:widowControl w:val="0"/>
        <w:pBdr>
          <w:bottom w:val="single" w:sz="6" w:space="1" w:color="auto"/>
        </w:pBdr>
        <w:overflowPunct w:val="0"/>
        <w:autoSpaceDE w:val="0"/>
        <w:autoSpaceDN w:val="0"/>
        <w:adjustRightInd w:val="0"/>
        <w:ind w:left="360"/>
        <w:jc w:val="center"/>
        <w:textAlignment w:val="baseline"/>
        <w:rPr>
          <w:rFonts w:ascii="Palatino Linotype" w:hAnsi="Palatino Linotype"/>
          <w:color w:val="000000" w:themeColor="text1"/>
          <w:sz w:val="24"/>
          <w:szCs w:val="24"/>
        </w:rPr>
      </w:pPr>
      <w:r w:rsidRPr="00AF35A5">
        <w:rPr>
          <w:rFonts w:ascii="Palatino Linotype" w:hAnsi="Palatino Linotype"/>
          <w:color w:val="000000" w:themeColor="text1"/>
          <w:sz w:val="24"/>
          <w:szCs w:val="24"/>
        </w:rPr>
        <w:t>California Public Utilities Commission</w:t>
      </w:r>
    </w:p>
    <w:p w:rsidR="00C610C7" w:rsidRPr="00AF35A5" w:rsidRDefault="00C610C7" w:rsidP="00C610C7">
      <w:pPr>
        <w:keepLines/>
        <w:widowControl w:val="0"/>
        <w:pBdr>
          <w:bottom w:val="single" w:sz="6" w:space="1" w:color="auto"/>
        </w:pBdr>
        <w:overflowPunct w:val="0"/>
        <w:autoSpaceDE w:val="0"/>
        <w:autoSpaceDN w:val="0"/>
        <w:adjustRightInd w:val="0"/>
        <w:ind w:left="360"/>
        <w:jc w:val="center"/>
        <w:textAlignment w:val="baseline"/>
        <w:rPr>
          <w:rFonts w:ascii="Palatino Linotype" w:hAnsi="Palatino Linotype"/>
          <w:color w:val="000000" w:themeColor="text1"/>
          <w:sz w:val="24"/>
          <w:szCs w:val="24"/>
        </w:rPr>
      </w:pPr>
      <w:r w:rsidRPr="00AF35A5">
        <w:rPr>
          <w:rFonts w:ascii="Palatino Linotype" w:hAnsi="Palatino Linotype"/>
          <w:color w:val="000000" w:themeColor="text1"/>
          <w:sz w:val="24"/>
          <w:szCs w:val="24"/>
        </w:rPr>
        <w:t>505 Van Ness Ave.</w:t>
      </w:r>
    </w:p>
    <w:p w:rsidR="00C610C7" w:rsidRDefault="00C610C7" w:rsidP="00C610C7">
      <w:pPr>
        <w:keepLines/>
        <w:widowControl w:val="0"/>
        <w:pBdr>
          <w:bottom w:val="single" w:sz="6" w:space="1" w:color="auto"/>
        </w:pBdr>
        <w:overflowPunct w:val="0"/>
        <w:autoSpaceDE w:val="0"/>
        <w:autoSpaceDN w:val="0"/>
        <w:adjustRightInd w:val="0"/>
        <w:ind w:left="360"/>
        <w:jc w:val="center"/>
        <w:textAlignment w:val="baseline"/>
        <w:rPr>
          <w:rFonts w:ascii="Palatino Linotype" w:hAnsi="Palatino Linotype"/>
          <w:color w:val="000000" w:themeColor="text1"/>
          <w:sz w:val="24"/>
          <w:szCs w:val="24"/>
        </w:rPr>
      </w:pPr>
      <w:r w:rsidRPr="00AF35A5">
        <w:rPr>
          <w:rFonts w:ascii="Palatino Linotype" w:hAnsi="Palatino Linotype"/>
          <w:color w:val="000000" w:themeColor="text1"/>
          <w:sz w:val="24"/>
          <w:szCs w:val="24"/>
        </w:rPr>
        <w:t>San Francisco, CA   94102</w:t>
      </w:r>
    </w:p>
    <w:p w:rsidR="00F20C54" w:rsidRPr="00AF35A5" w:rsidRDefault="00F20C54" w:rsidP="00C610C7">
      <w:pPr>
        <w:keepLines/>
        <w:widowControl w:val="0"/>
        <w:pBdr>
          <w:bottom w:val="single" w:sz="6" w:space="1" w:color="auto"/>
        </w:pBdr>
        <w:overflowPunct w:val="0"/>
        <w:autoSpaceDE w:val="0"/>
        <w:autoSpaceDN w:val="0"/>
        <w:adjustRightInd w:val="0"/>
        <w:ind w:left="360"/>
        <w:jc w:val="center"/>
        <w:textAlignment w:val="baseline"/>
        <w:rPr>
          <w:rFonts w:ascii="Palatino Linotype" w:hAnsi="Palatino Linotype"/>
          <w:color w:val="000000" w:themeColor="text1"/>
          <w:sz w:val="24"/>
          <w:szCs w:val="24"/>
        </w:rPr>
      </w:pPr>
    </w:p>
    <w:p w:rsidR="00C610C7" w:rsidRDefault="00C610C7" w:rsidP="00C610C7">
      <w:pPr>
        <w:spacing w:line="480" w:lineRule="auto"/>
        <w:ind w:left="2880" w:right="-18" w:firstLine="720"/>
        <w:rPr>
          <w:rFonts w:ascii="Palatino Linotype" w:hAnsi="Palatino Linotype"/>
          <w:color w:val="000000" w:themeColor="text1"/>
          <w:sz w:val="24"/>
          <w:szCs w:val="24"/>
        </w:rPr>
      </w:pPr>
    </w:p>
    <w:p w:rsidR="00F20C54" w:rsidRPr="00AF35A5" w:rsidRDefault="00F20C54" w:rsidP="00C610C7">
      <w:pPr>
        <w:spacing w:line="480" w:lineRule="auto"/>
        <w:ind w:left="2880" w:right="-18" w:firstLine="720"/>
        <w:rPr>
          <w:rFonts w:ascii="Palatino Linotype" w:hAnsi="Palatino Linotype"/>
          <w:color w:val="000000" w:themeColor="text1"/>
          <w:sz w:val="24"/>
          <w:szCs w:val="24"/>
        </w:rPr>
        <w:sectPr w:rsidR="00F20C54" w:rsidRPr="00AF35A5" w:rsidSect="00645283">
          <w:headerReference w:type="default" r:id="rId35"/>
          <w:footerReference w:type="default" r:id="rId36"/>
          <w:footnotePr>
            <w:numRestart w:val="eachSect"/>
          </w:footnotePr>
          <w:pgSz w:w="12240" w:h="15840"/>
          <w:pgMar w:top="1440" w:right="1800" w:bottom="1440" w:left="1800" w:header="720" w:footer="475" w:gutter="0"/>
          <w:pgNumType w:start="1"/>
          <w:cols w:space="720"/>
          <w:docGrid w:linePitch="600" w:charSpace="28672"/>
        </w:sectPr>
      </w:pPr>
    </w:p>
    <w:p w:rsidR="00C610C7" w:rsidRPr="00AF35A5" w:rsidRDefault="00C610C7" w:rsidP="00C610C7">
      <w:pPr>
        <w:rPr>
          <w:rFonts w:ascii="Palatino Linotype" w:hAnsi="Palatino Linotype"/>
          <w:b/>
          <w:i/>
          <w:color w:val="000000" w:themeColor="text1"/>
          <w:sz w:val="24"/>
          <w:szCs w:val="24"/>
        </w:rPr>
      </w:pPr>
      <w:bookmarkStart w:id="906" w:name="_Toc505786757"/>
      <w:r w:rsidRPr="00AF35A5">
        <w:rPr>
          <w:rFonts w:ascii="Palatino Linotype" w:hAnsi="Palatino Linotype"/>
          <w:color w:val="000000" w:themeColor="text1"/>
          <w:sz w:val="24"/>
          <w:szCs w:val="24"/>
        </w:rPr>
        <w:lastRenderedPageBreak/>
        <w:br w:type="page"/>
      </w:r>
    </w:p>
    <w:p w:rsidR="00C610C7" w:rsidRPr="00AF35A5" w:rsidRDefault="00C610C7" w:rsidP="009A00FB">
      <w:pPr>
        <w:pStyle w:val="Heading2"/>
        <w:numPr>
          <w:ilvl w:val="0"/>
          <w:numId w:val="0"/>
        </w:numPr>
        <w:ind w:left="1710"/>
      </w:pPr>
      <w:bookmarkStart w:id="907" w:name="_Toc514153060"/>
      <w:r w:rsidRPr="00AF35A5">
        <w:lastRenderedPageBreak/>
        <w:t>Attachment A</w:t>
      </w:r>
      <w:bookmarkEnd w:id="906"/>
      <w:bookmarkEnd w:id="907"/>
    </w:p>
    <w:p w:rsidR="00C610C7" w:rsidRPr="00AF35A5" w:rsidRDefault="00C610C7" w:rsidP="00C610C7">
      <w:pPr>
        <w:ind w:right="-18"/>
        <w:jc w:val="center"/>
        <w:rPr>
          <w:rFonts w:ascii="Palatino Linotype" w:hAnsi="Palatino Linotype"/>
          <w:b/>
          <w:color w:val="000000" w:themeColor="text1"/>
          <w:sz w:val="24"/>
          <w:szCs w:val="24"/>
        </w:rPr>
      </w:pPr>
    </w:p>
    <w:p w:rsidR="00C610C7" w:rsidRPr="00AF35A5" w:rsidRDefault="00C610C7" w:rsidP="00C610C7">
      <w:pPr>
        <w:ind w:right="-18"/>
        <w:jc w:val="center"/>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NOTARIZED AFFIDAVIT</w:t>
      </w:r>
    </w:p>
    <w:p w:rsidR="00C610C7" w:rsidRPr="00AF35A5" w:rsidRDefault="00C610C7" w:rsidP="00C610C7">
      <w:pPr>
        <w:ind w:right="-18"/>
        <w:rPr>
          <w:rFonts w:ascii="Palatino Linotype" w:hAnsi="Palatino Linotype"/>
          <w:color w:val="000000" w:themeColor="text1"/>
          <w:sz w:val="24"/>
          <w:szCs w:val="24"/>
        </w:rPr>
      </w:pPr>
      <w:r w:rsidRPr="00AF35A5">
        <w:rPr>
          <w:rFonts w:ascii="Palatino Linotype" w:hAnsi="Palatino Linotype"/>
          <w:color w:val="000000" w:themeColor="text1"/>
          <w:sz w:val="24"/>
          <w:szCs w:val="24"/>
        </w:rPr>
        <w:t>Name of Publicly Supported Community (PSC)____________________________________</w:t>
      </w:r>
    </w:p>
    <w:p w:rsidR="00C610C7" w:rsidRPr="00AF35A5" w:rsidRDefault="00C610C7" w:rsidP="00C610C7">
      <w:pPr>
        <w:ind w:right="-18"/>
        <w:rPr>
          <w:rFonts w:ascii="Palatino Linotype" w:hAnsi="Palatino Linotype"/>
          <w:color w:val="000000" w:themeColor="text1"/>
          <w:sz w:val="24"/>
          <w:szCs w:val="24"/>
        </w:rPr>
      </w:pPr>
    </w:p>
    <w:p w:rsidR="00C610C7" w:rsidRPr="00AF35A5" w:rsidRDefault="00C610C7" w:rsidP="00C610C7">
      <w:pPr>
        <w:ind w:right="-18"/>
        <w:rPr>
          <w:rFonts w:ascii="Palatino Linotype" w:hAnsi="Palatino Linotype"/>
          <w:color w:val="000000" w:themeColor="text1"/>
          <w:sz w:val="24"/>
          <w:szCs w:val="24"/>
        </w:rPr>
      </w:pPr>
      <w:r w:rsidRPr="00AF35A5">
        <w:rPr>
          <w:rFonts w:ascii="Palatino Linotype" w:hAnsi="Palatino Linotype"/>
          <w:color w:val="000000" w:themeColor="text1"/>
          <w:sz w:val="24"/>
          <w:szCs w:val="24"/>
        </w:rPr>
        <w:t>My name is ____________________________.  I am ___________________ [Title] of __________________________ [PSC].  My personal knowledge of the facts stated herein has been derived from my employment with ____________________________ [Company]</w:t>
      </w:r>
    </w:p>
    <w:p w:rsidR="00C610C7" w:rsidRPr="00AF35A5" w:rsidRDefault="00C610C7" w:rsidP="00C610C7">
      <w:pPr>
        <w:ind w:right="-18"/>
        <w:rPr>
          <w:rFonts w:ascii="Palatino Linotype" w:hAnsi="Palatino Linotype"/>
          <w:color w:val="000000" w:themeColor="text1"/>
          <w:sz w:val="24"/>
          <w:szCs w:val="24"/>
        </w:rPr>
      </w:pPr>
    </w:p>
    <w:p w:rsidR="00C610C7" w:rsidRPr="00AF35A5" w:rsidRDefault="00C610C7" w:rsidP="00C610C7">
      <w:pPr>
        <w:ind w:right="-18"/>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I swear or affirm that I have personal knowledge of the facts stated in this Application for the California Advanced Services Fund, I am competent to testify to them, and I have the authority to make this Application on behalf of and to bind the Company. </w:t>
      </w:r>
    </w:p>
    <w:p w:rsidR="00C610C7" w:rsidRPr="00AF35A5" w:rsidRDefault="00C610C7" w:rsidP="00C610C7">
      <w:pPr>
        <w:ind w:right="-18"/>
        <w:rPr>
          <w:rFonts w:ascii="Palatino Linotype" w:hAnsi="Palatino Linotype"/>
          <w:color w:val="000000" w:themeColor="text1"/>
          <w:sz w:val="24"/>
          <w:szCs w:val="24"/>
        </w:rPr>
      </w:pPr>
    </w:p>
    <w:p w:rsidR="00C610C7" w:rsidRPr="00AF35A5" w:rsidRDefault="00C610C7" w:rsidP="00C610C7">
      <w:pPr>
        <w:ind w:right="-18"/>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I further swear or affirm that ________________________ [Name of PSC] agrees to comply with all federal and state statutes, rules, and regulations, covering broadband services and state contractual rules and regulations, if granted funding from the California Advanced Services Fund. </w:t>
      </w:r>
    </w:p>
    <w:p w:rsidR="00C610C7" w:rsidRPr="00AF35A5" w:rsidRDefault="00C610C7" w:rsidP="00C610C7">
      <w:pPr>
        <w:ind w:right="-18"/>
        <w:rPr>
          <w:rFonts w:ascii="Palatino Linotype" w:hAnsi="Palatino Linotype"/>
          <w:color w:val="000000" w:themeColor="text1"/>
          <w:sz w:val="24"/>
          <w:szCs w:val="24"/>
        </w:rPr>
      </w:pPr>
    </w:p>
    <w:p w:rsidR="00C610C7" w:rsidRPr="00AF35A5" w:rsidRDefault="00C610C7" w:rsidP="00C610C7">
      <w:pPr>
        <w:ind w:right="-18"/>
        <w:rPr>
          <w:rFonts w:ascii="Palatino Linotype" w:hAnsi="Palatino Linotype"/>
          <w:color w:val="000000" w:themeColor="text1"/>
          <w:sz w:val="24"/>
          <w:szCs w:val="24"/>
        </w:rPr>
      </w:pPr>
      <w:r w:rsidRPr="00AF35A5">
        <w:rPr>
          <w:rFonts w:ascii="Palatino Linotype" w:hAnsi="Palatino Linotype"/>
          <w:color w:val="000000" w:themeColor="text1"/>
          <w:sz w:val="24"/>
          <w:szCs w:val="24"/>
        </w:rPr>
        <w:t>I swear or affirm that I agree to comply with Rules 1.11 and 2.2 of the California Public Utilities Commission’s Rules of Practice and Procedure.</w:t>
      </w:r>
    </w:p>
    <w:p w:rsidR="00C610C7" w:rsidRPr="00AF35A5" w:rsidRDefault="00C610C7" w:rsidP="00C610C7">
      <w:pPr>
        <w:ind w:right="-18"/>
        <w:rPr>
          <w:rFonts w:ascii="Palatino Linotype" w:hAnsi="Palatino Linotype"/>
          <w:color w:val="000000" w:themeColor="text1"/>
          <w:sz w:val="24"/>
          <w:szCs w:val="24"/>
        </w:rPr>
      </w:pPr>
    </w:p>
    <w:p w:rsidR="00C610C7" w:rsidRPr="00AF35A5" w:rsidRDefault="00C610C7" w:rsidP="00C610C7">
      <w:pPr>
        <w:ind w:right="-18"/>
        <w:rPr>
          <w:rFonts w:ascii="Palatino Linotype" w:hAnsi="Palatino Linotype"/>
          <w:color w:val="000000" w:themeColor="text1"/>
          <w:sz w:val="24"/>
          <w:szCs w:val="24"/>
        </w:rPr>
      </w:pPr>
      <w:r w:rsidRPr="00AF35A5">
        <w:rPr>
          <w:rFonts w:ascii="Palatino Linotype" w:hAnsi="Palatino Linotype"/>
          <w:color w:val="000000" w:themeColor="text1"/>
          <w:sz w:val="24"/>
          <w:szCs w:val="24"/>
        </w:rPr>
        <w:t>I swear or affirm, under penalty of perjury, and under Rule 1.1 of the California Public Utilities Commission’s Rules of Practice and Procedure, that, to the best of my knowledge, all of the statements and representations made in this Application are true and correct.</w:t>
      </w:r>
    </w:p>
    <w:p w:rsidR="00C610C7" w:rsidRPr="00AF35A5" w:rsidRDefault="00C610C7" w:rsidP="00C610C7">
      <w:pPr>
        <w:ind w:right="-18"/>
        <w:rPr>
          <w:rFonts w:ascii="Palatino Linotype" w:hAnsi="Palatino Linotype"/>
          <w:color w:val="000000" w:themeColor="text1"/>
          <w:sz w:val="24"/>
          <w:szCs w:val="24"/>
        </w:rPr>
      </w:pPr>
    </w:p>
    <w:p w:rsidR="00C610C7" w:rsidRPr="00AF35A5" w:rsidRDefault="00C610C7" w:rsidP="00C610C7">
      <w:pPr>
        <w:ind w:right="-18"/>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If ____________________ [Grantee Name] violates the terms and conditions of a CASF award or other program and project compliance requirements, it shall be subject to Public Utilities Code Sections 2108 and 2111. The Commission may impose the maximum penalties allowed under Public Utilities Code Sections 2108 and 2111 for failure to meet the program and project compliance requirements, as determined by the Commission. </w:t>
      </w:r>
    </w:p>
    <w:p w:rsidR="00C610C7" w:rsidRPr="00AF35A5" w:rsidRDefault="00C610C7" w:rsidP="00C610C7">
      <w:pPr>
        <w:ind w:right="-18"/>
        <w:rPr>
          <w:rFonts w:ascii="Palatino Linotype" w:hAnsi="Palatino Linotype"/>
          <w:color w:val="000000" w:themeColor="text1"/>
          <w:sz w:val="24"/>
          <w:szCs w:val="24"/>
        </w:rPr>
      </w:pPr>
    </w:p>
    <w:p w:rsidR="00C610C7" w:rsidRPr="00AF35A5" w:rsidRDefault="00C610C7" w:rsidP="00C610C7">
      <w:pPr>
        <w:ind w:right="-18"/>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Adoption project applicants </w:t>
      </w:r>
      <w:r w:rsidRPr="00AF35A5">
        <w:rPr>
          <w:rFonts w:ascii="Palatino Linotype" w:hAnsi="Palatino Linotype"/>
          <w:b/>
          <w:color w:val="000000" w:themeColor="text1"/>
          <w:sz w:val="24"/>
          <w:szCs w:val="24"/>
        </w:rPr>
        <w:t>only</w:t>
      </w:r>
      <w:r w:rsidRPr="00AF35A5">
        <w:rPr>
          <w:rFonts w:ascii="Palatino Linotype" w:hAnsi="Palatino Linotype"/>
          <w:color w:val="000000" w:themeColor="text1"/>
          <w:sz w:val="24"/>
          <w:szCs w:val="24"/>
        </w:rPr>
        <w:t xml:space="preserve">: I attest that the ________________[PSC] is wired and broadband Internet service is available to all PSC units on the property. </w:t>
      </w:r>
    </w:p>
    <w:p w:rsidR="00C610C7" w:rsidRPr="00AF35A5" w:rsidRDefault="00C610C7" w:rsidP="00C610C7">
      <w:pPr>
        <w:ind w:right="-18"/>
        <w:rPr>
          <w:rFonts w:ascii="Palatino Linotype" w:hAnsi="Palatino Linotype"/>
          <w:color w:val="000000" w:themeColor="text1"/>
          <w:sz w:val="24"/>
          <w:szCs w:val="24"/>
        </w:rPr>
      </w:pPr>
    </w:p>
    <w:p w:rsidR="00C610C7" w:rsidRPr="00AF35A5" w:rsidRDefault="00C610C7" w:rsidP="00C610C7">
      <w:pPr>
        <w:ind w:right="-18"/>
        <w:rPr>
          <w:rFonts w:ascii="Palatino Linotype" w:hAnsi="Palatino Linotype"/>
          <w:color w:val="000000" w:themeColor="text1"/>
          <w:sz w:val="24"/>
          <w:szCs w:val="24"/>
        </w:rPr>
      </w:pPr>
      <w:r w:rsidRPr="00AF35A5">
        <w:rPr>
          <w:rFonts w:ascii="Palatino Linotype" w:hAnsi="Palatino Linotype"/>
          <w:color w:val="000000" w:themeColor="text1"/>
          <w:sz w:val="24"/>
          <w:szCs w:val="24"/>
        </w:rPr>
        <w:t>___________________________</w:t>
      </w:r>
    </w:p>
    <w:p w:rsidR="00C610C7" w:rsidRPr="00AF35A5" w:rsidRDefault="00C610C7" w:rsidP="00C610C7">
      <w:pPr>
        <w:ind w:right="-18"/>
        <w:rPr>
          <w:rFonts w:ascii="Palatino Linotype" w:hAnsi="Palatino Linotype"/>
          <w:color w:val="000000" w:themeColor="text1"/>
          <w:sz w:val="24"/>
          <w:szCs w:val="24"/>
        </w:rPr>
      </w:pPr>
      <w:r w:rsidRPr="00AF35A5">
        <w:rPr>
          <w:rFonts w:ascii="Palatino Linotype" w:hAnsi="Palatino Linotype"/>
          <w:color w:val="000000" w:themeColor="text1"/>
          <w:sz w:val="24"/>
          <w:szCs w:val="24"/>
        </w:rPr>
        <w:lastRenderedPageBreak/>
        <w:t>Signature and title</w:t>
      </w:r>
    </w:p>
    <w:p w:rsidR="00C610C7" w:rsidRPr="00AF35A5" w:rsidRDefault="00C610C7" w:rsidP="00C610C7">
      <w:pPr>
        <w:ind w:right="-18"/>
        <w:rPr>
          <w:rFonts w:ascii="Palatino Linotype" w:hAnsi="Palatino Linotype"/>
          <w:color w:val="000000" w:themeColor="text1"/>
          <w:sz w:val="24"/>
          <w:szCs w:val="24"/>
        </w:rPr>
      </w:pPr>
    </w:p>
    <w:p w:rsidR="00C610C7" w:rsidRPr="00AF35A5" w:rsidRDefault="00C610C7" w:rsidP="00C610C7">
      <w:pPr>
        <w:ind w:right="-18"/>
        <w:rPr>
          <w:rFonts w:ascii="Palatino Linotype" w:hAnsi="Palatino Linotype"/>
          <w:color w:val="000000" w:themeColor="text1"/>
          <w:sz w:val="24"/>
          <w:szCs w:val="24"/>
        </w:rPr>
      </w:pPr>
      <w:r w:rsidRPr="00AF35A5">
        <w:rPr>
          <w:rFonts w:ascii="Palatino Linotype" w:hAnsi="Palatino Linotype"/>
          <w:color w:val="000000" w:themeColor="text1"/>
          <w:sz w:val="24"/>
          <w:szCs w:val="24"/>
        </w:rPr>
        <w:t>___________________________</w:t>
      </w:r>
    </w:p>
    <w:p w:rsidR="00C610C7" w:rsidRPr="00AF35A5" w:rsidRDefault="00C610C7" w:rsidP="00C610C7">
      <w:pPr>
        <w:ind w:right="-18"/>
        <w:rPr>
          <w:rFonts w:ascii="Palatino Linotype" w:hAnsi="Palatino Linotype"/>
          <w:color w:val="000000" w:themeColor="text1"/>
          <w:sz w:val="24"/>
          <w:szCs w:val="24"/>
        </w:rPr>
      </w:pPr>
      <w:r w:rsidRPr="00AF35A5">
        <w:rPr>
          <w:rFonts w:ascii="Palatino Linotype" w:hAnsi="Palatino Linotype"/>
          <w:color w:val="000000" w:themeColor="text1"/>
          <w:sz w:val="24"/>
          <w:szCs w:val="24"/>
        </w:rPr>
        <w:t>Type or print name and title</w:t>
      </w:r>
    </w:p>
    <w:p w:rsidR="00C610C7" w:rsidRPr="00AF35A5" w:rsidRDefault="00C610C7" w:rsidP="00C610C7">
      <w:pPr>
        <w:ind w:right="-18"/>
        <w:rPr>
          <w:rFonts w:ascii="Palatino Linotype" w:hAnsi="Palatino Linotype"/>
          <w:color w:val="000000" w:themeColor="text1"/>
          <w:sz w:val="24"/>
          <w:szCs w:val="24"/>
        </w:rPr>
      </w:pPr>
    </w:p>
    <w:p w:rsidR="00C610C7" w:rsidRPr="00AF35A5" w:rsidRDefault="00C610C7" w:rsidP="00C610C7">
      <w:pPr>
        <w:spacing w:line="360" w:lineRule="auto"/>
        <w:ind w:right="-14"/>
        <w:rPr>
          <w:rFonts w:ascii="Palatino Linotype" w:hAnsi="Palatino Linotype"/>
          <w:color w:val="000000" w:themeColor="text1"/>
          <w:sz w:val="24"/>
          <w:szCs w:val="24"/>
        </w:rPr>
      </w:pPr>
      <w:r w:rsidRPr="00AF35A5">
        <w:rPr>
          <w:rFonts w:ascii="Palatino Linotype" w:hAnsi="Palatino Linotype"/>
          <w:b/>
          <w:color w:val="000000" w:themeColor="text1"/>
          <w:sz w:val="24"/>
          <w:szCs w:val="24"/>
        </w:rPr>
        <w:t>SUBSCRIBED AND SWORN</w:t>
      </w:r>
      <w:r w:rsidRPr="00AF35A5">
        <w:rPr>
          <w:rFonts w:ascii="Palatino Linotype" w:hAnsi="Palatino Linotype"/>
          <w:color w:val="000000" w:themeColor="text1"/>
          <w:sz w:val="24"/>
          <w:szCs w:val="24"/>
        </w:rPr>
        <w:t xml:space="preserve"> to before me on the _____ day of ____, 20____.</w:t>
      </w:r>
    </w:p>
    <w:p w:rsidR="00C610C7" w:rsidRDefault="00C610C7" w:rsidP="00C610C7">
      <w:pPr>
        <w:rPr>
          <w:rFonts w:ascii="Palatino Linotype" w:hAnsi="Palatino Linotype"/>
          <w:color w:val="000000" w:themeColor="text1"/>
          <w:sz w:val="24"/>
          <w:szCs w:val="24"/>
        </w:rPr>
      </w:pPr>
      <w:r w:rsidRPr="00AF35A5">
        <w:rPr>
          <w:rFonts w:ascii="Palatino Linotype" w:hAnsi="Palatino Linotype"/>
          <w:color w:val="000000" w:themeColor="text1"/>
          <w:sz w:val="24"/>
          <w:szCs w:val="24"/>
        </w:rPr>
        <w:t>Notary Public In and For the State of ________________</w:t>
      </w:r>
      <w:r w:rsidRPr="00AF35A5">
        <w:rPr>
          <w:rFonts w:ascii="Palatino Linotype" w:hAnsi="Palatino Linotype"/>
          <w:color w:val="000000" w:themeColor="text1"/>
          <w:sz w:val="24"/>
          <w:szCs w:val="24"/>
        </w:rPr>
        <w:br/>
        <w:t>My Commission expires __________________________</w:t>
      </w:r>
    </w:p>
    <w:p w:rsidR="005D048B" w:rsidRDefault="005D048B" w:rsidP="00C610C7">
      <w:pPr>
        <w:rPr>
          <w:rFonts w:ascii="Palatino Linotype" w:hAnsi="Palatino Linotype"/>
          <w:color w:val="000000" w:themeColor="text1"/>
          <w:sz w:val="24"/>
          <w:szCs w:val="24"/>
        </w:rPr>
      </w:pPr>
    </w:p>
    <w:p w:rsidR="005D048B" w:rsidRDefault="005D048B" w:rsidP="00C610C7">
      <w:pPr>
        <w:rPr>
          <w:rFonts w:ascii="Palatino Linotype" w:hAnsi="Palatino Linotype"/>
          <w:color w:val="000000" w:themeColor="text1"/>
          <w:sz w:val="24"/>
          <w:szCs w:val="24"/>
        </w:rPr>
      </w:pPr>
    </w:p>
    <w:p w:rsidR="005D048B" w:rsidRDefault="005D048B" w:rsidP="00C610C7">
      <w:pPr>
        <w:rPr>
          <w:rFonts w:ascii="Palatino Linotype" w:hAnsi="Palatino Linotype"/>
          <w:color w:val="000000" w:themeColor="text1"/>
          <w:sz w:val="24"/>
          <w:szCs w:val="24"/>
        </w:rPr>
      </w:pPr>
    </w:p>
    <w:p w:rsidR="005D048B" w:rsidRDefault="005D048B" w:rsidP="00C610C7">
      <w:pPr>
        <w:rPr>
          <w:rFonts w:ascii="Palatino Linotype" w:hAnsi="Palatino Linotype"/>
          <w:color w:val="000000" w:themeColor="text1"/>
          <w:sz w:val="24"/>
          <w:szCs w:val="24"/>
        </w:rPr>
      </w:pPr>
    </w:p>
    <w:p w:rsidR="005D048B" w:rsidRDefault="005D048B" w:rsidP="00C610C7">
      <w:pPr>
        <w:rPr>
          <w:rFonts w:ascii="Palatino Linotype" w:hAnsi="Palatino Linotype"/>
          <w:color w:val="000000" w:themeColor="text1"/>
          <w:sz w:val="24"/>
          <w:szCs w:val="24"/>
        </w:rPr>
      </w:pPr>
    </w:p>
    <w:p w:rsidR="005D048B" w:rsidRDefault="005D048B" w:rsidP="00C610C7">
      <w:pPr>
        <w:rPr>
          <w:rFonts w:ascii="Palatino Linotype" w:hAnsi="Palatino Linotype"/>
          <w:color w:val="000000" w:themeColor="text1"/>
          <w:sz w:val="24"/>
          <w:szCs w:val="24"/>
        </w:rPr>
      </w:pPr>
    </w:p>
    <w:p w:rsidR="005D048B" w:rsidRPr="00AF35A5" w:rsidRDefault="005D048B" w:rsidP="005D048B">
      <w:pPr>
        <w:jc w:val="center"/>
        <w:rPr>
          <w:rFonts w:ascii="Palatino Linotype" w:eastAsia="Calibri" w:hAnsi="Palatino Linotype"/>
          <w:color w:val="000000" w:themeColor="text1"/>
          <w:sz w:val="24"/>
          <w:szCs w:val="24"/>
        </w:rPr>
      </w:pPr>
      <w:r>
        <w:rPr>
          <w:rFonts w:ascii="Palatino Linotype" w:hAnsi="Palatino Linotype"/>
          <w:color w:val="000000" w:themeColor="text1"/>
          <w:sz w:val="24"/>
          <w:szCs w:val="24"/>
        </w:rPr>
        <w:t>(End of Appendix 2)</w:t>
      </w:r>
    </w:p>
    <w:p w:rsidR="00C610C7" w:rsidRPr="00AF35A5" w:rsidRDefault="00C610C7" w:rsidP="00C610C7">
      <w:pPr>
        <w:rPr>
          <w:rFonts w:ascii="Palatino Linotype" w:eastAsia="Calibri" w:hAnsi="Palatino Linotype"/>
          <w:i/>
          <w:color w:val="000000" w:themeColor="text1"/>
          <w:sz w:val="24"/>
          <w:szCs w:val="24"/>
        </w:rPr>
      </w:pPr>
      <w:r w:rsidRPr="00AF35A5">
        <w:rPr>
          <w:rFonts w:ascii="Palatino Linotype" w:eastAsia="Calibri" w:hAnsi="Palatino Linotype"/>
          <w:b/>
          <w:color w:val="000000" w:themeColor="text1"/>
          <w:sz w:val="24"/>
          <w:szCs w:val="24"/>
        </w:rPr>
        <w:t xml:space="preserve"> </w:t>
      </w:r>
    </w:p>
    <w:p w:rsidR="00016A82" w:rsidRDefault="00016A82" w:rsidP="00C610C7">
      <w:pPr>
        <w:rPr>
          <w:rFonts w:ascii="Palatino Linotype" w:hAnsi="Palatino Linotype"/>
          <w:b/>
          <w:color w:val="000000" w:themeColor="text1"/>
          <w:sz w:val="24"/>
          <w:szCs w:val="24"/>
        </w:rPr>
        <w:sectPr w:rsidR="00016A82" w:rsidSect="00976DFC">
          <w:headerReference w:type="default" r:id="rId37"/>
          <w:footerReference w:type="default" r:id="rId38"/>
          <w:footerReference w:type="first" r:id="rId39"/>
          <w:footnotePr>
            <w:numRestart w:val="eachSect"/>
          </w:footnotePr>
          <w:type w:val="continuous"/>
          <w:pgSz w:w="12240" w:h="15840" w:code="1"/>
          <w:pgMar w:top="1728" w:right="1440" w:bottom="1440" w:left="1440" w:header="720" w:footer="720" w:gutter="0"/>
          <w:pgNumType w:start="20"/>
          <w:cols w:space="720"/>
          <w:titlePg/>
        </w:sectP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Default="00016A82" w:rsidP="00016A82">
      <w:pPr>
        <w:keepNext/>
        <w:keepLines/>
        <w:jc w:val="center"/>
      </w:pPr>
    </w:p>
    <w:p w:rsidR="00016A82" w:rsidRPr="0043698B" w:rsidRDefault="00016A82" w:rsidP="00016A82">
      <w:pPr>
        <w:keepNext/>
        <w:keepLines/>
        <w:jc w:val="center"/>
        <w:rPr>
          <w:b/>
          <w:sz w:val="64"/>
          <w:szCs w:val="72"/>
        </w:rPr>
      </w:pPr>
      <w:r w:rsidRPr="0043698B">
        <w:rPr>
          <w:b/>
          <w:sz w:val="64"/>
          <w:szCs w:val="72"/>
        </w:rPr>
        <w:t xml:space="preserve">Appendix </w:t>
      </w:r>
      <w:r>
        <w:rPr>
          <w:b/>
          <w:sz w:val="64"/>
          <w:szCs w:val="72"/>
        </w:rPr>
        <w:t>3</w:t>
      </w:r>
    </w:p>
    <w:p w:rsidR="00016A82" w:rsidRDefault="00016A82" w:rsidP="00016A82">
      <w:pPr>
        <w:jc w:val="center"/>
        <w:rPr>
          <w:b/>
        </w:rPr>
      </w:pPr>
    </w:p>
    <w:p w:rsidR="00016A82" w:rsidRDefault="00016A82" w:rsidP="00016A82">
      <w:pPr>
        <w:jc w:val="center"/>
        <w:rPr>
          <w:b/>
        </w:rPr>
      </w:pPr>
    </w:p>
    <w:p w:rsidR="00016A82" w:rsidRDefault="00016A82" w:rsidP="00016A82">
      <w:pPr>
        <w:jc w:val="center"/>
        <w:rPr>
          <w:b/>
        </w:rPr>
      </w:pPr>
    </w:p>
    <w:p w:rsidR="00016A82" w:rsidRDefault="00016A82" w:rsidP="00016A82">
      <w:pPr>
        <w:jc w:val="center"/>
        <w:rPr>
          <w:b/>
        </w:rPr>
      </w:pPr>
    </w:p>
    <w:p w:rsidR="00016A82" w:rsidRDefault="00016A82" w:rsidP="00016A82">
      <w:pPr>
        <w:jc w:val="center"/>
        <w:rPr>
          <w:b/>
        </w:rPr>
        <w:sectPr w:rsidR="00016A82" w:rsidSect="00A80F5C">
          <w:headerReference w:type="even" r:id="rId40"/>
          <w:headerReference w:type="default" r:id="rId41"/>
          <w:footerReference w:type="even" r:id="rId42"/>
          <w:footerReference w:type="default" r:id="rId43"/>
          <w:headerReference w:type="first" r:id="rId44"/>
          <w:footerReference w:type="first" r:id="rId45"/>
          <w:footnotePr>
            <w:numRestart w:val="eachSect"/>
          </w:footnotePr>
          <w:pgSz w:w="12240" w:h="15840" w:code="1"/>
          <w:pgMar w:top="1728" w:right="1440" w:bottom="1440" w:left="1440" w:header="720" w:footer="720" w:gutter="0"/>
          <w:cols w:space="720"/>
          <w:titlePg/>
        </w:sectPr>
      </w:pPr>
    </w:p>
    <w:p w:rsidR="00016A82" w:rsidRDefault="00016A82" w:rsidP="00016A82">
      <w:pPr>
        <w:jc w:val="center"/>
        <w:rPr>
          <w:b/>
        </w:rPr>
      </w:pPr>
    </w:p>
    <w:p w:rsidR="00C610C7" w:rsidRPr="00AF35A5" w:rsidRDefault="00C610C7" w:rsidP="00C610C7">
      <w:pPr>
        <w:jc w:val="center"/>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APPENDIX 3</w:t>
      </w:r>
    </w:p>
    <w:p w:rsidR="00C610C7" w:rsidRPr="00AF35A5" w:rsidRDefault="00C610C7" w:rsidP="00C610C7">
      <w:pPr>
        <w:jc w:val="center"/>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 xml:space="preserve">Broadband Revolving Loan Account </w:t>
      </w:r>
    </w:p>
    <w:p w:rsidR="00C610C7" w:rsidRPr="00AF35A5" w:rsidRDefault="00C610C7" w:rsidP="00C610C7">
      <w:pPr>
        <w:jc w:val="center"/>
        <w:rPr>
          <w:rFonts w:ascii="Palatino Linotype" w:hAnsi="Palatino Linotype"/>
          <w:b/>
          <w:color w:val="000000" w:themeColor="text1"/>
          <w:sz w:val="24"/>
          <w:szCs w:val="24"/>
        </w:rPr>
      </w:pPr>
      <w:r w:rsidRPr="00AF35A5">
        <w:rPr>
          <w:rFonts w:ascii="Palatino Linotype" w:hAnsi="Palatino Linotype"/>
          <w:b/>
          <w:color w:val="000000" w:themeColor="text1"/>
          <w:sz w:val="24"/>
          <w:szCs w:val="24"/>
        </w:rPr>
        <w:t>Treatment of Existing Loans and Pending Loan Applications</w:t>
      </w:r>
    </w:p>
    <w:bookmarkEnd w:id="877"/>
    <w:p w:rsidR="00C610C7" w:rsidRPr="00AF35A5" w:rsidRDefault="00C610C7" w:rsidP="00C610C7">
      <w:pPr>
        <w:rPr>
          <w:rFonts w:ascii="Palatino Linotype" w:hAnsi="Palatino Linotype"/>
          <w:b/>
          <w:color w:val="000000" w:themeColor="text1"/>
          <w:sz w:val="24"/>
          <w:szCs w:val="24"/>
        </w:rPr>
      </w:pPr>
    </w:p>
    <w:p w:rsidR="00C610C7" w:rsidRPr="00AF35A5" w:rsidRDefault="00C610C7" w:rsidP="009A00FB">
      <w:pPr>
        <w:pStyle w:val="Heading2"/>
        <w:numPr>
          <w:ilvl w:val="0"/>
          <w:numId w:val="0"/>
        </w:numPr>
        <w:ind w:left="1440"/>
      </w:pPr>
      <w:bookmarkStart w:id="908" w:name="_Toc505786759"/>
      <w:bookmarkStart w:id="909" w:name="_Toc514153061"/>
      <w:r w:rsidRPr="00AF35A5">
        <w:t>Background</w:t>
      </w:r>
      <w:bookmarkEnd w:id="908"/>
      <w:bookmarkEnd w:id="909"/>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Senate Bill SB 1040 (Padilla</w:t>
      </w:r>
      <w:r w:rsidRPr="00AF35A5" w:rsidDel="00994E49">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w:t>
      </w:r>
      <w:r w:rsidRPr="00AF35A5">
        <w:rPr>
          <w:rStyle w:val="FootnoteReference"/>
          <w:rFonts w:ascii="Palatino Linotype" w:hAnsi="Palatino Linotype"/>
          <w:color w:val="000000" w:themeColor="text1"/>
          <w:szCs w:val="24"/>
        </w:rPr>
        <w:footnoteReference w:id="101"/>
      </w:r>
      <w:r w:rsidRPr="00AF35A5">
        <w:rPr>
          <w:rFonts w:ascii="Palatino Linotype" w:hAnsi="Palatino Linotype"/>
          <w:color w:val="000000" w:themeColor="text1"/>
          <w:sz w:val="24"/>
          <w:szCs w:val="24"/>
        </w:rPr>
        <w:t xml:space="preserve"> expanded the California Advanced Services Fund (CASF) to include the Broadband Infrastructure Revolving Loan Account (Loan Account).  Pursuant to Pub. Util. Code section 281(g), money in the Loan Account “shall be available to finance capital costs of broadband facilities not funded by a grant from the Broadband Infrastructure Grant Account.  The Commission shall periodically set interest rates on the loans based on surveys of existing financial markets.”  </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Assembly Bill AB1665 (Garcia) signed by Governor Brown on October 15, 2017, eliminated the Broadband Infrastructure Loan Account and required the remaining unencumbered moneys in that account as of January 1, 2018, and the deposit of moneys collected that would be owed to that account, to be transferred to the Broadband Infrastructure Grant Account.  </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9A00FB">
      <w:pPr>
        <w:pStyle w:val="Heading2"/>
        <w:numPr>
          <w:ilvl w:val="0"/>
          <w:numId w:val="0"/>
        </w:numPr>
        <w:ind w:left="1440"/>
      </w:pPr>
      <w:bookmarkStart w:id="910" w:name="_Toc505786760"/>
      <w:bookmarkStart w:id="911" w:name="_Toc514153062"/>
      <w:r w:rsidRPr="00AF35A5">
        <w:t>Treatment of Existing Loans and Pending Loan Applications</w:t>
      </w:r>
      <w:bookmarkEnd w:id="910"/>
      <w:bookmarkEnd w:id="911"/>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To date, there are three existing approved loans.  One loan, Willits Online Boonville project, approved on November 7, 2013, through resolution T</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17422, has drawn funds of $40,977 out of $40,977, and has 15 payments remaining.  The Commission’s Fiscal Office states it can help service this loan.</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There are two approved loans which have not yet drawn funds.  Bright Fiber Network project, T</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17565, approved May 11, 2017, for $500,000.  The second approved loan is Surfnet Communications Paradise Road project, T</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17430, approved </w:t>
      </w:r>
      <w:r w:rsidRPr="00AF35A5">
        <w:rPr>
          <w:rFonts w:ascii="Palatino Linotype" w:hAnsi="Palatino Linotype"/>
          <w:color w:val="000000" w:themeColor="text1"/>
          <w:sz w:val="24"/>
          <w:szCs w:val="24"/>
        </w:rPr>
        <w:lastRenderedPageBreak/>
        <w:t xml:space="preserve">April 10, 2014, for $59,318. </w:t>
      </w:r>
      <w:r w:rsidR="003F6DFD">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 xml:space="preserve">The loan funds for both projects have been encumbered but have not been drawn.  </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pStyle w:val="ListParagraph"/>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 xml:space="preserve">AB 1665 requires that the </w:t>
      </w:r>
      <w:r w:rsidRPr="00AF35A5">
        <w:rPr>
          <w:rFonts w:ascii="Palatino Linotype" w:hAnsi="Palatino Linotype"/>
          <w:color w:val="000000" w:themeColor="text1"/>
          <w:sz w:val="24"/>
          <w:szCs w:val="24"/>
          <w:bdr w:val="none" w:sz="0" w:space="0" w:color="auto" w:frame="1"/>
        </w:rPr>
        <w:t xml:space="preserve">remaining unencumbered funds as of January 1, 2018 be deposited into the Broadband Infrastructure Grant Account.  </w:t>
      </w:r>
      <w:r w:rsidRPr="00AF35A5">
        <w:rPr>
          <w:rFonts w:ascii="Palatino Linotype" w:hAnsi="Palatino Linotype"/>
          <w:color w:val="000000" w:themeColor="text1"/>
          <w:sz w:val="24"/>
          <w:szCs w:val="24"/>
        </w:rPr>
        <w:t xml:space="preserve">Projects approved after January 1, 2018 will not have loan funding available through the CASF Infrastructure Revolving Loan account.  </w:t>
      </w:r>
    </w:p>
    <w:p w:rsidR="00C610C7" w:rsidRPr="00AF35A5" w:rsidRDefault="00C610C7" w:rsidP="00C610C7">
      <w:pPr>
        <w:pStyle w:val="ListParagraph"/>
        <w:ind w:left="360"/>
        <w:rPr>
          <w:rFonts w:ascii="Palatino Linotype" w:hAnsi="Palatino Linotype"/>
          <w:color w:val="000000" w:themeColor="text1"/>
          <w:sz w:val="24"/>
          <w:szCs w:val="24"/>
        </w:rPr>
      </w:pPr>
    </w:p>
    <w:p w:rsidR="00C610C7" w:rsidRPr="00AF35A5" w:rsidRDefault="00C610C7" w:rsidP="00C610C7">
      <w:pPr>
        <w:ind w:left="360"/>
        <w:rPr>
          <w:rFonts w:ascii="Palatino Linotype" w:hAnsi="Palatino Linotype"/>
          <w:color w:val="000000" w:themeColor="text1"/>
          <w:sz w:val="24"/>
          <w:szCs w:val="24"/>
        </w:rPr>
      </w:pPr>
      <w:r w:rsidRPr="00AF35A5">
        <w:rPr>
          <w:rFonts w:ascii="Palatino Linotype" w:hAnsi="Palatino Linotype"/>
          <w:color w:val="000000" w:themeColor="text1"/>
          <w:sz w:val="24"/>
          <w:szCs w:val="24"/>
        </w:rPr>
        <w:t>Two projects with loans: Bright Fiber, T</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17495 in the amount of $500,000, and Surfnet Paradise Road T</w:t>
      </w:r>
      <w:r w:rsidR="00B34BCE">
        <w:rPr>
          <w:rFonts w:ascii="Palatino Linotype" w:hAnsi="Palatino Linotype"/>
          <w:color w:val="000000" w:themeColor="text1"/>
          <w:sz w:val="24"/>
          <w:szCs w:val="24"/>
        </w:rPr>
        <w:noBreakHyphen/>
      </w:r>
      <w:r w:rsidRPr="00AF35A5">
        <w:rPr>
          <w:rFonts w:ascii="Palatino Linotype" w:hAnsi="Palatino Linotype"/>
          <w:color w:val="000000" w:themeColor="text1"/>
          <w:sz w:val="24"/>
          <w:szCs w:val="24"/>
        </w:rPr>
        <w:t xml:space="preserve">17430 in the amount of $59,318 approved through resolutions have not yet requested or drawn loan funds.  </w:t>
      </w:r>
      <w:r w:rsidR="003F6DFD">
        <w:rPr>
          <w:rFonts w:ascii="Palatino Linotype" w:hAnsi="Palatino Linotype"/>
          <w:color w:val="000000" w:themeColor="text1"/>
          <w:sz w:val="24"/>
          <w:szCs w:val="24"/>
        </w:rPr>
        <w:t>If necessary, t</w:t>
      </w:r>
      <w:r w:rsidRPr="00AF35A5">
        <w:rPr>
          <w:rFonts w:ascii="Palatino Linotype" w:hAnsi="Palatino Linotype"/>
          <w:color w:val="000000" w:themeColor="text1"/>
          <w:sz w:val="24"/>
          <w:szCs w:val="24"/>
        </w:rPr>
        <w:t xml:space="preserve">hese loans </w:t>
      </w:r>
      <w:r w:rsidR="003F6DFD">
        <w:rPr>
          <w:rFonts w:ascii="Palatino Linotype" w:hAnsi="Palatino Linotype"/>
          <w:color w:val="000000" w:themeColor="text1"/>
          <w:sz w:val="24"/>
          <w:szCs w:val="24"/>
        </w:rPr>
        <w:t>may</w:t>
      </w:r>
      <w:r w:rsidR="003F6DFD" w:rsidRPr="00AF35A5">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 xml:space="preserve">be underwritten and serviced by a financing authority, such as The California Infrastructure and Economic Development Bank (iBank).  Staff </w:t>
      </w:r>
      <w:r w:rsidR="003F6DFD">
        <w:rPr>
          <w:rFonts w:ascii="Palatino Linotype" w:hAnsi="Palatino Linotype"/>
          <w:color w:val="000000" w:themeColor="text1"/>
          <w:sz w:val="24"/>
          <w:szCs w:val="24"/>
        </w:rPr>
        <w:t>may</w:t>
      </w:r>
      <w:r w:rsidR="003F6DFD" w:rsidRPr="00AF35A5">
        <w:rPr>
          <w:rFonts w:ascii="Palatino Linotype" w:hAnsi="Palatino Linotype"/>
          <w:color w:val="000000" w:themeColor="text1"/>
          <w:sz w:val="24"/>
          <w:szCs w:val="24"/>
        </w:rPr>
        <w:t xml:space="preserve"> </w:t>
      </w:r>
      <w:r w:rsidRPr="00AF35A5">
        <w:rPr>
          <w:rFonts w:ascii="Palatino Linotype" w:hAnsi="Palatino Linotype"/>
          <w:color w:val="000000" w:themeColor="text1"/>
          <w:sz w:val="24"/>
          <w:szCs w:val="24"/>
        </w:rPr>
        <w:t>perform due diligence to establish a loan process for grantees with the chosen financing authority to facilitate the servicing of the CASF loan fund disbursements and repayment processes</w:t>
      </w:r>
      <w:r w:rsidR="003F6DFD">
        <w:rPr>
          <w:rFonts w:ascii="Palatino Linotype" w:hAnsi="Palatino Linotype"/>
          <w:color w:val="000000" w:themeColor="text1"/>
          <w:sz w:val="24"/>
          <w:szCs w:val="24"/>
        </w:rPr>
        <w:t xml:space="preserve"> only as necessary</w:t>
      </w:r>
      <w:r w:rsidRPr="00AF35A5">
        <w:rPr>
          <w:rFonts w:ascii="Palatino Linotype" w:hAnsi="Palatino Linotype"/>
          <w:color w:val="000000" w:themeColor="text1"/>
          <w:sz w:val="24"/>
          <w:szCs w:val="24"/>
        </w:rPr>
        <w:t>.</w:t>
      </w:r>
      <w:r w:rsidR="008929FE">
        <w:rPr>
          <w:rFonts w:ascii="Palatino Linotype" w:hAnsi="Palatino Linotype"/>
          <w:color w:val="000000" w:themeColor="text1"/>
          <w:sz w:val="24"/>
          <w:szCs w:val="24"/>
        </w:rPr>
        <w:t xml:space="preserve">  Staff may also draft a resolution recommending revising the resolutions approving these loans to be awarded additional grant funds, instead of loans.</w:t>
      </w:r>
      <w:r w:rsidRPr="00AF35A5">
        <w:rPr>
          <w:rFonts w:ascii="Palatino Linotype" w:hAnsi="Palatino Linotype"/>
          <w:color w:val="000000" w:themeColor="text1"/>
          <w:sz w:val="24"/>
          <w:szCs w:val="24"/>
        </w:rPr>
        <w:t xml:space="preserve"> </w:t>
      </w:r>
    </w:p>
    <w:p w:rsidR="00C610C7" w:rsidRDefault="00C610C7" w:rsidP="00C610C7">
      <w:pPr>
        <w:pStyle w:val="ListParagraph"/>
        <w:ind w:left="360"/>
        <w:rPr>
          <w:rFonts w:ascii="Palatino Linotype" w:hAnsi="Palatino Linotype"/>
          <w:color w:val="000000" w:themeColor="text1"/>
          <w:sz w:val="24"/>
          <w:szCs w:val="24"/>
        </w:rPr>
      </w:pPr>
    </w:p>
    <w:p w:rsidR="005D048B" w:rsidRDefault="005D048B" w:rsidP="00C610C7">
      <w:pPr>
        <w:pStyle w:val="ListParagraph"/>
        <w:ind w:left="360"/>
        <w:rPr>
          <w:rFonts w:ascii="Palatino Linotype" w:hAnsi="Palatino Linotype"/>
          <w:color w:val="000000" w:themeColor="text1"/>
          <w:sz w:val="24"/>
          <w:szCs w:val="24"/>
        </w:rPr>
      </w:pPr>
    </w:p>
    <w:p w:rsidR="005D048B" w:rsidRDefault="005D048B" w:rsidP="00C610C7">
      <w:pPr>
        <w:pStyle w:val="ListParagraph"/>
        <w:ind w:left="360"/>
        <w:rPr>
          <w:rFonts w:ascii="Palatino Linotype" w:hAnsi="Palatino Linotype"/>
          <w:color w:val="000000" w:themeColor="text1"/>
          <w:sz w:val="24"/>
          <w:szCs w:val="24"/>
        </w:rPr>
      </w:pPr>
    </w:p>
    <w:p w:rsidR="005D048B" w:rsidRDefault="005D048B" w:rsidP="00C610C7">
      <w:pPr>
        <w:pStyle w:val="ListParagraph"/>
        <w:ind w:left="360"/>
        <w:rPr>
          <w:rFonts w:ascii="Palatino Linotype" w:hAnsi="Palatino Linotype"/>
          <w:color w:val="000000" w:themeColor="text1"/>
          <w:sz w:val="24"/>
          <w:szCs w:val="24"/>
        </w:rPr>
      </w:pPr>
    </w:p>
    <w:p w:rsidR="005D048B" w:rsidRDefault="005D048B" w:rsidP="00C610C7">
      <w:pPr>
        <w:pStyle w:val="ListParagraph"/>
        <w:ind w:left="360"/>
        <w:rPr>
          <w:rFonts w:ascii="Palatino Linotype" w:hAnsi="Palatino Linotype"/>
          <w:color w:val="000000" w:themeColor="text1"/>
          <w:sz w:val="24"/>
          <w:szCs w:val="24"/>
        </w:rPr>
      </w:pPr>
    </w:p>
    <w:p w:rsidR="005D048B" w:rsidRPr="00AF35A5" w:rsidRDefault="005D048B" w:rsidP="005D048B">
      <w:pPr>
        <w:pStyle w:val="ListParagraph"/>
        <w:ind w:left="360"/>
        <w:jc w:val="center"/>
        <w:rPr>
          <w:rFonts w:ascii="Palatino Linotype" w:hAnsi="Palatino Linotype"/>
          <w:color w:val="000000" w:themeColor="text1"/>
          <w:sz w:val="24"/>
          <w:szCs w:val="24"/>
        </w:rPr>
      </w:pPr>
      <w:r>
        <w:rPr>
          <w:rFonts w:ascii="Palatino Linotype" w:hAnsi="Palatino Linotype"/>
          <w:color w:val="000000" w:themeColor="text1"/>
          <w:sz w:val="24"/>
          <w:szCs w:val="24"/>
        </w:rPr>
        <w:t>(End of Appendix 3)</w:t>
      </w:r>
    </w:p>
    <w:sectPr w:rsidR="005D048B" w:rsidRPr="00AF35A5" w:rsidSect="00016A82">
      <w:headerReference w:type="default" r:id="rId46"/>
      <w:footerReference w:type="default" r:id="rId47"/>
      <w:footerReference w:type="first" r:id="rId48"/>
      <w:footnotePr>
        <w:numRestart w:val="eachSect"/>
      </w:footnotePr>
      <w:pgSz w:w="12240" w:h="15840" w:code="1"/>
      <w:pgMar w:top="1728"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AA8" w:rsidRDefault="00B45AA8">
      <w:r>
        <w:separator/>
      </w:r>
    </w:p>
    <w:p w:rsidR="00B45AA8" w:rsidRDefault="00B45AA8"/>
  </w:endnote>
  <w:endnote w:type="continuationSeparator" w:id="0">
    <w:p w:rsidR="00B45AA8" w:rsidRDefault="00B45AA8">
      <w:r>
        <w:continuationSeparator/>
      </w:r>
    </w:p>
    <w:p w:rsidR="00B45AA8" w:rsidRDefault="00B45A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pPr>
      <w:pStyle w:val="Footer"/>
      <w:jc w:val="left"/>
    </w:pPr>
    <w:r>
      <w:tab/>
    </w:r>
    <w:r w:rsidR="00B34BCE">
      <w:noBreakHyphen/>
    </w:r>
    <w:r>
      <w:t xml:space="preserve"> </w:t>
    </w:r>
    <w:r>
      <w:rPr>
        <w:rStyle w:val="PageNumber"/>
      </w:rPr>
      <w:fldChar w:fldCharType="begin"/>
    </w:r>
    <w:r>
      <w:rPr>
        <w:rStyle w:val="PageNumber"/>
      </w:rPr>
      <w:instrText xml:space="preserve"> PAGE </w:instrText>
    </w:r>
    <w:r>
      <w:rPr>
        <w:rStyle w:val="PageNumber"/>
      </w:rPr>
      <w:fldChar w:fldCharType="separate"/>
    </w:r>
    <w:r w:rsidR="00EF0380">
      <w:rPr>
        <w:rStyle w:val="PageNumber"/>
        <w:noProof/>
      </w:rPr>
      <w:t>44</w:t>
    </w:r>
    <w:r>
      <w:rPr>
        <w:rStyle w:val="PageNumber"/>
      </w:rPr>
      <w:fldChar w:fldCharType="end"/>
    </w:r>
    <w:r>
      <w:rPr>
        <w:rStyle w:val="PageNumber"/>
      </w:rPr>
      <w:t xml:space="preserve"> </w:t>
    </w:r>
    <w:r w:rsidR="00B34BCE">
      <w:rPr>
        <w:rStyle w:val="PageNumber"/>
      </w:rPr>
      <w:noBreakHyphen/>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448710"/>
      <w:docPartObj>
        <w:docPartGallery w:val="Page Numbers (Bottom of Page)"/>
        <w:docPartUnique/>
      </w:docPartObj>
    </w:sdtPr>
    <w:sdtEndPr>
      <w:rPr>
        <w:noProof/>
      </w:rPr>
    </w:sdtEndPr>
    <w:sdtContent>
      <w:p w:rsidR="00B45AA8" w:rsidRDefault="00B34BCE" w:rsidP="00A80F5C">
        <w:pPr>
          <w:pStyle w:val="Footer"/>
        </w:pPr>
        <w:r>
          <w:noBreakHyphen/>
        </w:r>
        <w:r w:rsidR="00B45AA8">
          <w:t xml:space="preserve"> </w:t>
        </w:r>
        <w:r w:rsidR="00B45AA8">
          <w:fldChar w:fldCharType="begin"/>
        </w:r>
        <w:r w:rsidR="00B45AA8">
          <w:instrText xml:space="preserve"> PAGE   \* MERGEFORMAT </w:instrText>
        </w:r>
        <w:r w:rsidR="00B45AA8">
          <w:fldChar w:fldCharType="separate"/>
        </w:r>
        <w:r w:rsidR="00B45AA8">
          <w:rPr>
            <w:noProof/>
          </w:rPr>
          <w:t>63</w:t>
        </w:r>
        <w:r w:rsidR="00B45AA8">
          <w:rPr>
            <w:noProof/>
          </w:rPr>
          <w:fldChar w:fldCharType="end"/>
        </w:r>
        <w:r w:rsidR="00B45AA8">
          <w:t xml:space="preserve"> </w:t>
        </w:r>
        <w:r>
          <w:noBreakHyphen/>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000367"/>
      <w:docPartObj>
        <w:docPartGallery w:val="Page Numbers (Bottom of Page)"/>
        <w:docPartUnique/>
      </w:docPartObj>
    </w:sdtPr>
    <w:sdtEndPr>
      <w:rPr>
        <w:noProof/>
      </w:rPr>
    </w:sdtEndPr>
    <w:sdtContent>
      <w:p w:rsidR="00B45AA8" w:rsidRDefault="00B45AA8">
        <w:pPr>
          <w:pStyle w:val="Footer"/>
        </w:pPr>
        <w:r>
          <w:fldChar w:fldCharType="begin"/>
        </w:r>
        <w:r>
          <w:instrText xml:space="preserve"> PAGE   \* MERGEFORMAT </w:instrText>
        </w:r>
        <w:r>
          <w:fldChar w:fldCharType="separate"/>
        </w:r>
        <w:r w:rsidR="00EF0380">
          <w:rPr>
            <w:noProof/>
          </w:rPr>
          <w:t>21</w:t>
        </w:r>
        <w:r>
          <w:rPr>
            <w:noProof/>
          </w:rPr>
          <w:fldChar w:fldCharType="end"/>
        </w:r>
      </w:p>
    </w:sdtContent>
  </w:sdt>
  <w:p w:rsidR="00B45AA8" w:rsidRPr="00A80F5C" w:rsidRDefault="00B45AA8" w:rsidP="00A80F5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892538"/>
      <w:docPartObj>
        <w:docPartGallery w:val="Page Numbers (Bottom of Page)"/>
        <w:docPartUnique/>
      </w:docPartObj>
    </w:sdtPr>
    <w:sdtEndPr>
      <w:rPr>
        <w:noProof/>
      </w:rPr>
    </w:sdtEndPr>
    <w:sdtContent>
      <w:p w:rsidR="00B45AA8" w:rsidRDefault="00B45AA8">
        <w:pPr>
          <w:pStyle w:val="Footer"/>
        </w:pPr>
        <w:r>
          <w:fldChar w:fldCharType="begin"/>
        </w:r>
        <w:r>
          <w:instrText xml:space="preserve"> PAGE   \* MERGEFORMAT </w:instrText>
        </w:r>
        <w:r>
          <w:fldChar w:fldCharType="separate"/>
        </w:r>
        <w:r w:rsidR="00EF0380">
          <w:rPr>
            <w:noProof/>
          </w:rPr>
          <w:t>22</w:t>
        </w:r>
        <w:r>
          <w:rPr>
            <w:noProof/>
          </w:rPr>
          <w:fldChar w:fldCharType="end"/>
        </w:r>
      </w:p>
    </w:sdtContent>
  </w:sdt>
  <w:p w:rsidR="00B45AA8" w:rsidRPr="00A80F5C" w:rsidRDefault="00B45AA8" w:rsidP="00A80F5C">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rsidP="00A80F5C">
    <w:pPr>
      <w:pStyle w:val="Footer"/>
      <w:jc w:val="left"/>
    </w:pPr>
    <w:r w:rsidRPr="00C30180">
      <w:rPr>
        <w:sz w:val="16"/>
        <w:szCs w:val="16"/>
      </w:rPr>
      <w:t>210454467</w:t>
    </w:r>
    <w:sdt>
      <w:sdtPr>
        <w:id w:val="-840539994"/>
        <w:docPartObj>
          <w:docPartGallery w:val="Page Numbers (Bottom of Page)"/>
          <w:docPartUnique/>
        </w:docPartObj>
      </w:sdtPr>
      <w:sdtEndPr>
        <w:rPr>
          <w:noProof/>
        </w:rPr>
      </w:sdtEndPr>
      <w:sdtContent>
        <w:r>
          <w:tab/>
        </w:r>
        <w:r w:rsidR="00B34BCE">
          <w:noBreakHyphen/>
        </w:r>
        <w:r>
          <w:fldChar w:fldCharType="begin"/>
        </w:r>
        <w:r>
          <w:instrText xml:space="preserve"> PAGE   \* MERGEFORMAT </w:instrText>
        </w:r>
        <w:r>
          <w:fldChar w:fldCharType="separate"/>
        </w:r>
        <w:r>
          <w:rPr>
            <w:noProof/>
          </w:rPr>
          <w:t>86</w:t>
        </w:r>
        <w:r>
          <w:rPr>
            <w:noProof/>
          </w:rPr>
          <w:fldChar w:fldCharType="end"/>
        </w:r>
        <w:r w:rsidR="00B34BCE">
          <w:rPr>
            <w:noProof/>
          </w:rPr>
          <w:noBreakHyphen/>
        </w:r>
      </w:sdtContent>
    </w:sdt>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56599"/>
      <w:docPartObj>
        <w:docPartGallery w:val="Page Numbers (Bottom of Page)"/>
        <w:docPartUnique/>
      </w:docPartObj>
    </w:sdtPr>
    <w:sdtEndPr>
      <w:rPr>
        <w:noProof/>
      </w:rPr>
    </w:sdtEndPr>
    <w:sdtContent>
      <w:p w:rsidR="00B45AA8" w:rsidRDefault="00B34BCE" w:rsidP="00A80F5C">
        <w:pPr>
          <w:pStyle w:val="Footer"/>
        </w:pPr>
        <w:r>
          <w:noBreakHyphen/>
        </w:r>
        <w:r w:rsidR="00B45AA8">
          <w:t xml:space="preserve"> </w:t>
        </w:r>
        <w:r w:rsidR="00B45AA8">
          <w:fldChar w:fldCharType="begin"/>
        </w:r>
        <w:r w:rsidR="00B45AA8">
          <w:instrText xml:space="preserve"> PAGE   \* MERGEFORMAT </w:instrText>
        </w:r>
        <w:r w:rsidR="00B45AA8">
          <w:fldChar w:fldCharType="separate"/>
        </w:r>
        <w:r w:rsidR="00B45AA8">
          <w:rPr>
            <w:noProof/>
          </w:rPr>
          <w:t>88</w:t>
        </w:r>
        <w:r w:rsidR="00B45AA8">
          <w:rPr>
            <w:noProof/>
          </w:rPr>
          <w:fldChar w:fldCharType="end"/>
        </w:r>
        <w:r w:rsidR="00B45AA8">
          <w:t xml:space="preserve"> </w:t>
        </w:r>
        <w:r>
          <w:noBreakHyphen/>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Pr="00A80F5C" w:rsidRDefault="00B45AA8" w:rsidP="00A80F5C">
    <w:pPr>
      <w:pStyle w:val="Footer"/>
    </w:pPr>
    <w: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230183" w:rsidP="00A409BA">
    <w:pPr>
      <w:pStyle w:val="Footer"/>
      <w:tabs>
        <w:tab w:val="clear" w:pos="4320"/>
        <w:tab w:val="center" w:pos="4500"/>
      </w:tabs>
      <w:jc w:val="left"/>
    </w:pPr>
    <w:r>
      <w:rPr>
        <w:rFonts w:ascii="Tahoma" w:hAnsi="Tahoma" w:cs="Tahoma"/>
        <w:sz w:val="17"/>
        <w:szCs w:val="17"/>
      </w:rPr>
      <w:t>216788828</w:t>
    </w:r>
    <w:r w:rsidR="00B45AA8">
      <w:tab/>
    </w:r>
    <w:r w:rsidR="00B34BCE">
      <w:noBreakHyphen/>
    </w:r>
    <w:r w:rsidR="00B45AA8">
      <w:t xml:space="preserve"> 1 –</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pPr>
      <w:pStyle w:val="Footer"/>
    </w:pPr>
    <w: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34BCE">
    <w:pPr>
      <w:pStyle w:val="Footer"/>
    </w:pPr>
    <w:r>
      <w:noBreakHyphen/>
    </w:r>
    <w:r w:rsidR="00B45AA8">
      <w:t xml:space="preserve"> </w:t>
    </w:r>
    <w:r w:rsidR="00B45AA8">
      <w:fldChar w:fldCharType="begin"/>
    </w:r>
    <w:r w:rsidR="00B45AA8">
      <w:instrText xml:space="preserve"> PAGE   \* MERGEFORMAT </w:instrText>
    </w:r>
    <w:r w:rsidR="00B45AA8">
      <w:fldChar w:fldCharType="separate"/>
    </w:r>
    <w:r w:rsidR="00EF0380">
      <w:rPr>
        <w:noProof/>
      </w:rPr>
      <w:t>i</w:t>
    </w:r>
    <w:r w:rsidR="00B45AA8">
      <w:rPr>
        <w:noProof/>
      </w:rPr>
      <w:fldChar w:fldCharType="end"/>
    </w:r>
    <w:r w:rsidR="00B45AA8">
      <w:rPr>
        <w:noProof/>
      </w:rPr>
      <w:t xml:space="preserve"> </w:t>
    </w:r>
    <w:r>
      <w:rPr>
        <w:noProof/>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34BCE">
    <w:pPr>
      <w:pStyle w:val="Footer"/>
    </w:pPr>
    <w:r>
      <w:noBreakHyphen/>
    </w:r>
    <w:r w:rsidR="00B45AA8">
      <w:t xml:space="preserve"> </w:t>
    </w:r>
    <w:r w:rsidR="00B45AA8">
      <w:fldChar w:fldCharType="begin"/>
    </w:r>
    <w:r w:rsidR="00B45AA8">
      <w:instrText xml:space="preserve"> PAGE   \* MERGEFORMAT </w:instrText>
    </w:r>
    <w:r w:rsidR="00B45AA8">
      <w:fldChar w:fldCharType="separate"/>
    </w:r>
    <w:r w:rsidR="00EF0380">
      <w:rPr>
        <w:noProof/>
      </w:rPr>
      <w:t>2</w:t>
    </w:r>
    <w:r w:rsidR="00B45AA8">
      <w:rPr>
        <w:noProof/>
      </w:rPr>
      <w:fldChar w:fldCharType="end"/>
    </w:r>
    <w:r w:rsidR="00B45AA8">
      <w:rPr>
        <w:noProof/>
      </w:rPr>
      <w:t xml:space="preserve"> </w:t>
    </w:r>
    <w:r>
      <w:rPr>
        <w:noProof/>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811483"/>
      <w:docPartObj>
        <w:docPartGallery w:val="Page Numbers (Bottom of Page)"/>
        <w:docPartUnique/>
      </w:docPartObj>
    </w:sdtPr>
    <w:sdtEndPr>
      <w:rPr>
        <w:noProof/>
      </w:rPr>
    </w:sdtEndPr>
    <w:sdtContent>
      <w:p w:rsidR="00B45AA8" w:rsidRDefault="00B34BCE" w:rsidP="00A80F5C">
        <w:pPr>
          <w:pStyle w:val="Footer"/>
        </w:pPr>
        <w:r>
          <w:noBreakHyphen/>
        </w:r>
        <w:r w:rsidR="00B45AA8">
          <w:t xml:space="preserve"> </w:t>
        </w:r>
        <w:r w:rsidR="00B45AA8">
          <w:fldChar w:fldCharType="begin"/>
        </w:r>
        <w:r w:rsidR="00B45AA8">
          <w:instrText xml:space="preserve"> PAGE   \* MERGEFORMAT </w:instrText>
        </w:r>
        <w:r w:rsidR="00B45AA8">
          <w:fldChar w:fldCharType="separate"/>
        </w:r>
        <w:r w:rsidR="00B45AA8">
          <w:rPr>
            <w:noProof/>
          </w:rPr>
          <w:t>2</w:t>
        </w:r>
        <w:r w:rsidR="00B45AA8">
          <w:rPr>
            <w:noProof/>
          </w:rPr>
          <w:fldChar w:fldCharType="end"/>
        </w:r>
        <w:r w:rsidR="00B45AA8">
          <w:t xml:space="preserve"> </w:t>
        </w:r>
        <w:r>
          <w:noBreakHyphen/>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099721"/>
      <w:docPartObj>
        <w:docPartGallery w:val="Page Numbers (Bottom of Page)"/>
        <w:docPartUnique/>
      </w:docPartObj>
    </w:sdtPr>
    <w:sdtEndPr>
      <w:rPr>
        <w:noProof/>
      </w:rPr>
    </w:sdtEndPr>
    <w:sdtContent>
      <w:p w:rsidR="00B45AA8" w:rsidRDefault="00B45AA8">
        <w:pPr>
          <w:pStyle w:val="Footer"/>
        </w:pPr>
        <w:r>
          <w:fldChar w:fldCharType="begin"/>
        </w:r>
        <w:r>
          <w:instrText xml:space="preserve"> PAGE   \* MERGEFORMAT </w:instrText>
        </w:r>
        <w:r>
          <w:fldChar w:fldCharType="separate"/>
        </w:r>
        <w:r w:rsidR="00EF0380">
          <w:rPr>
            <w:noProof/>
          </w:rPr>
          <w:t>1</w:t>
        </w:r>
        <w:r>
          <w:rPr>
            <w:noProof/>
          </w:rPr>
          <w:fldChar w:fldCharType="end"/>
        </w:r>
      </w:p>
    </w:sdtContent>
  </w:sdt>
  <w:p w:rsidR="00B45AA8" w:rsidRDefault="00B45AA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890018"/>
      <w:docPartObj>
        <w:docPartGallery w:val="Page Numbers (Bottom of Page)"/>
        <w:docPartUnique/>
      </w:docPartObj>
    </w:sdtPr>
    <w:sdtEndPr>
      <w:rPr>
        <w:noProof/>
      </w:rPr>
    </w:sdtEndPr>
    <w:sdtContent>
      <w:p w:rsidR="00B45AA8" w:rsidRDefault="00B45AA8">
        <w:pPr>
          <w:pStyle w:val="Footer"/>
        </w:pPr>
        <w:r>
          <w:fldChar w:fldCharType="begin"/>
        </w:r>
        <w:r>
          <w:instrText xml:space="preserve"> PAGE   \* MERGEFORMAT </w:instrText>
        </w:r>
        <w:r>
          <w:fldChar w:fldCharType="separate"/>
        </w:r>
        <w:r w:rsidR="00EF0380">
          <w:rPr>
            <w:noProof/>
          </w:rPr>
          <w:t>15</w:t>
        </w:r>
        <w:r>
          <w:rPr>
            <w:noProof/>
          </w:rPr>
          <w:fldChar w:fldCharType="end"/>
        </w:r>
      </w:p>
    </w:sdtContent>
  </w:sdt>
  <w:p w:rsidR="00B45AA8" w:rsidRDefault="00B45AA8" w:rsidP="00A80F5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Pr="001D4FE9" w:rsidRDefault="00B45AA8" w:rsidP="00A80F5C">
    <w:pPr>
      <w:pStyle w:val="Footer"/>
      <w:tabs>
        <w:tab w:val="clear" w:pos="8640"/>
      </w:tabs>
      <w:jc w:val="left"/>
      <w:rPr>
        <w:sz w:val="16"/>
        <w:szCs w:val="16"/>
      </w:rPr>
    </w:pPr>
    <w:r>
      <w:rPr>
        <w:rFonts w:ascii="Tahoma" w:hAnsi="Tahoma" w:cs="Tahoma"/>
        <w:sz w:val="17"/>
        <w:szCs w:val="17"/>
      </w:rPr>
      <w:t xml:space="preserve">213118465 </w:t>
    </w:r>
    <w:r>
      <w:rPr>
        <w:rFonts w:ascii="Tahoma" w:hAnsi="Tahoma" w:cs="Tahoma"/>
        <w:noProof/>
        <w:sz w:val="17"/>
        <w:szCs w:val="17"/>
      </w:rPr>
      <w:drawing>
        <wp:inline distT="0" distB="0" distL="0" distR="0" wp14:anchorId="683E4A2D" wp14:editId="38B0953D">
          <wp:extent cx="914400" cy="228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EF0380">
      <w:rPr>
        <w:rFonts w:ascii="Tahoma" w:hAnsi="Tahoma" w:cs="Tahoma"/>
        <w:sz w:val="17"/>
        <w:szCs w:val="1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8pt">
          <v:imagedata r:id="rId2" o:title=""/>
        </v:shape>
      </w:pict>
    </w:r>
    <w:r>
      <w:rPr>
        <w:rFonts w:ascii="Tahoma" w:hAnsi="Tahoma" w:cs="Tahoma"/>
        <w:sz w:val="17"/>
        <w:szCs w:val="17"/>
      </w:rPr>
      <w:object w:dxaOrig="225" w:dyaOrig="225">
        <v:shape id="_x0000_i1032" type="#_x0000_t75" style="width:1in;height:18pt" o:ole="">
          <v:imagedata r:id="rId3" o:title=""/>
        </v:shape>
        <w:control r:id="rId4" w:name="DefaultOcxName221" w:shapeid="_x0000_i1032"/>
      </w:object>
    </w:r>
    <w:r>
      <w:rPr>
        <w:rFonts w:ascii="Tahoma" w:hAnsi="Tahoma" w:cs="Tahoma"/>
        <w:noProof/>
        <w:sz w:val="17"/>
        <w:szCs w:val="17"/>
      </w:rPr>
      <w:drawing>
        <wp:inline distT="0" distB="0" distL="0" distR="0" wp14:anchorId="695A066C" wp14:editId="3DB53F17">
          <wp:extent cx="914400" cy="228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noFill/>
                  <a:ln>
                    <a:noFill/>
                  </a:ln>
                </pic:spPr>
              </pic:pic>
            </a:graphicData>
          </a:graphic>
        </wp:inline>
      </w:drawing>
    </w:r>
    <w:r w:rsidR="00EF0380">
      <w:rPr>
        <w:rFonts w:ascii="Tahoma" w:hAnsi="Tahoma" w:cs="Tahoma"/>
        <w:sz w:val="17"/>
        <w:szCs w:val="17"/>
      </w:rPr>
      <w:pict>
        <v:shape id="_x0000_i1028" type="#_x0000_t75" style="width:1in;height:18pt">
          <v:imagedata r:id="rId6" o:title=""/>
        </v:shape>
      </w:pict>
    </w:r>
    <w:r>
      <w:rPr>
        <w:rFonts w:ascii="Tahoma" w:hAnsi="Tahoma" w:cs="Tahoma"/>
        <w:sz w:val="17"/>
        <w:szCs w:val="17"/>
      </w:rPr>
      <w:object w:dxaOrig="225" w:dyaOrig="225">
        <v:shape id="_x0000_i1035" type="#_x0000_t75" style="width:1in;height:18pt" o:ole="">
          <v:imagedata r:id="rId7" o:title=""/>
        </v:shape>
        <w:control r:id="rId8" w:name="DefaultOcxName1121" w:shapeid="_x0000_i1035"/>
      </w:object>
    </w:r>
    <w:r>
      <w:rPr>
        <w:rFonts w:ascii="Tahoma" w:hAnsi="Tahoma" w:cs="Tahoma"/>
        <w:sz w:val="17"/>
        <w:szCs w:val="1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AA8" w:rsidRDefault="00B45AA8">
      <w:r>
        <w:separator/>
      </w:r>
    </w:p>
    <w:p w:rsidR="00B45AA8" w:rsidRDefault="00B45AA8"/>
  </w:footnote>
  <w:footnote w:type="continuationSeparator" w:id="0">
    <w:p w:rsidR="00B45AA8" w:rsidRDefault="00B45AA8">
      <w:r>
        <w:continuationSeparator/>
      </w:r>
    </w:p>
    <w:p w:rsidR="00B45AA8" w:rsidRDefault="00B45AA8"/>
  </w:footnote>
  <w:footnote w:type="continuationNotice" w:id="1">
    <w:p w:rsidR="00B45AA8" w:rsidRDefault="00B45AA8">
      <w:pPr>
        <w:rPr>
          <w:sz w:val="22"/>
        </w:rPr>
      </w:pPr>
    </w:p>
    <w:p w:rsidR="00B45AA8" w:rsidRDefault="00B45AA8">
      <w:pPr>
        <w:jc w:val="right"/>
        <w:rPr>
          <w:sz w:val="22"/>
        </w:rPr>
      </w:pPr>
      <w:r>
        <w:rPr>
          <w:i/>
          <w:sz w:val="22"/>
        </w:rPr>
        <w:t>Footnote continued on next page</w:t>
      </w:r>
    </w:p>
    <w:p w:rsidR="00B45AA8" w:rsidRDefault="00B45AA8"/>
  </w:footnote>
  <w:footnote w:id="2">
    <w:p w:rsidR="00B45AA8" w:rsidRPr="00157775" w:rsidRDefault="00B45AA8" w:rsidP="00AF1C22">
      <w:pPr>
        <w:pStyle w:val="FootnoteText"/>
        <w:rPr>
          <w:szCs w:val="22"/>
        </w:rPr>
      </w:pPr>
      <w:r w:rsidRPr="00157775">
        <w:rPr>
          <w:rStyle w:val="FootnoteReference"/>
          <w:sz w:val="22"/>
          <w:szCs w:val="22"/>
        </w:rPr>
        <w:footnoteRef/>
      </w:r>
      <w:r w:rsidRPr="00157775">
        <w:rPr>
          <w:szCs w:val="22"/>
        </w:rPr>
        <w:t xml:space="preserve">  AB 1665 is codified at Public Utilities (Pub. Util.) Code </w:t>
      </w:r>
      <w:r w:rsidRPr="00157775">
        <w:rPr>
          <w:rFonts w:ascii="Book Antiqua" w:hAnsi="Book Antiqua"/>
          <w:szCs w:val="22"/>
        </w:rPr>
        <w:t>Section</w:t>
      </w:r>
      <w:r w:rsidRPr="00157775">
        <w:rPr>
          <w:szCs w:val="22"/>
        </w:rPr>
        <w:t xml:space="preserve"> 281.</w:t>
      </w:r>
    </w:p>
  </w:footnote>
  <w:footnote w:id="3">
    <w:p w:rsidR="00B45AA8" w:rsidRDefault="00B45AA8">
      <w:pPr>
        <w:pStyle w:val="FootnoteText"/>
      </w:pPr>
      <w:r>
        <w:rPr>
          <w:rStyle w:val="FootnoteReference"/>
        </w:rPr>
        <w:footnoteRef/>
      </w:r>
      <w:r>
        <w:t xml:space="preserve">  Ch. 522, Stats. 2013.</w:t>
      </w:r>
    </w:p>
  </w:footnote>
  <w:footnote w:id="4">
    <w:p w:rsidR="00B45AA8" w:rsidRDefault="00B45AA8">
      <w:pPr>
        <w:pStyle w:val="FootnoteText"/>
      </w:pPr>
      <w:r>
        <w:rPr>
          <w:rStyle w:val="FootnoteReference"/>
        </w:rPr>
        <w:footnoteRef/>
      </w:r>
      <w:r>
        <w:t xml:space="preserve">  Ch. 507, Stats. 2013.</w:t>
      </w:r>
    </w:p>
  </w:footnote>
  <w:footnote w:id="5">
    <w:p w:rsidR="00B45AA8" w:rsidRDefault="00B45AA8">
      <w:pPr>
        <w:pStyle w:val="FootnoteText"/>
      </w:pPr>
      <w:r>
        <w:rPr>
          <w:rStyle w:val="FootnoteReference"/>
        </w:rPr>
        <w:footnoteRef/>
      </w:r>
      <w:r>
        <w:t xml:space="preserve">  Ch. 710, Stats. 2016.</w:t>
      </w:r>
    </w:p>
  </w:footnote>
  <w:footnote w:id="6">
    <w:p w:rsidR="00B45AA8" w:rsidRDefault="00B45AA8">
      <w:pPr>
        <w:pStyle w:val="FootnoteText"/>
      </w:pPr>
      <w:r>
        <w:rPr>
          <w:rStyle w:val="FootnoteReference"/>
        </w:rPr>
        <w:footnoteRef/>
      </w:r>
      <w:r>
        <w:t xml:space="preserve">  Ch. 851, Stats. 2017.</w:t>
      </w:r>
    </w:p>
  </w:footnote>
  <w:footnote w:id="7">
    <w:p w:rsidR="00B45AA8" w:rsidRDefault="00B45AA8">
      <w:pPr>
        <w:pStyle w:val="FootnoteText"/>
      </w:pPr>
      <w:r>
        <w:rPr>
          <w:rStyle w:val="FootnoteReference"/>
        </w:rPr>
        <w:footnoteRef/>
      </w:r>
      <w:r>
        <w:t xml:space="preserve">  </w:t>
      </w:r>
      <w:r w:rsidRPr="00157775">
        <w:rPr>
          <w:sz w:val="20"/>
        </w:rPr>
        <w:t>The following parties filed comments/reply comments: AT&amp;T, California Cable &amp; Telecommunication Association (CCTA), Frontier Citizens Telecommunications Company of California (Frontier) and Bright Fiber Network, Inc. (Bright Fiber), CETF, Central Coast Broadband Consortium (CCBC), Central Sierra Connect Broadband Consortium (Central Sierra Connect), CSU</w:t>
      </w:r>
      <w:r w:rsidR="00B34BCE">
        <w:rPr>
          <w:sz w:val="20"/>
        </w:rPr>
        <w:noBreakHyphen/>
      </w:r>
      <w:r w:rsidRPr="00157775">
        <w:rPr>
          <w:sz w:val="20"/>
        </w:rPr>
        <w:t>Chico Geographical Information Center (Chico), Gold Country Broadband Consortium (GCBC), North Bay North Coast Broadband Consortium (NBNCBC), Radio Bilingüe, Inc., Satellite Affordable Housing Associates (SAHA), Tech Exchange, Tenderloin Neighborhood Development Corporation (TNDC) and The Utility Reform Network (TURN), City and County of San Francisco (San Francisco), City of Oroville and Office of Ratepayer Advocates (ORA).</w:t>
      </w:r>
    </w:p>
  </w:footnote>
  <w:footnote w:id="8">
    <w:p w:rsidR="00B45AA8" w:rsidRPr="00157775" w:rsidRDefault="00B45AA8" w:rsidP="00AF1C22">
      <w:pPr>
        <w:pStyle w:val="FootnoteText"/>
        <w:rPr>
          <w:rFonts w:ascii="Palatino Linotype" w:hAnsi="Palatino Linotype"/>
          <w:szCs w:val="22"/>
        </w:rPr>
      </w:pPr>
      <w:r w:rsidRPr="00157775">
        <w:rPr>
          <w:rStyle w:val="FootnoteReference"/>
          <w:sz w:val="22"/>
          <w:szCs w:val="22"/>
        </w:rPr>
        <w:footnoteRef/>
      </w:r>
      <w:r w:rsidRPr="00157775">
        <w:rPr>
          <w:szCs w:val="22"/>
        </w:rPr>
        <w:t xml:space="preserve">  </w:t>
      </w:r>
      <w:r w:rsidRPr="00157775">
        <w:rPr>
          <w:rFonts w:eastAsiaTheme="minorHAnsi" w:cstheme="minorBidi"/>
          <w:szCs w:val="22"/>
        </w:rPr>
        <w:t>W</w:t>
      </w:r>
      <w:r w:rsidRPr="00157775">
        <w:rPr>
          <w:szCs w:val="22"/>
        </w:rPr>
        <w:t xml:space="preserve">orkshops/public forums were held in Oroville (March 14, 2018); Madera (March 16, 2018); El Centro (March 28, 2018); and Los Angeles (March 30, 2018).  Information regarding these workshops/public forums is available at </w:t>
      </w:r>
      <w:hyperlink r:id="rId1" w:history="1">
        <w:r w:rsidRPr="00157775">
          <w:rPr>
            <w:rStyle w:val="Hyperlink"/>
            <w:szCs w:val="22"/>
          </w:rPr>
          <w:t>http://www.cpuc.ca.gov/internetforall/</w:t>
        </w:r>
      </w:hyperlink>
      <w:r w:rsidRPr="00157775">
        <w:rPr>
          <w:szCs w:val="22"/>
        </w:rPr>
        <w:t xml:space="preserve">. </w:t>
      </w:r>
    </w:p>
  </w:footnote>
  <w:footnote w:id="9">
    <w:p w:rsidR="00B45AA8" w:rsidRPr="00157775" w:rsidRDefault="00B45AA8" w:rsidP="00AF1C22">
      <w:pPr>
        <w:pStyle w:val="FootnoteText"/>
        <w:rPr>
          <w:rFonts w:ascii="Palatino Linotype" w:hAnsi="Palatino Linotype"/>
          <w:szCs w:val="22"/>
        </w:rPr>
      </w:pPr>
      <w:r w:rsidRPr="00157775">
        <w:rPr>
          <w:rStyle w:val="FootnoteReference"/>
          <w:rFonts w:ascii="Palatino Linotype" w:hAnsi="Palatino Linotype"/>
          <w:sz w:val="22"/>
          <w:szCs w:val="22"/>
        </w:rPr>
        <w:footnoteRef/>
      </w:r>
      <w:r w:rsidRPr="00157775">
        <w:rPr>
          <w:rFonts w:ascii="Palatino Linotype" w:hAnsi="Palatino Linotype"/>
          <w:szCs w:val="22"/>
        </w:rPr>
        <w:t xml:space="preserve">  </w:t>
      </w:r>
      <w:r w:rsidRPr="00157775">
        <w:rPr>
          <w:szCs w:val="22"/>
        </w:rPr>
        <w:t>Pub. Util. Code § 281 (j)(5).</w:t>
      </w:r>
    </w:p>
  </w:footnote>
  <w:footnote w:id="10">
    <w:p w:rsidR="00B45AA8" w:rsidRPr="00157775" w:rsidRDefault="00B45AA8" w:rsidP="00AF1C22">
      <w:pPr>
        <w:pStyle w:val="FootnoteText"/>
        <w:rPr>
          <w:rFonts w:ascii="Palatino Linotype" w:hAnsi="Palatino Linotype"/>
          <w:szCs w:val="22"/>
        </w:rPr>
      </w:pPr>
      <w:r w:rsidRPr="00157775">
        <w:rPr>
          <w:rStyle w:val="FootnoteReference"/>
          <w:rFonts w:ascii="Palatino Linotype" w:hAnsi="Palatino Linotype"/>
          <w:sz w:val="22"/>
          <w:szCs w:val="22"/>
        </w:rPr>
        <w:footnoteRef/>
      </w:r>
      <w:r w:rsidRPr="00157775">
        <w:rPr>
          <w:rFonts w:ascii="Palatino Linotype" w:hAnsi="Palatino Linotype"/>
          <w:szCs w:val="22"/>
        </w:rPr>
        <w:t xml:space="preserve">  </w:t>
      </w:r>
      <w:r w:rsidRPr="00157775">
        <w:rPr>
          <w:szCs w:val="22"/>
        </w:rPr>
        <w:t>Pub. Util. Code § 914.7(10) and (11).</w:t>
      </w:r>
    </w:p>
  </w:footnote>
  <w:footnote w:id="11">
    <w:p w:rsidR="00B45AA8" w:rsidRPr="00157775" w:rsidRDefault="00B45AA8" w:rsidP="00AF1C22">
      <w:pPr>
        <w:pStyle w:val="FootnoteText"/>
        <w:rPr>
          <w:szCs w:val="22"/>
        </w:rPr>
      </w:pPr>
      <w:r w:rsidRPr="00157775">
        <w:rPr>
          <w:rStyle w:val="FootnoteReference"/>
          <w:sz w:val="22"/>
          <w:szCs w:val="22"/>
        </w:rPr>
        <w:footnoteRef/>
      </w:r>
      <w:r w:rsidRPr="00157775">
        <w:rPr>
          <w:szCs w:val="22"/>
        </w:rPr>
        <w:t xml:space="preserve">  ORA defines broadband access as “households with access (or availability) to broadband and not subscription rates.”  (ORA Opening Comments at 4</w:t>
      </w:r>
      <w:r w:rsidR="00B34BCE">
        <w:rPr>
          <w:szCs w:val="22"/>
        </w:rPr>
        <w:noBreakHyphen/>
      </w:r>
      <w:r w:rsidRPr="00157775">
        <w:rPr>
          <w:szCs w:val="22"/>
        </w:rPr>
        <w:t>5.)</w:t>
      </w:r>
    </w:p>
  </w:footnote>
  <w:footnote w:id="12">
    <w:p w:rsidR="00B45AA8" w:rsidRPr="00157775" w:rsidRDefault="00B45AA8" w:rsidP="00AF1C22">
      <w:pPr>
        <w:pStyle w:val="FootnoteText"/>
        <w:rPr>
          <w:szCs w:val="22"/>
        </w:rPr>
      </w:pPr>
      <w:r w:rsidRPr="00157775">
        <w:rPr>
          <w:rStyle w:val="FootnoteReference"/>
          <w:sz w:val="22"/>
          <w:szCs w:val="22"/>
        </w:rPr>
        <w:footnoteRef/>
      </w:r>
      <w:r w:rsidRPr="00157775">
        <w:rPr>
          <w:szCs w:val="22"/>
        </w:rPr>
        <w:t xml:space="preserve">  ORA Opening Comments at 2.</w:t>
      </w:r>
    </w:p>
  </w:footnote>
  <w:footnote w:id="13">
    <w:p w:rsidR="00B45AA8" w:rsidRPr="00157775" w:rsidRDefault="00B45AA8" w:rsidP="00AF1C22">
      <w:pPr>
        <w:pStyle w:val="FootnoteText"/>
        <w:rPr>
          <w:szCs w:val="22"/>
        </w:rPr>
      </w:pPr>
      <w:r w:rsidRPr="00157775">
        <w:rPr>
          <w:rStyle w:val="FootnoteReference"/>
          <w:sz w:val="22"/>
          <w:szCs w:val="22"/>
        </w:rPr>
        <w:footnoteRef/>
      </w:r>
      <w:r w:rsidRPr="00157775">
        <w:rPr>
          <w:szCs w:val="22"/>
        </w:rPr>
        <w:t xml:space="preserve">  CETF Reply Comments at 3.</w:t>
      </w:r>
    </w:p>
  </w:footnote>
  <w:footnote w:id="14">
    <w:p w:rsidR="00B45AA8" w:rsidRPr="00157775" w:rsidRDefault="00B45AA8" w:rsidP="00AF1C22">
      <w:pPr>
        <w:pStyle w:val="FootnoteText"/>
        <w:rPr>
          <w:szCs w:val="22"/>
        </w:rPr>
      </w:pPr>
      <w:r w:rsidRPr="00157775">
        <w:rPr>
          <w:rStyle w:val="FootnoteReference"/>
          <w:sz w:val="22"/>
          <w:szCs w:val="22"/>
        </w:rPr>
        <w:footnoteRef/>
      </w:r>
      <w:r w:rsidRPr="00157775">
        <w:rPr>
          <w:szCs w:val="22"/>
        </w:rPr>
        <w:t xml:space="preserve">  NCNCBC Reply Comments at 4.</w:t>
      </w:r>
    </w:p>
  </w:footnote>
  <w:footnote w:id="15">
    <w:p w:rsidR="00B45AA8" w:rsidRPr="00157775" w:rsidRDefault="00B45AA8" w:rsidP="00AF1C22">
      <w:pPr>
        <w:pStyle w:val="FootnoteText"/>
        <w:rPr>
          <w:szCs w:val="22"/>
        </w:rPr>
      </w:pPr>
      <w:r w:rsidRPr="00157775">
        <w:rPr>
          <w:rStyle w:val="FootnoteReference"/>
          <w:sz w:val="22"/>
          <w:szCs w:val="22"/>
        </w:rPr>
        <w:footnoteRef/>
      </w:r>
      <w:r w:rsidRPr="00157775">
        <w:rPr>
          <w:szCs w:val="22"/>
        </w:rPr>
        <w:t xml:space="preserve">  CETF Reply Comments at 3.</w:t>
      </w:r>
    </w:p>
  </w:footnote>
  <w:footnote w:id="16">
    <w:p w:rsidR="00B45AA8" w:rsidRPr="00157775" w:rsidRDefault="00B45AA8" w:rsidP="00AF1C22">
      <w:pPr>
        <w:pStyle w:val="FootnoteText"/>
        <w:rPr>
          <w:szCs w:val="22"/>
        </w:rPr>
      </w:pPr>
      <w:r w:rsidRPr="00157775">
        <w:rPr>
          <w:rStyle w:val="FootnoteReference"/>
          <w:sz w:val="22"/>
          <w:szCs w:val="22"/>
        </w:rPr>
        <w:footnoteRef/>
      </w:r>
      <w:r w:rsidRPr="00157775">
        <w:rPr>
          <w:szCs w:val="22"/>
        </w:rPr>
        <w:t xml:space="preserve">  NBNCBC Reply Comments at 4.</w:t>
      </w:r>
    </w:p>
  </w:footnote>
  <w:footnote w:id="17">
    <w:p w:rsidR="00B45AA8" w:rsidRPr="00157775" w:rsidRDefault="00B45AA8" w:rsidP="00AF1C22">
      <w:pPr>
        <w:pStyle w:val="FootnoteText"/>
        <w:rPr>
          <w:szCs w:val="22"/>
        </w:rPr>
      </w:pPr>
      <w:r w:rsidRPr="00157775">
        <w:rPr>
          <w:rStyle w:val="FootnoteReference"/>
          <w:sz w:val="22"/>
          <w:szCs w:val="22"/>
        </w:rPr>
        <w:footnoteRef/>
      </w:r>
      <w:r w:rsidRPr="00157775">
        <w:rPr>
          <w:szCs w:val="22"/>
        </w:rPr>
        <w:t xml:space="preserve">  According to the annual survey conducted for CETF, as of July, 2016, California has an overall broadband adoption rate of 84% (</w:t>
      </w:r>
      <w:hyperlink r:id="rId2" w:history="1">
        <w:r w:rsidRPr="007123B1">
          <w:rPr>
            <w:rStyle w:val="Hyperlink"/>
            <w:szCs w:val="22"/>
          </w:rPr>
          <w:t>http://www.cetfund.org/node/9318</w:t>
        </w:r>
      </w:hyperlink>
      <w:r w:rsidRPr="00157775">
        <w:rPr>
          <w:szCs w:val="22"/>
        </w:rPr>
        <w:t>).</w:t>
      </w:r>
      <w:r>
        <w:rPr>
          <w:szCs w:val="22"/>
        </w:rPr>
        <w:t xml:space="preserve"> </w:t>
      </w:r>
      <w:r w:rsidR="00AB1643">
        <w:rPr>
          <w:szCs w:val="22"/>
        </w:rPr>
        <w:t xml:space="preserve"> </w:t>
      </w:r>
      <w:r>
        <w:rPr>
          <w:szCs w:val="22"/>
        </w:rPr>
        <w:t xml:space="preserve">CETF’s annual 2017 survey updated this rate to 87%. </w:t>
      </w:r>
    </w:p>
  </w:footnote>
  <w:footnote w:id="18">
    <w:p w:rsidR="00B45AA8" w:rsidRPr="00157775" w:rsidRDefault="00B45AA8" w:rsidP="00AF1C22">
      <w:pPr>
        <w:pStyle w:val="FootnoteText"/>
        <w:rPr>
          <w:szCs w:val="22"/>
        </w:rPr>
      </w:pPr>
      <w:r w:rsidRPr="00157775">
        <w:rPr>
          <w:rStyle w:val="FootnoteReference"/>
          <w:sz w:val="22"/>
          <w:szCs w:val="22"/>
        </w:rPr>
        <w:footnoteRef/>
      </w:r>
      <w:r w:rsidRPr="00157775">
        <w:rPr>
          <w:szCs w:val="22"/>
        </w:rPr>
        <w:t xml:space="preserve">  CETF Reply Comments at 3.</w:t>
      </w:r>
    </w:p>
  </w:footnote>
  <w:footnote w:id="19">
    <w:p w:rsidR="00B45AA8" w:rsidRPr="00157775" w:rsidRDefault="00B45AA8" w:rsidP="00AF1C22">
      <w:pPr>
        <w:pStyle w:val="FootnoteText"/>
        <w:rPr>
          <w:szCs w:val="22"/>
        </w:rPr>
      </w:pPr>
      <w:r w:rsidRPr="00157775">
        <w:rPr>
          <w:rStyle w:val="FootnoteReference"/>
          <w:sz w:val="22"/>
          <w:szCs w:val="22"/>
        </w:rPr>
        <w:footnoteRef/>
      </w:r>
      <w:r w:rsidRPr="00157775">
        <w:rPr>
          <w:szCs w:val="22"/>
        </w:rPr>
        <w:t xml:space="preserve">  </w:t>
      </w:r>
      <w:r w:rsidRPr="00157775">
        <w:rPr>
          <w:i/>
          <w:szCs w:val="22"/>
        </w:rPr>
        <w:t>Id.</w:t>
      </w:r>
    </w:p>
  </w:footnote>
  <w:footnote w:id="20">
    <w:p w:rsidR="00B45AA8" w:rsidRPr="00157775" w:rsidRDefault="00B45AA8" w:rsidP="00AF1C22">
      <w:pPr>
        <w:pStyle w:val="FootnoteText"/>
        <w:rPr>
          <w:szCs w:val="22"/>
        </w:rPr>
      </w:pPr>
      <w:r w:rsidRPr="00157775">
        <w:rPr>
          <w:rStyle w:val="FootnoteReference"/>
          <w:sz w:val="22"/>
          <w:szCs w:val="22"/>
        </w:rPr>
        <w:footnoteRef/>
      </w:r>
      <w:r w:rsidRPr="00157775">
        <w:rPr>
          <w:szCs w:val="22"/>
        </w:rPr>
        <w:t xml:space="preserve">  NBNCBC Reply Comments at 4.</w:t>
      </w:r>
    </w:p>
  </w:footnote>
  <w:footnote w:id="21">
    <w:p w:rsidR="00B45AA8" w:rsidRPr="00157775" w:rsidRDefault="00B45AA8" w:rsidP="00AF1C22">
      <w:pPr>
        <w:pStyle w:val="FootnoteText"/>
        <w:rPr>
          <w:szCs w:val="22"/>
        </w:rPr>
      </w:pPr>
      <w:r w:rsidRPr="00157775">
        <w:rPr>
          <w:rStyle w:val="FootnoteReference"/>
          <w:sz w:val="22"/>
          <w:szCs w:val="22"/>
        </w:rPr>
        <w:footnoteRef/>
      </w:r>
      <w:r w:rsidRPr="00157775">
        <w:rPr>
          <w:szCs w:val="22"/>
        </w:rPr>
        <w:t xml:space="preserve">  CETF Reply Comments at 3.</w:t>
      </w:r>
    </w:p>
  </w:footnote>
  <w:footnote w:id="22">
    <w:p w:rsidR="00B45AA8" w:rsidRPr="00157775" w:rsidRDefault="00B45AA8" w:rsidP="00AF1C22">
      <w:pPr>
        <w:spacing w:after="120"/>
        <w:rPr>
          <w:color w:val="000000"/>
          <w:sz w:val="22"/>
          <w:szCs w:val="22"/>
        </w:rPr>
      </w:pPr>
      <w:r w:rsidRPr="00157775">
        <w:rPr>
          <w:rStyle w:val="FootnoteReference"/>
          <w:sz w:val="22"/>
          <w:szCs w:val="22"/>
        </w:rPr>
        <w:footnoteRef/>
      </w:r>
      <w:r w:rsidRPr="00157775">
        <w:rPr>
          <w:sz w:val="22"/>
          <w:szCs w:val="22"/>
        </w:rPr>
        <w:t xml:space="preserve">  </w:t>
      </w:r>
      <w:r w:rsidRPr="00157775">
        <w:rPr>
          <w:color w:val="000000"/>
          <w:sz w:val="22"/>
          <w:szCs w:val="22"/>
        </w:rPr>
        <w:t>Per CETF, broadband adoptions as measured by verified new subscriptions can be achieved for $250 per adoption if incumbent ISPs are sincere partners in advertising affordable offers and community sign</w:t>
      </w:r>
      <w:r w:rsidR="00B34BCE">
        <w:rPr>
          <w:color w:val="000000"/>
          <w:sz w:val="22"/>
          <w:szCs w:val="22"/>
        </w:rPr>
        <w:noBreakHyphen/>
      </w:r>
      <w:r w:rsidRPr="00157775">
        <w:rPr>
          <w:color w:val="000000"/>
          <w:sz w:val="22"/>
          <w:szCs w:val="22"/>
        </w:rPr>
        <w:t>up events.  $250 is sufficient to cover outreach, digital literacy training, help to find an affordable device (purchased by customer and not part of grant funding), and assistance with comparing broadband service offers and signing up for service.  This figure is a good benchmark for allowed amounts per adoption in a grant.  (CETF Opening Comments at 4.)</w:t>
      </w:r>
    </w:p>
  </w:footnote>
  <w:footnote w:id="23">
    <w:p w:rsidR="00B45AA8" w:rsidRPr="00157775" w:rsidRDefault="00B45AA8" w:rsidP="00AF1C22">
      <w:pPr>
        <w:pStyle w:val="FootnoteText"/>
        <w:rPr>
          <w:szCs w:val="22"/>
        </w:rPr>
      </w:pPr>
      <w:r w:rsidRPr="00157775">
        <w:rPr>
          <w:rStyle w:val="FootnoteReference"/>
          <w:sz w:val="22"/>
          <w:szCs w:val="22"/>
        </w:rPr>
        <w:footnoteRef/>
      </w:r>
      <w:r w:rsidRPr="00157775">
        <w:rPr>
          <w:szCs w:val="22"/>
        </w:rPr>
        <w:t xml:space="preserve">  Digital Infrastructure and Video Competition Act of 2006 (DIVCA) Report DIVCA Video, Broadband and Video Employment Report, For The Year Ending December 31, 2015 at 27 </w:t>
      </w:r>
      <w:r w:rsidR="00B34BCE">
        <w:rPr>
          <w:szCs w:val="22"/>
        </w:rPr>
        <w:noBreakHyphen/>
      </w:r>
      <w:r w:rsidRPr="00157775">
        <w:rPr>
          <w:szCs w:val="22"/>
        </w:rPr>
        <w:t xml:space="preserve"> 35.  Available at </w:t>
      </w:r>
      <w:hyperlink r:id="rId3" w:history="1">
        <w:r w:rsidRPr="00157775">
          <w:rPr>
            <w:rStyle w:val="Hyperlink"/>
            <w:szCs w:val="22"/>
          </w:rPr>
          <w:t>http://www.cpuc.ca.gov/General.aspx?id=2241</w:t>
        </w:r>
      </w:hyperlink>
      <w:r w:rsidRPr="00157775">
        <w:rPr>
          <w:szCs w:val="22"/>
        </w:rPr>
        <w:t xml:space="preserve">. </w:t>
      </w:r>
    </w:p>
  </w:footnote>
  <w:footnote w:id="24">
    <w:p w:rsidR="00B45AA8" w:rsidRPr="00157775" w:rsidRDefault="00B45AA8" w:rsidP="00E4254F">
      <w:pPr>
        <w:pStyle w:val="FootnoteText"/>
        <w:rPr>
          <w:szCs w:val="22"/>
        </w:rPr>
      </w:pPr>
      <w:r w:rsidRPr="00157775">
        <w:rPr>
          <w:rStyle w:val="FootnoteReference"/>
          <w:sz w:val="22"/>
          <w:szCs w:val="22"/>
        </w:rPr>
        <w:footnoteRef/>
      </w:r>
      <w:r w:rsidRPr="00157775">
        <w:rPr>
          <w:szCs w:val="22"/>
        </w:rPr>
        <w:t xml:space="preserve">  ORA Opening Comments at 4.</w:t>
      </w:r>
    </w:p>
  </w:footnote>
  <w:footnote w:id="25">
    <w:p w:rsidR="00B45AA8" w:rsidRPr="00157775" w:rsidRDefault="00B45AA8" w:rsidP="00E4254F">
      <w:pPr>
        <w:pStyle w:val="FootnoteText"/>
        <w:rPr>
          <w:szCs w:val="22"/>
        </w:rPr>
      </w:pPr>
      <w:r w:rsidRPr="00157775">
        <w:rPr>
          <w:rStyle w:val="FootnoteReference"/>
          <w:sz w:val="22"/>
          <w:szCs w:val="22"/>
        </w:rPr>
        <w:footnoteRef/>
      </w:r>
      <w:r w:rsidRPr="00157775">
        <w:rPr>
          <w:szCs w:val="22"/>
        </w:rPr>
        <w:t xml:space="preserve">  CETF Reply Comments at 1</w:t>
      </w:r>
      <w:r w:rsidR="00B34BCE">
        <w:rPr>
          <w:szCs w:val="22"/>
        </w:rPr>
        <w:noBreakHyphen/>
      </w:r>
      <w:r w:rsidRPr="00157775">
        <w:rPr>
          <w:szCs w:val="22"/>
        </w:rPr>
        <w:t>2.</w:t>
      </w:r>
    </w:p>
  </w:footnote>
  <w:footnote w:id="26">
    <w:p w:rsidR="00B45AA8" w:rsidRPr="00157775" w:rsidRDefault="00B45AA8" w:rsidP="00E4254F">
      <w:pPr>
        <w:pStyle w:val="FootnoteText"/>
        <w:rPr>
          <w:szCs w:val="22"/>
        </w:rPr>
      </w:pPr>
      <w:r w:rsidRPr="00157775">
        <w:rPr>
          <w:rStyle w:val="FootnoteReference"/>
          <w:sz w:val="22"/>
          <w:szCs w:val="22"/>
        </w:rPr>
        <w:footnoteRef/>
      </w:r>
      <w:r w:rsidRPr="00157775">
        <w:rPr>
          <w:szCs w:val="22"/>
        </w:rPr>
        <w:t xml:space="preserve">  NBNCBC Opening Comments at 5</w:t>
      </w:r>
      <w:r w:rsidR="00B34BCE">
        <w:rPr>
          <w:szCs w:val="22"/>
        </w:rPr>
        <w:noBreakHyphen/>
      </w:r>
      <w:r w:rsidRPr="00157775">
        <w:rPr>
          <w:szCs w:val="22"/>
        </w:rPr>
        <w:t>6.</w:t>
      </w:r>
    </w:p>
  </w:footnote>
  <w:footnote w:id="27">
    <w:p w:rsidR="00B45AA8" w:rsidRPr="00157775" w:rsidRDefault="00B45AA8" w:rsidP="00E4254F">
      <w:pPr>
        <w:pStyle w:val="FootnoteText"/>
        <w:rPr>
          <w:szCs w:val="22"/>
        </w:rPr>
      </w:pPr>
      <w:r w:rsidRPr="00157775">
        <w:rPr>
          <w:rStyle w:val="FootnoteReference"/>
          <w:sz w:val="22"/>
          <w:szCs w:val="22"/>
        </w:rPr>
        <w:footnoteRef/>
      </w:r>
      <w:r w:rsidRPr="00157775">
        <w:rPr>
          <w:szCs w:val="22"/>
        </w:rPr>
        <w:t xml:space="preserve">  </w:t>
      </w:r>
      <w:r w:rsidRPr="00157775">
        <w:rPr>
          <w:i/>
          <w:szCs w:val="22"/>
        </w:rPr>
        <w:t>Id</w:t>
      </w:r>
      <w:r w:rsidRPr="00157775">
        <w:rPr>
          <w:szCs w:val="22"/>
        </w:rPr>
        <w:t>. at 13.</w:t>
      </w:r>
    </w:p>
  </w:footnote>
  <w:footnote w:id="28">
    <w:p w:rsidR="00B45AA8" w:rsidRPr="00157775" w:rsidRDefault="00B45AA8" w:rsidP="00E4254F">
      <w:pPr>
        <w:pStyle w:val="FootnoteText"/>
        <w:rPr>
          <w:szCs w:val="22"/>
        </w:rPr>
      </w:pPr>
      <w:r w:rsidRPr="00157775">
        <w:rPr>
          <w:rStyle w:val="FootnoteReference"/>
          <w:sz w:val="22"/>
          <w:szCs w:val="22"/>
        </w:rPr>
        <w:footnoteRef/>
      </w:r>
      <w:r w:rsidRPr="00157775">
        <w:rPr>
          <w:szCs w:val="22"/>
        </w:rPr>
        <w:t xml:space="preserve">  Frontier Opening Comments at 3.</w:t>
      </w:r>
    </w:p>
  </w:footnote>
  <w:footnote w:id="29">
    <w:p w:rsidR="00B45AA8" w:rsidRPr="00157775" w:rsidRDefault="00B45AA8" w:rsidP="00E4254F">
      <w:pPr>
        <w:pStyle w:val="FootnoteText"/>
        <w:rPr>
          <w:szCs w:val="22"/>
        </w:rPr>
      </w:pPr>
      <w:r w:rsidRPr="00157775">
        <w:rPr>
          <w:rStyle w:val="FootnoteReference"/>
          <w:sz w:val="22"/>
          <w:szCs w:val="22"/>
        </w:rPr>
        <w:footnoteRef/>
      </w:r>
      <w:r w:rsidRPr="00157775">
        <w:rPr>
          <w:szCs w:val="22"/>
        </w:rPr>
        <w:t xml:space="preserve">  CETF Reply Comments at 9.</w:t>
      </w:r>
    </w:p>
  </w:footnote>
  <w:footnote w:id="30">
    <w:p w:rsidR="00B45AA8" w:rsidRPr="00157775" w:rsidRDefault="00B45AA8" w:rsidP="00102E05">
      <w:pPr>
        <w:pStyle w:val="FootnoteText"/>
        <w:rPr>
          <w:color w:val="000000" w:themeColor="text1"/>
          <w:szCs w:val="22"/>
        </w:rPr>
      </w:pPr>
      <w:r w:rsidRPr="00157775">
        <w:rPr>
          <w:rStyle w:val="FootnoteReference"/>
          <w:color w:val="000000" w:themeColor="text1"/>
          <w:sz w:val="22"/>
          <w:szCs w:val="22"/>
        </w:rPr>
        <w:footnoteRef/>
      </w:r>
      <w:r w:rsidRPr="00157775">
        <w:rPr>
          <w:color w:val="000000" w:themeColor="text1"/>
          <w:szCs w:val="22"/>
        </w:rPr>
        <w:t xml:space="preserve">  CARE income limits can be found here: http://consumers.cpuc.ca.gov/lowincomerates/</w:t>
      </w:r>
    </w:p>
  </w:footnote>
  <w:footnote w:id="31">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ORA Opening Comments at 4</w:t>
      </w:r>
      <w:r w:rsidR="00B34BCE">
        <w:rPr>
          <w:szCs w:val="22"/>
        </w:rPr>
        <w:noBreakHyphen/>
      </w:r>
      <w:r w:rsidRPr="00157775">
        <w:rPr>
          <w:szCs w:val="22"/>
        </w:rPr>
        <w:t>5.</w:t>
      </w:r>
    </w:p>
  </w:footnote>
  <w:footnote w:id="32">
    <w:p w:rsidR="00B45AA8" w:rsidRPr="00157775" w:rsidRDefault="00B45AA8" w:rsidP="00A711E6">
      <w:pPr>
        <w:pStyle w:val="FootnoteText"/>
        <w:rPr>
          <w:szCs w:val="22"/>
          <w:highlight w:val="yellow"/>
        </w:rPr>
      </w:pPr>
      <w:r w:rsidRPr="00157775">
        <w:rPr>
          <w:rStyle w:val="FootnoteReference"/>
          <w:sz w:val="22"/>
          <w:szCs w:val="22"/>
        </w:rPr>
        <w:footnoteRef/>
      </w:r>
      <w:r w:rsidRPr="00157775">
        <w:rPr>
          <w:szCs w:val="22"/>
        </w:rPr>
        <w:t xml:space="preserve">  </w:t>
      </w:r>
      <w:r w:rsidRPr="00157775">
        <w:rPr>
          <w:i/>
          <w:szCs w:val="22"/>
        </w:rPr>
        <w:t>Id</w:t>
      </w:r>
      <w:r w:rsidRPr="00157775">
        <w:rPr>
          <w:szCs w:val="22"/>
        </w:rPr>
        <w:t>. at 6.</w:t>
      </w:r>
    </w:p>
  </w:footnote>
  <w:footnote w:id="33">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w:t>
      </w:r>
      <w:r w:rsidRPr="00157775">
        <w:rPr>
          <w:i/>
          <w:szCs w:val="22"/>
        </w:rPr>
        <w:t>Id</w:t>
      </w:r>
      <w:r w:rsidRPr="00157775">
        <w:rPr>
          <w:szCs w:val="22"/>
        </w:rPr>
        <w:t>. at 13.</w:t>
      </w:r>
    </w:p>
  </w:footnote>
  <w:footnote w:id="34">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w:t>
      </w:r>
      <w:r w:rsidRPr="00157775">
        <w:rPr>
          <w:i/>
          <w:szCs w:val="22"/>
        </w:rPr>
        <w:t>Id</w:t>
      </w:r>
      <w:r w:rsidRPr="00157775">
        <w:rPr>
          <w:szCs w:val="22"/>
        </w:rPr>
        <w:t>. at 12.</w:t>
      </w:r>
    </w:p>
  </w:footnote>
  <w:footnote w:id="35">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w:t>
      </w:r>
      <w:r w:rsidRPr="00157775">
        <w:rPr>
          <w:i/>
          <w:szCs w:val="22"/>
        </w:rPr>
        <w:t>Id</w:t>
      </w:r>
      <w:r w:rsidRPr="00157775">
        <w:rPr>
          <w:szCs w:val="22"/>
        </w:rPr>
        <w:t>. at 13.</w:t>
      </w:r>
    </w:p>
  </w:footnote>
  <w:footnote w:id="36">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w:t>
      </w:r>
      <w:r w:rsidRPr="00157775">
        <w:rPr>
          <w:i/>
          <w:szCs w:val="22"/>
        </w:rPr>
        <w:t>Id</w:t>
      </w:r>
      <w:r w:rsidRPr="00157775">
        <w:rPr>
          <w:szCs w:val="22"/>
        </w:rPr>
        <w:t xml:space="preserve">. </w:t>
      </w:r>
    </w:p>
  </w:footnote>
  <w:footnote w:id="37">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CETF Reply Comments at 9</w:t>
      </w:r>
      <w:r w:rsidR="00B34BCE">
        <w:rPr>
          <w:szCs w:val="22"/>
        </w:rPr>
        <w:noBreakHyphen/>
      </w:r>
      <w:r w:rsidRPr="00157775">
        <w:rPr>
          <w:szCs w:val="22"/>
        </w:rPr>
        <w:t>10.</w:t>
      </w:r>
    </w:p>
  </w:footnote>
  <w:footnote w:id="38">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NBNCBC Reply Comments at 2.</w:t>
      </w:r>
    </w:p>
  </w:footnote>
  <w:footnote w:id="39">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San Francisco Opening Comments at 3.</w:t>
      </w:r>
    </w:p>
  </w:footnote>
  <w:footnote w:id="40">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Chico Opening Comments at 3.</w:t>
      </w:r>
    </w:p>
  </w:footnote>
  <w:footnote w:id="41">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ORA Opening Comments at 7</w:t>
      </w:r>
      <w:r w:rsidR="00B34BCE">
        <w:rPr>
          <w:szCs w:val="22"/>
        </w:rPr>
        <w:noBreakHyphen/>
      </w:r>
      <w:r w:rsidRPr="00157775">
        <w:rPr>
          <w:szCs w:val="22"/>
        </w:rPr>
        <w:t>9; CETF Reply Comments at 4.</w:t>
      </w:r>
    </w:p>
  </w:footnote>
  <w:footnote w:id="42">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TNDC Opening Comments at 2.</w:t>
      </w:r>
    </w:p>
  </w:footnote>
  <w:footnote w:id="43">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w:t>
      </w:r>
      <w:r w:rsidRPr="00157775">
        <w:rPr>
          <w:i/>
          <w:szCs w:val="22"/>
        </w:rPr>
        <w:t>Id</w:t>
      </w:r>
      <w:r w:rsidRPr="00157775">
        <w:rPr>
          <w:szCs w:val="22"/>
        </w:rPr>
        <w:t>. at 1.</w:t>
      </w:r>
    </w:p>
  </w:footnote>
  <w:footnote w:id="44">
    <w:p w:rsidR="00B45AA8" w:rsidRPr="00903571" w:rsidRDefault="00B45AA8" w:rsidP="00A711E6">
      <w:pPr>
        <w:pStyle w:val="FootnoteText"/>
        <w:rPr>
          <w:szCs w:val="22"/>
        </w:rPr>
      </w:pPr>
      <w:r w:rsidRPr="00903571">
        <w:rPr>
          <w:rStyle w:val="FootnoteReference"/>
          <w:sz w:val="22"/>
        </w:rPr>
        <w:footnoteRef/>
      </w:r>
      <w:r w:rsidRPr="00903571">
        <w:rPr>
          <w:szCs w:val="22"/>
        </w:rPr>
        <w:t xml:space="preserve">  CETF Opening Comments at 12</w:t>
      </w:r>
      <w:r w:rsidR="00B34BCE">
        <w:rPr>
          <w:szCs w:val="22"/>
        </w:rPr>
        <w:noBreakHyphen/>
      </w:r>
      <w:r w:rsidRPr="00903571">
        <w:rPr>
          <w:szCs w:val="22"/>
        </w:rPr>
        <w:t>13.</w:t>
      </w:r>
    </w:p>
  </w:footnote>
  <w:footnote w:id="45">
    <w:p w:rsidR="00B45AA8" w:rsidRPr="00903571" w:rsidRDefault="00B45AA8" w:rsidP="00A711E6">
      <w:pPr>
        <w:pStyle w:val="FootnoteText"/>
        <w:rPr>
          <w:szCs w:val="22"/>
        </w:rPr>
      </w:pPr>
      <w:r w:rsidRPr="00903571">
        <w:rPr>
          <w:rStyle w:val="FootnoteReference"/>
          <w:sz w:val="22"/>
        </w:rPr>
        <w:footnoteRef/>
      </w:r>
      <w:r w:rsidRPr="00903571">
        <w:rPr>
          <w:rStyle w:val="FootnoteReference"/>
          <w:sz w:val="22"/>
        </w:rPr>
        <w:t xml:space="preserve"> </w:t>
      </w:r>
      <w:r w:rsidRPr="00903571">
        <w:rPr>
          <w:szCs w:val="22"/>
        </w:rPr>
        <w:t xml:space="preserve"> NBNCBC Reply Comments at 4.</w:t>
      </w:r>
    </w:p>
  </w:footnote>
  <w:footnote w:id="46">
    <w:p w:rsidR="00B45AA8" w:rsidRPr="00903571" w:rsidRDefault="00B45AA8" w:rsidP="00A711E6">
      <w:pPr>
        <w:pStyle w:val="FootnoteText"/>
        <w:rPr>
          <w:szCs w:val="22"/>
        </w:rPr>
      </w:pPr>
      <w:r w:rsidRPr="00903571">
        <w:rPr>
          <w:rStyle w:val="FootnoteReference"/>
          <w:sz w:val="22"/>
        </w:rPr>
        <w:footnoteRef/>
      </w:r>
      <w:r w:rsidRPr="00903571">
        <w:rPr>
          <w:szCs w:val="22"/>
        </w:rPr>
        <w:t xml:space="preserve">  CETF Opening Comments at 3.</w:t>
      </w:r>
    </w:p>
  </w:footnote>
  <w:footnote w:id="47">
    <w:p w:rsidR="00B45AA8" w:rsidRPr="00903571" w:rsidRDefault="00B45AA8" w:rsidP="00A711E6">
      <w:pPr>
        <w:pStyle w:val="FootnoteText"/>
        <w:rPr>
          <w:szCs w:val="22"/>
        </w:rPr>
      </w:pPr>
      <w:r w:rsidRPr="00903571">
        <w:rPr>
          <w:rStyle w:val="FootnoteReference"/>
          <w:sz w:val="22"/>
        </w:rPr>
        <w:footnoteRef/>
      </w:r>
      <w:r w:rsidRPr="00903571">
        <w:rPr>
          <w:rStyle w:val="FootnoteReference"/>
          <w:sz w:val="22"/>
        </w:rPr>
        <w:t xml:space="preserve"> </w:t>
      </w:r>
      <w:r w:rsidRPr="00903571">
        <w:rPr>
          <w:szCs w:val="22"/>
        </w:rPr>
        <w:t xml:space="preserve"> ORA Reply Comments at 3.</w:t>
      </w:r>
    </w:p>
  </w:footnote>
  <w:footnote w:id="48">
    <w:p w:rsidR="00B45AA8" w:rsidRPr="00903571" w:rsidRDefault="00B45AA8" w:rsidP="00A711E6">
      <w:pPr>
        <w:pStyle w:val="FootnoteText"/>
        <w:rPr>
          <w:szCs w:val="22"/>
        </w:rPr>
      </w:pPr>
      <w:r w:rsidRPr="00903571">
        <w:rPr>
          <w:rStyle w:val="FootnoteReference"/>
          <w:sz w:val="22"/>
        </w:rPr>
        <w:footnoteRef/>
      </w:r>
      <w:r w:rsidRPr="00903571">
        <w:rPr>
          <w:szCs w:val="22"/>
        </w:rPr>
        <w:t xml:space="preserve">  TURN Opening Comments at 2.</w:t>
      </w:r>
    </w:p>
  </w:footnote>
  <w:footnote w:id="49">
    <w:p w:rsidR="00B45AA8" w:rsidRPr="00903571" w:rsidRDefault="00B45AA8" w:rsidP="00194866">
      <w:pPr>
        <w:pStyle w:val="FootnoteText"/>
        <w:rPr>
          <w:szCs w:val="22"/>
        </w:rPr>
      </w:pPr>
      <w:r w:rsidRPr="00903571">
        <w:rPr>
          <w:rStyle w:val="FootnoteReference"/>
          <w:sz w:val="22"/>
        </w:rPr>
        <w:footnoteRef/>
      </w:r>
      <w:r w:rsidRPr="00903571">
        <w:rPr>
          <w:szCs w:val="22"/>
        </w:rPr>
        <w:t xml:space="preserve">  CETF Reply Comments at 8.</w:t>
      </w:r>
    </w:p>
  </w:footnote>
  <w:footnote w:id="50">
    <w:p w:rsidR="00B45AA8" w:rsidRPr="00903571" w:rsidRDefault="00B45AA8" w:rsidP="00194866">
      <w:pPr>
        <w:pStyle w:val="FootnoteText"/>
        <w:rPr>
          <w:szCs w:val="22"/>
        </w:rPr>
      </w:pPr>
      <w:r w:rsidRPr="00903571">
        <w:rPr>
          <w:rStyle w:val="FootnoteReference"/>
          <w:sz w:val="22"/>
        </w:rPr>
        <w:footnoteRef/>
      </w:r>
      <w:r w:rsidRPr="00903571">
        <w:rPr>
          <w:szCs w:val="22"/>
        </w:rPr>
        <w:t xml:space="preserve">  CETF Opening Comments at 3.</w:t>
      </w:r>
    </w:p>
  </w:footnote>
  <w:footnote w:id="51">
    <w:p w:rsidR="00B45AA8" w:rsidRPr="00903571" w:rsidRDefault="00B45AA8" w:rsidP="00194866">
      <w:pPr>
        <w:pStyle w:val="FootnoteText"/>
        <w:rPr>
          <w:szCs w:val="22"/>
        </w:rPr>
      </w:pPr>
      <w:r w:rsidRPr="00903571">
        <w:rPr>
          <w:rStyle w:val="FootnoteReference"/>
          <w:sz w:val="22"/>
        </w:rPr>
        <w:footnoteRef/>
      </w:r>
      <w:r w:rsidRPr="00903571">
        <w:rPr>
          <w:rStyle w:val="FootnoteReference"/>
          <w:sz w:val="22"/>
        </w:rPr>
        <w:t xml:space="preserve"> </w:t>
      </w:r>
      <w:r w:rsidRPr="00903571">
        <w:rPr>
          <w:szCs w:val="22"/>
        </w:rPr>
        <w:t xml:space="preserve"> CETF Reply Comments at 7.</w:t>
      </w:r>
    </w:p>
  </w:footnote>
  <w:footnote w:id="52">
    <w:p w:rsidR="00B45AA8" w:rsidRPr="00903571" w:rsidRDefault="00B45AA8" w:rsidP="00194866">
      <w:pPr>
        <w:pStyle w:val="FootnoteText"/>
        <w:rPr>
          <w:szCs w:val="22"/>
        </w:rPr>
      </w:pPr>
      <w:r w:rsidRPr="00903571">
        <w:rPr>
          <w:rStyle w:val="FootnoteReference"/>
          <w:sz w:val="22"/>
        </w:rPr>
        <w:footnoteRef/>
      </w:r>
      <w:r w:rsidRPr="00903571">
        <w:rPr>
          <w:szCs w:val="22"/>
        </w:rPr>
        <w:t xml:space="preserve">  Chico Opening Comments at 3.</w:t>
      </w:r>
    </w:p>
  </w:footnote>
  <w:footnote w:id="53">
    <w:p w:rsidR="00B45AA8" w:rsidRPr="00903571" w:rsidRDefault="00B45AA8" w:rsidP="00194866">
      <w:pPr>
        <w:pStyle w:val="FootnoteText"/>
        <w:rPr>
          <w:szCs w:val="22"/>
        </w:rPr>
      </w:pPr>
      <w:r w:rsidRPr="00903571">
        <w:rPr>
          <w:rStyle w:val="FootnoteReference"/>
          <w:sz w:val="22"/>
          <w:szCs w:val="22"/>
        </w:rPr>
        <w:footnoteRef/>
      </w:r>
      <w:r w:rsidRPr="00903571">
        <w:rPr>
          <w:szCs w:val="22"/>
        </w:rPr>
        <w:t xml:space="preserve">  </w:t>
      </w:r>
      <w:r w:rsidRPr="00BA0377">
        <w:rPr>
          <w:i/>
          <w:szCs w:val="22"/>
        </w:rPr>
        <w:t>Id.</w:t>
      </w:r>
      <w:r w:rsidRPr="00903571">
        <w:rPr>
          <w:szCs w:val="22"/>
        </w:rPr>
        <w:t xml:space="preserve"> at 4.</w:t>
      </w:r>
    </w:p>
  </w:footnote>
  <w:footnote w:id="54">
    <w:p w:rsidR="00B45AA8" w:rsidRPr="00194866" w:rsidRDefault="00B45AA8" w:rsidP="00194866">
      <w:pPr>
        <w:pStyle w:val="FootnoteText"/>
        <w:rPr>
          <w:szCs w:val="22"/>
        </w:rPr>
      </w:pPr>
      <w:r w:rsidRPr="00194866">
        <w:rPr>
          <w:rStyle w:val="FootnoteReference"/>
          <w:sz w:val="22"/>
          <w:szCs w:val="22"/>
        </w:rPr>
        <w:footnoteRef/>
      </w:r>
      <w:r w:rsidRPr="00194866">
        <w:rPr>
          <w:szCs w:val="22"/>
        </w:rPr>
        <w:t xml:space="preserve">  Radio Bilingüe Opening Comments Attachment 1 at 12.</w:t>
      </w:r>
    </w:p>
  </w:footnote>
  <w:footnote w:id="55">
    <w:p w:rsidR="00B45AA8" w:rsidRPr="00194866" w:rsidRDefault="00B45AA8" w:rsidP="00194866">
      <w:pPr>
        <w:pStyle w:val="FootnoteText"/>
        <w:rPr>
          <w:szCs w:val="22"/>
        </w:rPr>
      </w:pPr>
      <w:r w:rsidRPr="00194866">
        <w:rPr>
          <w:rStyle w:val="FootnoteReference"/>
          <w:sz w:val="22"/>
          <w:szCs w:val="22"/>
        </w:rPr>
        <w:footnoteRef/>
      </w:r>
      <w:r w:rsidRPr="00194866">
        <w:rPr>
          <w:szCs w:val="22"/>
        </w:rPr>
        <w:t xml:space="preserve">  Radio Bilingüe Opening Comments Attachment 1 at 12.</w:t>
      </w:r>
    </w:p>
  </w:footnote>
  <w:footnote w:id="56">
    <w:p w:rsidR="00B45AA8" w:rsidRPr="00157775" w:rsidRDefault="00B45AA8" w:rsidP="00E451BA">
      <w:pPr>
        <w:pStyle w:val="FootnoteText"/>
        <w:rPr>
          <w:szCs w:val="22"/>
        </w:rPr>
      </w:pPr>
      <w:r w:rsidRPr="00157775">
        <w:rPr>
          <w:rStyle w:val="FootnoteReference"/>
          <w:sz w:val="22"/>
          <w:szCs w:val="22"/>
        </w:rPr>
        <w:footnoteRef/>
      </w:r>
      <w:r w:rsidRPr="00157775">
        <w:rPr>
          <w:szCs w:val="22"/>
        </w:rPr>
        <w:t xml:space="preserve">  San Francisco Opening Comments at 2</w:t>
      </w:r>
      <w:r w:rsidR="00B34BCE">
        <w:rPr>
          <w:szCs w:val="22"/>
        </w:rPr>
        <w:noBreakHyphen/>
      </w:r>
      <w:r w:rsidRPr="00157775">
        <w:rPr>
          <w:szCs w:val="22"/>
        </w:rPr>
        <w:t>3.</w:t>
      </w:r>
    </w:p>
  </w:footnote>
  <w:footnote w:id="57">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San Francisco Opening Comments at 2</w:t>
      </w:r>
      <w:r w:rsidR="00B34BCE">
        <w:rPr>
          <w:szCs w:val="22"/>
        </w:rPr>
        <w:noBreakHyphen/>
      </w:r>
      <w:r w:rsidRPr="00157775">
        <w:rPr>
          <w:szCs w:val="22"/>
        </w:rPr>
        <w:t>3.</w:t>
      </w:r>
    </w:p>
  </w:footnote>
  <w:footnote w:id="58">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w:t>
      </w:r>
      <w:r w:rsidRPr="00157775">
        <w:rPr>
          <w:i/>
          <w:szCs w:val="22"/>
        </w:rPr>
        <w:t>Id</w:t>
      </w:r>
      <w:r w:rsidRPr="00157775">
        <w:rPr>
          <w:szCs w:val="22"/>
        </w:rPr>
        <w:t>. at 2.</w:t>
      </w:r>
    </w:p>
  </w:footnote>
  <w:footnote w:id="59">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Radio Bilingüe Opening Comments at 3.</w:t>
      </w:r>
    </w:p>
  </w:footnote>
  <w:footnote w:id="60">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Chico Opening Comments at 2.</w:t>
      </w:r>
    </w:p>
  </w:footnote>
  <w:footnote w:id="61">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NBNCBC Opening Comments at 2.</w:t>
      </w:r>
    </w:p>
  </w:footnote>
  <w:footnote w:id="62">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San Francisco Opening Comments at 3.</w:t>
      </w:r>
    </w:p>
  </w:footnote>
  <w:footnote w:id="63">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CETF Opening Comments at 3.</w:t>
      </w:r>
    </w:p>
  </w:footnote>
  <w:footnote w:id="64">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ORA Opening Comments at 11</w:t>
      </w:r>
      <w:r w:rsidR="00B34BCE">
        <w:rPr>
          <w:szCs w:val="22"/>
        </w:rPr>
        <w:noBreakHyphen/>
      </w:r>
      <w:r w:rsidRPr="00157775">
        <w:rPr>
          <w:szCs w:val="22"/>
        </w:rPr>
        <w:t>12.</w:t>
      </w:r>
    </w:p>
  </w:footnote>
  <w:footnote w:id="65">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w:t>
      </w:r>
      <w:r w:rsidRPr="00157775">
        <w:rPr>
          <w:i/>
          <w:szCs w:val="22"/>
        </w:rPr>
        <w:t>Id</w:t>
      </w:r>
      <w:r w:rsidRPr="00157775">
        <w:rPr>
          <w:szCs w:val="22"/>
        </w:rPr>
        <w:t>. at 8</w:t>
      </w:r>
      <w:r w:rsidR="00B34BCE">
        <w:rPr>
          <w:szCs w:val="22"/>
        </w:rPr>
        <w:noBreakHyphen/>
      </w:r>
      <w:r w:rsidRPr="00157775">
        <w:rPr>
          <w:szCs w:val="22"/>
        </w:rPr>
        <w:t>9.</w:t>
      </w:r>
    </w:p>
  </w:footnote>
  <w:footnote w:id="66">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TURN Opening Comments at 5</w:t>
      </w:r>
      <w:r w:rsidR="00B34BCE">
        <w:rPr>
          <w:szCs w:val="22"/>
        </w:rPr>
        <w:noBreakHyphen/>
      </w:r>
      <w:r w:rsidRPr="00157775">
        <w:rPr>
          <w:szCs w:val="22"/>
        </w:rPr>
        <w:t>6.</w:t>
      </w:r>
    </w:p>
  </w:footnote>
  <w:footnote w:id="67">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CETF Reply Comments at 12. </w:t>
      </w:r>
    </w:p>
  </w:footnote>
  <w:footnote w:id="68">
    <w:p w:rsidR="00B45AA8" w:rsidRPr="00157775" w:rsidRDefault="00B45AA8" w:rsidP="00CC0E69">
      <w:pPr>
        <w:pStyle w:val="FootnoteText"/>
        <w:rPr>
          <w:szCs w:val="22"/>
        </w:rPr>
      </w:pPr>
      <w:r w:rsidRPr="00157775">
        <w:rPr>
          <w:rStyle w:val="FootnoteReference"/>
          <w:sz w:val="22"/>
          <w:szCs w:val="22"/>
        </w:rPr>
        <w:footnoteRef/>
      </w:r>
      <w:r w:rsidRPr="00157775">
        <w:rPr>
          <w:szCs w:val="22"/>
        </w:rPr>
        <w:t xml:space="preserve">  NBNCBC Opening Comments at 5</w:t>
      </w:r>
      <w:r w:rsidR="00B34BCE">
        <w:rPr>
          <w:szCs w:val="22"/>
        </w:rPr>
        <w:noBreakHyphen/>
      </w:r>
      <w:r w:rsidRPr="00157775">
        <w:rPr>
          <w:szCs w:val="22"/>
        </w:rPr>
        <w:t>6.</w:t>
      </w:r>
    </w:p>
  </w:footnote>
  <w:footnote w:id="69">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ORA Opening Comments at 7.</w:t>
      </w:r>
    </w:p>
  </w:footnote>
  <w:footnote w:id="70">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w:t>
      </w:r>
      <w:r w:rsidRPr="00157775">
        <w:rPr>
          <w:i/>
          <w:szCs w:val="22"/>
        </w:rPr>
        <w:t>Id</w:t>
      </w:r>
      <w:r w:rsidRPr="00157775">
        <w:rPr>
          <w:szCs w:val="22"/>
        </w:rPr>
        <w:t>. at 10</w:t>
      </w:r>
      <w:r w:rsidR="00B34BCE">
        <w:rPr>
          <w:szCs w:val="22"/>
        </w:rPr>
        <w:noBreakHyphen/>
      </w:r>
      <w:r w:rsidRPr="00157775">
        <w:rPr>
          <w:szCs w:val="22"/>
        </w:rPr>
        <w:t>11.</w:t>
      </w:r>
    </w:p>
  </w:footnote>
  <w:footnote w:id="71">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CCBC Opening Comments at 3.</w:t>
      </w:r>
    </w:p>
  </w:footnote>
  <w:footnote w:id="72">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Chico Opening Comments at 2.</w:t>
      </w:r>
    </w:p>
  </w:footnote>
  <w:footnote w:id="73">
    <w:p w:rsidR="00B45AA8" w:rsidRPr="00157775" w:rsidRDefault="00B45AA8" w:rsidP="00A711E6">
      <w:pPr>
        <w:pStyle w:val="FootnoteText"/>
        <w:rPr>
          <w:szCs w:val="22"/>
        </w:rPr>
      </w:pPr>
      <w:r w:rsidRPr="00157775">
        <w:rPr>
          <w:rStyle w:val="FootnoteReference"/>
          <w:sz w:val="22"/>
          <w:szCs w:val="22"/>
        </w:rPr>
        <w:footnoteRef/>
      </w:r>
      <w:r w:rsidRPr="00157775">
        <w:rPr>
          <w:szCs w:val="22"/>
        </w:rPr>
        <w:t xml:space="preserve">  CETF Reply Comments at 12.</w:t>
      </w:r>
    </w:p>
  </w:footnote>
  <w:footnote w:id="74">
    <w:p w:rsidR="00B45AA8" w:rsidRPr="00157775" w:rsidRDefault="00B45AA8" w:rsidP="003F549A">
      <w:pPr>
        <w:pStyle w:val="FootnoteText"/>
        <w:rPr>
          <w:szCs w:val="22"/>
        </w:rPr>
      </w:pPr>
      <w:r w:rsidRPr="00157775">
        <w:rPr>
          <w:rStyle w:val="FootnoteReference"/>
          <w:sz w:val="22"/>
          <w:szCs w:val="22"/>
        </w:rPr>
        <w:footnoteRef/>
      </w:r>
      <w:r w:rsidRPr="00157775">
        <w:rPr>
          <w:szCs w:val="22"/>
        </w:rPr>
        <w:t xml:space="preserve">  Tech Exchange Opening Comments at 3.</w:t>
      </w:r>
    </w:p>
  </w:footnote>
  <w:footnote w:id="75">
    <w:p w:rsidR="00B45AA8" w:rsidRPr="00157775" w:rsidRDefault="00B45AA8" w:rsidP="003F549A">
      <w:pPr>
        <w:pStyle w:val="FootnoteText"/>
        <w:rPr>
          <w:szCs w:val="22"/>
        </w:rPr>
      </w:pPr>
      <w:r w:rsidRPr="00157775">
        <w:rPr>
          <w:rStyle w:val="FootnoteReference"/>
          <w:sz w:val="22"/>
          <w:szCs w:val="22"/>
        </w:rPr>
        <w:footnoteRef/>
      </w:r>
      <w:r w:rsidRPr="00157775">
        <w:rPr>
          <w:szCs w:val="22"/>
        </w:rPr>
        <w:t xml:space="preserve">  TNDC Opening Comments at 4.</w:t>
      </w:r>
    </w:p>
  </w:footnote>
  <w:footnote w:id="76">
    <w:p w:rsidR="00B45AA8" w:rsidRPr="00157775" w:rsidRDefault="00B45AA8" w:rsidP="003F549A">
      <w:pPr>
        <w:pStyle w:val="FootnoteText"/>
        <w:rPr>
          <w:szCs w:val="22"/>
        </w:rPr>
      </w:pPr>
      <w:r w:rsidRPr="00157775">
        <w:rPr>
          <w:rStyle w:val="FootnoteReference"/>
          <w:sz w:val="22"/>
          <w:szCs w:val="22"/>
        </w:rPr>
        <w:footnoteRef/>
      </w:r>
      <w:r w:rsidRPr="00157775">
        <w:rPr>
          <w:szCs w:val="22"/>
        </w:rPr>
        <w:t xml:space="preserve">  CETF Opening Comments at 12.</w:t>
      </w:r>
    </w:p>
  </w:footnote>
  <w:footnote w:id="77">
    <w:p w:rsidR="00B45AA8" w:rsidRPr="00157775" w:rsidRDefault="00B45AA8" w:rsidP="003F549A">
      <w:pPr>
        <w:pStyle w:val="FootnoteText"/>
        <w:rPr>
          <w:szCs w:val="22"/>
        </w:rPr>
      </w:pPr>
      <w:r w:rsidRPr="00157775">
        <w:rPr>
          <w:rStyle w:val="FootnoteReference"/>
          <w:sz w:val="22"/>
          <w:szCs w:val="22"/>
        </w:rPr>
        <w:footnoteRef/>
      </w:r>
      <w:r w:rsidRPr="00157775">
        <w:rPr>
          <w:szCs w:val="22"/>
        </w:rPr>
        <w:t xml:space="preserve">  Pub. Util. Code § 914.79 (a) (10) and (11). </w:t>
      </w:r>
    </w:p>
  </w:footnote>
  <w:footnote w:id="78">
    <w:p w:rsidR="00B45AA8" w:rsidRPr="00157775" w:rsidRDefault="00B45AA8" w:rsidP="003F549A">
      <w:pPr>
        <w:pStyle w:val="FootnoteText"/>
        <w:rPr>
          <w:szCs w:val="22"/>
        </w:rPr>
      </w:pPr>
      <w:r w:rsidRPr="00157775">
        <w:rPr>
          <w:rStyle w:val="FootnoteReference"/>
          <w:sz w:val="22"/>
          <w:szCs w:val="22"/>
        </w:rPr>
        <w:footnoteRef/>
      </w:r>
      <w:r w:rsidRPr="00157775">
        <w:rPr>
          <w:szCs w:val="22"/>
        </w:rPr>
        <w:t xml:space="preserve">  Adoption data is reported by census tract and is depicted on the map.  Broadband Adoption is reported in the following ranges: 0%, between 0% and 20%, between 20% and 40%, between 40% and 60%, between 60% and 80% and greater than 80%.  </w:t>
      </w:r>
      <w:r w:rsidRPr="00157775">
        <w:rPr>
          <w:i/>
          <w:szCs w:val="22"/>
        </w:rPr>
        <w:t>See</w:t>
      </w:r>
      <w:r w:rsidRPr="00157775">
        <w:rPr>
          <w:szCs w:val="22"/>
        </w:rPr>
        <w:t xml:space="preserve"> </w:t>
      </w:r>
      <w:hyperlink r:id="rId4" w:history="1">
        <w:r w:rsidR="00AB1643" w:rsidRPr="00AC7D43">
          <w:rPr>
            <w:rStyle w:val="Hyperlink"/>
            <w:szCs w:val="22"/>
          </w:rPr>
          <w:t>http://www.broadbandmap.ca.gov/</w:t>
        </w:r>
      </w:hyperlink>
      <w:r w:rsidR="00AB1643">
        <w:rPr>
          <w:szCs w:val="22"/>
        </w:rPr>
        <w:t xml:space="preserve">. </w:t>
      </w:r>
    </w:p>
  </w:footnote>
  <w:footnote w:id="79">
    <w:p w:rsidR="00B45AA8" w:rsidRPr="00157775" w:rsidRDefault="00B45AA8" w:rsidP="003F549A">
      <w:pPr>
        <w:pStyle w:val="FootnoteText"/>
        <w:rPr>
          <w:szCs w:val="22"/>
        </w:rPr>
      </w:pPr>
      <w:r w:rsidRPr="00157775">
        <w:rPr>
          <w:rStyle w:val="FootnoteReference"/>
          <w:sz w:val="22"/>
          <w:szCs w:val="22"/>
        </w:rPr>
        <w:footnoteRef/>
      </w:r>
      <w:r w:rsidRPr="00157775">
        <w:rPr>
          <w:szCs w:val="22"/>
        </w:rPr>
        <w:t xml:space="preserve">  The website currently contains baseline data for availability.  Adoption data is expected to be posted by </w:t>
      </w:r>
      <w:r>
        <w:rPr>
          <w:szCs w:val="22"/>
        </w:rPr>
        <w:t>June</w:t>
      </w:r>
      <w:r w:rsidRPr="00157775">
        <w:rPr>
          <w:szCs w:val="22"/>
        </w:rPr>
        <w:t xml:space="preserve"> 31.  </w:t>
      </w:r>
      <w:hyperlink r:id="rId5" w:history="1">
        <w:r w:rsidRPr="00157775">
          <w:rPr>
            <w:rStyle w:val="Hyperlink"/>
            <w:szCs w:val="22"/>
          </w:rPr>
          <w:t>http://www.cpuc.ca.gov/casf/</w:t>
        </w:r>
      </w:hyperlink>
      <w:r w:rsidR="00AB1643">
        <w:rPr>
          <w:szCs w:val="22"/>
        </w:rPr>
        <w:t>.</w:t>
      </w:r>
    </w:p>
  </w:footnote>
  <w:footnote w:id="80">
    <w:p w:rsidR="00B45AA8" w:rsidRPr="00157775" w:rsidRDefault="00B45AA8" w:rsidP="003F549A">
      <w:pPr>
        <w:pStyle w:val="FootnoteText"/>
        <w:rPr>
          <w:szCs w:val="22"/>
        </w:rPr>
      </w:pPr>
      <w:r w:rsidRPr="00157775">
        <w:rPr>
          <w:rStyle w:val="FootnoteReference"/>
          <w:sz w:val="22"/>
          <w:szCs w:val="22"/>
        </w:rPr>
        <w:footnoteRef/>
      </w:r>
      <w:r w:rsidRPr="00157775">
        <w:rPr>
          <w:szCs w:val="22"/>
        </w:rPr>
        <w:t xml:space="preserve">  AT&amp;T Reply Comments at 3.</w:t>
      </w:r>
    </w:p>
  </w:footnote>
  <w:footnote w:id="81">
    <w:p w:rsidR="00B45AA8" w:rsidRPr="00157775" w:rsidRDefault="00B45AA8" w:rsidP="003F549A">
      <w:pPr>
        <w:pStyle w:val="FootnoteText"/>
        <w:rPr>
          <w:szCs w:val="22"/>
        </w:rPr>
      </w:pPr>
      <w:r w:rsidRPr="00157775">
        <w:rPr>
          <w:rStyle w:val="FootnoteReference"/>
          <w:sz w:val="22"/>
          <w:szCs w:val="22"/>
        </w:rPr>
        <w:footnoteRef/>
      </w:r>
      <w:r w:rsidRPr="00157775">
        <w:rPr>
          <w:szCs w:val="22"/>
        </w:rPr>
        <w:t xml:space="preserve">  </w:t>
      </w:r>
      <w:r w:rsidRPr="00157775">
        <w:rPr>
          <w:i/>
          <w:szCs w:val="22"/>
        </w:rPr>
        <w:t>Id</w:t>
      </w:r>
      <w:r w:rsidRPr="00157775">
        <w:rPr>
          <w:szCs w:val="22"/>
        </w:rPr>
        <w:t>.</w:t>
      </w:r>
    </w:p>
  </w:footnote>
  <w:footnote w:id="82">
    <w:p w:rsidR="00B45AA8" w:rsidRPr="005C53A8" w:rsidRDefault="00B45AA8" w:rsidP="003F549A">
      <w:pPr>
        <w:pStyle w:val="FootnoteText"/>
        <w:rPr>
          <w:szCs w:val="22"/>
        </w:rPr>
      </w:pPr>
      <w:r w:rsidRPr="005C53A8">
        <w:rPr>
          <w:rStyle w:val="FootnoteReference"/>
          <w:sz w:val="22"/>
          <w:szCs w:val="22"/>
        </w:rPr>
        <w:footnoteRef/>
      </w:r>
      <w:r w:rsidRPr="005C53A8">
        <w:rPr>
          <w:szCs w:val="22"/>
        </w:rPr>
        <w:t xml:space="preserve">  </w:t>
      </w:r>
      <w:r w:rsidRPr="008540A6">
        <w:rPr>
          <w:i/>
          <w:szCs w:val="22"/>
        </w:rPr>
        <w:t>See</w:t>
      </w:r>
      <w:r w:rsidRPr="005C53A8">
        <w:rPr>
          <w:szCs w:val="22"/>
        </w:rPr>
        <w:t xml:space="preserve"> Section 1.14 of Appendix 1.</w:t>
      </w:r>
    </w:p>
  </w:footnote>
  <w:footnote w:id="83">
    <w:p w:rsidR="00B45AA8" w:rsidRPr="005C53A8" w:rsidRDefault="00B45AA8" w:rsidP="005C53A8">
      <w:pPr>
        <w:rPr>
          <w:sz w:val="22"/>
          <w:szCs w:val="22"/>
        </w:rPr>
      </w:pPr>
      <w:r w:rsidRPr="005C53A8">
        <w:rPr>
          <w:rStyle w:val="FootnoteReference"/>
          <w:sz w:val="22"/>
          <w:szCs w:val="22"/>
        </w:rPr>
        <w:footnoteRef/>
      </w:r>
      <w:r w:rsidRPr="005C53A8">
        <w:rPr>
          <w:sz w:val="22"/>
          <w:szCs w:val="22"/>
        </w:rPr>
        <w:t xml:space="preserve">  “NTIA Broadband Adoption Toolkit,” published May 2013, draws on the experience of the recipients of grants from the Broadband Technology Opportunities Program and provides examples of grants.  Available at </w:t>
      </w:r>
      <w:hyperlink r:id="rId6" w:history="1">
        <w:r w:rsidRPr="005C53A8">
          <w:rPr>
            <w:rStyle w:val="Hyperlink"/>
            <w:sz w:val="22"/>
            <w:szCs w:val="22"/>
          </w:rPr>
          <w:t>https://www2.ntia.doc.gov/files/toolkit_042913.pdf</w:t>
        </w:r>
      </w:hyperlink>
      <w:r w:rsidRPr="005C53A8">
        <w:rPr>
          <w:sz w:val="22"/>
          <w:szCs w:val="22"/>
        </w:rPr>
        <w:t>.</w:t>
      </w:r>
    </w:p>
  </w:footnote>
  <w:footnote w:id="84">
    <w:p w:rsidR="00B45AA8" w:rsidRPr="00E4254F" w:rsidRDefault="00B45AA8" w:rsidP="00E4254F">
      <w:pPr>
        <w:pStyle w:val="FootnoteText"/>
        <w:rPr>
          <w:szCs w:val="22"/>
        </w:rPr>
      </w:pPr>
      <w:r w:rsidRPr="00E4254F">
        <w:rPr>
          <w:rStyle w:val="FootnoteReference"/>
          <w:sz w:val="22"/>
          <w:szCs w:val="22"/>
        </w:rPr>
        <w:footnoteRef/>
      </w:r>
      <w:r w:rsidRPr="00E4254F">
        <w:rPr>
          <w:szCs w:val="22"/>
        </w:rPr>
        <w:t xml:space="preserve">  SAHA Opening Comments at 2</w:t>
      </w:r>
      <w:r w:rsidR="00B34BCE">
        <w:rPr>
          <w:szCs w:val="22"/>
        </w:rPr>
        <w:noBreakHyphen/>
      </w:r>
      <w:r w:rsidRPr="00E4254F">
        <w:rPr>
          <w:szCs w:val="22"/>
        </w:rPr>
        <w:t>4.</w:t>
      </w:r>
    </w:p>
  </w:footnote>
  <w:footnote w:id="85">
    <w:p w:rsidR="00B45AA8" w:rsidRPr="00E4254F" w:rsidRDefault="00B45AA8" w:rsidP="00E4254F">
      <w:pPr>
        <w:pStyle w:val="FootnoteText"/>
        <w:rPr>
          <w:szCs w:val="22"/>
        </w:rPr>
      </w:pPr>
      <w:r w:rsidRPr="00E4254F">
        <w:rPr>
          <w:rStyle w:val="FootnoteReference"/>
          <w:sz w:val="22"/>
          <w:szCs w:val="22"/>
        </w:rPr>
        <w:footnoteRef/>
      </w:r>
      <w:r w:rsidRPr="00E4254F">
        <w:rPr>
          <w:szCs w:val="22"/>
        </w:rPr>
        <w:t xml:space="preserve">  NBNCBC Opening Comment at 10.</w:t>
      </w:r>
    </w:p>
  </w:footnote>
  <w:footnote w:id="86">
    <w:p w:rsidR="00B45AA8" w:rsidRPr="00E4254F" w:rsidRDefault="00B45AA8" w:rsidP="00E4254F">
      <w:pPr>
        <w:pStyle w:val="FootnoteText"/>
        <w:rPr>
          <w:szCs w:val="22"/>
        </w:rPr>
      </w:pPr>
      <w:r w:rsidRPr="00E4254F">
        <w:rPr>
          <w:rStyle w:val="FootnoteReference"/>
          <w:sz w:val="22"/>
          <w:szCs w:val="22"/>
        </w:rPr>
        <w:footnoteRef/>
      </w:r>
      <w:r w:rsidRPr="00E4254F">
        <w:rPr>
          <w:szCs w:val="22"/>
        </w:rPr>
        <w:t xml:space="preserve">  CCTA Opening Comments at 4</w:t>
      </w:r>
      <w:r w:rsidR="00B34BCE">
        <w:rPr>
          <w:szCs w:val="22"/>
        </w:rPr>
        <w:noBreakHyphen/>
      </w:r>
      <w:r w:rsidRPr="00E4254F">
        <w:rPr>
          <w:szCs w:val="22"/>
        </w:rPr>
        <w:t>5.</w:t>
      </w:r>
    </w:p>
  </w:footnote>
  <w:footnote w:id="87">
    <w:p w:rsidR="00B45AA8" w:rsidRPr="00AF35A5" w:rsidRDefault="00B45AA8" w:rsidP="00C610C7">
      <w:pPr>
        <w:pStyle w:val="FootnoteText"/>
        <w:rPr>
          <w:rFonts w:ascii="Palatino Linotype" w:hAnsi="Palatino Linotype"/>
          <w:color w:val="000000" w:themeColor="text1"/>
          <w:sz w:val="20"/>
        </w:rPr>
      </w:pPr>
      <w:r w:rsidRPr="00AF35A5">
        <w:rPr>
          <w:rStyle w:val="FootnoteReference"/>
          <w:rFonts w:ascii="Times New Roman" w:hAnsi="Times New Roman"/>
          <w:color w:val="000000" w:themeColor="text1"/>
          <w:sz w:val="20"/>
        </w:rPr>
        <w:footnoteRef/>
      </w:r>
      <w:r w:rsidRPr="00AF35A5">
        <w:rPr>
          <w:rFonts w:ascii="Times New Roman" w:hAnsi="Times New Roman"/>
          <w:color w:val="000000" w:themeColor="text1"/>
          <w:sz w:val="20"/>
        </w:rPr>
        <w:t xml:space="preserve"> </w:t>
      </w:r>
      <w:r w:rsidRPr="00AF35A5">
        <w:rPr>
          <w:rFonts w:ascii="Palatino Linotype" w:hAnsi="Palatino Linotype"/>
          <w:color w:val="000000" w:themeColor="text1"/>
          <w:sz w:val="20"/>
        </w:rPr>
        <w:t>Pub. Util. Code, § 281 (j)(6).</w:t>
      </w:r>
    </w:p>
  </w:footnote>
  <w:footnote w:id="88">
    <w:p w:rsidR="00B45AA8" w:rsidRPr="00AF35A5" w:rsidRDefault="00B45AA8" w:rsidP="00C610C7">
      <w:pPr>
        <w:pStyle w:val="FootnoteText"/>
        <w:rPr>
          <w:rFonts w:ascii="Palatino Linotype" w:hAnsi="Palatino Linotype"/>
          <w:color w:val="000000" w:themeColor="text1"/>
          <w:sz w:val="20"/>
        </w:rPr>
      </w:pPr>
      <w:r w:rsidRPr="00AF35A5">
        <w:rPr>
          <w:rStyle w:val="FootnoteReference"/>
          <w:rFonts w:ascii="Palatino Linotype" w:hAnsi="Palatino Linotype"/>
          <w:color w:val="000000" w:themeColor="text1"/>
          <w:sz w:val="20"/>
        </w:rPr>
        <w:footnoteRef/>
      </w:r>
      <w:r w:rsidRPr="00AF35A5">
        <w:rPr>
          <w:rFonts w:ascii="Palatino Linotype" w:hAnsi="Palatino Linotype"/>
          <w:color w:val="000000" w:themeColor="text1"/>
          <w:sz w:val="20"/>
        </w:rPr>
        <w:t xml:space="preserve"> “NTIA Broadband Adoption Toolkit,” published May 2013, draws on the experience of the recipients of grants from the Broadband Technology Opportunities Program and provides examples of grants.  Available at </w:t>
      </w:r>
      <w:hyperlink r:id="rId7" w:history="1">
        <w:r w:rsidRPr="00AF35A5">
          <w:rPr>
            <w:rStyle w:val="Hyperlink"/>
            <w:rFonts w:ascii="Palatino Linotype" w:hAnsi="Palatino Linotype"/>
            <w:color w:val="000000" w:themeColor="text1"/>
            <w:sz w:val="20"/>
          </w:rPr>
          <w:t>https://www2.ntia.doc.gov/files/toolkit_042913.pdf</w:t>
        </w:r>
      </w:hyperlink>
      <w:r w:rsidRPr="00AF35A5">
        <w:rPr>
          <w:rFonts w:ascii="Palatino Linotype" w:hAnsi="Palatino Linotype"/>
          <w:color w:val="000000" w:themeColor="text1"/>
          <w:sz w:val="20"/>
        </w:rPr>
        <w:t>.</w:t>
      </w:r>
    </w:p>
  </w:footnote>
  <w:footnote w:id="89">
    <w:p w:rsidR="00B45AA8" w:rsidRPr="00AF35A5" w:rsidRDefault="00B45AA8" w:rsidP="00C610C7">
      <w:pPr>
        <w:pStyle w:val="FootnoteText"/>
        <w:rPr>
          <w:rFonts w:ascii="Palatino Linotype" w:hAnsi="Palatino Linotype"/>
          <w:color w:val="000000" w:themeColor="text1"/>
          <w:sz w:val="20"/>
        </w:rPr>
      </w:pPr>
      <w:r w:rsidRPr="00AF35A5">
        <w:rPr>
          <w:rStyle w:val="FootnoteReference"/>
          <w:rFonts w:ascii="Palatino Linotype" w:hAnsi="Palatino Linotype"/>
          <w:color w:val="000000" w:themeColor="text1"/>
          <w:sz w:val="20"/>
        </w:rPr>
        <w:footnoteRef/>
      </w:r>
      <w:r w:rsidRPr="00AF35A5">
        <w:rPr>
          <w:rFonts w:ascii="Palatino Linotype" w:hAnsi="Palatino Linotype"/>
          <w:color w:val="000000" w:themeColor="text1"/>
          <w:sz w:val="20"/>
        </w:rPr>
        <w:t xml:space="preserve"> According to the annual survey conducted for the California Emerging Technology Fund (CETF), as of July, 2016, California has an overall adoption rate of 84% (</w:t>
      </w:r>
      <w:hyperlink r:id="rId8" w:history="1">
        <w:r w:rsidRPr="00AF35A5">
          <w:rPr>
            <w:rStyle w:val="Hyperlink"/>
            <w:rFonts w:ascii="Palatino Linotype" w:hAnsi="Palatino Linotype"/>
            <w:color w:val="000000" w:themeColor="text1"/>
            <w:sz w:val="20"/>
          </w:rPr>
          <w:t>http://www.cetfund.org/node/9318</w:t>
        </w:r>
      </w:hyperlink>
      <w:r w:rsidRPr="00AF35A5">
        <w:rPr>
          <w:rFonts w:ascii="Palatino Linotype" w:hAnsi="Palatino Linotype"/>
          <w:color w:val="000000" w:themeColor="text1"/>
          <w:sz w:val="20"/>
        </w:rPr>
        <w:t xml:space="preserve">).   </w:t>
      </w:r>
    </w:p>
  </w:footnote>
  <w:footnote w:id="90">
    <w:p w:rsidR="00B45AA8" w:rsidRPr="00AF35A5" w:rsidRDefault="00B45AA8" w:rsidP="00C610C7">
      <w:pPr>
        <w:pStyle w:val="FootnoteText"/>
        <w:spacing w:line="240" w:lineRule="exact"/>
        <w:rPr>
          <w:rFonts w:ascii="Palatino Linotype" w:hAnsi="Palatino Linotype"/>
          <w:color w:val="000000" w:themeColor="text1"/>
          <w:sz w:val="20"/>
        </w:rPr>
      </w:pPr>
      <w:r w:rsidRPr="00AF35A5">
        <w:rPr>
          <w:rStyle w:val="FootnoteReference"/>
          <w:rFonts w:ascii="Palatino Linotype" w:hAnsi="Palatino Linotype"/>
          <w:color w:val="000000" w:themeColor="text1"/>
          <w:sz w:val="20"/>
        </w:rPr>
        <w:footnoteRef/>
      </w:r>
      <w:r w:rsidRPr="00AF35A5">
        <w:rPr>
          <w:rFonts w:ascii="Palatino Linotype" w:hAnsi="Palatino Linotype"/>
          <w:color w:val="000000" w:themeColor="text1"/>
          <w:sz w:val="20"/>
        </w:rPr>
        <w:t xml:space="preserve"> California Broadband Report, A Summary of Broadband Availability and Adoption in California as of June 30, 2011, Pages 22</w:t>
      </w:r>
      <w:r w:rsidR="00B34BCE">
        <w:rPr>
          <w:rFonts w:ascii="Palatino Linotype" w:hAnsi="Palatino Linotype"/>
          <w:color w:val="000000" w:themeColor="text1"/>
          <w:sz w:val="20"/>
        </w:rPr>
        <w:noBreakHyphen/>
      </w:r>
      <w:r w:rsidRPr="00AF35A5">
        <w:rPr>
          <w:rFonts w:ascii="Palatino Linotype" w:hAnsi="Palatino Linotype"/>
          <w:color w:val="000000" w:themeColor="text1"/>
          <w:sz w:val="20"/>
        </w:rPr>
        <w:t xml:space="preserve">28, show correlation of factors relative to adoption.  See </w:t>
      </w:r>
      <w:hyperlink r:id="rId9" w:history="1">
        <w:r w:rsidRPr="00AF35A5">
          <w:rPr>
            <w:rStyle w:val="Hyperlink"/>
            <w:rFonts w:ascii="Palatino Linotype" w:hAnsi="Palatino Linotype"/>
            <w:color w:val="000000" w:themeColor="text1"/>
            <w:sz w:val="20"/>
          </w:rPr>
          <w:t>http://www.cpuc.ca.gov/General.aspx?id=5753</w:t>
        </w:r>
      </w:hyperlink>
      <w:r w:rsidRPr="00AF35A5">
        <w:rPr>
          <w:rFonts w:ascii="Palatino Linotype" w:hAnsi="Palatino Linotype"/>
          <w:color w:val="000000" w:themeColor="text1"/>
          <w:sz w:val="20"/>
        </w:rPr>
        <w:t xml:space="preserve"> </w:t>
      </w:r>
    </w:p>
  </w:footnote>
  <w:footnote w:id="91">
    <w:p w:rsidR="00B45AA8" w:rsidRPr="00AF35A5" w:rsidRDefault="00B45AA8" w:rsidP="006B2BB4">
      <w:pPr>
        <w:pStyle w:val="FootnoteText"/>
        <w:rPr>
          <w:rFonts w:ascii="Palatino Linotype" w:hAnsi="Palatino Linotype"/>
          <w:color w:val="000000" w:themeColor="text1"/>
          <w:sz w:val="20"/>
        </w:rPr>
      </w:pPr>
      <w:r w:rsidRPr="00AF35A5">
        <w:rPr>
          <w:rStyle w:val="FootnoteReference"/>
          <w:rFonts w:ascii="Palatino Linotype" w:hAnsi="Palatino Linotype"/>
          <w:color w:val="000000" w:themeColor="text1"/>
          <w:sz w:val="20"/>
        </w:rPr>
        <w:footnoteRef/>
      </w:r>
      <w:r w:rsidRPr="00AF35A5">
        <w:rPr>
          <w:rFonts w:ascii="Palatino Linotype" w:hAnsi="Palatino Linotype"/>
          <w:color w:val="000000" w:themeColor="text1"/>
          <w:sz w:val="20"/>
        </w:rPr>
        <w:t xml:space="preserve"> </w:t>
      </w:r>
      <w:r>
        <w:rPr>
          <w:rFonts w:ascii="Palatino Linotype" w:hAnsi="Palatino Linotype"/>
          <w:color w:val="000000" w:themeColor="text1"/>
          <w:sz w:val="20"/>
        </w:rPr>
        <w:t xml:space="preserve">CARE income limits can be found here: </w:t>
      </w:r>
      <w:r w:rsidRPr="00EA7316">
        <w:rPr>
          <w:rFonts w:ascii="Palatino Linotype" w:hAnsi="Palatino Linotype"/>
          <w:color w:val="000000" w:themeColor="text1"/>
          <w:sz w:val="20"/>
        </w:rPr>
        <w:t>http://consumers.cpuc.ca.gov/lowincomerates/</w:t>
      </w:r>
      <w:r>
        <w:rPr>
          <w:rFonts w:ascii="Palatino Linotype" w:hAnsi="Palatino Linotype"/>
          <w:color w:val="000000" w:themeColor="text1"/>
          <w:sz w:val="20"/>
        </w:rPr>
        <w:t>.</w:t>
      </w:r>
    </w:p>
  </w:footnote>
  <w:footnote w:id="92">
    <w:p w:rsidR="00B45AA8" w:rsidRPr="00AF35A5" w:rsidRDefault="00B45AA8" w:rsidP="00C610C7">
      <w:pPr>
        <w:pStyle w:val="FootnoteText"/>
        <w:rPr>
          <w:rFonts w:ascii="Palatino Linotype" w:hAnsi="Palatino Linotype"/>
          <w:color w:val="000000" w:themeColor="text1"/>
          <w:sz w:val="20"/>
        </w:rPr>
      </w:pPr>
      <w:r w:rsidRPr="00AF35A5">
        <w:rPr>
          <w:rStyle w:val="FootnoteReference"/>
          <w:rFonts w:ascii="Palatino Linotype" w:hAnsi="Palatino Linotype"/>
          <w:color w:val="000000" w:themeColor="text1"/>
          <w:sz w:val="20"/>
        </w:rPr>
        <w:footnoteRef/>
      </w:r>
      <w:r w:rsidRPr="00AF35A5">
        <w:rPr>
          <w:rFonts w:ascii="Palatino Linotype" w:hAnsi="Palatino Linotype"/>
          <w:color w:val="000000" w:themeColor="text1"/>
          <w:sz w:val="20"/>
        </w:rPr>
        <w:t xml:space="preserve"> Pub. Util. Code, § 281 (i)(4)(A).</w:t>
      </w:r>
    </w:p>
  </w:footnote>
  <w:footnote w:id="93">
    <w:p w:rsidR="00B45AA8" w:rsidRPr="00AF35A5" w:rsidRDefault="00B45AA8" w:rsidP="00C610C7">
      <w:pPr>
        <w:pStyle w:val="FootnoteText"/>
        <w:rPr>
          <w:color w:val="000000" w:themeColor="text1"/>
          <w:sz w:val="20"/>
        </w:rPr>
      </w:pPr>
      <w:r w:rsidRPr="00AF35A5">
        <w:rPr>
          <w:rStyle w:val="FootnoteReference"/>
          <w:color w:val="000000" w:themeColor="text1"/>
          <w:sz w:val="20"/>
        </w:rPr>
        <w:footnoteRef/>
      </w:r>
      <w:r w:rsidRPr="00AF35A5">
        <w:rPr>
          <w:color w:val="000000" w:themeColor="text1"/>
          <w:sz w:val="20"/>
        </w:rPr>
        <w:t xml:space="preserve"> </w:t>
      </w:r>
      <w:r w:rsidRPr="00AF35A5">
        <w:rPr>
          <w:rFonts w:ascii="Palatino Linotype" w:hAnsi="Palatino Linotype"/>
          <w:color w:val="000000" w:themeColor="text1"/>
          <w:sz w:val="20"/>
        </w:rPr>
        <w:t xml:space="preserve">“NTIA Broadband Adoption Toolkit,” published May 2013, draws on the experience of the recipients of grants from the Broadband Technology Opportunities Program and provides examples of grants.  Available at </w:t>
      </w:r>
      <w:hyperlink r:id="rId10" w:history="1">
        <w:r w:rsidRPr="00AF35A5">
          <w:rPr>
            <w:rStyle w:val="Hyperlink"/>
            <w:rFonts w:ascii="Palatino Linotype" w:hAnsi="Palatino Linotype"/>
            <w:color w:val="000000" w:themeColor="text1"/>
            <w:sz w:val="20"/>
          </w:rPr>
          <w:t>https://www2.ntia.doc.gov/files/toolkit_042913.pdf</w:t>
        </w:r>
      </w:hyperlink>
      <w:r w:rsidRPr="00AF35A5">
        <w:rPr>
          <w:rFonts w:ascii="Palatino Linotype" w:hAnsi="Palatino Linotype"/>
          <w:color w:val="000000" w:themeColor="text1"/>
          <w:sz w:val="20"/>
        </w:rPr>
        <w:t>..</w:t>
      </w:r>
    </w:p>
  </w:footnote>
  <w:footnote w:id="94">
    <w:p w:rsidR="00B45AA8" w:rsidRPr="00AF35A5" w:rsidRDefault="00B45AA8" w:rsidP="00BA74BB">
      <w:pPr>
        <w:pStyle w:val="FootnoteText"/>
        <w:rPr>
          <w:rFonts w:ascii="Palatino Linotype" w:hAnsi="Palatino Linotype"/>
          <w:color w:val="000000" w:themeColor="text1"/>
          <w:sz w:val="20"/>
        </w:rPr>
      </w:pPr>
      <w:r w:rsidRPr="00AF35A5">
        <w:rPr>
          <w:rStyle w:val="FootnoteReference"/>
          <w:rFonts w:ascii="Palatino Linotype" w:hAnsi="Palatino Linotype"/>
          <w:color w:val="000000" w:themeColor="text1"/>
          <w:sz w:val="20"/>
        </w:rPr>
        <w:footnoteRef/>
      </w:r>
      <w:r w:rsidRPr="00AF35A5">
        <w:rPr>
          <w:rFonts w:ascii="Palatino Linotype" w:hAnsi="Palatino Linotype"/>
          <w:color w:val="000000" w:themeColor="text1"/>
          <w:sz w:val="20"/>
        </w:rPr>
        <w:t xml:space="preserve"> </w:t>
      </w:r>
      <w:r>
        <w:rPr>
          <w:rFonts w:ascii="Palatino Linotype" w:hAnsi="Palatino Linotype"/>
          <w:color w:val="000000" w:themeColor="text1"/>
          <w:sz w:val="20"/>
        </w:rPr>
        <w:t xml:space="preserve">CARE income limits can be found here: </w:t>
      </w:r>
      <w:r w:rsidRPr="00EA7316">
        <w:rPr>
          <w:rFonts w:ascii="Palatino Linotype" w:hAnsi="Palatino Linotype"/>
          <w:color w:val="000000" w:themeColor="text1"/>
          <w:sz w:val="20"/>
        </w:rPr>
        <w:t>http://consumers.cpuc.ca.gov/lowincomerates/</w:t>
      </w:r>
      <w:r>
        <w:rPr>
          <w:rFonts w:ascii="Palatino Linotype" w:hAnsi="Palatino Linotype"/>
          <w:color w:val="000000" w:themeColor="text1"/>
          <w:sz w:val="20"/>
        </w:rPr>
        <w:t>.</w:t>
      </w:r>
    </w:p>
  </w:footnote>
  <w:footnote w:id="95">
    <w:p w:rsidR="00B45AA8" w:rsidRPr="00AF35A5" w:rsidRDefault="00B45AA8" w:rsidP="00C610C7">
      <w:pPr>
        <w:pStyle w:val="FootnoteText"/>
        <w:rPr>
          <w:rFonts w:ascii="Palatino Linotype" w:hAnsi="Palatino Linotype"/>
          <w:color w:val="000000" w:themeColor="text1"/>
          <w:sz w:val="20"/>
        </w:rPr>
      </w:pPr>
      <w:r w:rsidRPr="00AF35A5">
        <w:rPr>
          <w:rStyle w:val="FootnoteReference"/>
          <w:rFonts w:ascii="Palatino Linotype" w:hAnsi="Palatino Linotype"/>
          <w:color w:val="000000" w:themeColor="text1"/>
          <w:sz w:val="20"/>
        </w:rPr>
        <w:footnoteRef/>
      </w:r>
      <w:r w:rsidRPr="00AF35A5">
        <w:rPr>
          <w:rFonts w:ascii="Palatino Linotype" w:hAnsi="Palatino Linotype"/>
          <w:color w:val="000000" w:themeColor="text1"/>
          <w:sz w:val="20"/>
        </w:rPr>
        <w:t xml:space="preserve"> Pub. Util. Code, § 281(i)(3)(B)(i) and (ii)</w:t>
      </w:r>
    </w:p>
  </w:footnote>
  <w:footnote w:id="96">
    <w:p w:rsidR="00B45AA8" w:rsidRPr="00AF35A5" w:rsidRDefault="00B45AA8" w:rsidP="00C610C7">
      <w:pPr>
        <w:pStyle w:val="FootnoteText"/>
        <w:rPr>
          <w:rFonts w:ascii="Palatino Linotype" w:hAnsi="Palatino Linotype"/>
          <w:color w:val="000000" w:themeColor="text1"/>
          <w:sz w:val="20"/>
        </w:rPr>
      </w:pPr>
      <w:r w:rsidRPr="00AF35A5">
        <w:rPr>
          <w:rStyle w:val="FootnoteReference"/>
          <w:rFonts w:ascii="Palatino Linotype" w:hAnsi="Palatino Linotype"/>
          <w:color w:val="000000" w:themeColor="text1"/>
          <w:sz w:val="20"/>
        </w:rPr>
        <w:footnoteRef/>
      </w:r>
      <w:r w:rsidRPr="00AF35A5">
        <w:rPr>
          <w:rFonts w:ascii="Palatino Linotype" w:hAnsi="Palatino Linotype"/>
          <w:color w:val="000000" w:themeColor="text1"/>
          <w:sz w:val="20"/>
        </w:rPr>
        <w:t xml:space="preserve"> Resolution T</w:t>
      </w:r>
      <w:r w:rsidR="00B34BCE">
        <w:rPr>
          <w:rFonts w:ascii="Palatino Linotype" w:hAnsi="Palatino Linotype"/>
          <w:color w:val="000000" w:themeColor="text1"/>
          <w:sz w:val="20"/>
        </w:rPr>
        <w:noBreakHyphen/>
      </w:r>
      <w:r w:rsidRPr="00AF35A5">
        <w:rPr>
          <w:rFonts w:ascii="Palatino Linotype" w:hAnsi="Palatino Linotype"/>
          <w:color w:val="000000" w:themeColor="text1"/>
          <w:sz w:val="20"/>
        </w:rPr>
        <w:t xml:space="preserve">17575, Appendix A </w:t>
      </w:r>
      <w:r w:rsidR="00B34BCE">
        <w:rPr>
          <w:rFonts w:ascii="Palatino Linotype" w:hAnsi="Palatino Linotype"/>
          <w:color w:val="000000" w:themeColor="text1"/>
          <w:sz w:val="20"/>
        </w:rPr>
        <w:noBreakHyphen/>
      </w:r>
      <w:r w:rsidRPr="00AF35A5">
        <w:rPr>
          <w:rFonts w:ascii="Palatino Linotype" w:hAnsi="Palatino Linotype"/>
          <w:color w:val="000000" w:themeColor="text1"/>
          <w:sz w:val="20"/>
        </w:rPr>
        <w:t xml:space="preserve"> Implementation of changes in the California Advanced Services Fund program enacted by Senate Bill 745.</w:t>
      </w:r>
    </w:p>
  </w:footnote>
  <w:footnote w:id="97">
    <w:p w:rsidR="00B45AA8" w:rsidRPr="00AF35A5" w:rsidRDefault="00B45AA8" w:rsidP="00C610C7">
      <w:pPr>
        <w:pStyle w:val="FootnoteText"/>
        <w:rPr>
          <w:rFonts w:ascii="Palatino Linotype" w:hAnsi="Palatino Linotype"/>
          <w:color w:val="000000" w:themeColor="text1"/>
          <w:sz w:val="20"/>
        </w:rPr>
      </w:pPr>
      <w:r w:rsidRPr="00AF35A5">
        <w:rPr>
          <w:rStyle w:val="FootnoteReference"/>
          <w:rFonts w:ascii="Palatino Linotype" w:hAnsi="Palatino Linotype"/>
          <w:color w:val="000000" w:themeColor="text1"/>
          <w:sz w:val="20"/>
        </w:rPr>
        <w:footnoteRef/>
      </w:r>
      <w:r w:rsidRPr="00AF35A5">
        <w:rPr>
          <w:rFonts w:ascii="Palatino Linotype" w:hAnsi="Palatino Linotype"/>
          <w:color w:val="000000" w:themeColor="text1"/>
          <w:sz w:val="20"/>
        </w:rPr>
        <w:t xml:space="preserve"> Pub. Util. Code, § 281(i)(3)(A)</w:t>
      </w:r>
    </w:p>
  </w:footnote>
  <w:footnote w:id="98">
    <w:p w:rsidR="00B45AA8" w:rsidRPr="00AF35A5" w:rsidRDefault="00B45AA8" w:rsidP="00C610C7">
      <w:pPr>
        <w:pStyle w:val="FootnoteText"/>
        <w:rPr>
          <w:rFonts w:ascii="Palatino Linotype" w:hAnsi="Palatino Linotype"/>
          <w:color w:val="000000" w:themeColor="text1"/>
          <w:sz w:val="20"/>
        </w:rPr>
      </w:pPr>
      <w:r w:rsidRPr="00AF35A5">
        <w:rPr>
          <w:rStyle w:val="FootnoteReference"/>
          <w:rFonts w:ascii="Palatino Linotype" w:hAnsi="Palatino Linotype"/>
          <w:color w:val="000000" w:themeColor="text1"/>
          <w:sz w:val="20"/>
        </w:rPr>
        <w:footnoteRef/>
      </w:r>
      <w:r w:rsidRPr="00AF35A5">
        <w:rPr>
          <w:rFonts w:ascii="Palatino Linotype" w:hAnsi="Palatino Linotype"/>
          <w:color w:val="000000" w:themeColor="text1"/>
          <w:sz w:val="20"/>
        </w:rPr>
        <w:t xml:space="preserve"> Pub. Util. Code, § 281(i)(3)(A).</w:t>
      </w:r>
    </w:p>
  </w:footnote>
  <w:footnote w:id="99">
    <w:p w:rsidR="00B45AA8" w:rsidRPr="00AF35A5" w:rsidRDefault="00B45AA8" w:rsidP="00C610C7">
      <w:pPr>
        <w:pStyle w:val="FootnoteText"/>
        <w:rPr>
          <w:color w:val="000000" w:themeColor="text1"/>
          <w:sz w:val="20"/>
        </w:rPr>
      </w:pPr>
      <w:r w:rsidRPr="00AF35A5">
        <w:rPr>
          <w:rStyle w:val="FootnoteReference"/>
          <w:color w:val="000000" w:themeColor="text1"/>
          <w:sz w:val="20"/>
        </w:rPr>
        <w:footnoteRef/>
      </w:r>
      <w:r w:rsidRPr="00AF35A5">
        <w:rPr>
          <w:color w:val="000000" w:themeColor="text1"/>
          <w:sz w:val="20"/>
        </w:rPr>
        <w:t xml:space="preserve"> The CASF Distribution List is maintained by Communications Division staff and is generally used for informal CASF matters (e.g. draft resolutions, notice of applications/project summaries.  The CASF Distribution List is available at </w:t>
      </w:r>
      <w:hyperlink r:id="rId11" w:history="1">
        <w:r w:rsidRPr="00AF35A5">
          <w:rPr>
            <w:rStyle w:val="Hyperlink"/>
            <w:color w:val="000000" w:themeColor="text1"/>
            <w:sz w:val="20"/>
          </w:rPr>
          <w:t>http://www.cpuc.ca.gov/General.aspx?id=8246</w:t>
        </w:r>
      </w:hyperlink>
      <w:r w:rsidRPr="00AF35A5">
        <w:rPr>
          <w:color w:val="000000" w:themeColor="text1"/>
          <w:sz w:val="20"/>
        </w:rPr>
        <w:t xml:space="preserve">.  </w:t>
      </w:r>
    </w:p>
  </w:footnote>
  <w:footnote w:id="100">
    <w:p w:rsidR="00B45AA8" w:rsidRPr="00AF35A5" w:rsidRDefault="00B45AA8" w:rsidP="00C610C7">
      <w:pPr>
        <w:pStyle w:val="FootnoteText"/>
        <w:rPr>
          <w:rFonts w:ascii="Palatino Linotype" w:hAnsi="Palatino Linotype"/>
          <w:color w:val="000000" w:themeColor="text1"/>
          <w:sz w:val="20"/>
        </w:rPr>
      </w:pPr>
      <w:r w:rsidRPr="00AF35A5">
        <w:rPr>
          <w:rStyle w:val="FootnoteReference"/>
          <w:rFonts w:ascii="Palatino Linotype" w:hAnsi="Palatino Linotype"/>
          <w:color w:val="000000" w:themeColor="text1"/>
          <w:sz w:val="20"/>
        </w:rPr>
        <w:footnoteRef/>
      </w:r>
      <w:r w:rsidRPr="00AF35A5">
        <w:rPr>
          <w:rFonts w:ascii="Palatino Linotype" w:hAnsi="Palatino Linotype"/>
          <w:color w:val="000000" w:themeColor="text1"/>
          <w:sz w:val="20"/>
        </w:rPr>
        <w:t xml:space="preserve"> Pub. Util. Code, § 281(i)(3)(B)(i) and (B)(ii).  </w:t>
      </w:r>
    </w:p>
  </w:footnote>
  <w:footnote w:id="101">
    <w:p w:rsidR="00B45AA8" w:rsidRPr="00AF35A5" w:rsidRDefault="00B45AA8" w:rsidP="00C610C7">
      <w:pPr>
        <w:pStyle w:val="FootnoteText"/>
        <w:rPr>
          <w:rFonts w:ascii="Palatino Linotype" w:hAnsi="Palatino Linotype"/>
          <w:color w:val="000000" w:themeColor="text1"/>
          <w:sz w:val="20"/>
        </w:rPr>
      </w:pPr>
      <w:r w:rsidRPr="00AF35A5">
        <w:rPr>
          <w:rStyle w:val="FootnoteReference"/>
          <w:rFonts w:ascii="Palatino Linotype" w:hAnsi="Palatino Linotype"/>
          <w:color w:val="000000" w:themeColor="text1"/>
          <w:sz w:val="20"/>
        </w:rPr>
        <w:footnoteRef/>
      </w:r>
      <w:r w:rsidRPr="00AF35A5">
        <w:rPr>
          <w:rFonts w:ascii="Palatino Linotype" w:hAnsi="Palatino Linotype"/>
          <w:color w:val="000000" w:themeColor="text1"/>
          <w:sz w:val="20"/>
        </w:rPr>
        <w:t xml:space="preserve"> Stats. 2010, c.317, codified at California Public Utilities (Pub. Util. Code section 281), approved by Governor Schwarzenegger on September 25, 2010.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rsidP="005D0855">
    <w:pPr>
      <w:pStyle w:val="Header"/>
      <w:rPr>
        <w:rFonts w:ascii="Helvetica" w:hAnsi="Helvetica"/>
        <w:b/>
        <w:sz w:val="32"/>
        <w:szCs w:val="32"/>
      </w:rPr>
    </w:pPr>
    <w:r>
      <w:t>R.12</w:t>
    </w:r>
    <w:r w:rsidR="00B34BCE">
      <w:noBreakHyphen/>
    </w:r>
    <w:r>
      <w:t>10</w:t>
    </w:r>
    <w:r w:rsidR="00B34BCE">
      <w:noBreakHyphen/>
    </w:r>
    <w:r>
      <w:t>012  ALJ/MGA/jt2</w:t>
    </w:r>
  </w:p>
  <w:p w:rsidR="005D0855" w:rsidRDefault="005D0855" w:rsidP="005D0855">
    <w:pPr>
      <w:pStyle w:val="Header"/>
      <w:rPr>
        <w:rFonts w:ascii="Helvetica" w:hAnsi="Helvetica"/>
        <w:b/>
        <w:bCs/>
      </w:rPr>
    </w:pPr>
  </w:p>
  <w:p w:rsidR="00B45AA8" w:rsidRDefault="00B45AA8" w:rsidP="004D4F77">
    <w:pPr>
      <w:jc w:val="center"/>
      <w:rPr>
        <w:rFonts w:ascii="Helvetica" w:hAnsi="Helvetica"/>
        <w:b/>
        <w:bCs/>
      </w:rPr>
    </w:pPr>
  </w:p>
  <w:p w:rsidR="00B45AA8" w:rsidRPr="004D4F77" w:rsidRDefault="00B45AA8" w:rsidP="004D4F77">
    <w:pPr>
      <w:jc w:val="center"/>
      <w:rPr>
        <w:rFonts w:ascii="Helvetica" w:hAnsi="Helvetica"/>
        <w:b/>
        <w:bCs/>
      </w:rPr>
    </w:pPr>
    <w:r w:rsidRPr="004D4F77">
      <w:rPr>
        <w:rFonts w:ascii="Helvetica" w:hAnsi="Helvetica"/>
        <w:b/>
        <w:bCs/>
      </w:rPr>
      <w:t>Table of Contents</w:t>
    </w:r>
    <w:r>
      <w:rPr>
        <w:rFonts w:ascii="Helvetica" w:hAnsi="Helvetica"/>
        <w:b/>
        <w:bCs/>
      </w:rPr>
      <w:t xml:space="preserve"> (cont.)</w:t>
    </w:r>
  </w:p>
  <w:p w:rsidR="00B45AA8" w:rsidRPr="004D4F77" w:rsidRDefault="00B45AA8" w:rsidP="004D4F77">
    <w:pPr>
      <w:rPr>
        <w:rFonts w:ascii="Helvetica" w:hAnsi="Helvetica"/>
        <w:b/>
        <w:bCs/>
      </w:rPr>
    </w:pPr>
  </w:p>
  <w:p w:rsidR="00B45AA8" w:rsidRPr="004D4F77" w:rsidRDefault="00B45AA8" w:rsidP="004D4F77">
    <w:pPr>
      <w:tabs>
        <w:tab w:val="right" w:pos="9360"/>
      </w:tabs>
      <w:rPr>
        <w:rFonts w:ascii="Helvetica" w:hAnsi="Helvetica"/>
        <w:b/>
        <w:bCs/>
      </w:rPr>
    </w:pPr>
    <w:r w:rsidRPr="004D4F77">
      <w:rPr>
        <w:rFonts w:ascii="Helvetica" w:hAnsi="Helvetica"/>
        <w:b/>
        <w:bCs/>
      </w:rPr>
      <w:t>Title</w:t>
    </w:r>
    <w:r w:rsidRPr="004D4F77">
      <w:rPr>
        <w:rFonts w:ascii="Helvetica" w:hAnsi="Helvetica"/>
        <w:b/>
        <w:bCs/>
      </w:rPr>
      <w:tab/>
      <w:t>Page</w:t>
    </w:r>
  </w:p>
  <w:p w:rsidR="00B45AA8" w:rsidRDefault="00B45AA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rsidP="00A80F5C">
    <w:pPr>
      <w:pStyle w:val="Header"/>
    </w:pPr>
    <w:r>
      <w:t>^  ^/jt2</w:t>
    </w:r>
  </w:p>
  <w:p w:rsidR="00B45AA8" w:rsidRDefault="00B45AA8" w:rsidP="00A80F5C">
    <w:pPr>
      <w:pStyle w:val="Header"/>
    </w:pPr>
  </w:p>
  <w:p w:rsidR="00B45AA8" w:rsidRDefault="00B45AA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rsidP="005D0855">
    <w:pPr>
      <w:pStyle w:val="Header"/>
      <w:tabs>
        <w:tab w:val="clear" w:pos="8640"/>
        <w:tab w:val="right" w:pos="9360"/>
      </w:tabs>
      <w:rPr>
        <w:rFonts w:ascii="Helvetica" w:hAnsi="Helvetica"/>
        <w:b/>
        <w:sz w:val="32"/>
        <w:szCs w:val="32"/>
      </w:rPr>
    </w:pPr>
    <w:r>
      <w:t>R.12</w:t>
    </w:r>
    <w:r w:rsidR="00B34BCE">
      <w:noBreakHyphen/>
    </w:r>
    <w:r>
      <w:t>10</w:t>
    </w:r>
    <w:r w:rsidR="00B34BCE">
      <w:noBreakHyphen/>
    </w:r>
    <w:r>
      <w:t>012  ALJ/MGA/jt2</w:t>
    </w:r>
  </w:p>
  <w:p w:rsidR="005D0855" w:rsidRDefault="005D0855" w:rsidP="005D0855">
    <w:pPr>
      <w:pStyle w:val="Header"/>
      <w:tabs>
        <w:tab w:val="clear" w:pos="8640"/>
        <w:tab w:val="right" w:pos="9360"/>
      </w:tabs>
      <w:rPr>
        <w:rFonts w:ascii="Helvetica" w:hAnsi="Helvetica"/>
        <w:b/>
        <w:sz w:val="32"/>
        <w:szCs w:val="32"/>
      </w:rPr>
    </w:pPr>
  </w:p>
  <w:p w:rsidR="005D0855" w:rsidRPr="005D048B" w:rsidRDefault="005D0855" w:rsidP="005D0855">
    <w:pPr>
      <w:pStyle w:val="Header"/>
      <w:tabs>
        <w:tab w:val="clear" w:pos="8640"/>
        <w:tab w:val="right" w:pos="9360"/>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rsidP="005D0855">
    <w:pPr>
      <w:pStyle w:val="Header"/>
      <w:tabs>
        <w:tab w:val="clear" w:pos="8640"/>
        <w:tab w:val="right" w:pos="9360"/>
      </w:tabs>
      <w:rPr>
        <w:rFonts w:ascii="Helvetica" w:hAnsi="Helvetica"/>
        <w:b/>
        <w:sz w:val="32"/>
        <w:szCs w:val="32"/>
      </w:rPr>
    </w:pPr>
    <w:r>
      <w:t>R.12</w:t>
    </w:r>
    <w:r w:rsidR="00B34BCE">
      <w:noBreakHyphen/>
    </w:r>
    <w:r>
      <w:t>10</w:t>
    </w:r>
    <w:r w:rsidR="00B34BCE">
      <w:noBreakHyphen/>
    </w:r>
    <w:r>
      <w:t>012  ALJ/MGA/jt2</w:t>
    </w:r>
  </w:p>
  <w:p w:rsidR="005D0855" w:rsidRDefault="005D0855" w:rsidP="005D0855">
    <w:pPr>
      <w:pStyle w:val="Header"/>
      <w:tabs>
        <w:tab w:val="clear" w:pos="8640"/>
        <w:tab w:val="right" w:pos="9360"/>
      </w:tabs>
      <w:rPr>
        <w:rFonts w:ascii="Helvetica" w:hAnsi="Helvetica"/>
        <w:b/>
        <w:sz w:val="32"/>
        <w:szCs w:val="32"/>
      </w:rPr>
    </w:pPr>
  </w:p>
  <w:p w:rsidR="005D0855" w:rsidRDefault="005D0855" w:rsidP="005D0855">
    <w:pPr>
      <w:pStyle w:val="Header"/>
      <w:tabs>
        <w:tab w:val="clear" w:pos="8640"/>
        <w:tab w:val="right" w:pos="9360"/>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rsidP="005D0855">
    <w:pPr>
      <w:pStyle w:val="Header"/>
      <w:tabs>
        <w:tab w:val="clear" w:pos="8640"/>
        <w:tab w:val="right" w:pos="9360"/>
      </w:tabs>
      <w:rPr>
        <w:rFonts w:ascii="Helvetica" w:hAnsi="Helvetica"/>
        <w:b/>
        <w:sz w:val="32"/>
        <w:szCs w:val="32"/>
      </w:rPr>
    </w:pPr>
    <w:r>
      <w:t>R.12</w:t>
    </w:r>
    <w:r w:rsidR="00B34BCE">
      <w:noBreakHyphen/>
    </w:r>
    <w:r>
      <w:t>10</w:t>
    </w:r>
    <w:r w:rsidR="00B34BCE">
      <w:noBreakHyphen/>
    </w:r>
    <w:r>
      <w:t>012  ALJ/MGA/jt2</w:t>
    </w:r>
  </w:p>
  <w:p w:rsidR="005D0855" w:rsidRDefault="005D0855" w:rsidP="005D0855">
    <w:pPr>
      <w:pStyle w:val="Header"/>
      <w:tabs>
        <w:tab w:val="clear" w:pos="8640"/>
        <w:tab w:val="right" w:pos="9360"/>
      </w:tabs>
      <w:rPr>
        <w:rFonts w:ascii="Helvetica" w:hAnsi="Helvetica"/>
        <w:b/>
        <w:sz w:val="32"/>
        <w:szCs w:val="32"/>
      </w:rPr>
    </w:pPr>
  </w:p>
  <w:p w:rsidR="005D0855" w:rsidRPr="005D048B" w:rsidRDefault="005D0855" w:rsidP="005D0855">
    <w:pPr>
      <w:pStyle w:val="Header"/>
      <w:tabs>
        <w:tab w:val="clear" w:pos="8640"/>
        <w:tab w:val="right" w:pos="9360"/>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rsidP="00A80F5C">
    <w:pPr>
      <w:pStyle w:val="Header"/>
    </w:pPr>
    <w:r>
      <w:t>^  ^/jt2</w:t>
    </w:r>
  </w:p>
  <w:p w:rsidR="00B45AA8" w:rsidRDefault="00B45AA8" w:rsidP="00A80F5C">
    <w:pPr>
      <w:pStyle w:val="Header"/>
    </w:pPr>
  </w:p>
  <w:p w:rsidR="00B45AA8" w:rsidRDefault="00B45AA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rsidP="005D0855">
    <w:pPr>
      <w:pStyle w:val="Header"/>
      <w:tabs>
        <w:tab w:val="clear" w:pos="8640"/>
        <w:tab w:val="right" w:pos="9360"/>
      </w:tabs>
      <w:rPr>
        <w:rFonts w:ascii="Helvetica" w:hAnsi="Helvetica"/>
        <w:b/>
        <w:sz w:val="32"/>
        <w:szCs w:val="32"/>
      </w:rPr>
    </w:pPr>
    <w:r>
      <w:t>R.12</w:t>
    </w:r>
    <w:r w:rsidR="00B34BCE">
      <w:noBreakHyphen/>
    </w:r>
    <w:r>
      <w:t>10</w:t>
    </w:r>
    <w:r w:rsidR="00B34BCE">
      <w:noBreakHyphen/>
    </w:r>
    <w:r>
      <w:t>012  ALJ/MGA/jt2</w:t>
    </w:r>
  </w:p>
  <w:p w:rsidR="005D0855" w:rsidRDefault="005D0855" w:rsidP="005D0855">
    <w:pPr>
      <w:pStyle w:val="Header"/>
      <w:tabs>
        <w:tab w:val="clear" w:pos="8640"/>
        <w:tab w:val="right" w:pos="9360"/>
      </w:tabs>
      <w:rPr>
        <w:rFonts w:ascii="Helvetica" w:hAnsi="Helvetica"/>
        <w:b/>
        <w:sz w:val="32"/>
        <w:szCs w:val="32"/>
      </w:rPr>
    </w:pPr>
  </w:p>
  <w:p w:rsidR="005D0855" w:rsidRPr="005D048B" w:rsidRDefault="005D0855" w:rsidP="005D0855">
    <w:pPr>
      <w:pStyle w:val="Header"/>
      <w:tabs>
        <w:tab w:val="clear" w:pos="8640"/>
        <w:tab w:val="right" w:pos="9360"/>
      </w:tabs>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rsidP="005D0855">
    <w:pPr>
      <w:pStyle w:val="Header"/>
      <w:tabs>
        <w:tab w:val="clear" w:pos="8640"/>
        <w:tab w:val="right" w:pos="9360"/>
      </w:tabs>
      <w:rPr>
        <w:rFonts w:ascii="Helvetica" w:hAnsi="Helvetica"/>
        <w:b/>
        <w:sz w:val="32"/>
        <w:szCs w:val="32"/>
      </w:rPr>
    </w:pPr>
    <w:r>
      <w:t>R.12</w:t>
    </w:r>
    <w:r w:rsidR="00B34BCE">
      <w:noBreakHyphen/>
    </w:r>
    <w:r>
      <w:t>10</w:t>
    </w:r>
    <w:r w:rsidR="00B34BCE">
      <w:noBreakHyphen/>
    </w:r>
    <w:r>
      <w:t>012  ALJ/MGA/jt2</w:t>
    </w:r>
  </w:p>
  <w:p w:rsidR="005D0855" w:rsidRDefault="005D0855" w:rsidP="005D0855">
    <w:pPr>
      <w:pStyle w:val="Header"/>
      <w:tabs>
        <w:tab w:val="clear" w:pos="8640"/>
        <w:tab w:val="right" w:pos="9360"/>
      </w:tabs>
    </w:pPr>
  </w:p>
  <w:p w:rsidR="00B45AA8" w:rsidRDefault="00B45A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rsidP="00466193">
    <w:pPr>
      <w:pStyle w:val="Header"/>
    </w:pPr>
  </w:p>
  <w:p w:rsidR="00B45AA8" w:rsidRDefault="00B45AA8" w:rsidP="00466193">
    <w:pPr>
      <w:pStyle w:val="Header"/>
    </w:pPr>
  </w:p>
  <w:p w:rsidR="00B45AA8" w:rsidRPr="00466193" w:rsidRDefault="00B45AA8" w:rsidP="004661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rsidP="00CB25C5">
    <w:pPr>
      <w:pStyle w:val="Header"/>
      <w:tabs>
        <w:tab w:val="clear" w:pos="8640"/>
        <w:tab w:val="right" w:pos="9360"/>
      </w:tabs>
      <w:rPr>
        <w:rFonts w:ascii="Helvetica" w:hAnsi="Helvetica"/>
        <w:b/>
        <w:sz w:val="32"/>
        <w:szCs w:val="32"/>
      </w:rPr>
    </w:pPr>
    <w:r>
      <w:t>R.12</w:t>
    </w:r>
    <w:r w:rsidR="00B34BCE">
      <w:noBreakHyphen/>
    </w:r>
    <w:r>
      <w:t>10</w:t>
    </w:r>
    <w:r w:rsidR="00B34BCE">
      <w:noBreakHyphen/>
    </w:r>
    <w:r>
      <w:t>012  ALJ/MGA/jt2</w:t>
    </w:r>
  </w:p>
  <w:p w:rsidR="005D0855" w:rsidRDefault="005D0855" w:rsidP="00CB25C5">
    <w:pPr>
      <w:pStyle w:val="Header"/>
      <w:tabs>
        <w:tab w:val="clear" w:pos="8640"/>
        <w:tab w:val="right" w:pos="9360"/>
      </w:tabs>
      <w:rPr>
        <w:rFonts w:ascii="Helvetica" w:hAnsi="Helvetica"/>
        <w:b/>
        <w:sz w:val="32"/>
        <w:szCs w:val="32"/>
      </w:rPr>
    </w:pPr>
  </w:p>
  <w:p w:rsidR="00B45AA8" w:rsidRDefault="00B45AA8" w:rsidP="00CB25C5">
    <w:pPr>
      <w:pStyle w:val="Header"/>
      <w:tabs>
        <w:tab w:val="clear" w:pos="8640"/>
        <w:tab w:val="right" w:pos="936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rsidP="0043068E">
    <w:pPr>
      <w:pStyle w:val="Header"/>
      <w:tabs>
        <w:tab w:val="clear" w:pos="8640"/>
        <w:tab w:val="right" w:pos="9360"/>
      </w:tabs>
      <w:rPr>
        <w:rFonts w:ascii="Helvetica" w:hAnsi="Helvetica"/>
        <w:b/>
        <w:sz w:val="32"/>
        <w:szCs w:val="32"/>
      </w:rPr>
    </w:pPr>
    <w:r>
      <w:t>R.12</w:t>
    </w:r>
    <w:r w:rsidR="00B34BCE">
      <w:noBreakHyphen/>
    </w:r>
    <w:r>
      <w:t>10</w:t>
    </w:r>
    <w:r w:rsidR="00B34BCE">
      <w:noBreakHyphen/>
    </w:r>
    <w:r>
      <w:t>012  ALJ/MGA/jt2</w:t>
    </w:r>
  </w:p>
  <w:p w:rsidR="005D0855" w:rsidRPr="00AD36BA" w:rsidRDefault="005D0855" w:rsidP="0043068E">
    <w:pPr>
      <w:pStyle w:val="Header"/>
      <w:tabs>
        <w:tab w:val="clear" w:pos="8640"/>
        <w:tab w:val="right" w:pos="9360"/>
      </w:tabs>
      <w:rPr>
        <w:rFonts w:ascii="Helvetica" w:hAnsi="Helvetica"/>
        <w:sz w:val="32"/>
        <w:szCs w:val="32"/>
      </w:rPr>
    </w:pPr>
  </w:p>
  <w:p w:rsidR="00B45AA8" w:rsidRDefault="00B45AA8" w:rsidP="0043068E">
    <w:pPr>
      <w:pStyle w:val="Header"/>
      <w:tabs>
        <w:tab w:val="clear" w:pos="8640"/>
        <w:tab w:val="right" w:pos="9360"/>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rsidP="00A80F5C">
    <w:pPr>
      <w:pStyle w:val="Header"/>
    </w:pPr>
    <w:r>
      <w:t>^  ^/jt2</w:t>
    </w:r>
  </w:p>
  <w:p w:rsidR="00B45AA8" w:rsidRDefault="00B45AA8" w:rsidP="00A80F5C">
    <w:pPr>
      <w:pStyle w:val="Header"/>
    </w:pPr>
  </w:p>
  <w:p w:rsidR="00B45AA8" w:rsidRDefault="00B45AA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rsidP="005D0855">
    <w:pPr>
      <w:pStyle w:val="Header"/>
      <w:tabs>
        <w:tab w:val="clear" w:pos="8640"/>
        <w:tab w:val="right" w:pos="9360"/>
      </w:tabs>
      <w:rPr>
        <w:rFonts w:ascii="Helvetica" w:hAnsi="Helvetica"/>
        <w:b/>
        <w:sz w:val="32"/>
        <w:szCs w:val="32"/>
      </w:rPr>
    </w:pPr>
    <w:r>
      <w:t>R.12</w:t>
    </w:r>
    <w:r w:rsidR="00B34BCE">
      <w:noBreakHyphen/>
    </w:r>
    <w:r>
      <w:t>10</w:t>
    </w:r>
    <w:r w:rsidR="00B34BCE">
      <w:noBreakHyphen/>
    </w:r>
    <w:r>
      <w:t>012  ALJ/MGA/jt2</w:t>
    </w:r>
  </w:p>
  <w:p w:rsidR="005D0855" w:rsidRDefault="005D0855" w:rsidP="005D0855">
    <w:pPr>
      <w:pStyle w:val="Header"/>
      <w:tabs>
        <w:tab w:val="clear" w:pos="8640"/>
        <w:tab w:val="right" w:pos="9360"/>
      </w:tabs>
    </w:pPr>
  </w:p>
  <w:p w:rsidR="00B45AA8" w:rsidRDefault="00B45AA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rsidP="005D0855">
    <w:pPr>
      <w:pStyle w:val="Header"/>
      <w:tabs>
        <w:tab w:val="clear" w:pos="8640"/>
        <w:tab w:val="right" w:pos="9360"/>
      </w:tabs>
      <w:rPr>
        <w:rFonts w:ascii="Helvetica" w:hAnsi="Helvetica"/>
        <w:b/>
        <w:sz w:val="32"/>
        <w:szCs w:val="32"/>
      </w:rPr>
    </w:pPr>
    <w:r>
      <w:t>R.12</w:t>
    </w:r>
    <w:r w:rsidR="00B34BCE">
      <w:noBreakHyphen/>
    </w:r>
    <w:r>
      <w:t>10</w:t>
    </w:r>
    <w:r w:rsidR="00B34BCE">
      <w:noBreakHyphen/>
    </w:r>
    <w:r>
      <w:t>012  ALJ/MGA/jt2</w:t>
    </w:r>
  </w:p>
  <w:p w:rsidR="005D0855" w:rsidRDefault="005D0855" w:rsidP="005D0855">
    <w:pPr>
      <w:pStyle w:val="Header"/>
      <w:tabs>
        <w:tab w:val="clear" w:pos="8640"/>
        <w:tab w:val="right" w:pos="9360"/>
      </w:tabs>
      <w:rPr>
        <w:rFonts w:ascii="Helvetica" w:hAnsi="Helvetica"/>
        <w:b/>
        <w:sz w:val="32"/>
        <w:szCs w:val="32"/>
      </w:rPr>
    </w:pPr>
  </w:p>
  <w:p w:rsidR="005D0855" w:rsidRPr="005D048B" w:rsidRDefault="005D0855" w:rsidP="005D0855">
    <w:pPr>
      <w:pStyle w:val="Header"/>
      <w:tabs>
        <w:tab w:val="clear" w:pos="8640"/>
        <w:tab w:val="right" w:pos="9360"/>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AA8" w:rsidRDefault="00B45AA8" w:rsidP="00A80F5C">
    <w:pPr>
      <w:pStyle w:val="Header"/>
      <w:pBdr>
        <w:bottom w:val="double" w:sz="20" w:space="0" w:color="800000"/>
      </w:pBdr>
      <w:jc w:val="center"/>
      <w:rPr>
        <w:rFonts w:ascii="Cambria" w:hAnsi="Cambria" w:cs="Cambria"/>
        <w:i/>
        <w:sz w:val="28"/>
        <w:szCs w:val="28"/>
      </w:rPr>
    </w:pPr>
    <w:r>
      <w:rPr>
        <w:rFonts w:ascii="Cambria" w:hAnsi="Cambria" w:cs="Cambria"/>
        <w:i/>
        <w:sz w:val="28"/>
        <w:szCs w:val="28"/>
      </w:rPr>
      <w:t xml:space="preserve">CASF </w:t>
    </w:r>
    <w:r w:rsidR="00B34BCE">
      <w:rPr>
        <w:rFonts w:ascii="Cambria" w:hAnsi="Cambria" w:cs="Cambria"/>
        <w:i/>
        <w:sz w:val="28"/>
        <w:szCs w:val="28"/>
      </w:rPr>
      <w:noBreakHyphen/>
    </w:r>
    <w:r>
      <w:rPr>
        <w:rFonts w:ascii="Cambria" w:hAnsi="Cambria" w:cs="Cambria"/>
        <w:i/>
        <w:sz w:val="28"/>
        <w:szCs w:val="28"/>
      </w:rPr>
      <w:t xml:space="preserve"> The Broadband Infrastructure Grant Account</w:t>
    </w:r>
  </w:p>
  <w:p w:rsidR="00B45AA8" w:rsidRDefault="00B34BCE" w:rsidP="00A80F5C">
    <w:pPr>
      <w:pStyle w:val="Header"/>
      <w:pBdr>
        <w:bottom w:val="double" w:sz="20" w:space="0" w:color="800000"/>
      </w:pBdr>
      <w:jc w:val="center"/>
      <w:rPr>
        <w:rFonts w:ascii="Cambria" w:hAnsi="Cambria" w:cs="Cambria"/>
        <w:i/>
      </w:rPr>
    </w:pPr>
    <w:r>
      <w:rPr>
        <w:rFonts w:ascii="Cambria" w:hAnsi="Cambria" w:cs="Cambria"/>
        <w:i/>
        <w:sz w:val="28"/>
        <w:szCs w:val="28"/>
      </w:rPr>
      <w:noBreakHyphen/>
    </w:r>
    <w:r>
      <w:rPr>
        <w:rFonts w:ascii="Cambria" w:hAnsi="Cambria" w:cs="Cambria"/>
        <w:i/>
        <w:sz w:val="28"/>
        <w:szCs w:val="28"/>
      </w:rPr>
      <w:noBreakHyphen/>
    </w:r>
    <w:r>
      <w:rPr>
        <w:rFonts w:ascii="Cambria" w:hAnsi="Cambria" w:cs="Cambria"/>
        <w:i/>
        <w:sz w:val="28"/>
        <w:szCs w:val="28"/>
      </w:rPr>
      <w:noBreakHyphen/>
    </w:r>
    <w:r w:rsidR="00B45AA8">
      <w:rPr>
        <w:rFonts w:ascii="Cambria" w:hAnsi="Cambria" w:cs="Cambria"/>
        <w:i/>
        <w:sz w:val="28"/>
        <w:szCs w:val="28"/>
      </w:rPr>
      <w:t xml:space="preserve"> Revised Application Requirements and Guidelines</w:t>
    </w:r>
    <w:r>
      <w:rPr>
        <w:rFonts w:ascii="Cambria" w:hAnsi="Cambria" w:cs="Cambria"/>
        <w:i/>
        <w:sz w:val="28"/>
        <w:szCs w:val="28"/>
      </w:rPr>
      <w:noBreakHyphen/>
    </w:r>
    <w:r>
      <w:rPr>
        <w:rFonts w:ascii="Cambria" w:hAnsi="Cambria" w:cs="Cambria"/>
        <w:i/>
        <w:sz w:val="28"/>
        <w:szCs w:val="28"/>
      </w:rPr>
      <w:noBreakHyphen/>
    </w:r>
    <w:r>
      <w:rPr>
        <w:rFonts w:ascii="Cambria" w:hAnsi="Cambria" w:cs="Cambria"/>
        <w:i/>
        <w:sz w:val="28"/>
        <w:szCs w:val="28"/>
      </w:rPr>
      <w:noBreakHyphen/>
    </w:r>
  </w:p>
  <w:p w:rsidR="00B45AA8" w:rsidRDefault="00B45AA8" w:rsidP="00A80F5C">
    <w:pPr>
      <w:pStyle w:val="Header"/>
      <w:pBdr>
        <w:bottom w:val="double" w:sz="20" w:space="0" w:color="800000"/>
      </w:pBdr>
      <w:jc w:val="right"/>
      <w:rPr>
        <w:rFonts w:ascii="Cambria" w:hAnsi="Cambria" w:cs="Cambria"/>
        <w:i/>
      </w:rPr>
    </w:pPr>
    <w:r>
      <w:rPr>
        <w:rFonts w:ascii="Cambria" w:hAnsi="Cambria" w:cs="Cambria"/>
        <w:i/>
      </w:rPr>
      <w:t xml:space="preserve">Date: December 2014 </w:t>
    </w:r>
  </w:p>
  <w:p w:rsidR="00B45AA8" w:rsidRDefault="00B45AA8" w:rsidP="00A80F5C">
    <w:pPr>
      <w:pStyle w:val="Header"/>
      <w:pBdr>
        <w:bottom w:val="double" w:sz="20" w:space="0" w:color="800000"/>
      </w:pBdr>
      <w:jc w:val="right"/>
      <w:rPr>
        <w:rFonts w:ascii="Cambria" w:hAnsi="Cambria" w:cs="Cambria"/>
        <w:i/>
      </w:rPr>
    </w:pPr>
    <w:r>
      <w:rPr>
        <w:rFonts w:ascii="Cambria" w:hAnsi="Cambria" w:cs="Cambria"/>
        <w:i/>
      </w:rPr>
      <w:t>Version 3.0</w:t>
    </w:r>
  </w:p>
  <w:p w:rsidR="00B45AA8" w:rsidRDefault="00B45AA8" w:rsidP="00A80F5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sz w:val="24"/>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sz w:val="24"/>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sz w:val="24"/>
      </w:rPr>
    </w:lvl>
    <w:lvl w:ilvl="8">
      <w:start w:val="1"/>
      <w:numFmt w:val="bullet"/>
      <w:lvlText w:val=""/>
      <w:lvlJc w:val="left"/>
      <w:pPr>
        <w:tabs>
          <w:tab w:val="num" w:pos="0"/>
        </w:tabs>
        <w:ind w:left="6480" w:hanging="360"/>
      </w:pPr>
      <w:rPr>
        <w:rFonts w:ascii="Wingdings" w:hAnsi="Wingdings" w:hint="default"/>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Symbol" w:hAnsi="Symbol" w:hint="default"/>
      </w:rPr>
    </w:lvl>
  </w:abstractNum>
  <w:abstractNum w:abstractNumId="2">
    <w:nsid w:val="00000005"/>
    <w:multiLevelType w:val="multilevel"/>
    <w:tmpl w:val="8CC49FD8"/>
    <w:name w:val="WW8Num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o"/>
      <w:lvlJc w:val="left"/>
      <w:pPr>
        <w:tabs>
          <w:tab w:val="num" w:pos="0"/>
        </w:tabs>
        <w:ind w:left="2160" w:hanging="360"/>
      </w:pPr>
      <w:rPr>
        <w:rFonts w:ascii="Courier New" w:hAnsi="Courier New"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3">
    <w:nsid w:val="00000006"/>
    <w:multiLevelType w:val="multilevel"/>
    <w:tmpl w:val="00000006"/>
    <w:name w:val="WW8Num6"/>
    <w:lvl w:ilvl="0">
      <w:start w:val="1"/>
      <w:numFmt w:val="bullet"/>
      <w:lvlText w:val=""/>
      <w:lvlJc w:val="left"/>
      <w:pPr>
        <w:tabs>
          <w:tab w:val="num" w:pos="0"/>
        </w:tabs>
        <w:ind w:left="1080" w:hanging="360"/>
      </w:pPr>
      <w:rPr>
        <w:rFonts w:ascii="Symbol" w:hAnsi="Symbol" w:hint="default"/>
      </w:rPr>
    </w:lvl>
    <w:lvl w:ilvl="1">
      <w:start w:val="1"/>
      <w:numFmt w:val="bullet"/>
      <w:lvlText w:val="o"/>
      <w:lvlJc w:val="left"/>
      <w:pPr>
        <w:tabs>
          <w:tab w:val="num" w:pos="0"/>
        </w:tabs>
        <w:ind w:left="1800" w:hanging="360"/>
      </w:pPr>
      <w:rPr>
        <w:rFonts w:ascii="Courier New" w:hAnsi="Courier New" w:hint="default"/>
        <w:color w:val="auto"/>
        <w:sz w:val="20"/>
      </w:rPr>
    </w:lvl>
    <w:lvl w:ilvl="2">
      <w:start w:val="1"/>
      <w:numFmt w:val="bullet"/>
      <w:lvlText w:val=""/>
      <w:lvlJc w:val="left"/>
      <w:pPr>
        <w:tabs>
          <w:tab w:val="num" w:pos="0"/>
        </w:tabs>
        <w:ind w:left="2520" w:hanging="360"/>
      </w:pPr>
      <w:rPr>
        <w:rFonts w:ascii="Wingdings" w:hAnsi="Wingdings" w:hint="default"/>
      </w:rPr>
    </w:lvl>
    <w:lvl w:ilvl="3">
      <w:start w:val="1"/>
      <w:numFmt w:val="bullet"/>
      <w:lvlText w:val=""/>
      <w:lvlJc w:val="left"/>
      <w:pPr>
        <w:tabs>
          <w:tab w:val="num" w:pos="0"/>
        </w:tabs>
        <w:ind w:left="3240" w:hanging="360"/>
      </w:pPr>
      <w:rPr>
        <w:rFonts w:ascii="Symbol" w:hAnsi="Symbol" w:hint="default"/>
      </w:rPr>
    </w:lvl>
    <w:lvl w:ilvl="4">
      <w:start w:val="1"/>
      <w:numFmt w:val="bullet"/>
      <w:lvlText w:val="o"/>
      <w:lvlJc w:val="left"/>
      <w:pPr>
        <w:tabs>
          <w:tab w:val="num" w:pos="0"/>
        </w:tabs>
        <w:ind w:left="3960" w:hanging="360"/>
      </w:pPr>
      <w:rPr>
        <w:rFonts w:ascii="Courier New" w:hAnsi="Courier New" w:hint="default"/>
        <w:color w:val="auto"/>
        <w:sz w:val="20"/>
      </w:rPr>
    </w:lvl>
    <w:lvl w:ilvl="5">
      <w:start w:val="1"/>
      <w:numFmt w:val="bullet"/>
      <w:lvlText w:val=""/>
      <w:lvlJc w:val="left"/>
      <w:pPr>
        <w:tabs>
          <w:tab w:val="num" w:pos="0"/>
        </w:tabs>
        <w:ind w:left="4680" w:hanging="360"/>
      </w:pPr>
      <w:rPr>
        <w:rFonts w:ascii="Wingdings" w:hAnsi="Wingdings" w:hint="default"/>
      </w:rPr>
    </w:lvl>
    <w:lvl w:ilvl="6">
      <w:start w:val="1"/>
      <w:numFmt w:val="bullet"/>
      <w:lvlText w:val=""/>
      <w:lvlJc w:val="left"/>
      <w:pPr>
        <w:tabs>
          <w:tab w:val="num" w:pos="0"/>
        </w:tabs>
        <w:ind w:left="5400" w:hanging="360"/>
      </w:pPr>
      <w:rPr>
        <w:rFonts w:ascii="Symbol" w:hAnsi="Symbol" w:hint="default"/>
      </w:rPr>
    </w:lvl>
    <w:lvl w:ilvl="7">
      <w:start w:val="1"/>
      <w:numFmt w:val="bullet"/>
      <w:lvlText w:val="o"/>
      <w:lvlJc w:val="left"/>
      <w:pPr>
        <w:tabs>
          <w:tab w:val="num" w:pos="0"/>
        </w:tabs>
        <w:ind w:left="6120" w:hanging="360"/>
      </w:pPr>
      <w:rPr>
        <w:rFonts w:ascii="Courier New" w:hAnsi="Courier New" w:hint="default"/>
        <w:color w:val="auto"/>
        <w:sz w:val="20"/>
      </w:rPr>
    </w:lvl>
    <w:lvl w:ilvl="8">
      <w:start w:val="1"/>
      <w:numFmt w:val="bullet"/>
      <w:lvlText w:val=""/>
      <w:lvlJc w:val="left"/>
      <w:pPr>
        <w:tabs>
          <w:tab w:val="num" w:pos="0"/>
        </w:tabs>
        <w:ind w:left="6840" w:hanging="360"/>
      </w:pPr>
      <w:rPr>
        <w:rFonts w:ascii="Wingdings" w:hAnsi="Wingdings" w:hint="default"/>
      </w:rPr>
    </w:lvl>
  </w:abstractNum>
  <w:abstractNum w:abstractNumId="4">
    <w:nsid w:val="0000000C"/>
    <w:multiLevelType w:val="singleLevel"/>
    <w:tmpl w:val="0000000C"/>
    <w:name w:val="WW8Num13"/>
    <w:lvl w:ilvl="0">
      <w:start w:val="1"/>
      <w:numFmt w:val="bullet"/>
      <w:lvlText w:val=""/>
      <w:lvlJc w:val="left"/>
      <w:pPr>
        <w:tabs>
          <w:tab w:val="num" w:pos="0"/>
        </w:tabs>
        <w:ind w:left="720" w:hanging="360"/>
      </w:pPr>
      <w:rPr>
        <w:rFonts w:ascii="Symbol" w:hAnsi="Symbol" w:hint="default"/>
      </w:rPr>
    </w:lvl>
  </w:abstractNum>
  <w:abstractNum w:abstractNumId="5">
    <w:nsid w:val="0000000D"/>
    <w:multiLevelType w:val="singleLevel"/>
    <w:tmpl w:val="0000000D"/>
    <w:name w:val="WW8Num15"/>
    <w:lvl w:ilvl="0">
      <w:start w:val="1"/>
      <w:numFmt w:val="bullet"/>
      <w:lvlText w:val=""/>
      <w:lvlJc w:val="left"/>
      <w:pPr>
        <w:tabs>
          <w:tab w:val="num" w:pos="0"/>
        </w:tabs>
        <w:ind w:left="720" w:hanging="360"/>
      </w:pPr>
      <w:rPr>
        <w:rFonts w:ascii="Symbol" w:hAnsi="Symbol" w:hint="default"/>
      </w:rPr>
    </w:lvl>
  </w:abstractNum>
  <w:abstractNum w:abstractNumId="6">
    <w:nsid w:val="00D92AFB"/>
    <w:multiLevelType w:val="hybridMultilevel"/>
    <w:tmpl w:val="4E5C91F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25E7E0B"/>
    <w:multiLevelType w:val="hybridMultilevel"/>
    <w:tmpl w:val="9D707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4317C2F"/>
    <w:multiLevelType w:val="hybridMultilevel"/>
    <w:tmpl w:val="39501BAC"/>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07C36175"/>
    <w:multiLevelType w:val="hybridMultilevel"/>
    <w:tmpl w:val="4E5C91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8C07035"/>
    <w:multiLevelType w:val="hybridMultilevel"/>
    <w:tmpl w:val="C1BA9C5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C402710"/>
    <w:multiLevelType w:val="hybridMultilevel"/>
    <w:tmpl w:val="9C60B5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DD3B54"/>
    <w:multiLevelType w:val="hybridMultilevel"/>
    <w:tmpl w:val="06D2E7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0D691DC5"/>
    <w:multiLevelType w:val="hybridMultilevel"/>
    <w:tmpl w:val="553E8C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1F3F2F"/>
    <w:multiLevelType w:val="hybridMultilevel"/>
    <w:tmpl w:val="401CBD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0122BE8"/>
    <w:multiLevelType w:val="hybridMultilevel"/>
    <w:tmpl w:val="50346D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0291A73"/>
    <w:multiLevelType w:val="hybridMultilevel"/>
    <w:tmpl w:val="084CA520"/>
    <w:lvl w:ilvl="0" w:tplc="26A4D2D6">
      <w:start w:val="1"/>
      <w:numFmt w:val="decimal"/>
      <w:lvlText w:val="%1."/>
      <w:lvlJc w:val="left"/>
      <w:pPr>
        <w:ind w:left="720" w:hanging="360"/>
      </w:pPr>
    </w:lvl>
    <w:lvl w:ilvl="1" w:tplc="04090019">
      <w:start w:val="1"/>
      <w:numFmt w:val="lowerLetter"/>
      <w:lvlText w:val="%2."/>
      <w:lvlJc w:val="left"/>
      <w:pPr>
        <w:ind w:left="-880" w:hanging="360"/>
      </w:pPr>
    </w:lvl>
    <w:lvl w:ilvl="2" w:tplc="0409001B">
      <w:start w:val="1"/>
      <w:numFmt w:val="lowerRoman"/>
      <w:lvlText w:val="%3."/>
      <w:lvlJc w:val="right"/>
      <w:pPr>
        <w:ind w:left="-160" w:hanging="180"/>
      </w:pPr>
    </w:lvl>
    <w:lvl w:ilvl="3" w:tplc="0409000F">
      <w:start w:val="1"/>
      <w:numFmt w:val="decimal"/>
      <w:lvlText w:val="%4."/>
      <w:lvlJc w:val="left"/>
      <w:pPr>
        <w:ind w:left="560" w:hanging="360"/>
      </w:pPr>
    </w:lvl>
    <w:lvl w:ilvl="4" w:tplc="04090019">
      <w:start w:val="1"/>
      <w:numFmt w:val="lowerLetter"/>
      <w:lvlText w:val="%5."/>
      <w:lvlJc w:val="left"/>
      <w:pPr>
        <w:ind w:left="1280" w:hanging="360"/>
      </w:pPr>
    </w:lvl>
    <w:lvl w:ilvl="5" w:tplc="0409001B">
      <w:start w:val="1"/>
      <w:numFmt w:val="lowerRoman"/>
      <w:lvlText w:val="%6."/>
      <w:lvlJc w:val="right"/>
      <w:pPr>
        <w:ind w:left="2000" w:hanging="180"/>
      </w:pPr>
    </w:lvl>
    <w:lvl w:ilvl="6" w:tplc="0409000F" w:tentative="1">
      <w:start w:val="1"/>
      <w:numFmt w:val="decimal"/>
      <w:lvlText w:val="%7."/>
      <w:lvlJc w:val="left"/>
      <w:pPr>
        <w:ind w:left="2720" w:hanging="360"/>
      </w:pPr>
    </w:lvl>
    <w:lvl w:ilvl="7" w:tplc="04090019" w:tentative="1">
      <w:start w:val="1"/>
      <w:numFmt w:val="lowerLetter"/>
      <w:lvlText w:val="%8."/>
      <w:lvlJc w:val="left"/>
      <w:pPr>
        <w:ind w:left="3440" w:hanging="360"/>
      </w:pPr>
    </w:lvl>
    <w:lvl w:ilvl="8" w:tplc="0409001B" w:tentative="1">
      <w:start w:val="1"/>
      <w:numFmt w:val="lowerRoman"/>
      <w:lvlText w:val="%9."/>
      <w:lvlJc w:val="right"/>
      <w:pPr>
        <w:ind w:left="4160" w:hanging="180"/>
      </w:pPr>
    </w:lvl>
  </w:abstractNum>
  <w:abstractNum w:abstractNumId="17">
    <w:nsid w:val="113B381E"/>
    <w:multiLevelType w:val="singleLevel"/>
    <w:tmpl w:val="2FB6A734"/>
    <w:lvl w:ilvl="0">
      <w:start w:val="1"/>
      <w:numFmt w:val="decimal"/>
      <w:lvlText w:val="%1."/>
      <w:legacy w:legacy="1" w:legacySpace="144" w:legacyIndent="0"/>
      <w:lvlJc w:val="left"/>
    </w:lvl>
  </w:abstractNum>
  <w:abstractNum w:abstractNumId="18">
    <w:nsid w:val="147634B6"/>
    <w:multiLevelType w:val="hybridMultilevel"/>
    <w:tmpl w:val="B336BB0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693425B"/>
    <w:multiLevelType w:val="hybridMultilevel"/>
    <w:tmpl w:val="9C60B5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CC2C16"/>
    <w:multiLevelType w:val="hybridMultilevel"/>
    <w:tmpl w:val="868E8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BC517DD"/>
    <w:multiLevelType w:val="hybridMultilevel"/>
    <w:tmpl w:val="401CBD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1D0177EC"/>
    <w:multiLevelType w:val="hybridMultilevel"/>
    <w:tmpl w:val="E834D8B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1F03667C"/>
    <w:multiLevelType w:val="hybridMultilevel"/>
    <w:tmpl w:val="084CA520"/>
    <w:lvl w:ilvl="0" w:tplc="26A4D2D6">
      <w:start w:val="1"/>
      <w:numFmt w:val="decimal"/>
      <w:lvlText w:val="%1."/>
      <w:lvlJc w:val="left"/>
      <w:pPr>
        <w:ind w:left="720" w:hanging="360"/>
      </w:pPr>
    </w:lvl>
    <w:lvl w:ilvl="1" w:tplc="04090019">
      <w:start w:val="1"/>
      <w:numFmt w:val="lowerLetter"/>
      <w:lvlText w:val="%2."/>
      <w:lvlJc w:val="left"/>
      <w:pPr>
        <w:ind w:left="-880" w:hanging="360"/>
      </w:pPr>
    </w:lvl>
    <w:lvl w:ilvl="2" w:tplc="0409001B" w:tentative="1">
      <w:start w:val="1"/>
      <w:numFmt w:val="lowerRoman"/>
      <w:lvlText w:val="%3."/>
      <w:lvlJc w:val="right"/>
      <w:pPr>
        <w:ind w:left="-160" w:hanging="180"/>
      </w:pPr>
    </w:lvl>
    <w:lvl w:ilvl="3" w:tplc="0409000F">
      <w:start w:val="1"/>
      <w:numFmt w:val="decimal"/>
      <w:lvlText w:val="%4."/>
      <w:lvlJc w:val="left"/>
      <w:pPr>
        <w:ind w:left="560" w:hanging="360"/>
      </w:pPr>
    </w:lvl>
    <w:lvl w:ilvl="4" w:tplc="04090019" w:tentative="1">
      <w:start w:val="1"/>
      <w:numFmt w:val="lowerLetter"/>
      <w:lvlText w:val="%5."/>
      <w:lvlJc w:val="left"/>
      <w:pPr>
        <w:ind w:left="1280" w:hanging="360"/>
      </w:pPr>
    </w:lvl>
    <w:lvl w:ilvl="5" w:tplc="0409001B">
      <w:start w:val="1"/>
      <w:numFmt w:val="lowerRoman"/>
      <w:lvlText w:val="%6."/>
      <w:lvlJc w:val="right"/>
      <w:pPr>
        <w:ind w:left="2000" w:hanging="180"/>
      </w:pPr>
    </w:lvl>
    <w:lvl w:ilvl="6" w:tplc="0409000F" w:tentative="1">
      <w:start w:val="1"/>
      <w:numFmt w:val="decimal"/>
      <w:lvlText w:val="%7."/>
      <w:lvlJc w:val="left"/>
      <w:pPr>
        <w:ind w:left="2720" w:hanging="360"/>
      </w:pPr>
    </w:lvl>
    <w:lvl w:ilvl="7" w:tplc="04090019" w:tentative="1">
      <w:start w:val="1"/>
      <w:numFmt w:val="lowerLetter"/>
      <w:lvlText w:val="%8."/>
      <w:lvlJc w:val="left"/>
      <w:pPr>
        <w:ind w:left="3440" w:hanging="360"/>
      </w:pPr>
    </w:lvl>
    <w:lvl w:ilvl="8" w:tplc="0409001B" w:tentative="1">
      <w:start w:val="1"/>
      <w:numFmt w:val="lowerRoman"/>
      <w:lvlText w:val="%9."/>
      <w:lvlJc w:val="right"/>
      <w:pPr>
        <w:ind w:left="4160" w:hanging="180"/>
      </w:pPr>
    </w:lvl>
  </w:abstractNum>
  <w:abstractNum w:abstractNumId="24">
    <w:nsid w:val="22A677A0"/>
    <w:multiLevelType w:val="hybridMultilevel"/>
    <w:tmpl w:val="9C60B5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38B4504"/>
    <w:multiLevelType w:val="hybridMultilevel"/>
    <w:tmpl w:val="BD1EE21A"/>
    <w:lvl w:ilvl="0" w:tplc="5218F936">
      <w:start w:val="1"/>
      <w:numFmt w:val="bullet"/>
      <w:lvlText w:val=""/>
      <w:lvlJc w:val="left"/>
      <w:pPr>
        <w:ind w:left="2160" w:hanging="360"/>
      </w:pPr>
      <w:rPr>
        <w:rFonts w:ascii="Symbol" w:hAnsi="Symbol" w:hint="default"/>
        <w:sz w:val="20"/>
      </w:rPr>
    </w:lvl>
    <w:lvl w:ilvl="1" w:tplc="5218F936">
      <w:start w:val="1"/>
      <w:numFmt w:val="bullet"/>
      <w:lvlText w:val=""/>
      <w:lvlJc w:val="left"/>
      <w:pPr>
        <w:ind w:left="2160" w:hanging="360"/>
      </w:pPr>
      <w:rPr>
        <w:rFonts w:ascii="Symbol" w:hAnsi="Symbol"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25A618B9"/>
    <w:multiLevelType w:val="hybridMultilevel"/>
    <w:tmpl w:val="6550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F71774"/>
    <w:multiLevelType w:val="hybridMultilevel"/>
    <w:tmpl w:val="084CA520"/>
    <w:lvl w:ilvl="0" w:tplc="26A4D2D6">
      <w:start w:val="1"/>
      <w:numFmt w:val="decimal"/>
      <w:lvlText w:val="%1."/>
      <w:lvlJc w:val="left"/>
      <w:pPr>
        <w:ind w:left="360" w:hanging="360"/>
      </w:pPr>
    </w:lvl>
    <w:lvl w:ilvl="1" w:tplc="04090019">
      <w:start w:val="1"/>
      <w:numFmt w:val="lowerLetter"/>
      <w:lvlText w:val="%2."/>
      <w:lvlJc w:val="left"/>
      <w:pPr>
        <w:ind w:left="-1240" w:hanging="360"/>
      </w:pPr>
    </w:lvl>
    <w:lvl w:ilvl="2" w:tplc="0409001B" w:tentative="1">
      <w:start w:val="1"/>
      <w:numFmt w:val="lowerRoman"/>
      <w:lvlText w:val="%3."/>
      <w:lvlJc w:val="right"/>
      <w:pPr>
        <w:ind w:left="-520" w:hanging="180"/>
      </w:pPr>
    </w:lvl>
    <w:lvl w:ilvl="3" w:tplc="0409000F">
      <w:start w:val="1"/>
      <w:numFmt w:val="decimal"/>
      <w:lvlText w:val="%4."/>
      <w:lvlJc w:val="left"/>
      <w:pPr>
        <w:ind w:left="200" w:hanging="360"/>
      </w:pPr>
    </w:lvl>
    <w:lvl w:ilvl="4" w:tplc="04090019" w:tentative="1">
      <w:start w:val="1"/>
      <w:numFmt w:val="lowerLetter"/>
      <w:lvlText w:val="%5."/>
      <w:lvlJc w:val="left"/>
      <w:pPr>
        <w:ind w:left="920" w:hanging="360"/>
      </w:pPr>
    </w:lvl>
    <w:lvl w:ilvl="5" w:tplc="0409001B">
      <w:start w:val="1"/>
      <w:numFmt w:val="lowerRoman"/>
      <w:lvlText w:val="%6."/>
      <w:lvlJc w:val="right"/>
      <w:pPr>
        <w:ind w:left="1640" w:hanging="180"/>
      </w:pPr>
    </w:lvl>
    <w:lvl w:ilvl="6" w:tplc="0409000F" w:tentative="1">
      <w:start w:val="1"/>
      <w:numFmt w:val="decimal"/>
      <w:lvlText w:val="%7."/>
      <w:lvlJc w:val="left"/>
      <w:pPr>
        <w:ind w:left="2360" w:hanging="360"/>
      </w:pPr>
    </w:lvl>
    <w:lvl w:ilvl="7" w:tplc="04090019" w:tentative="1">
      <w:start w:val="1"/>
      <w:numFmt w:val="lowerLetter"/>
      <w:lvlText w:val="%8."/>
      <w:lvlJc w:val="left"/>
      <w:pPr>
        <w:ind w:left="3080" w:hanging="360"/>
      </w:pPr>
    </w:lvl>
    <w:lvl w:ilvl="8" w:tplc="0409001B" w:tentative="1">
      <w:start w:val="1"/>
      <w:numFmt w:val="lowerRoman"/>
      <w:lvlText w:val="%9."/>
      <w:lvlJc w:val="right"/>
      <w:pPr>
        <w:ind w:left="3800" w:hanging="180"/>
      </w:pPr>
    </w:lvl>
  </w:abstractNum>
  <w:abstractNum w:abstractNumId="28">
    <w:nsid w:val="29FE391D"/>
    <w:multiLevelType w:val="hybridMultilevel"/>
    <w:tmpl w:val="868E8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2DD46003"/>
    <w:multiLevelType w:val="singleLevel"/>
    <w:tmpl w:val="408002C8"/>
    <w:lvl w:ilvl="0">
      <w:start w:val="1"/>
      <w:numFmt w:val="decimal"/>
      <w:lvlText w:val="%1."/>
      <w:legacy w:legacy="1" w:legacySpace="144" w:legacyIndent="0"/>
      <w:lvlJc w:val="left"/>
    </w:lvl>
  </w:abstractNum>
  <w:abstractNum w:abstractNumId="30">
    <w:nsid w:val="2E040565"/>
    <w:multiLevelType w:val="hybridMultilevel"/>
    <w:tmpl w:val="40266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E1F29F2"/>
    <w:multiLevelType w:val="hybridMultilevel"/>
    <w:tmpl w:val="084CA520"/>
    <w:lvl w:ilvl="0" w:tplc="26A4D2D6">
      <w:start w:val="1"/>
      <w:numFmt w:val="decimal"/>
      <w:lvlText w:val="%1."/>
      <w:lvlJc w:val="left"/>
      <w:pPr>
        <w:ind w:left="720" w:hanging="360"/>
      </w:pPr>
    </w:lvl>
    <w:lvl w:ilvl="1" w:tplc="04090019">
      <w:start w:val="1"/>
      <w:numFmt w:val="lowerLetter"/>
      <w:lvlText w:val="%2."/>
      <w:lvlJc w:val="left"/>
      <w:pPr>
        <w:ind w:left="-880" w:hanging="360"/>
      </w:pPr>
    </w:lvl>
    <w:lvl w:ilvl="2" w:tplc="0409001B" w:tentative="1">
      <w:start w:val="1"/>
      <w:numFmt w:val="lowerRoman"/>
      <w:lvlText w:val="%3."/>
      <w:lvlJc w:val="right"/>
      <w:pPr>
        <w:ind w:left="-160" w:hanging="180"/>
      </w:pPr>
    </w:lvl>
    <w:lvl w:ilvl="3" w:tplc="0409000F">
      <w:start w:val="1"/>
      <w:numFmt w:val="decimal"/>
      <w:lvlText w:val="%4."/>
      <w:lvlJc w:val="left"/>
      <w:pPr>
        <w:ind w:left="560" w:hanging="360"/>
      </w:pPr>
    </w:lvl>
    <w:lvl w:ilvl="4" w:tplc="04090019" w:tentative="1">
      <w:start w:val="1"/>
      <w:numFmt w:val="lowerLetter"/>
      <w:lvlText w:val="%5."/>
      <w:lvlJc w:val="left"/>
      <w:pPr>
        <w:ind w:left="1280" w:hanging="360"/>
      </w:pPr>
    </w:lvl>
    <w:lvl w:ilvl="5" w:tplc="0409001B">
      <w:start w:val="1"/>
      <w:numFmt w:val="lowerRoman"/>
      <w:lvlText w:val="%6."/>
      <w:lvlJc w:val="right"/>
      <w:pPr>
        <w:ind w:left="2000" w:hanging="180"/>
      </w:pPr>
    </w:lvl>
    <w:lvl w:ilvl="6" w:tplc="0409000F" w:tentative="1">
      <w:start w:val="1"/>
      <w:numFmt w:val="decimal"/>
      <w:lvlText w:val="%7."/>
      <w:lvlJc w:val="left"/>
      <w:pPr>
        <w:ind w:left="2720" w:hanging="360"/>
      </w:pPr>
    </w:lvl>
    <w:lvl w:ilvl="7" w:tplc="04090019" w:tentative="1">
      <w:start w:val="1"/>
      <w:numFmt w:val="lowerLetter"/>
      <w:lvlText w:val="%8."/>
      <w:lvlJc w:val="left"/>
      <w:pPr>
        <w:ind w:left="3440" w:hanging="360"/>
      </w:pPr>
    </w:lvl>
    <w:lvl w:ilvl="8" w:tplc="0409001B" w:tentative="1">
      <w:start w:val="1"/>
      <w:numFmt w:val="lowerRoman"/>
      <w:lvlText w:val="%9."/>
      <w:lvlJc w:val="right"/>
      <w:pPr>
        <w:ind w:left="4160" w:hanging="180"/>
      </w:pPr>
    </w:lvl>
  </w:abstractNum>
  <w:abstractNum w:abstractNumId="32">
    <w:nsid w:val="305F7BBC"/>
    <w:multiLevelType w:val="hybridMultilevel"/>
    <w:tmpl w:val="38E622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19">
      <w:start w:val="1"/>
      <w:numFmt w:val="lowerLetter"/>
      <w:lvlText w:val="%7."/>
      <w:lvlJc w:val="left"/>
      <w:pPr>
        <w:ind w:left="5400" w:hanging="360"/>
      </w:pPr>
      <w:rPr>
        <w:rFonts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31815005"/>
    <w:multiLevelType w:val="hybridMultilevel"/>
    <w:tmpl w:val="084CA520"/>
    <w:lvl w:ilvl="0" w:tplc="26A4D2D6">
      <w:start w:val="1"/>
      <w:numFmt w:val="decimal"/>
      <w:lvlText w:val="%1."/>
      <w:lvlJc w:val="left"/>
      <w:pPr>
        <w:ind w:left="720" w:hanging="360"/>
      </w:pPr>
    </w:lvl>
    <w:lvl w:ilvl="1" w:tplc="04090019">
      <w:start w:val="1"/>
      <w:numFmt w:val="lowerLetter"/>
      <w:lvlText w:val="%2."/>
      <w:lvlJc w:val="left"/>
      <w:pPr>
        <w:ind w:left="-880" w:hanging="360"/>
      </w:pPr>
    </w:lvl>
    <w:lvl w:ilvl="2" w:tplc="0409001B">
      <w:start w:val="1"/>
      <w:numFmt w:val="lowerRoman"/>
      <w:lvlText w:val="%3."/>
      <w:lvlJc w:val="right"/>
      <w:pPr>
        <w:ind w:left="-160" w:hanging="180"/>
      </w:pPr>
    </w:lvl>
    <w:lvl w:ilvl="3" w:tplc="0409000F">
      <w:start w:val="1"/>
      <w:numFmt w:val="decimal"/>
      <w:lvlText w:val="%4."/>
      <w:lvlJc w:val="left"/>
      <w:pPr>
        <w:ind w:left="560" w:hanging="360"/>
      </w:pPr>
    </w:lvl>
    <w:lvl w:ilvl="4" w:tplc="04090019">
      <w:start w:val="1"/>
      <w:numFmt w:val="lowerLetter"/>
      <w:lvlText w:val="%5."/>
      <w:lvlJc w:val="left"/>
      <w:pPr>
        <w:ind w:left="1280" w:hanging="360"/>
      </w:pPr>
    </w:lvl>
    <w:lvl w:ilvl="5" w:tplc="0409001B">
      <w:start w:val="1"/>
      <w:numFmt w:val="lowerRoman"/>
      <w:lvlText w:val="%6."/>
      <w:lvlJc w:val="right"/>
      <w:pPr>
        <w:ind w:left="2000" w:hanging="180"/>
      </w:pPr>
    </w:lvl>
    <w:lvl w:ilvl="6" w:tplc="0409000F" w:tentative="1">
      <w:start w:val="1"/>
      <w:numFmt w:val="decimal"/>
      <w:lvlText w:val="%7."/>
      <w:lvlJc w:val="left"/>
      <w:pPr>
        <w:ind w:left="2720" w:hanging="360"/>
      </w:pPr>
    </w:lvl>
    <w:lvl w:ilvl="7" w:tplc="04090019" w:tentative="1">
      <w:start w:val="1"/>
      <w:numFmt w:val="lowerLetter"/>
      <w:lvlText w:val="%8."/>
      <w:lvlJc w:val="left"/>
      <w:pPr>
        <w:ind w:left="3440" w:hanging="360"/>
      </w:pPr>
    </w:lvl>
    <w:lvl w:ilvl="8" w:tplc="0409001B" w:tentative="1">
      <w:start w:val="1"/>
      <w:numFmt w:val="lowerRoman"/>
      <w:lvlText w:val="%9."/>
      <w:lvlJc w:val="right"/>
      <w:pPr>
        <w:ind w:left="4160" w:hanging="180"/>
      </w:pPr>
    </w:lvl>
  </w:abstractNum>
  <w:abstractNum w:abstractNumId="34">
    <w:nsid w:val="324A03FD"/>
    <w:multiLevelType w:val="hybridMultilevel"/>
    <w:tmpl w:val="868E8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34FC5477"/>
    <w:multiLevelType w:val="multilevel"/>
    <w:tmpl w:val="6488418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7">
    <w:nsid w:val="362155E0"/>
    <w:multiLevelType w:val="hybridMultilevel"/>
    <w:tmpl w:val="79648EB8"/>
    <w:lvl w:ilvl="0" w:tplc="04090019">
      <w:start w:val="1"/>
      <w:numFmt w:val="lowerLetter"/>
      <w:lvlText w:val="%1."/>
      <w:lvlJc w:val="left"/>
      <w:pPr>
        <w:ind w:left="1080" w:hanging="360"/>
      </w:pPr>
    </w:lvl>
    <w:lvl w:ilvl="1" w:tplc="0409001B">
      <w:start w:val="1"/>
      <w:numFmt w:val="lowerRoman"/>
      <w:lvlText w:val="%2."/>
      <w:lvlJc w:val="righ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3650650F"/>
    <w:multiLevelType w:val="hybridMultilevel"/>
    <w:tmpl w:val="6E2ABBA8"/>
    <w:lvl w:ilvl="0" w:tplc="30882EF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37F31E1A"/>
    <w:multiLevelType w:val="hybridMultilevel"/>
    <w:tmpl w:val="084CA520"/>
    <w:lvl w:ilvl="0" w:tplc="26A4D2D6">
      <w:start w:val="1"/>
      <w:numFmt w:val="decimal"/>
      <w:lvlText w:val="%1."/>
      <w:lvlJc w:val="left"/>
      <w:pPr>
        <w:ind w:left="720" w:hanging="360"/>
      </w:pPr>
    </w:lvl>
    <w:lvl w:ilvl="1" w:tplc="04090019">
      <w:start w:val="1"/>
      <w:numFmt w:val="lowerLetter"/>
      <w:lvlText w:val="%2."/>
      <w:lvlJc w:val="left"/>
      <w:pPr>
        <w:ind w:left="-880" w:hanging="360"/>
      </w:pPr>
    </w:lvl>
    <w:lvl w:ilvl="2" w:tplc="0409001B">
      <w:start w:val="1"/>
      <w:numFmt w:val="lowerRoman"/>
      <w:lvlText w:val="%3."/>
      <w:lvlJc w:val="right"/>
      <w:pPr>
        <w:ind w:left="-160" w:hanging="180"/>
      </w:pPr>
    </w:lvl>
    <w:lvl w:ilvl="3" w:tplc="0409000F">
      <w:start w:val="1"/>
      <w:numFmt w:val="decimal"/>
      <w:lvlText w:val="%4."/>
      <w:lvlJc w:val="left"/>
      <w:pPr>
        <w:ind w:left="560" w:hanging="360"/>
      </w:pPr>
    </w:lvl>
    <w:lvl w:ilvl="4" w:tplc="04090019">
      <w:start w:val="1"/>
      <w:numFmt w:val="lowerLetter"/>
      <w:lvlText w:val="%5."/>
      <w:lvlJc w:val="left"/>
      <w:pPr>
        <w:ind w:left="1280" w:hanging="360"/>
      </w:pPr>
    </w:lvl>
    <w:lvl w:ilvl="5" w:tplc="0409001B">
      <w:start w:val="1"/>
      <w:numFmt w:val="lowerRoman"/>
      <w:lvlText w:val="%6."/>
      <w:lvlJc w:val="right"/>
      <w:pPr>
        <w:ind w:left="2000" w:hanging="180"/>
      </w:pPr>
    </w:lvl>
    <w:lvl w:ilvl="6" w:tplc="0409000F" w:tentative="1">
      <w:start w:val="1"/>
      <w:numFmt w:val="decimal"/>
      <w:lvlText w:val="%7."/>
      <w:lvlJc w:val="left"/>
      <w:pPr>
        <w:ind w:left="2720" w:hanging="360"/>
      </w:pPr>
    </w:lvl>
    <w:lvl w:ilvl="7" w:tplc="04090019" w:tentative="1">
      <w:start w:val="1"/>
      <w:numFmt w:val="lowerLetter"/>
      <w:lvlText w:val="%8."/>
      <w:lvlJc w:val="left"/>
      <w:pPr>
        <w:ind w:left="3440" w:hanging="360"/>
      </w:pPr>
    </w:lvl>
    <w:lvl w:ilvl="8" w:tplc="0409001B" w:tentative="1">
      <w:start w:val="1"/>
      <w:numFmt w:val="lowerRoman"/>
      <w:lvlText w:val="%9."/>
      <w:lvlJc w:val="right"/>
      <w:pPr>
        <w:ind w:left="4160" w:hanging="180"/>
      </w:pPr>
    </w:lvl>
  </w:abstractNum>
  <w:abstractNum w:abstractNumId="40">
    <w:nsid w:val="395706C7"/>
    <w:multiLevelType w:val="hybridMultilevel"/>
    <w:tmpl w:val="868E8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A4764E0"/>
    <w:multiLevelType w:val="hybridMultilevel"/>
    <w:tmpl w:val="553E8C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3AC66BD4"/>
    <w:multiLevelType w:val="hybridMultilevel"/>
    <w:tmpl w:val="9C60B5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3DE82BC2"/>
    <w:multiLevelType w:val="hybridMultilevel"/>
    <w:tmpl w:val="E72280CA"/>
    <w:lvl w:ilvl="0" w:tplc="5218F936">
      <w:start w:val="1"/>
      <w:numFmt w:val="bullet"/>
      <w:lvlText w:val=""/>
      <w:lvlJc w:val="left"/>
      <w:pPr>
        <w:ind w:left="1440" w:hanging="360"/>
      </w:pPr>
      <w:rPr>
        <w:rFonts w:ascii="Symbol" w:hAnsi="Symbo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F9C0A6E"/>
    <w:multiLevelType w:val="hybridMultilevel"/>
    <w:tmpl w:val="9C60B5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05677E4"/>
    <w:multiLevelType w:val="hybridMultilevel"/>
    <w:tmpl w:val="9C60B5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5F62204"/>
    <w:multiLevelType w:val="hybridMultilevel"/>
    <w:tmpl w:val="868E8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47472248"/>
    <w:multiLevelType w:val="hybridMultilevel"/>
    <w:tmpl w:val="A95223DE"/>
    <w:lvl w:ilvl="0" w:tplc="04090019">
      <w:start w:val="1"/>
      <w:numFmt w:val="lowerLetter"/>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9">
    <w:nsid w:val="47E30BC8"/>
    <w:multiLevelType w:val="hybridMultilevel"/>
    <w:tmpl w:val="4D844E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F511C8A"/>
    <w:multiLevelType w:val="hybridMultilevel"/>
    <w:tmpl w:val="198EBD2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4FEC4C65"/>
    <w:multiLevelType w:val="hybridMultilevel"/>
    <w:tmpl w:val="E51AC09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50D538C3"/>
    <w:multiLevelType w:val="hybridMultilevel"/>
    <w:tmpl w:val="C016C29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1114734"/>
    <w:multiLevelType w:val="hybridMultilevel"/>
    <w:tmpl w:val="9C60B5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4A5104C"/>
    <w:multiLevelType w:val="hybridMultilevel"/>
    <w:tmpl w:val="4E5C91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4C307FE"/>
    <w:multiLevelType w:val="hybridMultilevel"/>
    <w:tmpl w:val="868E8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55FA1D60"/>
    <w:multiLevelType w:val="hybridMultilevel"/>
    <w:tmpl w:val="2CC04D36"/>
    <w:lvl w:ilvl="0" w:tplc="5218F936">
      <w:start w:val="1"/>
      <w:numFmt w:val="bullet"/>
      <w:lvlText w:val=""/>
      <w:lvlJc w:val="left"/>
      <w:pPr>
        <w:ind w:left="2160" w:hanging="360"/>
      </w:pPr>
      <w:rPr>
        <w:rFonts w:ascii="Symbol" w:hAnsi="Symbol" w:hint="default"/>
        <w:sz w:val="20"/>
      </w:rPr>
    </w:lvl>
    <w:lvl w:ilvl="1" w:tplc="04090019">
      <w:start w:val="1"/>
      <w:numFmt w:val="lowerLetter"/>
      <w:lvlText w:val="%2."/>
      <w:lvlJc w:val="left"/>
      <w:pPr>
        <w:ind w:left="2160" w:hanging="360"/>
      </w:pPr>
      <w:rPr>
        <w:rFonts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564B3F3E"/>
    <w:multiLevelType w:val="hybridMultilevel"/>
    <w:tmpl w:val="868E8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56A23ECA"/>
    <w:multiLevelType w:val="hybridMultilevel"/>
    <w:tmpl w:val="332C7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7A52018"/>
    <w:multiLevelType w:val="hybridMultilevel"/>
    <w:tmpl w:val="DD106B5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57B21C6A"/>
    <w:multiLevelType w:val="hybridMultilevel"/>
    <w:tmpl w:val="7DEADE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8CB3101"/>
    <w:multiLevelType w:val="multilevel"/>
    <w:tmpl w:val="AD6CAF82"/>
    <w:lvl w:ilvl="0">
      <w:start w:val="1"/>
      <w:numFmt w:val="decimal"/>
      <w:pStyle w:val="Heading1"/>
      <w:lvlText w:val="%1."/>
      <w:lvlJc w:val="left"/>
      <w:pPr>
        <w:tabs>
          <w:tab w:val="num" w:pos="720"/>
        </w:tabs>
        <w:ind w:left="720" w:hanging="720"/>
      </w:pPr>
      <w:rPr>
        <w:rFonts w:hint="default"/>
        <w:b/>
      </w:rPr>
    </w:lvl>
    <w:lvl w:ilvl="1">
      <w:start w:val="1"/>
      <w:numFmt w:val="decimal"/>
      <w:pStyle w:val="Heading2"/>
      <w:lvlText w:val="%1.%2."/>
      <w:lvlJc w:val="left"/>
      <w:pPr>
        <w:tabs>
          <w:tab w:val="num" w:pos="1710"/>
        </w:tabs>
        <w:ind w:left="1710" w:hanging="720"/>
      </w:pPr>
      <w:rPr>
        <w:rFonts w:hint="default"/>
      </w:rPr>
    </w:lvl>
    <w:lvl w:ilvl="2">
      <w:start w:val="1"/>
      <w:numFmt w:val="decimal"/>
      <w:pStyle w:val="Heading3"/>
      <w:lvlText w:val="%1.%2.%3."/>
      <w:lvlJc w:val="left"/>
      <w:pPr>
        <w:tabs>
          <w:tab w:val="num" w:pos="2610"/>
        </w:tabs>
        <w:ind w:left="261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900"/>
        </w:tabs>
        <w:ind w:left="3780" w:hanging="720"/>
      </w:pPr>
      <w:rPr>
        <w:rFonts w:hint="default"/>
      </w:rPr>
    </w:lvl>
    <w:lvl w:ilvl="4">
      <w:numFmt w:val="none"/>
      <w:pStyle w:val="Heading5"/>
      <w:lvlText w:val=""/>
      <w:lvlJc w:val="left"/>
      <w:pPr>
        <w:tabs>
          <w:tab w:val="num" w:pos="360"/>
        </w:tabs>
      </w:pPr>
    </w:lvl>
    <w:lvl w:ilvl="5">
      <w:numFmt w:val="none"/>
      <w:pStyle w:val="Heading6"/>
      <w:lvlText w:val=""/>
      <w:lvlJc w:val="left"/>
      <w:pPr>
        <w:tabs>
          <w:tab w:val="num" w:pos="360"/>
        </w:tabs>
      </w:pPr>
    </w:lvl>
    <w:lvl w:ilvl="6">
      <w:numFmt w:val="none"/>
      <w:pStyle w:val="Heading7"/>
      <w:lvlText w:val=""/>
      <w:lvlJc w:val="left"/>
      <w:pPr>
        <w:tabs>
          <w:tab w:val="num" w:pos="360"/>
        </w:tabs>
      </w:pPr>
    </w:lvl>
    <w:lvl w:ilvl="7">
      <w:numFmt w:val="none"/>
      <w:pStyle w:val="Heading8"/>
      <w:lvlText w:val=""/>
      <w:lvlJc w:val="left"/>
      <w:pPr>
        <w:tabs>
          <w:tab w:val="num" w:pos="360"/>
        </w:tabs>
      </w:pPr>
    </w:lvl>
    <w:lvl w:ilvl="8">
      <w:numFmt w:val="none"/>
      <w:pStyle w:val="Heading9"/>
      <w:lvlText w:val=""/>
      <w:lvlJc w:val="left"/>
      <w:pPr>
        <w:tabs>
          <w:tab w:val="num" w:pos="360"/>
        </w:tabs>
      </w:pPr>
    </w:lvl>
  </w:abstractNum>
  <w:abstractNum w:abstractNumId="62">
    <w:nsid w:val="596E0F2F"/>
    <w:multiLevelType w:val="hybridMultilevel"/>
    <w:tmpl w:val="83F82A08"/>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5A345090"/>
    <w:multiLevelType w:val="hybridMultilevel"/>
    <w:tmpl w:val="DDBE8214"/>
    <w:lvl w:ilvl="0" w:tplc="04090019">
      <w:start w:val="1"/>
      <w:numFmt w:val="low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4">
    <w:nsid w:val="5E357098"/>
    <w:multiLevelType w:val="hybridMultilevel"/>
    <w:tmpl w:val="97BA2E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5F5330DE"/>
    <w:multiLevelType w:val="hybridMultilevel"/>
    <w:tmpl w:val="C51AE8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6">
    <w:nsid w:val="631D19B9"/>
    <w:multiLevelType w:val="hybridMultilevel"/>
    <w:tmpl w:val="9C60B5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4997D28"/>
    <w:multiLevelType w:val="hybridMultilevel"/>
    <w:tmpl w:val="761EEDE4"/>
    <w:lvl w:ilvl="0" w:tplc="4DE854DA">
      <w:start w:val="1"/>
      <w:numFmt w:val="bullet"/>
      <w:lvlText w:val="□"/>
      <w:lvlJc w:val="left"/>
      <w:pPr>
        <w:ind w:left="720" w:hanging="360"/>
      </w:pPr>
      <w:rPr>
        <w:rFonts w:ascii="Courier New" w:hAnsi="Courier New"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52E71F4"/>
    <w:multiLevelType w:val="hybridMultilevel"/>
    <w:tmpl w:val="D9D44C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19">
      <w:start w:val="1"/>
      <w:numFmt w:val="lowerLetter"/>
      <w:lvlText w:val="%7."/>
      <w:lvlJc w:val="left"/>
      <w:pPr>
        <w:ind w:left="5400" w:hanging="360"/>
      </w:pPr>
      <w:rPr>
        <w:rFonts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nsid w:val="66232833"/>
    <w:multiLevelType w:val="hybridMultilevel"/>
    <w:tmpl w:val="9C60B5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67558E3"/>
    <w:multiLevelType w:val="multilevel"/>
    <w:tmpl w:val="75829A5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1"/>
      <w:numFmt w:val="bullet"/>
      <w:lvlText w:val=""/>
      <w:lvlJc w:val="left"/>
      <w:pPr>
        <w:tabs>
          <w:tab w:val="num" w:pos="0"/>
        </w:tabs>
        <w:ind w:left="2160" w:hanging="360"/>
      </w:pPr>
      <w:rPr>
        <w:rFonts w:ascii="Symbol" w:hAnsi="Symbol"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71">
    <w:nsid w:val="66E35208"/>
    <w:multiLevelType w:val="hybridMultilevel"/>
    <w:tmpl w:val="7076E6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nsid w:val="692F6D82"/>
    <w:multiLevelType w:val="hybridMultilevel"/>
    <w:tmpl w:val="D87E0F24"/>
    <w:lvl w:ilvl="0" w:tplc="5218F936">
      <w:start w:val="1"/>
      <w:numFmt w:val="bullet"/>
      <w:lvlText w:val=""/>
      <w:lvlJc w:val="left"/>
      <w:pPr>
        <w:ind w:left="3240" w:hanging="360"/>
      </w:pPr>
      <w:rPr>
        <w:rFonts w:ascii="Symbol" w:hAnsi="Symbol" w:hint="default"/>
        <w:sz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3">
    <w:nsid w:val="6D2044C0"/>
    <w:multiLevelType w:val="hybridMultilevel"/>
    <w:tmpl w:val="553E8C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6E1855CC"/>
    <w:multiLevelType w:val="hybridMultilevel"/>
    <w:tmpl w:val="EDCEB324"/>
    <w:lvl w:ilvl="0" w:tplc="FD02D69E">
      <w:start w:val="1"/>
      <w:numFmt w:val="upperRoman"/>
      <w:lvlText w:val="%1."/>
      <w:lvlJc w:val="left"/>
      <w:pPr>
        <w:ind w:left="1240" w:hanging="720"/>
      </w:pPr>
      <w:rPr>
        <w:rFonts w:hint="default"/>
      </w:rPr>
    </w:lvl>
    <w:lvl w:ilvl="1" w:tplc="A334725A">
      <w:start w:val="1"/>
      <w:numFmt w:val="upperLetter"/>
      <w:lvlText w:val="%2."/>
      <w:lvlJc w:val="left"/>
      <w:pPr>
        <w:ind w:left="1600" w:hanging="360"/>
      </w:pPr>
    </w:lvl>
    <w:lvl w:ilvl="2" w:tplc="0409001B" w:tentative="1">
      <w:start w:val="1"/>
      <w:numFmt w:val="lowerRoman"/>
      <w:lvlText w:val="%3."/>
      <w:lvlJc w:val="right"/>
      <w:pPr>
        <w:ind w:left="2320" w:hanging="180"/>
      </w:pPr>
    </w:lvl>
    <w:lvl w:ilvl="3" w:tplc="0409000F">
      <w:start w:val="1"/>
      <w:numFmt w:val="decimal"/>
      <w:lvlText w:val="%4."/>
      <w:lvlJc w:val="left"/>
      <w:pPr>
        <w:ind w:left="720" w:hanging="360"/>
      </w:pPr>
    </w:lvl>
    <w:lvl w:ilvl="4" w:tplc="04090019">
      <w:start w:val="1"/>
      <w:numFmt w:val="lowerLetter"/>
      <w:lvlText w:val="%5."/>
      <w:lvlJc w:val="left"/>
      <w:pPr>
        <w:ind w:left="1080" w:hanging="360"/>
      </w:pPr>
    </w:lvl>
    <w:lvl w:ilvl="5" w:tplc="0409001B">
      <w:start w:val="1"/>
      <w:numFmt w:val="lowerRoman"/>
      <w:lvlText w:val="%6."/>
      <w:lvlJc w:val="right"/>
      <w:pPr>
        <w:ind w:left="4480" w:hanging="180"/>
      </w:pPr>
    </w:lvl>
    <w:lvl w:ilvl="6" w:tplc="0409000F">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5">
    <w:nsid w:val="6E980E5E"/>
    <w:multiLevelType w:val="hybridMultilevel"/>
    <w:tmpl w:val="C89C8B10"/>
    <w:lvl w:ilvl="0" w:tplc="FD02D69E">
      <w:start w:val="1"/>
      <w:numFmt w:val="upperRoman"/>
      <w:lvlText w:val="%1."/>
      <w:lvlJc w:val="left"/>
      <w:pPr>
        <w:ind w:left="1240" w:hanging="720"/>
      </w:pPr>
      <w:rPr>
        <w:rFonts w:hint="default"/>
      </w:rPr>
    </w:lvl>
    <w:lvl w:ilvl="1" w:tplc="A334725A">
      <w:start w:val="1"/>
      <w:numFmt w:val="upperLetter"/>
      <w:lvlText w:val="%2."/>
      <w:lvlJc w:val="left"/>
      <w:pPr>
        <w:ind w:left="1600" w:hanging="360"/>
      </w:pPr>
    </w:lvl>
    <w:lvl w:ilvl="2" w:tplc="0409001B" w:tentative="1">
      <w:start w:val="1"/>
      <w:numFmt w:val="lowerRoman"/>
      <w:lvlText w:val="%3."/>
      <w:lvlJc w:val="right"/>
      <w:pPr>
        <w:ind w:left="2320" w:hanging="180"/>
      </w:pPr>
    </w:lvl>
    <w:lvl w:ilvl="3" w:tplc="0409000F">
      <w:start w:val="1"/>
      <w:numFmt w:val="decimal"/>
      <w:lvlText w:val="%4."/>
      <w:lvlJc w:val="left"/>
      <w:pPr>
        <w:ind w:left="720" w:hanging="360"/>
      </w:pPr>
    </w:lvl>
    <w:lvl w:ilvl="4" w:tplc="04090019">
      <w:start w:val="1"/>
      <w:numFmt w:val="lowerLetter"/>
      <w:lvlText w:val="%5."/>
      <w:lvlJc w:val="left"/>
      <w:pPr>
        <w:ind w:left="1080" w:hanging="360"/>
      </w:pPr>
    </w:lvl>
    <w:lvl w:ilvl="5" w:tplc="04090001">
      <w:start w:val="1"/>
      <w:numFmt w:val="bullet"/>
      <w:lvlText w:val=""/>
      <w:lvlJc w:val="left"/>
      <w:pPr>
        <w:ind w:left="4480" w:hanging="180"/>
      </w:pPr>
      <w:rPr>
        <w:rFonts w:ascii="Symbol" w:hAnsi="Symbol" w:hint="default"/>
      </w:rPr>
    </w:lvl>
    <w:lvl w:ilvl="6" w:tplc="0409000F">
      <w:start w:val="1"/>
      <w:numFmt w:val="decimal"/>
      <w:lvlText w:val="%7."/>
      <w:lvlJc w:val="left"/>
      <w:pPr>
        <w:ind w:left="5200" w:hanging="360"/>
      </w:pPr>
    </w:lvl>
    <w:lvl w:ilvl="7" w:tplc="04090019" w:tentative="1">
      <w:start w:val="1"/>
      <w:numFmt w:val="lowerLetter"/>
      <w:lvlText w:val="%8."/>
      <w:lvlJc w:val="left"/>
      <w:pPr>
        <w:ind w:left="5920" w:hanging="360"/>
      </w:pPr>
    </w:lvl>
    <w:lvl w:ilvl="8" w:tplc="0409001B" w:tentative="1">
      <w:start w:val="1"/>
      <w:numFmt w:val="lowerRoman"/>
      <w:lvlText w:val="%9."/>
      <w:lvlJc w:val="right"/>
      <w:pPr>
        <w:ind w:left="6640" w:hanging="180"/>
      </w:pPr>
    </w:lvl>
  </w:abstractNum>
  <w:abstractNum w:abstractNumId="76">
    <w:nsid w:val="6EC670F6"/>
    <w:multiLevelType w:val="multilevel"/>
    <w:tmpl w:val="2EFA85AC"/>
    <w:lvl w:ilvl="0">
      <w:start w:val="1"/>
      <w:numFmt w:val="decimal"/>
      <w:lvlText w:val="%1."/>
      <w:lvlJc w:val="left"/>
      <w:pPr>
        <w:tabs>
          <w:tab w:val="num" w:pos="1350"/>
        </w:tabs>
        <w:ind w:left="1350" w:hanging="720"/>
      </w:pPr>
      <w:rPr>
        <w:rFonts w:cs="Times New Roman" w:hint="default"/>
        <w:bCs w:val="0"/>
        <w:i w:val="0"/>
        <w:iCs w:val="0"/>
        <w:caps w:val="0"/>
        <w:smallCaps w:val="0"/>
        <w:strike w:val="0"/>
        <w:dstrike w:val="0"/>
        <w:vanish w:val="0"/>
        <w:color w:val="000000"/>
        <w:spacing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1.%2."/>
      <w:lvlJc w:val="left"/>
      <w:pPr>
        <w:tabs>
          <w:tab w:val="num" w:pos="1710"/>
        </w:tabs>
        <w:ind w:left="171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70"/>
        </w:tabs>
        <w:ind w:left="3150" w:hanging="720"/>
      </w:pPr>
      <w:rPr>
        <w:rFonts w:hint="default"/>
      </w:rPr>
    </w:lvl>
    <w:lvl w:ilvl="4">
      <w:numFmt w:val="none"/>
      <w:lvlText w:val=""/>
      <w:lvlJc w:val="left"/>
      <w:pPr>
        <w:tabs>
          <w:tab w:val="num" w:pos="360"/>
        </w:tabs>
        <w:ind w:left="0" w:firstLine="0"/>
      </w:pPr>
      <w:rPr>
        <w:rFonts w:hint="default"/>
      </w:rPr>
    </w:lvl>
    <w:lvl w:ilvl="5">
      <w:numFmt w:val="none"/>
      <w:lvlText w:val=""/>
      <w:lvlJc w:val="left"/>
      <w:pPr>
        <w:tabs>
          <w:tab w:val="num" w:pos="360"/>
        </w:tabs>
        <w:ind w:left="0" w:firstLine="0"/>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77">
    <w:nsid w:val="6FB305CA"/>
    <w:multiLevelType w:val="hybridMultilevel"/>
    <w:tmpl w:val="AD9CB6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nsid w:val="73461941"/>
    <w:multiLevelType w:val="hybridMultilevel"/>
    <w:tmpl w:val="0150A6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75C00908"/>
    <w:multiLevelType w:val="hybridMultilevel"/>
    <w:tmpl w:val="5AB0A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9C6684E"/>
    <w:multiLevelType w:val="hybridMultilevel"/>
    <w:tmpl w:val="868E88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B1C30FD"/>
    <w:multiLevelType w:val="singleLevel"/>
    <w:tmpl w:val="2FB6A734"/>
    <w:lvl w:ilvl="0">
      <w:start w:val="1"/>
      <w:numFmt w:val="decimal"/>
      <w:lvlText w:val="%1."/>
      <w:legacy w:legacy="1" w:legacySpace="144" w:legacyIndent="0"/>
      <w:lvlJc w:val="left"/>
    </w:lvl>
  </w:abstractNum>
  <w:abstractNum w:abstractNumId="82">
    <w:nsid w:val="7B8E3ECB"/>
    <w:multiLevelType w:val="hybridMultilevel"/>
    <w:tmpl w:val="9C60B53C"/>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19">
      <w:start w:val="1"/>
      <w:numFmt w:val="lowerLetter"/>
      <w:lvlText w:val="%7."/>
      <w:lvlJc w:val="left"/>
      <w:pPr>
        <w:ind w:left="5040" w:hanging="360"/>
      </w:pPr>
      <w:rPr>
        <w:rFonts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D0E535A"/>
    <w:multiLevelType w:val="hybridMultilevel"/>
    <w:tmpl w:val="084CA520"/>
    <w:lvl w:ilvl="0" w:tplc="26A4D2D6">
      <w:start w:val="1"/>
      <w:numFmt w:val="decimal"/>
      <w:lvlText w:val="%1."/>
      <w:lvlJc w:val="left"/>
      <w:pPr>
        <w:ind w:left="720" w:hanging="360"/>
      </w:pPr>
    </w:lvl>
    <w:lvl w:ilvl="1" w:tplc="04090019">
      <w:start w:val="1"/>
      <w:numFmt w:val="lowerLetter"/>
      <w:lvlText w:val="%2."/>
      <w:lvlJc w:val="left"/>
      <w:pPr>
        <w:ind w:left="-880" w:hanging="360"/>
      </w:pPr>
    </w:lvl>
    <w:lvl w:ilvl="2" w:tplc="0409001B" w:tentative="1">
      <w:start w:val="1"/>
      <w:numFmt w:val="lowerRoman"/>
      <w:lvlText w:val="%3."/>
      <w:lvlJc w:val="right"/>
      <w:pPr>
        <w:ind w:left="-160" w:hanging="180"/>
      </w:pPr>
    </w:lvl>
    <w:lvl w:ilvl="3" w:tplc="0409000F">
      <w:start w:val="1"/>
      <w:numFmt w:val="decimal"/>
      <w:lvlText w:val="%4."/>
      <w:lvlJc w:val="left"/>
      <w:pPr>
        <w:ind w:left="560" w:hanging="360"/>
      </w:pPr>
    </w:lvl>
    <w:lvl w:ilvl="4" w:tplc="04090019" w:tentative="1">
      <w:start w:val="1"/>
      <w:numFmt w:val="lowerLetter"/>
      <w:lvlText w:val="%5."/>
      <w:lvlJc w:val="left"/>
      <w:pPr>
        <w:ind w:left="1280" w:hanging="360"/>
      </w:pPr>
    </w:lvl>
    <w:lvl w:ilvl="5" w:tplc="0409001B">
      <w:start w:val="1"/>
      <w:numFmt w:val="lowerRoman"/>
      <w:lvlText w:val="%6."/>
      <w:lvlJc w:val="right"/>
      <w:pPr>
        <w:ind w:left="2000" w:hanging="180"/>
      </w:pPr>
    </w:lvl>
    <w:lvl w:ilvl="6" w:tplc="0409000F" w:tentative="1">
      <w:start w:val="1"/>
      <w:numFmt w:val="decimal"/>
      <w:lvlText w:val="%7."/>
      <w:lvlJc w:val="left"/>
      <w:pPr>
        <w:ind w:left="2720" w:hanging="360"/>
      </w:pPr>
    </w:lvl>
    <w:lvl w:ilvl="7" w:tplc="04090019" w:tentative="1">
      <w:start w:val="1"/>
      <w:numFmt w:val="lowerLetter"/>
      <w:lvlText w:val="%8."/>
      <w:lvlJc w:val="left"/>
      <w:pPr>
        <w:ind w:left="3440" w:hanging="360"/>
      </w:pPr>
    </w:lvl>
    <w:lvl w:ilvl="8" w:tplc="0409001B" w:tentative="1">
      <w:start w:val="1"/>
      <w:numFmt w:val="lowerRoman"/>
      <w:lvlText w:val="%9."/>
      <w:lvlJc w:val="right"/>
      <w:pPr>
        <w:ind w:left="4160" w:hanging="180"/>
      </w:pPr>
    </w:lvl>
  </w:abstractNum>
  <w:abstractNum w:abstractNumId="84">
    <w:nsid w:val="7E746CF4"/>
    <w:multiLevelType w:val="hybridMultilevel"/>
    <w:tmpl w:val="5A30796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1">
      <w:start w:val="1"/>
      <w:numFmt w:val="decimal"/>
      <w:lvlText w:val="%6)"/>
      <w:lvlJc w:val="lef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7EEB467A"/>
    <w:multiLevelType w:val="hybridMultilevel"/>
    <w:tmpl w:val="084CA520"/>
    <w:lvl w:ilvl="0" w:tplc="26A4D2D6">
      <w:start w:val="1"/>
      <w:numFmt w:val="decimal"/>
      <w:lvlText w:val="%1."/>
      <w:lvlJc w:val="left"/>
      <w:pPr>
        <w:ind w:left="720" w:hanging="360"/>
      </w:pPr>
    </w:lvl>
    <w:lvl w:ilvl="1" w:tplc="04090019">
      <w:start w:val="1"/>
      <w:numFmt w:val="lowerLetter"/>
      <w:lvlText w:val="%2."/>
      <w:lvlJc w:val="left"/>
      <w:pPr>
        <w:ind w:left="-880" w:hanging="360"/>
      </w:pPr>
    </w:lvl>
    <w:lvl w:ilvl="2" w:tplc="0409001B">
      <w:start w:val="1"/>
      <w:numFmt w:val="lowerRoman"/>
      <w:lvlText w:val="%3."/>
      <w:lvlJc w:val="right"/>
      <w:pPr>
        <w:ind w:left="-160" w:hanging="180"/>
      </w:pPr>
    </w:lvl>
    <w:lvl w:ilvl="3" w:tplc="0409000F">
      <w:start w:val="1"/>
      <w:numFmt w:val="decimal"/>
      <w:lvlText w:val="%4."/>
      <w:lvlJc w:val="left"/>
      <w:pPr>
        <w:ind w:left="560" w:hanging="360"/>
      </w:pPr>
    </w:lvl>
    <w:lvl w:ilvl="4" w:tplc="04090019">
      <w:start w:val="1"/>
      <w:numFmt w:val="lowerLetter"/>
      <w:lvlText w:val="%5."/>
      <w:lvlJc w:val="left"/>
      <w:pPr>
        <w:ind w:left="1280" w:hanging="360"/>
      </w:pPr>
    </w:lvl>
    <w:lvl w:ilvl="5" w:tplc="0409001B">
      <w:start w:val="1"/>
      <w:numFmt w:val="lowerRoman"/>
      <w:lvlText w:val="%6."/>
      <w:lvlJc w:val="right"/>
      <w:pPr>
        <w:ind w:left="2000" w:hanging="180"/>
      </w:pPr>
    </w:lvl>
    <w:lvl w:ilvl="6" w:tplc="0409000F" w:tentative="1">
      <w:start w:val="1"/>
      <w:numFmt w:val="decimal"/>
      <w:lvlText w:val="%7."/>
      <w:lvlJc w:val="left"/>
      <w:pPr>
        <w:ind w:left="2720" w:hanging="360"/>
      </w:pPr>
    </w:lvl>
    <w:lvl w:ilvl="7" w:tplc="04090019" w:tentative="1">
      <w:start w:val="1"/>
      <w:numFmt w:val="lowerLetter"/>
      <w:lvlText w:val="%8."/>
      <w:lvlJc w:val="left"/>
      <w:pPr>
        <w:ind w:left="3440" w:hanging="360"/>
      </w:pPr>
    </w:lvl>
    <w:lvl w:ilvl="8" w:tplc="0409001B" w:tentative="1">
      <w:start w:val="1"/>
      <w:numFmt w:val="lowerRoman"/>
      <w:lvlText w:val="%9."/>
      <w:lvlJc w:val="right"/>
      <w:pPr>
        <w:ind w:left="4160" w:hanging="180"/>
      </w:pPr>
    </w:lvl>
  </w:abstractNum>
  <w:num w:numId="1">
    <w:abstractNumId w:val="29"/>
  </w:num>
  <w:num w:numId="2">
    <w:abstractNumId w:val="17"/>
  </w:num>
  <w:num w:numId="3">
    <w:abstractNumId w:val="81"/>
  </w:num>
  <w:num w:numId="4">
    <w:abstractNumId w:val="35"/>
  </w:num>
  <w:num w:numId="5">
    <w:abstractNumId w:val="61"/>
  </w:num>
  <w:num w:numId="6">
    <w:abstractNumId w:val="43"/>
  </w:num>
  <w:num w:numId="7">
    <w:abstractNumId w:val="62"/>
  </w:num>
  <w:num w:numId="8">
    <w:abstractNumId w:val="64"/>
  </w:num>
  <w:num w:numId="9">
    <w:abstractNumId w:val="77"/>
  </w:num>
  <w:num w:numId="10">
    <w:abstractNumId w:val="26"/>
  </w:num>
  <w:num w:numId="11">
    <w:abstractNumId w:val="59"/>
  </w:num>
  <w:num w:numId="12">
    <w:abstractNumId w:val="0"/>
  </w:num>
  <w:num w:numId="13">
    <w:abstractNumId w:val="1"/>
  </w:num>
  <w:num w:numId="14">
    <w:abstractNumId w:val="2"/>
  </w:num>
  <w:num w:numId="15">
    <w:abstractNumId w:val="3"/>
  </w:num>
  <w:num w:numId="16">
    <w:abstractNumId w:val="4"/>
  </w:num>
  <w:num w:numId="17">
    <w:abstractNumId w:val="5"/>
  </w:num>
  <w:num w:numId="18">
    <w:abstractNumId w:val="70"/>
  </w:num>
  <w:num w:numId="19">
    <w:abstractNumId w:val="8"/>
  </w:num>
  <w:num w:numId="20">
    <w:abstractNumId w:val="36"/>
  </w:num>
  <w:num w:numId="21">
    <w:abstractNumId w:val="38"/>
  </w:num>
  <w:num w:numId="22">
    <w:abstractNumId w:val="44"/>
  </w:num>
  <w:num w:numId="23">
    <w:abstractNumId w:val="72"/>
  </w:num>
  <w:num w:numId="24">
    <w:abstractNumId w:val="7"/>
  </w:num>
  <w:num w:numId="25">
    <w:abstractNumId w:val="58"/>
  </w:num>
  <w:num w:numId="26">
    <w:abstractNumId w:val="84"/>
  </w:num>
  <w:num w:numId="27">
    <w:abstractNumId w:val="71"/>
  </w:num>
  <w:num w:numId="28">
    <w:abstractNumId w:val="65"/>
  </w:num>
  <w:num w:numId="29">
    <w:abstractNumId w:val="30"/>
  </w:num>
  <w:num w:numId="30">
    <w:abstractNumId w:val="50"/>
  </w:num>
  <w:num w:numId="31">
    <w:abstractNumId w:val="74"/>
  </w:num>
  <w:num w:numId="32">
    <w:abstractNumId w:val="25"/>
  </w:num>
  <w:num w:numId="33">
    <w:abstractNumId w:val="78"/>
  </w:num>
  <w:num w:numId="34">
    <w:abstractNumId w:val="49"/>
  </w:num>
  <w:num w:numId="35">
    <w:abstractNumId w:val="76"/>
  </w:num>
  <w:num w:numId="36">
    <w:abstractNumId w:val="27"/>
  </w:num>
  <w:num w:numId="37">
    <w:abstractNumId w:val="41"/>
  </w:num>
  <w:num w:numId="38">
    <w:abstractNumId w:val="73"/>
  </w:num>
  <w:num w:numId="39">
    <w:abstractNumId w:val="63"/>
  </w:num>
  <w:num w:numId="40">
    <w:abstractNumId w:val="12"/>
  </w:num>
  <w:num w:numId="41">
    <w:abstractNumId w:val="6"/>
  </w:num>
  <w:num w:numId="42">
    <w:abstractNumId w:val="48"/>
  </w:num>
  <w:num w:numId="43">
    <w:abstractNumId w:val="75"/>
  </w:num>
  <w:num w:numId="44">
    <w:abstractNumId w:val="67"/>
  </w:num>
  <w:num w:numId="45">
    <w:abstractNumId w:val="61"/>
  </w:num>
  <w:num w:numId="46">
    <w:abstractNumId w:val="13"/>
  </w:num>
  <w:num w:numId="47">
    <w:abstractNumId w:val="31"/>
  </w:num>
  <w:num w:numId="48">
    <w:abstractNumId w:val="83"/>
  </w:num>
  <w:num w:numId="49">
    <w:abstractNumId w:val="16"/>
  </w:num>
  <w:num w:numId="50">
    <w:abstractNumId w:val="23"/>
  </w:num>
  <w:num w:numId="51">
    <w:abstractNumId w:val="39"/>
  </w:num>
  <w:num w:numId="52">
    <w:abstractNumId w:val="85"/>
  </w:num>
  <w:num w:numId="53">
    <w:abstractNumId w:val="33"/>
  </w:num>
  <w:num w:numId="54">
    <w:abstractNumId w:val="15"/>
  </w:num>
  <w:num w:numId="55">
    <w:abstractNumId w:val="51"/>
  </w:num>
  <w:num w:numId="56">
    <w:abstractNumId w:val="18"/>
  </w:num>
  <w:num w:numId="57">
    <w:abstractNumId w:val="10"/>
  </w:num>
  <w:num w:numId="58">
    <w:abstractNumId w:val="68"/>
  </w:num>
  <w:num w:numId="59">
    <w:abstractNumId w:val="52"/>
  </w:num>
  <w:num w:numId="60">
    <w:abstractNumId w:val="32"/>
  </w:num>
  <w:num w:numId="61">
    <w:abstractNumId w:val="45"/>
  </w:num>
  <w:num w:numId="62">
    <w:abstractNumId w:val="56"/>
  </w:num>
  <w:num w:numId="63">
    <w:abstractNumId w:val="22"/>
  </w:num>
  <w:num w:numId="64">
    <w:abstractNumId w:val="61"/>
  </w:num>
  <w:num w:numId="65">
    <w:abstractNumId w:val="37"/>
  </w:num>
  <w:num w:numId="66">
    <w:abstractNumId w:val="14"/>
  </w:num>
  <w:num w:numId="67">
    <w:abstractNumId w:val="21"/>
  </w:num>
  <w:num w:numId="68">
    <w:abstractNumId w:val="54"/>
  </w:num>
  <w:num w:numId="69">
    <w:abstractNumId w:val="9"/>
  </w:num>
  <w:num w:numId="70">
    <w:abstractNumId w:val="11"/>
  </w:num>
  <w:num w:numId="71">
    <w:abstractNumId w:val="80"/>
  </w:num>
  <w:num w:numId="72">
    <w:abstractNumId w:val="60"/>
  </w:num>
  <w:num w:numId="73">
    <w:abstractNumId w:val="20"/>
  </w:num>
  <w:num w:numId="74">
    <w:abstractNumId w:val="55"/>
  </w:num>
  <w:num w:numId="75">
    <w:abstractNumId w:val="57"/>
  </w:num>
  <w:num w:numId="76">
    <w:abstractNumId w:val="53"/>
  </w:num>
  <w:num w:numId="77">
    <w:abstractNumId w:val="47"/>
  </w:num>
  <w:num w:numId="78">
    <w:abstractNumId w:val="28"/>
  </w:num>
  <w:num w:numId="79">
    <w:abstractNumId w:val="69"/>
  </w:num>
  <w:num w:numId="80">
    <w:abstractNumId w:val="24"/>
  </w:num>
  <w:num w:numId="81">
    <w:abstractNumId w:val="40"/>
  </w:num>
  <w:num w:numId="82">
    <w:abstractNumId w:val="34"/>
  </w:num>
  <w:num w:numId="83">
    <w:abstractNumId w:val="66"/>
  </w:num>
  <w:num w:numId="84">
    <w:abstractNumId w:val="42"/>
  </w:num>
  <w:num w:numId="85">
    <w:abstractNumId w:val="19"/>
  </w:num>
  <w:num w:numId="86">
    <w:abstractNumId w:val="46"/>
  </w:num>
  <w:num w:numId="87">
    <w:abstractNumId w:val="79"/>
  </w:num>
  <w:num w:numId="88">
    <w:abstractNumId w:val="82"/>
  </w:num>
  <w:num w:numId="89">
    <w:abstractNumId w:val="61"/>
  </w:num>
  <w:num w:numId="90">
    <w:abstractNumId w:val="61"/>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33"/>
  </w:hdrShapeDefaults>
  <w:footnotePr>
    <w:numRestart w:val="eachSect"/>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4201"/>
    <w:rsid w:val="00006A35"/>
    <w:rsid w:val="000105E8"/>
    <w:rsid w:val="00011FA1"/>
    <w:rsid w:val="000136BC"/>
    <w:rsid w:val="00016A82"/>
    <w:rsid w:val="00016AD3"/>
    <w:rsid w:val="00021B67"/>
    <w:rsid w:val="00023BFA"/>
    <w:rsid w:val="0002642A"/>
    <w:rsid w:val="00026956"/>
    <w:rsid w:val="00030540"/>
    <w:rsid w:val="00033729"/>
    <w:rsid w:val="00041C4D"/>
    <w:rsid w:val="00042BAF"/>
    <w:rsid w:val="00047938"/>
    <w:rsid w:val="000528C8"/>
    <w:rsid w:val="00054A20"/>
    <w:rsid w:val="00077EAC"/>
    <w:rsid w:val="0008193D"/>
    <w:rsid w:val="0008358F"/>
    <w:rsid w:val="000843C1"/>
    <w:rsid w:val="00087199"/>
    <w:rsid w:val="00090E26"/>
    <w:rsid w:val="00093B83"/>
    <w:rsid w:val="00094724"/>
    <w:rsid w:val="00096BC2"/>
    <w:rsid w:val="00097D3E"/>
    <w:rsid w:val="000A0A91"/>
    <w:rsid w:val="000A0BA5"/>
    <w:rsid w:val="000A0E4B"/>
    <w:rsid w:val="000A16D7"/>
    <w:rsid w:val="000A1BB3"/>
    <w:rsid w:val="000A2629"/>
    <w:rsid w:val="000C24B4"/>
    <w:rsid w:val="000C337B"/>
    <w:rsid w:val="000C4283"/>
    <w:rsid w:val="000C67ED"/>
    <w:rsid w:val="000C7003"/>
    <w:rsid w:val="000D315C"/>
    <w:rsid w:val="000D4FE3"/>
    <w:rsid w:val="000D63DE"/>
    <w:rsid w:val="000E174F"/>
    <w:rsid w:val="000E1BF6"/>
    <w:rsid w:val="000E48F2"/>
    <w:rsid w:val="000E53B7"/>
    <w:rsid w:val="000F1172"/>
    <w:rsid w:val="000F2B8E"/>
    <w:rsid w:val="000F55BF"/>
    <w:rsid w:val="00101B07"/>
    <w:rsid w:val="00102BFB"/>
    <w:rsid w:val="00102E05"/>
    <w:rsid w:val="00106942"/>
    <w:rsid w:val="00107AC4"/>
    <w:rsid w:val="00110314"/>
    <w:rsid w:val="001108FA"/>
    <w:rsid w:val="00111118"/>
    <w:rsid w:val="00112030"/>
    <w:rsid w:val="0011222F"/>
    <w:rsid w:val="00114A26"/>
    <w:rsid w:val="00114BC9"/>
    <w:rsid w:val="00116B60"/>
    <w:rsid w:val="00120462"/>
    <w:rsid w:val="0012114C"/>
    <w:rsid w:val="00123205"/>
    <w:rsid w:val="00127046"/>
    <w:rsid w:val="00130BAA"/>
    <w:rsid w:val="00132EED"/>
    <w:rsid w:val="00133C0C"/>
    <w:rsid w:val="00133C3A"/>
    <w:rsid w:val="00133E6B"/>
    <w:rsid w:val="00137CF7"/>
    <w:rsid w:val="00142D6D"/>
    <w:rsid w:val="00143E35"/>
    <w:rsid w:val="0014516C"/>
    <w:rsid w:val="0014549E"/>
    <w:rsid w:val="001457BA"/>
    <w:rsid w:val="00150EAF"/>
    <w:rsid w:val="00152A32"/>
    <w:rsid w:val="001536C2"/>
    <w:rsid w:val="00153A76"/>
    <w:rsid w:val="00157775"/>
    <w:rsid w:val="00165993"/>
    <w:rsid w:val="00166E0C"/>
    <w:rsid w:val="001676D2"/>
    <w:rsid w:val="0017298B"/>
    <w:rsid w:val="00173541"/>
    <w:rsid w:val="00173F8B"/>
    <w:rsid w:val="001750EB"/>
    <w:rsid w:val="00175637"/>
    <w:rsid w:val="001759B9"/>
    <w:rsid w:val="001769DB"/>
    <w:rsid w:val="00184630"/>
    <w:rsid w:val="00184D0C"/>
    <w:rsid w:val="00190CFF"/>
    <w:rsid w:val="00194866"/>
    <w:rsid w:val="00197695"/>
    <w:rsid w:val="001A529F"/>
    <w:rsid w:val="001B0AA9"/>
    <w:rsid w:val="001B1406"/>
    <w:rsid w:val="001B21FF"/>
    <w:rsid w:val="001B3047"/>
    <w:rsid w:val="001B379F"/>
    <w:rsid w:val="001B63C6"/>
    <w:rsid w:val="001C2EBF"/>
    <w:rsid w:val="001D0A91"/>
    <w:rsid w:val="001D1BB5"/>
    <w:rsid w:val="001D342D"/>
    <w:rsid w:val="001D37B1"/>
    <w:rsid w:val="001D5803"/>
    <w:rsid w:val="001F1B46"/>
    <w:rsid w:val="001F51EF"/>
    <w:rsid w:val="001F75CD"/>
    <w:rsid w:val="00202769"/>
    <w:rsid w:val="00202E22"/>
    <w:rsid w:val="00210F23"/>
    <w:rsid w:val="00211489"/>
    <w:rsid w:val="0021185A"/>
    <w:rsid w:val="00212A1D"/>
    <w:rsid w:val="00222CCB"/>
    <w:rsid w:val="00227DE8"/>
    <w:rsid w:val="00230183"/>
    <w:rsid w:val="002306E6"/>
    <w:rsid w:val="00235B52"/>
    <w:rsid w:val="00242D14"/>
    <w:rsid w:val="002447BC"/>
    <w:rsid w:val="00246B13"/>
    <w:rsid w:val="00253DA2"/>
    <w:rsid w:val="002558F0"/>
    <w:rsid w:val="00257250"/>
    <w:rsid w:val="00260670"/>
    <w:rsid w:val="00263A10"/>
    <w:rsid w:val="00264253"/>
    <w:rsid w:val="00264BEB"/>
    <w:rsid w:val="00266039"/>
    <w:rsid w:val="00267BC0"/>
    <w:rsid w:val="00270BF7"/>
    <w:rsid w:val="00271E30"/>
    <w:rsid w:val="00274888"/>
    <w:rsid w:val="002752C2"/>
    <w:rsid w:val="002766C4"/>
    <w:rsid w:val="002776AA"/>
    <w:rsid w:val="0028285E"/>
    <w:rsid w:val="00287F56"/>
    <w:rsid w:val="00294B4A"/>
    <w:rsid w:val="002955A8"/>
    <w:rsid w:val="00295B1F"/>
    <w:rsid w:val="00295CC5"/>
    <w:rsid w:val="00295F66"/>
    <w:rsid w:val="00297DA4"/>
    <w:rsid w:val="002A0DCE"/>
    <w:rsid w:val="002A26B2"/>
    <w:rsid w:val="002A2B6D"/>
    <w:rsid w:val="002A2F18"/>
    <w:rsid w:val="002A353A"/>
    <w:rsid w:val="002A4547"/>
    <w:rsid w:val="002A66EF"/>
    <w:rsid w:val="002B4CB4"/>
    <w:rsid w:val="002B5547"/>
    <w:rsid w:val="002C0A67"/>
    <w:rsid w:val="002C768B"/>
    <w:rsid w:val="002D14FE"/>
    <w:rsid w:val="002D742C"/>
    <w:rsid w:val="002E01EE"/>
    <w:rsid w:val="002E17A8"/>
    <w:rsid w:val="002E2500"/>
    <w:rsid w:val="002E260F"/>
    <w:rsid w:val="002E7023"/>
    <w:rsid w:val="002F6950"/>
    <w:rsid w:val="002F73B6"/>
    <w:rsid w:val="00300040"/>
    <w:rsid w:val="003022A2"/>
    <w:rsid w:val="00303A5A"/>
    <w:rsid w:val="0030422E"/>
    <w:rsid w:val="0030424D"/>
    <w:rsid w:val="00305418"/>
    <w:rsid w:val="003060CD"/>
    <w:rsid w:val="003070AA"/>
    <w:rsid w:val="00311049"/>
    <w:rsid w:val="00313068"/>
    <w:rsid w:val="00320EB5"/>
    <w:rsid w:val="003239FC"/>
    <w:rsid w:val="00323D96"/>
    <w:rsid w:val="003248C3"/>
    <w:rsid w:val="003302C6"/>
    <w:rsid w:val="00330A78"/>
    <w:rsid w:val="003326C5"/>
    <w:rsid w:val="00332B28"/>
    <w:rsid w:val="003334BF"/>
    <w:rsid w:val="003336D4"/>
    <w:rsid w:val="00334134"/>
    <w:rsid w:val="00334FD9"/>
    <w:rsid w:val="00336DF2"/>
    <w:rsid w:val="00341C87"/>
    <w:rsid w:val="0034491E"/>
    <w:rsid w:val="00346138"/>
    <w:rsid w:val="00346E72"/>
    <w:rsid w:val="003479B7"/>
    <w:rsid w:val="00350EE8"/>
    <w:rsid w:val="00351DFF"/>
    <w:rsid w:val="00351F5E"/>
    <w:rsid w:val="003557EA"/>
    <w:rsid w:val="00361BD8"/>
    <w:rsid w:val="003651D7"/>
    <w:rsid w:val="00365D7D"/>
    <w:rsid w:val="003771F9"/>
    <w:rsid w:val="0038509F"/>
    <w:rsid w:val="003958A6"/>
    <w:rsid w:val="003A1DFF"/>
    <w:rsid w:val="003A21D9"/>
    <w:rsid w:val="003A4227"/>
    <w:rsid w:val="003A4E1F"/>
    <w:rsid w:val="003A6A98"/>
    <w:rsid w:val="003B0C89"/>
    <w:rsid w:val="003B2130"/>
    <w:rsid w:val="003B2E58"/>
    <w:rsid w:val="003C0082"/>
    <w:rsid w:val="003C7BC5"/>
    <w:rsid w:val="003D4936"/>
    <w:rsid w:val="003D7AAB"/>
    <w:rsid w:val="003E0C19"/>
    <w:rsid w:val="003E252B"/>
    <w:rsid w:val="003E54C5"/>
    <w:rsid w:val="003E6803"/>
    <w:rsid w:val="003F1386"/>
    <w:rsid w:val="003F549A"/>
    <w:rsid w:val="003F6DFD"/>
    <w:rsid w:val="004021BC"/>
    <w:rsid w:val="0040510A"/>
    <w:rsid w:val="00410DC8"/>
    <w:rsid w:val="004111D5"/>
    <w:rsid w:val="00411EB5"/>
    <w:rsid w:val="00417220"/>
    <w:rsid w:val="0042472C"/>
    <w:rsid w:val="00424F12"/>
    <w:rsid w:val="004303D3"/>
    <w:rsid w:val="0043068E"/>
    <w:rsid w:val="00433370"/>
    <w:rsid w:val="004342F1"/>
    <w:rsid w:val="004359AE"/>
    <w:rsid w:val="0043647A"/>
    <w:rsid w:val="00440EDE"/>
    <w:rsid w:val="0044372F"/>
    <w:rsid w:val="004455AF"/>
    <w:rsid w:val="004461E8"/>
    <w:rsid w:val="00446531"/>
    <w:rsid w:val="00447177"/>
    <w:rsid w:val="00451B24"/>
    <w:rsid w:val="0045242F"/>
    <w:rsid w:val="00452B4A"/>
    <w:rsid w:val="00456853"/>
    <w:rsid w:val="0046266B"/>
    <w:rsid w:val="00463A94"/>
    <w:rsid w:val="00466193"/>
    <w:rsid w:val="0047054F"/>
    <w:rsid w:val="00470FEE"/>
    <w:rsid w:val="00474BE7"/>
    <w:rsid w:val="00487764"/>
    <w:rsid w:val="00490B6D"/>
    <w:rsid w:val="00491A16"/>
    <w:rsid w:val="00494EEC"/>
    <w:rsid w:val="0049626F"/>
    <w:rsid w:val="004A14ED"/>
    <w:rsid w:val="004A3367"/>
    <w:rsid w:val="004C1EF3"/>
    <w:rsid w:val="004D4F77"/>
    <w:rsid w:val="004E2BDB"/>
    <w:rsid w:val="004F15A2"/>
    <w:rsid w:val="004F6FFE"/>
    <w:rsid w:val="004F7888"/>
    <w:rsid w:val="00500C19"/>
    <w:rsid w:val="00503ADE"/>
    <w:rsid w:val="00506B83"/>
    <w:rsid w:val="00506C9D"/>
    <w:rsid w:val="00507559"/>
    <w:rsid w:val="00516EA4"/>
    <w:rsid w:val="00522019"/>
    <w:rsid w:val="00530E5E"/>
    <w:rsid w:val="00532020"/>
    <w:rsid w:val="00532F5D"/>
    <w:rsid w:val="00533A02"/>
    <w:rsid w:val="00533E2C"/>
    <w:rsid w:val="005361DC"/>
    <w:rsid w:val="005364F7"/>
    <w:rsid w:val="00540CB5"/>
    <w:rsid w:val="005410E1"/>
    <w:rsid w:val="005428BE"/>
    <w:rsid w:val="00545289"/>
    <w:rsid w:val="00553234"/>
    <w:rsid w:val="00554E91"/>
    <w:rsid w:val="00555094"/>
    <w:rsid w:val="005607C1"/>
    <w:rsid w:val="005624CB"/>
    <w:rsid w:val="00565510"/>
    <w:rsid w:val="00570A6F"/>
    <w:rsid w:val="00575343"/>
    <w:rsid w:val="0057712A"/>
    <w:rsid w:val="00587AF8"/>
    <w:rsid w:val="00587E63"/>
    <w:rsid w:val="00591FF7"/>
    <w:rsid w:val="00593F55"/>
    <w:rsid w:val="005A48E9"/>
    <w:rsid w:val="005A6075"/>
    <w:rsid w:val="005A7C99"/>
    <w:rsid w:val="005B0D76"/>
    <w:rsid w:val="005B54A1"/>
    <w:rsid w:val="005B5A14"/>
    <w:rsid w:val="005B5AC7"/>
    <w:rsid w:val="005C53A8"/>
    <w:rsid w:val="005C6B1F"/>
    <w:rsid w:val="005D048B"/>
    <w:rsid w:val="005D0855"/>
    <w:rsid w:val="005D139C"/>
    <w:rsid w:val="005D2E3E"/>
    <w:rsid w:val="005D315C"/>
    <w:rsid w:val="005D3A41"/>
    <w:rsid w:val="005D7D31"/>
    <w:rsid w:val="005E07D1"/>
    <w:rsid w:val="005E3391"/>
    <w:rsid w:val="005E53E8"/>
    <w:rsid w:val="005E7553"/>
    <w:rsid w:val="005E77F7"/>
    <w:rsid w:val="005F0F6A"/>
    <w:rsid w:val="005F48D3"/>
    <w:rsid w:val="005F5FF9"/>
    <w:rsid w:val="00602984"/>
    <w:rsid w:val="00611F3D"/>
    <w:rsid w:val="00617664"/>
    <w:rsid w:val="006177F3"/>
    <w:rsid w:val="00620530"/>
    <w:rsid w:val="006241B8"/>
    <w:rsid w:val="0062550E"/>
    <w:rsid w:val="00627881"/>
    <w:rsid w:val="0063146B"/>
    <w:rsid w:val="006349AD"/>
    <w:rsid w:val="00635FF4"/>
    <w:rsid w:val="00645283"/>
    <w:rsid w:val="00652C51"/>
    <w:rsid w:val="00662432"/>
    <w:rsid w:val="00671292"/>
    <w:rsid w:val="006751D0"/>
    <w:rsid w:val="00675253"/>
    <w:rsid w:val="00675932"/>
    <w:rsid w:val="00681514"/>
    <w:rsid w:val="00681BFA"/>
    <w:rsid w:val="006843BC"/>
    <w:rsid w:val="00684D19"/>
    <w:rsid w:val="006867A3"/>
    <w:rsid w:val="00686E4E"/>
    <w:rsid w:val="00690F94"/>
    <w:rsid w:val="0069462A"/>
    <w:rsid w:val="0069494A"/>
    <w:rsid w:val="00695542"/>
    <w:rsid w:val="0069763B"/>
    <w:rsid w:val="006B1A47"/>
    <w:rsid w:val="006B2BB4"/>
    <w:rsid w:val="006B43E9"/>
    <w:rsid w:val="006B567C"/>
    <w:rsid w:val="006B6A6E"/>
    <w:rsid w:val="006B710F"/>
    <w:rsid w:val="006C087D"/>
    <w:rsid w:val="006C11A5"/>
    <w:rsid w:val="006C6EBC"/>
    <w:rsid w:val="006C7454"/>
    <w:rsid w:val="006D069D"/>
    <w:rsid w:val="006D2A62"/>
    <w:rsid w:val="006D3CCB"/>
    <w:rsid w:val="006D4671"/>
    <w:rsid w:val="006E00B6"/>
    <w:rsid w:val="006E1CC8"/>
    <w:rsid w:val="006E1DEC"/>
    <w:rsid w:val="006E3327"/>
    <w:rsid w:val="006F38C0"/>
    <w:rsid w:val="006F4444"/>
    <w:rsid w:val="007104DA"/>
    <w:rsid w:val="00711437"/>
    <w:rsid w:val="00711B18"/>
    <w:rsid w:val="00715CA2"/>
    <w:rsid w:val="007203E4"/>
    <w:rsid w:val="0072191C"/>
    <w:rsid w:val="00722EB9"/>
    <w:rsid w:val="00723BF0"/>
    <w:rsid w:val="00725843"/>
    <w:rsid w:val="00733DE6"/>
    <w:rsid w:val="00734402"/>
    <w:rsid w:val="0074428D"/>
    <w:rsid w:val="007479CF"/>
    <w:rsid w:val="00751006"/>
    <w:rsid w:val="007526B4"/>
    <w:rsid w:val="0075305E"/>
    <w:rsid w:val="00753E98"/>
    <w:rsid w:val="00754DFC"/>
    <w:rsid w:val="00755777"/>
    <w:rsid w:val="007561E7"/>
    <w:rsid w:val="00760584"/>
    <w:rsid w:val="0076169E"/>
    <w:rsid w:val="007619B3"/>
    <w:rsid w:val="00764F4F"/>
    <w:rsid w:val="007657DC"/>
    <w:rsid w:val="00765D91"/>
    <w:rsid w:val="0076710E"/>
    <w:rsid w:val="00767C70"/>
    <w:rsid w:val="00770E5E"/>
    <w:rsid w:val="00773A91"/>
    <w:rsid w:val="00775E41"/>
    <w:rsid w:val="00775EC1"/>
    <w:rsid w:val="00776C67"/>
    <w:rsid w:val="007770FC"/>
    <w:rsid w:val="00777631"/>
    <w:rsid w:val="00781AFF"/>
    <w:rsid w:val="00783162"/>
    <w:rsid w:val="00793C08"/>
    <w:rsid w:val="007968B0"/>
    <w:rsid w:val="00796D8A"/>
    <w:rsid w:val="00796EED"/>
    <w:rsid w:val="00797306"/>
    <w:rsid w:val="007B406C"/>
    <w:rsid w:val="007B76A7"/>
    <w:rsid w:val="007C0030"/>
    <w:rsid w:val="007C344A"/>
    <w:rsid w:val="007C3977"/>
    <w:rsid w:val="007C403D"/>
    <w:rsid w:val="007C591A"/>
    <w:rsid w:val="007C615D"/>
    <w:rsid w:val="007C64F6"/>
    <w:rsid w:val="007D0BD1"/>
    <w:rsid w:val="007D28AF"/>
    <w:rsid w:val="007E0589"/>
    <w:rsid w:val="007E155A"/>
    <w:rsid w:val="007E212D"/>
    <w:rsid w:val="007E51AB"/>
    <w:rsid w:val="007E73EF"/>
    <w:rsid w:val="007E7D37"/>
    <w:rsid w:val="007F0916"/>
    <w:rsid w:val="007F14B9"/>
    <w:rsid w:val="007F2628"/>
    <w:rsid w:val="007F2B63"/>
    <w:rsid w:val="007F5FF1"/>
    <w:rsid w:val="007F6D61"/>
    <w:rsid w:val="0080071C"/>
    <w:rsid w:val="0080246C"/>
    <w:rsid w:val="0080429F"/>
    <w:rsid w:val="00805646"/>
    <w:rsid w:val="008074A1"/>
    <w:rsid w:val="00807806"/>
    <w:rsid w:val="00811B31"/>
    <w:rsid w:val="00813DF6"/>
    <w:rsid w:val="0081421F"/>
    <w:rsid w:val="0081538C"/>
    <w:rsid w:val="008157E1"/>
    <w:rsid w:val="00822A99"/>
    <w:rsid w:val="008374F0"/>
    <w:rsid w:val="0084460A"/>
    <w:rsid w:val="00850C7E"/>
    <w:rsid w:val="00850D22"/>
    <w:rsid w:val="008540A6"/>
    <w:rsid w:val="00855B66"/>
    <w:rsid w:val="00861C28"/>
    <w:rsid w:val="0086444B"/>
    <w:rsid w:val="00866B33"/>
    <w:rsid w:val="00867745"/>
    <w:rsid w:val="00872E24"/>
    <w:rsid w:val="00884BA6"/>
    <w:rsid w:val="0088530B"/>
    <w:rsid w:val="00887B2B"/>
    <w:rsid w:val="00887CE2"/>
    <w:rsid w:val="008927FF"/>
    <w:rsid w:val="008929FE"/>
    <w:rsid w:val="00892D47"/>
    <w:rsid w:val="00892EC8"/>
    <w:rsid w:val="00894C8C"/>
    <w:rsid w:val="00897E73"/>
    <w:rsid w:val="008A01C8"/>
    <w:rsid w:val="008A246C"/>
    <w:rsid w:val="008A4A8F"/>
    <w:rsid w:val="008A4C02"/>
    <w:rsid w:val="008A5130"/>
    <w:rsid w:val="008A6085"/>
    <w:rsid w:val="008B0070"/>
    <w:rsid w:val="008B124A"/>
    <w:rsid w:val="008B1B87"/>
    <w:rsid w:val="008B1D84"/>
    <w:rsid w:val="008B5246"/>
    <w:rsid w:val="008C1AA1"/>
    <w:rsid w:val="008C25DC"/>
    <w:rsid w:val="008C618B"/>
    <w:rsid w:val="008C66AF"/>
    <w:rsid w:val="008C6FAA"/>
    <w:rsid w:val="008D174E"/>
    <w:rsid w:val="008D1A4E"/>
    <w:rsid w:val="008D36DE"/>
    <w:rsid w:val="008D3C6B"/>
    <w:rsid w:val="008D5A1C"/>
    <w:rsid w:val="008D649A"/>
    <w:rsid w:val="008D752F"/>
    <w:rsid w:val="008E0D52"/>
    <w:rsid w:val="008E1F3D"/>
    <w:rsid w:val="008E3003"/>
    <w:rsid w:val="008E33DD"/>
    <w:rsid w:val="008E3470"/>
    <w:rsid w:val="008E730F"/>
    <w:rsid w:val="008F1FAD"/>
    <w:rsid w:val="008F47A1"/>
    <w:rsid w:val="008F7F9A"/>
    <w:rsid w:val="0090015A"/>
    <w:rsid w:val="00901D9C"/>
    <w:rsid w:val="00903571"/>
    <w:rsid w:val="00904CD8"/>
    <w:rsid w:val="009059FF"/>
    <w:rsid w:val="00907980"/>
    <w:rsid w:val="00913F16"/>
    <w:rsid w:val="00921C69"/>
    <w:rsid w:val="00930608"/>
    <w:rsid w:val="00930994"/>
    <w:rsid w:val="009311E6"/>
    <w:rsid w:val="00935766"/>
    <w:rsid w:val="009363A3"/>
    <w:rsid w:val="00942701"/>
    <w:rsid w:val="00946BE9"/>
    <w:rsid w:val="00946E89"/>
    <w:rsid w:val="009478BB"/>
    <w:rsid w:val="0095177D"/>
    <w:rsid w:val="009555EF"/>
    <w:rsid w:val="00957152"/>
    <w:rsid w:val="00957DD8"/>
    <w:rsid w:val="009611FD"/>
    <w:rsid w:val="00962D77"/>
    <w:rsid w:val="00962EB7"/>
    <w:rsid w:val="00963DA5"/>
    <w:rsid w:val="009646E2"/>
    <w:rsid w:val="00966032"/>
    <w:rsid w:val="00970BFE"/>
    <w:rsid w:val="00975861"/>
    <w:rsid w:val="00976DFC"/>
    <w:rsid w:val="009773C0"/>
    <w:rsid w:val="0097750B"/>
    <w:rsid w:val="00986EFA"/>
    <w:rsid w:val="00990C7F"/>
    <w:rsid w:val="00993F76"/>
    <w:rsid w:val="009964CE"/>
    <w:rsid w:val="009A00FB"/>
    <w:rsid w:val="009A3671"/>
    <w:rsid w:val="009A5560"/>
    <w:rsid w:val="009A749E"/>
    <w:rsid w:val="009A7EB9"/>
    <w:rsid w:val="009B0366"/>
    <w:rsid w:val="009B0D14"/>
    <w:rsid w:val="009B10FF"/>
    <w:rsid w:val="009B1620"/>
    <w:rsid w:val="009B1CEF"/>
    <w:rsid w:val="009B48A7"/>
    <w:rsid w:val="009C3B26"/>
    <w:rsid w:val="009C6298"/>
    <w:rsid w:val="009C64F9"/>
    <w:rsid w:val="009D323D"/>
    <w:rsid w:val="009D49FF"/>
    <w:rsid w:val="009D5355"/>
    <w:rsid w:val="009D6C7E"/>
    <w:rsid w:val="009D6CFD"/>
    <w:rsid w:val="009E0F97"/>
    <w:rsid w:val="009E34BD"/>
    <w:rsid w:val="009E4162"/>
    <w:rsid w:val="009F098E"/>
    <w:rsid w:val="009F497F"/>
    <w:rsid w:val="009F52A7"/>
    <w:rsid w:val="00A01E09"/>
    <w:rsid w:val="00A020B1"/>
    <w:rsid w:val="00A06799"/>
    <w:rsid w:val="00A06ACC"/>
    <w:rsid w:val="00A11F0F"/>
    <w:rsid w:val="00A21D4C"/>
    <w:rsid w:val="00A25C52"/>
    <w:rsid w:val="00A26CB0"/>
    <w:rsid w:val="00A2729F"/>
    <w:rsid w:val="00A32935"/>
    <w:rsid w:val="00A3568B"/>
    <w:rsid w:val="00A409BA"/>
    <w:rsid w:val="00A40DDE"/>
    <w:rsid w:val="00A422A2"/>
    <w:rsid w:val="00A43F2E"/>
    <w:rsid w:val="00A447B5"/>
    <w:rsid w:val="00A475E9"/>
    <w:rsid w:val="00A53B28"/>
    <w:rsid w:val="00A53F13"/>
    <w:rsid w:val="00A545DF"/>
    <w:rsid w:val="00A6434E"/>
    <w:rsid w:val="00A66ED4"/>
    <w:rsid w:val="00A678A5"/>
    <w:rsid w:val="00A70CB1"/>
    <w:rsid w:val="00A711E6"/>
    <w:rsid w:val="00A80F5C"/>
    <w:rsid w:val="00A8170C"/>
    <w:rsid w:val="00A917D0"/>
    <w:rsid w:val="00A92296"/>
    <w:rsid w:val="00A92F9E"/>
    <w:rsid w:val="00A95CD7"/>
    <w:rsid w:val="00AA050B"/>
    <w:rsid w:val="00AA0566"/>
    <w:rsid w:val="00AA10E5"/>
    <w:rsid w:val="00AA4BAB"/>
    <w:rsid w:val="00AA5B4F"/>
    <w:rsid w:val="00AA5BA4"/>
    <w:rsid w:val="00AA770F"/>
    <w:rsid w:val="00AA7B14"/>
    <w:rsid w:val="00AB1643"/>
    <w:rsid w:val="00AB504B"/>
    <w:rsid w:val="00AB71FB"/>
    <w:rsid w:val="00AC3D53"/>
    <w:rsid w:val="00AC622F"/>
    <w:rsid w:val="00AD36BA"/>
    <w:rsid w:val="00AD3A53"/>
    <w:rsid w:val="00AD695C"/>
    <w:rsid w:val="00AD6D8D"/>
    <w:rsid w:val="00AD7227"/>
    <w:rsid w:val="00AE4D22"/>
    <w:rsid w:val="00AE60DE"/>
    <w:rsid w:val="00AF1C22"/>
    <w:rsid w:val="00AF4236"/>
    <w:rsid w:val="00AF4CD9"/>
    <w:rsid w:val="00AF4EBB"/>
    <w:rsid w:val="00AF7315"/>
    <w:rsid w:val="00AF7BB6"/>
    <w:rsid w:val="00B02ECD"/>
    <w:rsid w:val="00B04826"/>
    <w:rsid w:val="00B068CF"/>
    <w:rsid w:val="00B14231"/>
    <w:rsid w:val="00B16D3C"/>
    <w:rsid w:val="00B213DD"/>
    <w:rsid w:val="00B309C5"/>
    <w:rsid w:val="00B30B5B"/>
    <w:rsid w:val="00B34BCE"/>
    <w:rsid w:val="00B35CE5"/>
    <w:rsid w:val="00B36423"/>
    <w:rsid w:val="00B416E6"/>
    <w:rsid w:val="00B4193C"/>
    <w:rsid w:val="00B428CD"/>
    <w:rsid w:val="00B4503E"/>
    <w:rsid w:val="00B45AA8"/>
    <w:rsid w:val="00B4735F"/>
    <w:rsid w:val="00B55C26"/>
    <w:rsid w:val="00B5701F"/>
    <w:rsid w:val="00B57E60"/>
    <w:rsid w:val="00B60775"/>
    <w:rsid w:val="00B60E7B"/>
    <w:rsid w:val="00B62149"/>
    <w:rsid w:val="00B6469F"/>
    <w:rsid w:val="00B66E53"/>
    <w:rsid w:val="00B707F8"/>
    <w:rsid w:val="00B72AF7"/>
    <w:rsid w:val="00B72C00"/>
    <w:rsid w:val="00B74875"/>
    <w:rsid w:val="00B770A6"/>
    <w:rsid w:val="00B836FE"/>
    <w:rsid w:val="00B92D94"/>
    <w:rsid w:val="00B93DB0"/>
    <w:rsid w:val="00BA0377"/>
    <w:rsid w:val="00BA74BB"/>
    <w:rsid w:val="00BA7FDD"/>
    <w:rsid w:val="00BB0C52"/>
    <w:rsid w:val="00BB24B0"/>
    <w:rsid w:val="00BB2CAE"/>
    <w:rsid w:val="00BB4E58"/>
    <w:rsid w:val="00BB559C"/>
    <w:rsid w:val="00BC41E4"/>
    <w:rsid w:val="00BC5123"/>
    <w:rsid w:val="00BC5D6E"/>
    <w:rsid w:val="00BD3349"/>
    <w:rsid w:val="00BD5199"/>
    <w:rsid w:val="00BD798C"/>
    <w:rsid w:val="00BE02F9"/>
    <w:rsid w:val="00BE1373"/>
    <w:rsid w:val="00BE28A4"/>
    <w:rsid w:val="00BF01A2"/>
    <w:rsid w:val="00BF2587"/>
    <w:rsid w:val="00BF34D5"/>
    <w:rsid w:val="00BF457B"/>
    <w:rsid w:val="00C05FEC"/>
    <w:rsid w:val="00C06604"/>
    <w:rsid w:val="00C06635"/>
    <w:rsid w:val="00C15E02"/>
    <w:rsid w:val="00C2024C"/>
    <w:rsid w:val="00C209AE"/>
    <w:rsid w:val="00C25CF1"/>
    <w:rsid w:val="00C31E96"/>
    <w:rsid w:val="00C3243C"/>
    <w:rsid w:val="00C32BCF"/>
    <w:rsid w:val="00C37EC1"/>
    <w:rsid w:val="00C40D72"/>
    <w:rsid w:val="00C43B11"/>
    <w:rsid w:val="00C474F0"/>
    <w:rsid w:val="00C476EC"/>
    <w:rsid w:val="00C477C4"/>
    <w:rsid w:val="00C50911"/>
    <w:rsid w:val="00C529B2"/>
    <w:rsid w:val="00C53BD0"/>
    <w:rsid w:val="00C55524"/>
    <w:rsid w:val="00C57DBF"/>
    <w:rsid w:val="00C610C7"/>
    <w:rsid w:val="00C71E54"/>
    <w:rsid w:val="00C729B0"/>
    <w:rsid w:val="00C72FCB"/>
    <w:rsid w:val="00C73AFD"/>
    <w:rsid w:val="00C74BA6"/>
    <w:rsid w:val="00C76299"/>
    <w:rsid w:val="00C7793C"/>
    <w:rsid w:val="00C830D8"/>
    <w:rsid w:val="00C84297"/>
    <w:rsid w:val="00C847F4"/>
    <w:rsid w:val="00C9010B"/>
    <w:rsid w:val="00C92BF2"/>
    <w:rsid w:val="00CA19C0"/>
    <w:rsid w:val="00CA2FD1"/>
    <w:rsid w:val="00CA5ACE"/>
    <w:rsid w:val="00CA60A6"/>
    <w:rsid w:val="00CB1454"/>
    <w:rsid w:val="00CB25C5"/>
    <w:rsid w:val="00CB55C1"/>
    <w:rsid w:val="00CB74A7"/>
    <w:rsid w:val="00CC0E69"/>
    <w:rsid w:val="00CC1C64"/>
    <w:rsid w:val="00CC3D8C"/>
    <w:rsid w:val="00CC50F3"/>
    <w:rsid w:val="00CD169A"/>
    <w:rsid w:val="00CD46E9"/>
    <w:rsid w:val="00CD4E35"/>
    <w:rsid w:val="00CD6759"/>
    <w:rsid w:val="00CE798F"/>
    <w:rsid w:val="00CF0132"/>
    <w:rsid w:val="00CF15DF"/>
    <w:rsid w:val="00CF37EC"/>
    <w:rsid w:val="00CF5236"/>
    <w:rsid w:val="00CF7024"/>
    <w:rsid w:val="00D00857"/>
    <w:rsid w:val="00D01D69"/>
    <w:rsid w:val="00D04B36"/>
    <w:rsid w:val="00D06819"/>
    <w:rsid w:val="00D12D2C"/>
    <w:rsid w:val="00D16521"/>
    <w:rsid w:val="00D209D1"/>
    <w:rsid w:val="00D219E6"/>
    <w:rsid w:val="00D26A50"/>
    <w:rsid w:val="00D338CE"/>
    <w:rsid w:val="00D34069"/>
    <w:rsid w:val="00D34DD4"/>
    <w:rsid w:val="00D361BF"/>
    <w:rsid w:val="00D36516"/>
    <w:rsid w:val="00D4578E"/>
    <w:rsid w:val="00D460E2"/>
    <w:rsid w:val="00D46249"/>
    <w:rsid w:val="00D47410"/>
    <w:rsid w:val="00D51271"/>
    <w:rsid w:val="00D514E1"/>
    <w:rsid w:val="00D52D79"/>
    <w:rsid w:val="00D60605"/>
    <w:rsid w:val="00D67507"/>
    <w:rsid w:val="00D7283D"/>
    <w:rsid w:val="00D7714C"/>
    <w:rsid w:val="00D80BA2"/>
    <w:rsid w:val="00D85158"/>
    <w:rsid w:val="00D86CFB"/>
    <w:rsid w:val="00D94C44"/>
    <w:rsid w:val="00D95BE7"/>
    <w:rsid w:val="00D9644D"/>
    <w:rsid w:val="00DA4473"/>
    <w:rsid w:val="00DA7371"/>
    <w:rsid w:val="00DB5FD5"/>
    <w:rsid w:val="00DC054A"/>
    <w:rsid w:val="00DC343A"/>
    <w:rsid w:val="00DC372B"/>
    <w:rsid w:val="00DC3990"/>
    <w:rsid w:val="00DC7268"/>
    <w:rsid w:val="00DD192F"/>
    <w:rsid w:val="00DD1B20"/>
    <w:rsid w:val="00DD3E6E"/>
    <w:rsid w:val="00DD59B0"/>
    <w:rsid w:val="00DD5E74"/>
    <w:rsid w:val="00DD7739"/>
    <w:rsid w:val="00DE0683"/>
    <w:rsid w:val="00DE27F7"/>
    <w:rsid w:val="00DE6733"/>
    <w:rsid w:val="00DE7E8D"/>
    <w:rsid w:val="00DF235A"/>
    <w:rsid w:val="00DF5D9B"/>
    <w:rsid w:val="00E01F6A"/>
    <w:rsid w:val="00E1646E"/>
    <w:rsid w:val="00E17BBB"/>
    <w:rsid w:val="00E20009"/>
    <w:rsid w:val="00E20DE1"/>
    <w:rsid w:val="00E23145"/>
    <w:rsid w:val="00E248C7"/>
    <w:rsid w:val="00E24EC1"/>
    <w:rsid w:val="00E257B1"/>
    <w:rsid w:val="00E27672"/>
    <w:rsid w:val="00E3417F"/>
    <w:rsid w:val="00E3510F"/>
    <w:rsid w:val="00E41D5E"/>
    <w:rsid w:val="00E4254F"/>
    <w:rsid w:val="00E44E14"/>
    <w:rsid w:val="00E451BA"/>
    <w:rsid w:val="00E458F3"/>
    <w:rsid w:val="00E46A5A"/>
    <w:rsid w:val="00E54131"/>
    <w:rsid w:val="00E56393"/>
    <w:rsid w:val="00E56971"/>
    <w:rsid w:val="00E6096A"/>
    <w:rsid w:val="00E61D0D"/>
    <w:rsid w:val="00E63ECF"/>
    <w:rsid w:val="00E67E69"/>
    <w:rsid w:val="00E712DD"/>
    <w:rsid w:val="00E754D3"/>
    <w:rsid w:val="00E759F0"/>
    <w:rsid w:val="00E771BE"/>
    <w:rsid w:val="00E80510"/>
    <w:rsid w:val="00E82685"/>
    <w:rsid w:val="00E87175"/>
    <w:rsid w:val="00E91489"/>
    <w:rsid w:val="00E942B7"/>
    <w:rsid w:val="00E968F1"/>
    <w:rsid w:val="00E96F26"/>
    <w:rsid w:val="00EA0275"/>
    <w:rsid w:val="00EA02CD"/>
    <w:rsid w:val="00EA0954"/>
    <w:rsid w:val="00EA1644"/>
    <w:rsid w:val="00EA38AE"/>
    <w:rsid w:val="00EA5355"/>
    <w:rsid w:val="00EB25E1"/>
    <w:rsid w:val="00EB3EF3"/>
    <w:rsid w:val="00EC2221"/>
    <w:rsid w:val="00EC7EE3"/>
    <w:rsid w:val="00ED106E"/>
    <w:rsid w:val="00ED10EF"/>
    <w:rsid w:val="00ED1810"/>
    <w:rsid w:val="00ED1892"/>
    <w:rsid w:val="00ED7DC1"/>
    <w:rsid w:val="00EE292B"/>
    <w:rsid w:val="00EE5281"/>
    <w:rsid w:val="00EE52B6"/>
    <w:rsid w:val="00EF0380"/>
    <w:rsid w:val="00EF681D"/>
    <w:rsid w:val="00F135ED"/>
    <w:rsid w:val="00F15C87"/>
    <w:rsid w:val="00F16039"/>
    <w:rsid w:val="00F20C54"/>
    <w:rsid w:val="00F23D5B"/>
    <w:rsid w:val="00F34166"/>
    <w:rsid w:val="00F35276"/>
    <w:rsid w:val="00F355DB"/>
    <w:rsid w:val="00F369F7"/>
    <w:rsid w:val="00F37059"/>
    <w:rsid w:val="00F42729"/>
    <w:rsid w:val="00F42E2B"/>
    <w:rsid w:val="00F4693D"/>
    <w:rsid w:val="00F47049"/>
    <w:rsid w:val="00F50E3C"/>
    <w:rsid w:val="00F609A8"/>
    <w:rsid w:val="00F614AE"/>
    <w:rsid w:val="00F6614F"/>
    <w:rsid w:val="00F67360"/>
    <w:rsid w:val="00F67ABE"/>
    <w:rsid w:val="00F70430"/>
    <w:rsid w:val="00F710B1"/>
    <w:rsid w:val="00F71DD5"/>
    <w:rsid w:val="00F72666"/>
    <w:rsid w:val="00F8401C"/>
    <w:rsid w:val="00F8724E"/>
    <w:rsid w:val="00F907EB"/>
    <w:rsid w:val="00F94E12"/>
    <w:rsid w:val="00FA157E"/>
    <w:rsid w:val="00FA2FDE"/>
    <w:rsid w:val="00FA7E7F"/>
    <w:rsid w:val="00FB485D"/>
    <w:rsid w:val="00FB731D"/>
    <w:rsid w:val="00FC0E37"/>
    <w:rsid w:val="00FC6326"/>
    <w:rsid w:val="00FD0588"/>
    <w:rsid w:val="00FD0A64"/>
    <w:rsid w:val="00FD326A"/>
    <w:rsid w:val="00FD4A57"/>
    <w:rsid w:val="00FD69FC"/>
    <w:rsid w:val="00FE0067"/>
    <w:rsid w:val="00FE026F"/>
    <w:rsid w:val="00FE085C"/>
    <w:rsid w:val="00FE2EBC"/>
    <w:rsid w:val="00FE6C49"/>
    <w:rsid w:val="00FF06BA"/>
    <w:rsid w:val="00FF1280"/>
    <w:rsid w:val="00FF2141"/>
    <w:rsid w:val="00FF419B"/>
    <w:rsid w:val="00FF4AC2"/>
    <w:rsid w:val="00FF55BF"/>
    <w:rsid w:val="00FF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25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numPr>
        <w:numId w:val="5"/>
      </w:numPr>
      <w:tabs>
        <w:tab w:val="clear" w:pos="720"/>
        <w:tab w:val="num" w:pos="450"/>
      </w:tabs>
      <w:spacing w:before="120" w:after="120"/>
      <w:ind w:left="450" w:right="2160" w:hanging="450"/>
      <w:outlineLvl w:val="0"/>
    </w:pPr>
    <w:rPr>
      <w:rFonts w:ascii="Helvetica" w:hAnsi="Helvetica"/>
      <w:b/>
      <w:kern w:val="28"/>
    </w:rPr>
  </w:style>
  <w:style w:type="paragraph" w:styleId="Heading2">
    <w:name w:val="heading 2"/>
    <w:basedOn w:val="Normal"/>
    <w:next w:val="sub1"/>
    <w:link w:val="Heading2Char"/>
    <w:qFormat/>
    <w:rsid w:val="009A00FB"/>
    <w:pPr>
      <w:keepNext/>
      <w:keepLines/>
      <w:widowControl w:val="0"/>
      <w:numPr>
        <w:ilvl w:val="1"/>
        <w:numId w:val="5"/>
      </w:numPr>
      <w:tabs>
        <w:tab w:val="clear" w:pos="1710"/>
        <w:tab w:val="num" w:pos="1440"/>
      </w:tabs>
      <w:spacing w:before="120" w:after="120"/>
      <w:ind w:left="1440" w:right="2160"/>
      <w:outlineLvl w:val="1"/>
    </w:pPr>
    <w:rPr>
      <w:rFonts w:ascii="Helvetica" w:hAnsi="Helvetica"/>
      <w:b/>
      <w:iCs/>
    </w:rPr>
  </w:style>
  <w:style w:type="paragraph" w:styleId="Heading3">
    <w:name w:val="heading 3"/>
    <w:basedOn w:val="Normal"/>
    <w:next w:val="sub2"/>
    <w:link w:val="Heading3Char"/>
    <w:qFormat/>
    <w:rsid w:val="005D7D31"/>
    <w:pPr>
      <w:keepNext/>
      <w:numPr>
        <w:ilvl w:val="2"/>
        <w:numId w:val="5"/>
      </w:numPr>
      <w:tabs>
        <w:tab w:val="left" w:pos="1620"/>
      </w:tabs>
      <w:spacing w:before="120" w:after="120"/>
      <w:ind w:left="1620" w:hanging="900"/>
      <w:outlineLvl w:val="2"/>
    </w:pPr>
    <w:rPr>
      <w:rFonts w:ascii="Helvetica" w:hAnsi="Helvetica"/>
      <w:b/>
    </w:rPr>
  </w:style>
  <w:style w:type="paragraph" w:styleId="Heading4">
    <w:name w:val="heading 4"/>
    <w:basedOn w:val="Normal"/>
    <w:next w:val="sub3"/>
    <w:link w:val="Heading4Char"/>
    <w:qFormat/>
    <w:pPr>
      <w:keepNext/>
      <w:numPr>
        <w:ilvl w:val="3"/>
        <w:numId w:val="5"/>
      </w:numPr>
      <w:tabs>
        <w:tab w:val="clear" w:pos="900"/>
        <w:tab w:val="num" w:pos="0"/>
        <w:tab w:val="left" w:pos="1980"/>
      </w:tabs>
      <w:spacing w:before="120" w:after="120"/>
      <w:ind w:left="2880" w:right="720"/>
      <w:outlineLvl w:val="3"/>
    </w:pPr>
    <w:rPr>
      <w:rFonts w:ascii="Helvetica" w:hAnsi="Helvetica"/>
      <w:b/>
      <w:iCs/>
    </w:rPr>
  </w:style>
  <w:style w:type="paragraph" w:styleId="Heading5">
    <w:name w:val="heading 5"/>
    <w:basedOn w:val="Normal"/>
    <w:next w:val="sub4"/>
    <w:link w:val="Heading5Char"/>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link w:val="Heading6Char"/>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link w:val="Heading7Char"/>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ALTS FOOTNOTE"/>
    <w:basedOn w:val="Normal"/>
    <w:link w:val="FootnoteTextChar"/>
    <w:uiPriority w:val="99"/>
    <w:rsid w:val="002D742C"/>
    <w:pPr>
      <w:spacing w:after="120"/>
    </w:pPr>
    <w:rPr>
      <w:sz w:val="22"/>
    </w:rPr>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uiPriority w:val="99"/>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link w:val="quoteChar"/>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uiPriority w:val="99"/>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link w:val="BodyText3Char"/>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link w:val="BodyTextIndent2Char"/>
    <w:pPr>
      <w:spacing w:after="120" w:line="480" w:lineRule="auto"/>
      <w:ind w:left="360"/>
    </w:pPr>
    <w:rPr>
      <w:rFonts w:ascii="Times New Roman" w:hAnsi="Times New Roman"/>
      <w:sz w:val="24"/>
      <w:szCs w:val="24"/>
    </w:rPr>
  </w:style>
  <w:style w:type="paragraph" w:styleId="PlainText">
    <w:name w:val="Plain Text"/>
    <w:basedOn w:val="Normal"/>
    <w:link w:val="PlainTextChar"/>
    <w:uiPriority w:val="99"/>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830D8"/>
    <w:pPr>
      <w:tabs>
        <w:tab w:val="left" w:pos="520"/>
        <w:tab w:val="left" w:pos="1080"/>
        <w:tab w:val="right" w:leader="dot" w:pos="9350"/>
      </w:tabs>
      <w:ind w:left="540" w:hanging="540"/>
    </w:pPr>
    <w:rPr>
      <w:noProof/>
      <w:szCs w:val="26"/>
    </w:rPr>
  </w:style>
  <w:style w:type="paragraph" w:styleId="TOC2">
    <w:name w:val="toc 2"/>
    <w:basedOn w:val="Normal"/>
    <w:next w:val="Normal"/>
    <w:autoRedefine/>
    <w:uiPriority w:val="39"/>
    <w:rsid w:val="00B34BCE"/>
    <w:pPr>
      <w:tabs>
        <w:tab w:val="left" w:pos="1260"/>
        <w:tab w:val="right" w:leader="dot" w:pos="9350"/>
      </w:tabs>
      <w:ind w:left="1260" w:hanging="72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uiPriority w:val="99"/>
    <w:rsid w:val="00DB5FD5"/>
    <w:rPr>
      <w:rFonts w:ascii="Palatino" w:hAnsi="Palatino"/>
      <w:sz w:val="26"/>
    </w:rPr>
  </w:style>
  <w:style w:type="character" w:styleId="CommentReference">
    <w:name w:val="annotation reference"/>
    <w:uiPriority w:val="99"/>
    <w:unhideWhenUsed/>
    <w:rsid w:val="00A711E6"/>
    <w:rPr>
      <w:sz w:val="16"/>
      <w:szCs w:val="16"/>
    </w:rPr>
  </w:style>
  <w:style w:type="paragraph" w:styleId="CommentText">
    <w:name w:val="annotation text"/>
    <w:basedOn w:val="Normal"/>
    <w:link w:val="CommentTextChar"/>
    <w:uiPriority w:val="99"/>
    <w:unhideWhenUsed/>
    <w:rsid w:val="00A711E6"/>
    <w:rPr>
      <w:sz w:val="20"/>
    </w:rPr>
  </w:style>
  <w:style w:type="character" w:customStyle="1" w:styleId="CommentTextChar">
    <w:name w:val="Comment Text Char"/>
    <w:basedOn w:val="DefaultParagraphFont"/>
    <w:link w:val="CommentText"/>
    <w:uiPriority w:val="99"/>
    <w:rsid w:val="00A711E6"/>
    <w:rPr>
      <w:rFonts w:ascii="Palatino" w:hAnsi="Palatino"/>
    </w:rPr>
  </w:style>
  <w:style w:type="character" w:customStyle="1" w:styleId="quoteChar">
    <w:name w:val="quote Char"/>
    <w:basedOn w:val="standardChar"/>
    <w:link w:val="Quote1"/>
    <w:rsid w:val="00C610C7"/>
    <w:rPr>
      <w:rFonts w:ascii="Palatino" w:hAnsi="Palatino"/>
      <w:sz w:val="26"/>
      <w:lang w:val="en-US" w:eastAsia="en-US" w:bidi="ar-SA"/>
    </w:rPr>
  </w:style>
  <w:style w:type="paragraph" w:customStyle="1" w:styleId="no1">
    <w:name w:val="no.1"/>
    <w:basedOn w:val="standard"/>
    <w:rsid w:val="00C610C7"/>
    <w:pPr>
      <w:tabs>
        <w:tab w:val="left" w:pos="1080"/>
      </w:tabs>
      <w:spacing w:after="120" w:line="240" w:lineRule="auto"/>
      <w:ind w:left="1080" w:right="994" w:hanging="360"/>
    </w:pPr>
  </w:style>
  <w:style w:type="table" w:styleId="TableGrid">
    <w:name w:val="Table Grid"/>
    <w:basedOn w:val="TableNormal"/>
    <w:uiPriority w:val="59"/>
    <w:rsid w:val="00C61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C610C7"/>
    <w:pPr>
      <w:spacing w:before="100" w:beforeAutospacing="1" w:after="100" w:afterAutospacing="1"/>
    </w:pPr>
    <w:rPr>
      <w:rFonts w:ascii="Times New Roman" w:hAnsi="Times New Roman"/>
      <w:sz w:val="24"/>
      <w:szCs w:val="24"/>
    </w:rPr>
  </w:style>
  <w:style w:type="paragraph" w:customStyle="1" w:styleId="msolistparagraphcxspmiddle">
    <w:name w:val="msolistparagraphcxspmiddle"/>
    <w:basedOn w:val="Normal"/>
    <w:rsid w:val="00C610C7"/>
    <w:pPr>
      <w:spacing w:before="100" w:beforeAutospacing="1" w:after="100" w:afterAutospacing="1"/>
    </w:pPr>
    <w:rPr>
      <w:rFonts w:ascii="Times New Roman" w:hAnsi="Times New Roman"/>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rsid w:val="00C610C7"/>
    <w:rPr>
      <w:rFonts w:ascii="Palatino" w:hAnsi="Palatino"/>
      <w:sz w:val="22"/>
    </w:rPr>
  </w:style>
  <w:style w:type="paragraph" w:styleId="ListParagraph">
    <w:name w:val="List Paragraph"/>
    <w:basedOn w:val="Normal"/>
    <w:uiPriority w:val="34"/>
    <w:qFormat/>
    <w:rsid w:val="00C610C7"/>
    <w:pPr>
      <w:ind w:left="720"/>
      <w:contextualSpacing/>
    </w:pPr>
  </w:style>
  <w:style w:type="paragraph" w:styleId="CommentSubject">
    <w:name w:val="annotation subject"/>
    <w:basedOn w:val="CommentText"/>
    <w:next w:val="CommentText"/>
    <w:link w:val="CommentSubjectChar"/>
    <w:uiPriority w:val="99"/>
    <w:unhideWhenUsed/>
    <w:rsid w:val="00C610C7"/>
    <w:rPr>
      <w:b/>
      <w:bCs/>
    </w:rPr>
  </w:style>
  <w:style w:type="character" w:customStyle="1" w:styleId="CommentSubjectChar">
    <w:name w:val="Comment Subject Char"/>
    <w:basedOn w:val="CommentTextChar"/>
    <w:link w:val="CommentSubject"/>
    <w:uiPriority w:val="99"/>
    <w:rsid w:val="00C610C7"/>
    <w:rPr>
      <w:rFonts w:ascii="Palatino" w:hAnsi="Palatino"/>
      <w:b/>
      <w:bCs/>
    </w:rPr>
  </w:style>
  <w:style w:type="paragraph" w:styleId="BalloonText">
    <w:name w:val="Balloon Text"/>
    <w:basedOn w:val="Normal"/>
    <w:link w:val="BalloonTextChar"/>
    <w:uiPriority w:val="99"/>
    <w:unhideWhenUsed/>
    <w:rsid w:val="00C610C7"/>
    <w:rPr>
      <w:rFonts w:ascii="Tahoma" w:hAnsi="Tahoma" w:cs="Tahoma"/>
      <w:sz w:val="16"/>
      <w:szCs w:val="16"/>
    </w:rPr>
  </w:style>
  <w:style w:type="character" w:customStyle="1" w:styleId="BalloonTextChar">
    <w:name w:val="Balloon Text Char"/>
    <w:basedOn w:val="DefaultParagraphFont"/>
    <w:link w:val="BalloonText"/>
    <w:uiPriority w:val="99"/>
    <w:rsid w:val="00C610C7"/>
    <w:rPr>
      <w:rFonts w:ascii="Tahoma" w:hAnsi="Tahoma" w:cs="Tahoma"/>
      <w:sz w:val="16"/>
      <w:szCs w:val="16"/>
    </w:rPr>
  </w:style>
  <w:style w:type="paragraph" w:customStyle="1" w:styleId="content">
    <w:name w:val="content"/>
    <w:basedOn w:val="Normal"/>
    <w:link w:val="contentChar"/>
    <w:rsid w:val="00C610C7"/>
    <w:pPr>
      <w:spacing w:before="100" w:beforeAutospacing="1" w:after="100" w:afterAutospacing="1"/>
    </w:pPr>
    <w:rPr>
      <w:rFonts w:ascii="Times New Roman" w:hAnsi="Times New Roman"/>
      <w:color w:val="000000"/>
      <w:sz w:val="19"/>
      <w:lang w:val="x-none" w:eastAsia="x-none"/>
    </w:rPr>
  </w:style>
  <w:style w:type="character" w:customStyle="1" w:styleId="contentChar">
    <w:name w:val="content Char"/>
    <w:link w:val="content"/>
    <w:locked/>
    <w:rsid w:val="00C610C7"/>
    <w:rPr>
      <w:color w:val="000000"/>
      <w:sz w:val="19"/>
      <w:lang w:val="x-none" w:eastAsia="x-none"/>
    </w:rPr>
  </w:style>
  <w:style w:type="paragraph" w:customStyle="1" w:styleId="BodyA">
    <w:name w:val="Body A"/>
    <w:rsid w:val="00C610C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Palatino" w:hAnsi="Arial Unicode MS" w:cs="Arial Unicode MS"/>
      <w:color w:val="000000"/>
      <w:sz w:val="26"/>
      <w:szCs w:val="26"/>
      <w:u w:color="000000"/>
    </w:rPr>
  </w:style>
  <w:style w:type="character" w:customStyle="1" w:styleId="Heading6Char">
    <w:name w:val="Heading 6 Char"/>
    <w:basedOn w:val="DefaultParagraphFont"/>
    <w:link w:val="Heading6"/>
    <w:rsid w:val="00C610C7"/>
    <w:rPr>
      <w:rFonts w:ascii="Helvetica" w:hAnsi="Helvetica"/>
      <w:b/>
      <w:bCs/>
      <w:sz w:val="26"/>
      <w:szCs w:val="22"/>
    </w:rPr>
  </w:style>
  <w:style w:type="character" w:customStyle="1" w:styleId="Heading7Char">
    <w:name w:val="Heading 7 Char"/>
    <w:basedOn w:val="DefaultParagraphFont"/>
    <w:link w:val="Heading7"/>
    <w:rsid w:val="00C610C7"/>
    <w:rPr>
      <w:rFonts w:ascii="Helvetica" w:hAnsi="Helvetica"/>
      <w:b/>
      <w:sz w:val="26"/>
      <w:szCs w:val="24"/>
    </w:rPr>
  </w:style>
  <w:style w:type="character" w:customStyle="1" w:styleId="Heading8Char">
    <w:name w:val="Heading 8 Char"/>
    <w:basedOn w:val="DefaultParagraphFont"/>
    <w:link w:val="Heading8"/>
    <w:rsid w:val="00C610C7"/>
    <w:rPr>
      <w:rFonts w:ascii="Helvetica" w:hAnsi="Helvetica"/>
      <w:b/>
      <w:iCs/>
      <w:sz w:val="24"/>
      <w:szCs w:val="24"/>
    </w:rPr>
  </w:style>
  <w:style w:type="character" w:customStyle="1" w:styleId="Heading9Char">
    <w:name w:val="Heading 9 Char"/>
    <w:basedOn w:val="DefaultParagraphFont"/>
    <w:link w:val="Heading9"/>
    <w:rsid w:val="00C610C7"/>
    <w:rPr>
      <w:rFonts w:ascii="Arial" w:hAnsi="Arial" w:cs="Arial"/>
      <w:sz w:val="22"/>
      <w:szCs w:val="22"/>
    </w:rPr>
  </w:style>
  <w:style w:type="character" w:customStyle="1" w:styleId="Heading1Char">
    <w:name w:val="Heading 1 Char"/>
    <w:basedOn w:val="DefaultParagraphFont"/>
    <w:link w:val="Heading1"/>
    <w:rsid w:val="00C610C7"/>
    <w:rPr>
      <w:rFonts w:ascii="Helvetica" w:hAnsi="Helvetica"/>
      <w:b/>
      <w:kern w:val="28"/>
      <w:sz w:val="26"/>
    </w:rPr>
  </w:style>
  <w:style w:type="character" w:customStyle="1" w:styleId="Heading2Char">
    <w:name w:val="Heading 2 Char"/>
    <w:basedOn w:val="DefaultParagraphFont"/>
    <w:link w:val="Heading2"/>
    <w:rsid w:val="009A00FB"/>
    <w:rPr>
      <w:rFonts w:ascii="Helvetica" w:hAnsi="Helvetica"/>
      <w:b/>
      <w:iCs/>
      <w:sz w:val="26"/>
    </w:rPr>
  </w:style>
  <w:style w:type="character" w:customStyle="1" w:styleId="Heading3Char">
    <w:name w:val="Heading 3 Char"/>
    <w:basedOn w:val="DefaultParagraphFont"/>
    <w:link w:val="Heading3"/>
    <w:rsid w:val="005D7D31"/>
    <w:rPr>
      <w:rFonts w:ascii="Helvetica" w:hAnsi="Helvetica"/>
      <w:b/>
      <w:sz w:val="26"/>
    </w:rPr>
  </w:style>
  <w:style w:type="character" w:customStyle="1" w:styleId="Heading4Char">
    <w:name w:val="Heading 4 Char"/>
    <w:basedOn w:val="DefaultParagraphFont"/>
    <w:link w:val="Heading4"/>
    <w:rsid w:val="00C610C7"/>
    <w:rPr>
      <w:rFonts w:ascii="Helvetica" w:hAnsi="Helvetica"/>
      <w:b/>
      <w:iCs/>
      <w:sz w:val="26"/>
    </w:rPr>
  </w:style>
  <w:style w:type="character" w:customStyle="1" w:styleId="Heading5Char">
    <w:name w:val="Heading 5 Char"/>
    <w:basedOn w:val="DefaultParagraphFont"/>
    <w:link w:val="Heading5"/>
    <w:rsid w:val="00C610C7"/>
    <w:rPr>
      <w:rFonts w:ascii="Helvetica" w:hAnsi="Helvetica"/>
      <w:b/>
      <w:sz w:val="26"/>
    </w:rPr>
  </w:style>
  <w:style w:type="character" w:customStyle="1" w:styleId="BodyTextChar">
    <w:name w:val="Body Text Char"/>
    <w:basedOn w:val="DefaultParagraphFont"/>
    <w:link w:val="BodyText"/>
    <w:uiPriority w:val="99"/>
    <w:rsid w:val="00C610C7"/>
    <w:rPr>
      <w:sz w:val="24"/>
    </w:rPr>
  </w:style>
  <w:style w:type="character" w:customStyle="1" w:styleId="BodyText3Char">
    <w:name w:val="Body Text 3 Char"/>
    <w:basedOn w:val="DefaultParagraphFont"/>
    <w:link w:val="BodyText3"/>
    <w:rsid w:val="00C610C7"/>
    <w:rPr>
      <w:sz w:val="24"/>
      <w:u w:val="single"/>
    </w:rPr>
  </w:style>
  <w:style w:type="character" w:customStyle="1" w:styleId="BodyText2Char">
    <w:name w:val="Body Text 2 Char"/>
    <w:basedOn w:val="DefaultParagraphFont"/>
    <w:link w:val="BodyText2"/>
    <w:rsid w:val="00C610C7"/>
    <w:rPr>
      <w:rFonts w:ascii="Times" w:hAnsi="Times"/>
      <w:sz w:val="24"/>
    </w:rPr>
  </w:style>
  <w:style w:type="character" w:customStyle="1" w:styleId="BodyTextIndent2Char">
    <w:name w:val="Body Text Indent 2 Char"/>
    <w:basedOn w:val="DefaultParagraphFont"/>
    <w:link w:val="BodyTextIndent2"/>
    <w:rsid w:val="00C610C7"/>
    <w:rPr>
      <w:sz w:val="24"/>
      <w:szCs w:val="24"/>
    </w:rPr>
  </w:style>
  <w:style w:type="character" w:customStyle="1" w:styleId="PlainTextChar">
    <w:name w:val="Plain Text Char"/>
    <w:basedOn w:val="DefaultParagraphFont"/>
    <w:link w:val="PlainText"/>
    <w:uiPriority w:val="99"/>
    <w:rsid w:val="00C610C7"/>
    <w:rPr>
      <w:rFonts w:ascii="Courier New" w:hAnsi="Courier New" w:cs="Courier New"/>
      <w:spacing w:val="-4"/>
      <w:sz w:val="24"/>
    </w:rPr>
  </w:style>
  <w:style w:type="character" w:customStyle="1" w:styleId="BodyTextIndent3Char">
    <w:name w:val="Body Text Indent 3 Char"/>
    <w:basedOn w:val="DefaultParagraphFont"/>
    <w:link w:val="BodyTextIndent3"/>
    <w:rsid w:val="00C610C7"/>
    <w:rPr>
      <w:snapToGrid w:val="0"/>
      <w:sz w:val="24"/>
    </w:rPr>
  </w:style>
  <w:style w:type="character" w:customStyle="1" w:styleId="BodyTextIndentChar">
    <w:name w:val="Body Text Indent Char"/>
    <w:basedOn w:val="DefaultParagraphFont"/>
    <w:link w:val="BodyTextIndent"/>
    <w:rsid w:val="00C610C7"/>
    <w:rPr>
      <w:rFonts w:ascii="Palatino" w:hAnsi="Palatino"/>
      <w:sz w:val="26"/>
    </w:rPr>
  </w:style>
  <w:style w:type="paragraph" w:customStyle="1" w:styleId="Body">
    <w:name w:val="Body"/>
    <w:rsid w:val="00C610C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hAnsi="Arial Unicode MS" w:cs="Arial Unicode MS"/>
      <w:color w:val="000000"/>
      <w:sz w:val="24"/>
      <w:szCs w:val="24"/>
      <w:u w:color="000000"/>
    </w:rPr>
  </w:style>
  <w:style w:type="character" w:customStyle="1" w:styleId="FootnoteCharacters">
    <w:name w:val="Footnote Characters"/>
    <w:rsid w:val="00C610C7"/>
    <w:rPr>
      <w:sz w:val="24"/>
      <w:vertAlign w:val="superscript"/>
    </w:rPr>
  </w:style>
  <w:style w:type="paragraph" w:customStyle="1" w:styleId="WW-Default">
    <w:name w:val="WW-Default"/>
    <w:rsid w:val="00C610C7"/>
    <w:pPr>
      <w:suppressAutoHyphens/>
      <w:autoSpaceDE w:val="0"/>
    </w:pPr>
    <w:rPr>
      <w:color w:val="000000"/>
      <w:sz w:val="24"/>
      <w:szCs w:val="24"/>
      <w:lang w:eastAsia="ar-SA"/>
    </w:rPr>
  </w:style>
  <w:style w:type="paragraph" w:styleId="EndnoteText">
    <w:name w:val="endnote text"/>
    <w:basedOn w:val="Normal"/>
    <w:link w:val="EndnoteTextChar"/>
    <w:rsid w:val="00C610C7"/>
    <w:rPr>
      <w:sz w:val="20"/>
    </w:rPr>
  </w:style>
  <w:style w:type="character" w:customStyle="1" w:styleId="EndnoteTextChar">
    <w:name w:val="Endnote Text Char"/>
    <w:basedOn w:val="DefaultParagraphFont"/>
    <w:link w:val="EndnoteText"/>
    <w:rsid w:val="00C610C7"/>
    <w:rPr>
      <w:rFonts w:ascii="Palatino" w:hAnsi="Palatino"/>
    </w:rPr>
  </w:style>
  <w:style w:type="character" w:styleId="EndnoteReference">
    <w:name w:val="endnote reference"/>
    <w:basedOn w:val="DefaultParagraphFont"/>
    <w:rsid w:val="00C610C7"/>
    <w:rPr>
      <w:vertAlign w:val="superscript"/>
    </w:rPr>
  </w:style>
  <w:style w:type="paragraph" w:customStyle="1" w:styleId="TOCTitle">
    <w:name w:val="TOC Title"/>
    <w:basedOn w:val="TOCHeading"/>
    <w:qFormat/>
    <w:rsid w:val="00C610C7"/>
    <w:pPr>
      <w:keepLines w:val="0"/>
      <w:tabs>
        <w:tab w:val="left" w:pos="360"/>
        <w:tab w:val="right" w:leader="dot" w:pos="10430"/>
      </w:tabs>
      <w:spacing w:after="240" w:line="280" w:lineRule="exact"/>
      <w:jc w:val="center"/>
    </w:pPr>
    <w:rPr>
      <w:rFonts w:ascii="Arial" w:eastAsia="Times New Roman" w:hAnsi="Arial" w:cs="Times New Roman"/>
      <w:bCs w:val="0"/>
      <w:color w:val="000090"/>
      <w:sz w:val="32"/>
      <w:szCs w:val="24"/>
    </w:rPr>
  </w:style>
  <w:style w:type="paragraph" w:styleId="TOCHeading">
    <w:name w:val="TOC Heading"/>
    <w:basedOn w:val="Heading1"/>
    <w:next w:val="Normal"/>
    <w:uiPriority w:val="39"/>
    <w:unhideWhenUsed/>
    <w:qFormat/>
    <w:rsid w:val="00C610C7"/>
    <w:pPr>
      <w:keepLines/>
      <w:numPr>
        <w:numId w:val="0"/>
      </w:numPr>
      <w:spacing w:before="480" w:after="0" w:line="276" w:lineRule="auto"/>
      <w:ind w:right="0"/>
      <w:outlineLvl w:val="9"/>
    </w:pPr>
    <w:rPr>
      <w:rFonts w:asciiTheme="majorHAnsi" w:eastAsiaTheme="majorEastAsia" w:hAnsiTheme="majorHAnsi" w:cstheme="majorBidi"/>
      <w:bCs/>
      <w:color w:val="365F91" w:themeColor="accent1" w:themeShade="BF"/>
      <w:kern w:val="0"/>
      <w:sz w:val="28"/>
      <w:szCs w:val="28"/>
    </w:rPr>
  </w:style>
  <w:style w:type="paragraph" w:customStyle="1" w:styleId="ExecSummary">
    <w:name w:val="Exec Summary"/>
    <w:basedOn w:val="Heading1"/>
    <w:next w:val="Normal"/>
    <w:rsid w:val="00C610C7"/>
    <w:pPr>
      <w:numPr>
        <w:numId w:val="0"/>
      </w:numPr>
      <w:tabs>
        <w:tab w:val="center" w:pos="4320"/>
        <w:tab w:val="right" w:pos="8640"/>
      </w:tabs>
      <w:spacing w:before="480" w:after="240" w:line="280" w:lineRule="exact"/>
      <w:ind w:right="0"/>
      <w:jc w:val="center"/>
    </w:pPr>
    <w:rPr>
      <w:rFonts w:ascii="Arial" w:hAnsi="Arial" w:cs="Arial"/>
      <w:bCs/>
      <w:caps/>
      <w:color w:val="000080"/>
      <w:kern w:val="32"/>
      <w:sz w:val="40"/>
      <w:szCs w:val="32"/>
    </w:rPr>
  </w:style>
  <w:style w:type="paragraph" w:styleId="Caption">
    <w:name w:val="caption"/>
    <w:basedOn w:val="Normal"/>
    <w:next w:val="Normal"/>
    <w:qFormat/>
    <w:rsid w:val="00C610C7"/>
    <w:pPr>
      <w:keepNext/>
      <w:spacing w:before="240" w:after="240" w:line="280" w:lineRule="exact"/>
      <w:ind w:left="360"/>
      <w:jc w:val="center"/>
    </w:pPr>
    <w:rPr>
      <w:rFonts w:ascii="Times New Roman" w:hAnsi="Times New Roman"/>
      <w:b/>
      <w:bCs/>
      <w:sz w:val="20"/>
    </w:rPr>
  </w:style>
  <w:style w:type="paragraph" w:styleId="TableofFigures">
    <w:name w:val="table of figures"/>
    <w:basedOn w:val="Normal"/>
    <w:next w:val="Normal"/>
    <w:uiPriority w:val="99"/>
    <w:rsid w:val="00C610C7"/>
    <w:pPr>
      <w:keepNext/>
      <w:spacing w:before="120" w:after="120" w:line="280" w:lineRule="exact"/>
      <w:jc w:val="both"/>
    </w:pPr>
    <w:rPr>
      <w:rFonts w:ascii="Times New Roman" w:hAnsi="Times New Roman"/>
      <w:sz w:val="22"/>
      <w:szCs w:val="24"/>
    </w:rPr>
  </w:style>
  <w:style w:type="paragraph" w:customStyle="1" w:styleId="StyleAuthorsonTitlepageBold">
    <w:name w:val="Style Authors on Title page + Bold"/>
    <w:basedOn w:val="Normal"/>
    <w:rsid w:val="00C610C7"/>
    <w:pPr>
      <w:keepNext/>
      <w:spacing w:before="240" w:after="240" w:line="280" w:lineRule="exact"/>
    </w:pPr>
    <w:rPr>
      <w:rFonts w:ascii="Arial" w:hAnsi="Arial"/>
      <w:bCs/>
      <w:color w:val="000000"/>
      <w:sz w:val="22"/>
      <w:szCs w:val="22"/>
    </w:rPr>
  </w:style>
  <w:style w:type="paragraph" w:customStyle="1" w:styleId="Default">
    <w:name w:val="Default"/>
    <w:rsid w:val="00C610C7"/>
    <w:pPr>
      <w:autoSpaceDE w:val="0"/>
      <w:autoSpaceDN w:val="0"/>
      <w:adjustRightInd w:val="0"/>
    </w:pPr>
    <w:rPr>
      <w:rFonts w:eastAsiaTheme="minorHAnsi"/>
      <w:color w:val="000000"/>
      <w:sz w:val="24"/>
      <w:szCs w:val="24"/>
    </w:rPr>
  </w:style>
  <w:style w:type="paragraph" w:styleId="NoSpacing">
    <w:name w:val="No Spacing"/>
    <w:uiPriority w:val="1"/>
    <w:qFormat/>
    <w:rsid w:val="00C610C7"/>
    <w:rPr>
      <w:rFonts w:asciiTheme="minorHAnsi" w:eastAsiaTheme="minorHAnsi" w:hAnsiTheme="minorHAnsi" w:cstheme="minorBidi"/>
      <w:sz w:val="22"/>
      <w:szCs w:val="22"/>
    </w:rPr>
  </w:style>
  <w:style w:type="paragraph" w:styleId="NormalWeb">
    <w:name w:val="Normal (Web)"/>
    <w:basedOn w:val="Normal"/>
    <w:uiPriority w:val="99"/>
    <w:rsid w:val="00C610C7"/>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C610C7"/>
    <w:rPr>
      <w:rFonts w:ascii="Palatino" w:hAnsi="Palatino"/>
      <w:sz w:val="26"/>
    </w:rPr>
  </w:style>
  <w:style w:type="numbering" w:customStyle="1" w:styleId="NoList1">
    <w:name w:val="No List1"/>
    <w:next w:val="NoList"/>
    <w:uiPriority w:val="99"/>
    <w:semiHidden/>
    <w:unhideWhenUsed/>
    <w:rsid w:val="00C610C7"/>
  </w:style>
  <w:style w:type="character" w:customStyle="1" w:styleId="SubtitleChar">
    <w:name w:val="Subtitle Char"/>
    <w:basedOn w:val="DefaultParagraphFont"/>
    <w:link w:val="Subtitle"/>
    <w:rsid w:val="00C610C7"/>
    <w:rPr>
      <w:rFonts w:ascii="Arial" w:hAnsi="Arial"/>
      <w:sz w:val="26"/>
    </w:rPr>
  </w:style>
  <w:style w:type="character" w:customStyle="1" w:styleId="UnresolvedMention1">
    <w:name w:val="Unresolved Mention1"/>
    <w:basedOn w:val="DefaultParagraphFont"/>
    <w:uiPriority w:val="99"/>
    <w:semiHidden/>
    <w:unhideWhenUsed/>
    <w:rsid w:val="00C610C7"/>
    <w:rPr>
      <w:color w:val="808080"/>
      <w:shd w:val="clear" w:color="auto" w:fill="E6E6E6"/>
    </w:rPr>
  </w:style>
  <w:style w:type="character" w:styleId="Emphasis">
    <w:name w:val="Emphasis"/>
    <w:basedOn w:val="DefaultParagraphFont"/>
    <w:uiPriority w:val="20"/>
    <w:qFormat/>
    <w:rsid w:val="00B4735F"/>
    <w:rPr>
      <w:b/>
      <w:bCs/>
      <w:i w:val="0"/>
      <w:iCs w:val="0"/>
    </w:rPr>
  </w:style>
  <w:style w:type="character" w:customStyle="1" w:styleId="st1">
    <w:name w:val="st1"/>
    <w:basedOn w:val="DefaultParagraphFont"/>
    <w:rsid w:val="00B4735F"/>
  </w:style>
  <w:style w:type="character" w:customStyle="1" w:styleId="y0nh2b">
    <w:name w:val="y0nh2b"/>
    <w:basedOn w:val="DefaultParagraphFont"/>
    <w:rsid w:val="00F15C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table of figures"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numPr>
        <w:numId w:val="5"/>
      </w:numPr>
      <w:tabs>
        <w:tab w:val="clear" w:pos="720"/>
        <w:tab w:val="num" w:pos="450"/>
      </w:tabs>
      <w:spacing w:before="120" w:after="120"/>
      <w:ind w:left="450" w:right="2160" w:hanging="450"/>
      <w:outlineLvl w:val="0"/>
    </w:pPr>
    <w:rPr>
      <w:rFonts w:ascii="Helvetica" w:hAnsi="Helvetica"/>
      <w:b/>
      <w:kern w:val="28"/>
    </w:rPr>
  </w:style>
  <w:style w:type="paragraph" w:styleId="Heading2">
    <w:name w:val="heading 2"/>
    <w:basedOn w:val="Normal"/>
    <w:next w:val="sub1"/>
    <w:link w:val="Heading2Char"/>
    <w:qFormat/>
    <w:rsid w:val="009A00FB"/>
    <w:pPr>
      <w:keepNext/>
      <w:keepLines/>
      <w:widowControl w:val="0"/>
      <w:numPr>
        <w:ilvl w:val="1"/>
        <w:numId w:val="5"/>
      </w:numPr>
      <w:tabs>
        <w:tab w:val="clear" w:pos="1710"/>
        <w:tab w:val="num" w:pos="1440"/>
      </w:tabs>
      <w:spacing w:before="120" w:after="120"/>
      <w:ind w:left="1440" w:right="2160"/>
      <w:outlineLvl w:val="1"/>
    </w:pPr>
    <w:rPr>
      <w:rFonts w:ascii="Helvetica" w:hAnsi="Helvetica"/>
      <w:b/>
      <w:iCs/>
    </w:rPr>
  </w:style>
  <w:style w:type="paragraph" w:styleId="Heading3">
    <w:name w:val="heading 3"/>
    <w:basedOn w:val="Normal"/>
    <w:next w:val="sub2"/>
    <w:link w:val="Heading3Char"/>
    <w:qFormat/>
    <w:rsid w:val="005D7D31"/>
    <w:pPr>
      <w:keepNext/>
      <w:numPr>
        <w:ilvl w:val="2"/>
        <w:numId w:val="5"/>
      </w:numPr>
      <w:tabs>
        <w:tab w:val="left" w:pos="1620"/>
      </w:tabs>
      <w:spacing w:before="120" w:after="120"/>
      <w:ind w:left="1620" w:hanging="900"/>
      <w:outlineLvl w:val="2"/>
    </w:pPr>
    <w:rPr>
      <w:rFonts w:ascii="Helvetica" w:hAnsi="Helvetica"/>
      <w:b/>
    </w:rPr>
  </w:style>
  <w:style w:type="paragraph" w:styleId="Heading4">
    <w:name w:val="heading 4"/>
    <w:basedOn w:val="Normal"/>
    <w:next w:val="sub3"/>
    <w:link w:val="Heading4Char"/>
    <w:qFormat/>
    <w:pPr>
      <w:keepNext/>
      <w:numPr>
        <w:ilvl w:val="3"/>
        <w:numId w:val="5"/>
      </w:numPr>
      <w:tabs>
        <w:tab w:val="clear" w:pos="900"/>
        <w:tab w:val="num" w:pos="0"/>
        <w:tab w:val="left" w:pos="1980"/>
      </w:tabs>
      <w:spacing w:before="120" w:after="120"/>
      <w:ind w:left="2880" w:right="720"/>
      <w:outlineLvl w:val="3"/>
    </w:pPr>
    <w:rPr>
      <w:rFonts w:ascii="Helvetica" w:hAnsi="Helvetica"/>
      <w:b/>
      <w:iCs/>
    </w:rPr>
  </w:style>
  <w:style w:type="paragraph" w:styleId="Heading5">
    <w:name w:val="heading 5"/>
    <w:basedOn w:val="Normal"/>
    <w:next w:val="sub4"/>
    <w:link w:val="Heading5Char"/>
    <w:qFormat/>
    <w:pPr>
      <w:numPr>
        <w:ilvl w:val="4"/>
        <w:numId w:val="5"/>
      </w:numPr>
      <w:spacing w:before="120" w:after="120"/>
      <w:ind w:left="1980" w:hanging="1260"/>
      <w:outlineLvl w:val="4"/>
    </w:pPr>
    <w:rPr>
      <w:rFonts w:ascii="Helvetica" w:hAnsi="Helvetica"/>
      <w:b/>
    </w:rPr>
  </w:style>
  <w:style w:type="paragraph" w:styleId="Heading6">
    <w:name w:val="heading 6"/>
    <w:basedOn w:val="Normal"/>
    <w:next w:val="sub5"/>
    <w:link w:val="Heading6Char"/>
    <w:qFormat/>
    <w:pPr>
      <w:numPr>
        <w:ilvl w:val="5"/>
        <w:numId w:val="5"/>
      </w:numPr>
      <w:spacing w:before="120" w:after="120"/>
      <w:ind w:left="2160" w:hanging="1440"/>
      <w:outlineLvl w:val="5"/>
    </w:pPr>
    <w:rPr>
      <w:rFonts w:ascii="Helvetica" w:hAnsi="Helvetica"/>
      <w:b/>
      <w:bCs/>
      <w:szCs w:val="22"/>
    </w:rPr>
  </w:style>
  <w:style w:type="paragraph" w:styleId="Heading7">
    <w:name w:val="heading 7"/>
    <w:basedOn w:val="Normal"/>
    <w:next w:val="sub6"/>
    <w:link w:val="Heading7Char"/>
    <w:qFormat/>
    <w:pPr>
      <w:numPr>
        <w:ilvl w:val="6"/>
        <w:numId w:val="5"/>
      </w:numPr>
      <w:tabs>
        <w:tab w:val="left" w:pos="2520"/>
      </w:tabs>
      <w:spacing w:before="120" w:after="120"/>
      <w:ind w:left="2520" w:hanging="1800"/>
      <w:outlineLvl w:val="6"/>
    </w:pPr>
    <w:rPr>
      <w:rFonts w:ascii="Helvetica" w:hAnsi="Helvetica"/>
      <w:b/>
      <w:szCs w:val="24"/>
    </w:rPr>
  </w:style>
  <w:style w:type="paragraph" w:styleId="Heading8">
    <w:name w:val="heading 8"/>
    <w:basedOn w:val="Normal"/>
    <w:next w:val="sub7"/>
    <w:link w:val="Heading8Char"/>
    <w:qFormat/>
    <w:pPr>
      <w:numPr>
        <w:ilvl w:val="7"/>
        <w:numId w:val="5"/>
      </w:numPr>
      <w:spacing w:before="120" w:after="120"/>
      <w:ind w:left="2700" w:hanging="1890"/>
      <w:outlineLvl w:val="7"/>
    </w:pPr>
    <w:rPr>
      <w:rFonts w:ascii="Helvetica" w:hAnsi="Helvetica"/>
      <w:b/>
      <w:iCs/>
      <w:sz w:val="24"/>
      <w:szCs w:val="24"/>
    </w:rPr>
  </w:style>
  <w:style w:type="paragraph" w:styleId="Heading9">
    <w:name w:val="heading 9"/>
    <w:basedOn w:val="Normal"/>
    <w:next w:val="Normal"/>
    <w:link w:val="Heading9Char"/>
    <w:qFormat/>
    <w:pPr>
      <w:numPr>
        <w:ilvl w:val="8"/>
        <w:numId w:val="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pPr>
      <w:spacing w:line="360" w:lineRule="auto"/>
      <w:ind w:firstLine="720"/>
    </w:p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f,ALTS FOOTNOTE"/>
    <w:basedOn w:val="Normal"/>
    <w:link w:val="FootnoteTextChar"/>
    <w:uiPriority w:val="99"/>
    <w:rsid w:val="002D742C"/>
    <w:pPr>
      <w:spacing w:after="120"/>
    </w:pPr>
    <w:rPr>
      <w:sz w:val="22"/>
    </w:rPr>
  </w:style>
  <w:style w:type="character" w:styleId="FootnoteReference">
    <w:name w:val="footnote reference"/>
    <w:aliases w:val="o,fr,Style 3,o1,o2,o3,o4,o5,o6,o11,o21,o7,Appel note de bas de p,Style 12,(NECG) Footnote Reference,Style 124,Style 13,FR,Style 17,Style 6,Footnote Reference/,Style 7,Style 4,Style 34,Style 9,Footnote Reference1"/>
    <w:uiPriority w:val="99"/>
    <w:rPr>
      <w:sz w:val="24"/>
      <w:vertAlign w:val="superscript"/>
    </w:rPr>
  </w:style>
  <w:style w:type="paragraph" w:styleId="Subtitle">
    <w:name w:val="Subtitle"/>
    <w:basedOn w:val="Normal"/>
    <w:link w:val="SubtitleChar"/>
    <w:qFormat/>
    <w:pPr>
      <w:spacing w:after="60"/>
      <w:jc w:val="center"/>
    </w:pPr>
    <w:rPr>
      <w:rFonts w:ascii="Arial" w:hAnsi="Arial"/>
    </w:rPr>
  </w:style>
  <w:style w:type="paragraph" w:customStyle="1" w:styleId="Quote1">
    <w:name w:val="Quote1"/>
    <w:basedOn w:val="standard"/>
    <w:next w:val="standard"/>
    <w:link w:val="quoteChar"/>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uiPriority w:val="99"/>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link w:val="BodyText3Char"/>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link w:val="BodyText2Char"/>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link w:val="BodyTextIndent2Char"/>
    <w:pPr>
      <w:spacing w:after="120" w:line="480" w:lineRule="auto"/>
      <w:ind w:left="360"/>
    </w:pPr>
    <w:rPr>
      <w:rFonts w:ascii="Times New Roman" w:hAnsi="Times New Roman"/>
      <w:sz w:val="24"/>
      <w:szCs w:val="24"/>
    </w:rPr>
  </w:style>
  <w:style w:type="paragraph" w:styleId="PlainText">
    <w:name w:val="Plain Text"/>
    <w:basedOn w:val="Normal"/>
    <w:link w:val="PlainTextChar"/>
    <w:uiPriority w:val="99"/>
    <w:pPr>
      <w:spacing w:line="250" w:lineRule="exact"/>
    </w:pPr>
    <w:rPr>
      <w:rFonts w:ascii="Courier New" w:hAnsi="Courier New" w:cs="Courier New"/>
      <w:spacing w:val="-4"/>
      <w:sz w:val="24"/>
    </w:rPr>
  </w:style>
  <w:style w:type="paragraph" w:styleId="BodyTextIndent3">
    <w:name w:val="Body Text Indent 3"/>
    <w:basedOn w:val="Normal"/>
    <w:link w:val="BodyTextIndent3Char"/>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830D8"/>
    <w:pPr>
      <w:tabs>
        <w:tab w:val="left" w:pos="520"/>
        <w:tab w:val="left" w:pos="1080"/>
        <w:tab w:val="right" w:leader="dot" w:pos="9350"/>
      </w:tabs>
      <w:ind w:left="540" w:hanging="540"/>
    </w:pPr>
    <w:rPr>
      <w:noProof/>
      <w:szCs w:val="26"/>
    </w:rPr>
  </w:style>
  <w:style w:type="paragraph" w:styleId="TOC2">
    <w:name w:val="toc 2"/>
    <w:basedOn w:val="Normal"/>
    <w:next w:val="Normal"/>
    <w:autoRedefine/>
    <w:uiPriority w:val="39"/>
    <w:rsid w:val="00B34BCE"/>
    <w:pPr>
      <w:tabs>
        <w:tab w:val="left" w:pos="1260"/>
        <w:tab w:val="right" w:leader="dot" w:pos="9350"/>
      </w:tabs>
      <w:ind w:left="1260" w:hanging="72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uiPriority w:val="39"/>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4"/>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Pr>
      <w:rFonts w:ascii="Palatino" w:hAnsi="Palatino"/>
      <w:sz w:val="26"/>
      <w:lang w:val="en-US" w:eastAsia="en-US" w:bidi="ar-SA"/>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before="0"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uiPriority w:val="99"/>
    <w:rsid w:val="00DB5FD5"/>
    <w:rPr>
      <w:rFonts w:ascii="Palatino" w:hAnsi="Palatino"/>
      <w:sz w:val="26"/>
    </w:rPr>
  </w:style>
  <w:style w:type="character" w:styleId="CommentReference">
    <w:name w:val="annotation reference"/>
    <w:uiPriority w:val="99"/>
    <w:unhideWhenUsed/>
    <w:rsid w:val="00A711E6"/>
    <w:rPr>
      <w:sz w:val="16"/>
      <w:szCs w:val="16"/>
    </w:rPr>
  </w:style>
  <w:style w:type="paragraph" w:styleId="CommentText">
    <w:name w:val="annotation text"/>
    <w:basedOn w:val="Normal"/>
    <w:link w:val="CommentTextChar"/>
    <w:uiPriority w:val="99"/>
    <w:unhideWhenUsed/>
    <w:rsid w:val="00A711E6"/>
    <w:rPr>
      <w:sz w:val="20"/>
    </w:rPr>
  </w:style>
  <w:style w:type="character" w:customStyle="1" w:styleId="CommentTextChar">
    <w:name w:val="Comment Text Char"/>
    <w:basedOn w:val="DefaultParagraphFont"/>
    <w:link w:val="CommentText"/>
    <w:uiPriority w:val="99"/>
    <w:rsid w:val="00A711E6"/>
    <w:rPr>
      <w:rFonts w:ascii="Palatino" w:hAnsi="Palatino"/>
    </w:rPr>
  </w:style>
  <w:style w:type="character" w:customStyle="1" w:styleId="quoteChar">
    <w:name w:val="quote Char"/>
    <w:basedOn w:val="standardChar"/>
    <w:link w:val="Quote1"/>
    <w:rsid w:val="00C610C7"/>
    <w:rPr>
      <w:rFonts w:ascii="Palatino" w:hAnsi="Palatino"/>
      <w:sz w:val="26"/>
      <w:lang w:val="en-US" w:eastAsia="en-US" w:bidi="ar-SA"/>
    </w:rPr>
  </w:style>
  <w:style w:type="paragraph" w:customStyle="1" w:styleId="no1">
    <w:name w:val="no.1"/>
    <w:basedOn w:val="standard"/>
    <w:rsid w:val="00C610C7"/>
    <w:pPr>
      <w:tabs>
        <w:tab w:val="left" w:pos="1080"/>
      </w:tabs>
      <w:spacing w:after="120" w:line="240" w:lineRule="auto"/>
      <w:ind w:left="1080" w:right="994" w:hanging="360"/>
    </w:pPr>
  </w:style>
  <w:style w:type="table" w:styleId="TableGrid">
    <w:name w:val="Table Grid"/>
    <w:basedOn w:val="TableNormal"/>
    <w:uiPriority w:val="59"/>
    <w:rsid w:val="00C610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C610C7"/>
    <w:pPr>
      <w:spacing w:before="100" w:beforeAutospacing="1" w:after="100" w:afterAutospacing="1"/>
    </w:pPr>
    <w:rPr>
      <w:rFonts w:ascii="Times New Roman" w:hAnsi="Times New Roman"/>
      <w:sz w:val="24"/>
      <w:szCs w:val="24"/>
    </w:rPr>
  </w:style>
  <w:style w:type="paragraph" w:customStyle="1" w:styleId="msolistparagraphcxspmiddle">
    <w:name w:val="msolistparagraphcxspmiddle"/>
    <w:basedOn w:val="Normal"/>
    <w:rsid w:val="00C610C7"/>
    <w:pPr>
      <w:spacing w:before="100" w:beforeAutospacing="1" w:after="100" w:afterAutospacing="1"/>
    </w:pPr>
    <w:rPr>
      <w:rFonts w:ascii="Times New Roman" w:hAnsi="Times New Roman"/>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link w:val="FootnoteText"/>
    <w:uiPriority w:val="99"/>
    <w:rsid w:val="00C610C7"/>
    <w:rPr>
      <w:rFonts w:ascii="Palatino" w:hAnsi="Palatino"/>
      <w:sz w:val="22"/>
    </w:rPr>
  </w:style>
  <w:style w:type="paragraph" w:styleId="ListParagraph">
    <w:name w:val="List Paragraph"/>
    <w:basedOn w:val="Normal"/>
    <w:uiPriority w:val="34"/>
    <w:qFormat/>
    <w:rsid w:val="00C610C7"/>
    <w:pPr>
      <w:ind w:left="720"/>
      <w:contextualSpacing/>
    </w:pPr>
  </w:style>
  <w:style w:type="paragraph" w:styleId="CommentSubject">
    <w:name w:val="annotation subject"/>
    <w:basedOn w:val="CommentText"/>
    <w:next w:val="CommentText"/>
    <w:link w:val="CommentSubjectChar"/>
    <w:uiPriority w:val="99"/>
    <w:unhideWhenUsed/>
    <w:rsid w:val="00C610C7"/>
    <w:rPr>
      <w:b/>
      <w:bCs/>
    </w:rPr>
  </w:style>
  <w:style w:type="character" w:customStyle="1" w:styleId="CommentSubjectChar">
    <w:name w:val="Comment Subject Char"/>
    <w:basedOn w:val="CommentTextChar"/>
    <w:link w:val="CommentSubject"/>
    <w:uiPriority w:val="99"/>
    <w:rsid w:val="00C610C7"/>
    <w:rPr>
      <w:rFonts w:ascii="Palatino" w:hAnsi="Palatino"/>
      <w:b/>
      <w:bCs/>
    </w:rPr>
  </w:style>
  <w:style w:type="paragraph" w:styleId="BalloonText">
    <w:name w:val="Balloon Text"/>
    <w:basedOn w:val="Normal"/>
    <w:link w:val="BalloonTextChar"/>
    <w:uiPriority w:val="99"/>
    <w:unhideWhenUsed/>
    <w:rsid w:val="00C610C7"/>
    <w:rPr>
      <w:rFonts w:ascii="Tahoma" w:hAnsi="Tahoma" w:cs="Tahoma"/>
      <w:sz w:val="16"/>
      <w:szCs w:val="16"/>
    </w:rPr>
  </w:style>
  <w:style w:type="character" w:customStyle="1" w:styleId="BalloonTextChar">
    <w:name w:val="Balloon Text Char"/>
    <w:basedOn w:val="DefaultParagraphFont"/>
    <w:link w:val="BalloonText"/>
    <w:uiPriority w:val="99"/>
    <w:rsid w:val="00C610C7"/>
    <w:rPr>
      <w:rFonts w:ascii="Tahoma" w:hAnsi="Tahoma" w:cs="Tahoma"/>
      <w:sz w:val="16"/>
      <w:szCs w:val="16"/>
    </w:rPr>
  </w:style>
  <w:style w:type="paragraph" w:customStyle="1" w:styleId="content">
    <w:name w:val="content"/>
    <w:basedOn w:val="Normal"/>
    <w:link w:val="contentChar"/>
    <w:rsid w:val="00C610C7"/>
    <w:pPr>
      <w:spacing w:before="100" w:beforeAutospacing="1" w:after="100" w:afterAutospacing="1"/>
    </w:pPr>
    <w:rPr>
      <w:rFonts w:ascii="Times New Roman" w:hAnsi="Times New Roman"/>
      <w:color w:val="000000"/>
      <w:sz w:val="19"/>
      <w:lang w:val="x-none" w:eastAsia="x-none"/>
    </w:rPr>
  </w:style>
  <w:style w:type="character" w:customStyle="1" w:styleId="contentChar">
    <w:name w:val="content Char"/>
    <w:link w:val="content"/>
    <w:locked/>
    <w:rsid w:val="00C610C7"/>
    <w:rPr>
      <w:color w:val="000000"/>
      <w:sz w:val="19"/>
      <w:lang w:val="x-none" w:eastAsia="x-none"/>
    </w:rPr>
  </w:style>
  <w:style w:type="paragraph" w:customStyle="1" w:styleId="BodyA">
    <w:name w:val="Body A"/>
    <w:rsid w:val="00C610C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Palatino" w:hAnsi="Arial Unicode MS" w:cs="Arial Unicode MS"/>
      <w:color w:val="000000"/>
      <w:sz w:val="26"/>
      <w:szCs w:val="26"/>
      <w:u w:color="000000"/>
    </w:rPr>
  </w:style>
  <w:style w:type="character" w:customStyle="1" w:styleId="Heading6Char">
    <w:name w:val="Heading 6 Char"/>
    <w:basedOn w:val="DefaultParagraphFont"/>
    <w:link w:val="Heading6"/>
    <w:rsid w:val="00C610C7"/>
    <w:rPr>
      <w:rFonts w:ascii="Helvetica" w:hAnsi="Helvetica"/>
      <w:b/>
      <w:bCs/>
      <w:sz w:val="26"/>
      <w:szCs w:val="22"/>
    </w:rPr>
  </w:style>
  <w:style w:type="character" w:customStyle="1" w:styleId="Heading7Char">
    <w:name w:val="Heading 7 Char"/>
    <w:basedOn w:val="DefaultParagraphFont"/>
    <w:link w:val="Heading7"/>
    <w:rsid w:val="00C610C7"/>
    <w:rPr>
      <w:rFonts w:ascii="Helvetica" w:hAnsi="Helvetica"/>
      <w:b/>
      <w:sz w:val="26"/>
      <w:szCs w:val="24"/>
    </w:rPr>
  </w:style>
  <w:style w:type="character" w:customStyle="1" w:styleId="Heading8Char">
    <w:name w:val="Heading 8 Char"/>
    <w:basedOn w:val="DefaultParagraphFont"/>
    <w:link w:val="Heading8"/>
    <w:rsid w:val="00C610C7"/>
    <w:rPr>
      <w:rFonts w:ascii="Helvetica" w:hAnsi="Helvetica"/>
      <w:b/>
      <w:iCs/>
      <w:sz w:val="24"/>
      <w:szCs w:val="24"/>
    </w:rPr>
  </w:style>
  <w:style w:type="character" w:customStyle="1" w:styleId="Heading9Char">
    <w:name w:val="Heading 9 Char"/>
    <w:basedOn w:val="DefaultParagraphFont"/>
    <w:link w:val="Heading9"/>
    <w:rsid w:val="00C610C7"/>
    <w:rPr>
      <w:rFonts w:ascii="Arial" w:hAnsi="Arial" w:cs="Arial"/>
      <w:sz w:val="22"/>
      <w:szCs w:val="22"/>
    </w:rPr>
  </w:style>
  <w:style w:type="character" w:customStyle="1" w:styleId="Heading1Char">
    <w:name w:val="Heading 1 Char"/>
    <w:basedOn w:val="DefaultParagraphFont"/>
    <w:link w:val="Heading1"/>
    <w:rsid w:val="00C610C7"/>
    <w:rPr>
      <w:rFonts w:ascii="Helvetica" w:hAnsi="Helvetica"/>
      <w:b/>
      <w:kern w:val="28"/>
      <w:sz w:val="26"/>
    </w:rPr>
  </w:style>
  <w:style w:type="character" w:customStyle="1" w:styleId="Heading2Char">
    <w:name w:val="Heading 2 Char"/>
    <w:basedOn w:val="DefaultParagraphFont"/>
    <w:link w:val="Heading2"/>
    <w:rsid w:val="009A00FB"/>
    <w:rPr>
      <w:rFonts w:ascii="Helvetica" w:hAnsi="Helvetica"/>
      <w:b/>
      <w:iCs/>
      <w:sz w:val="26"/>
    </w:rPr>
  </w:style>
  <w:style w:type="character" w:customStyle="1" w:styleId="Heading3Char">
    <w:name w:val="Heading 3 Char"/>
    <w:basedOn w:val="DefaultParagraphFont"/>
    <w:link w:val="Heading3"/>
    <w:rsid w:val="005D7D31"/>
    <w:rPr>
      <w:rFonts w:ascii="Helvetica" w:hAnsi="Helvetica"/>
      <w:b/>
      <w:sz w:val="26"/>
    </w:rPr>
  </w:style>
  <w:style w:type="character" w:customStyle="1" w:styleId="Heading4Char">
    <w:name w:val="Heading 4 Char"/>
    <w:basedOn w:val="DefaultParagraphFont"/>
    <w:link w:val="Heading4"/>
    <w:rsid w:val="00C610C7"/>
    <w:rPr>
      <w:rFonts w:ascii="Helvetica" w:hAnsi="Helvetica"/>
      <w:b/>
      <w:iCs/>
      <w:sz w:val="26"/>
    </w:rPr>
  </w:style>
  <w:style w:type="character" w:customStyle="1" w:styleId="Heading5Char">
    <w:name w:val="Heading 5 Char"/>
    <w:basedOn w:val="DefaultParagraphFont"/>
    <w:link w:val="Heading5"/>
    <w:rsid w:val="00C610C7"/>
    <w:rPr>
      <w:rFonts w:ascii="Helvetica" w:hAnsi="Helvetica"/>
      <w:b/>
      <w:sz w:val="26"/>
    </w:rPr>
  </w:style>
  <w:style w:type="character" w:customStyle="1" w:styleId="BodyTextChar">
    <w:name w:val="Body Text Char"/>
    <w:basedOn w:val="DefaultParagraphFont"/>
    <w:link w:val="BodyText"/>
    <w:uiPriority w:val="99"/>
    <w:rsid w:val="00C610C7"/>
    <w:rPr>
      <w:sz w:val="24"/>
    </w:rPr>
  </w:style>
  <w:style w:type="character" w:customStyle="1" w:styleId="BodyText3Char">
    <w:name w:val="Body Text 3 Char"/>
    <w:basedOn w:val="DefaultParagraphFont"/>
    <w:link w:val="BodyText3"/>
    <w:rsid w:val="00C610C7"/>
    <w:rPr>
      <w:sz w:val="24"/>
      <w:u w:val="single"/>
    </w:rPr>
  </w:style>
  <w:style w:type="character" w:customStyle="1" w:styleId="BodyText2Char">
    <w:name w:val="Body Text 2 Char"/>
    <w:basedOn w:val="DefaultParagraphFont"/>
    <w:link w:val="BodyText2"/>
    <w:rsid w:val="00C610C7"/>
    <w:rPr>
      <w:rFonts w:ascii="Times" w:hAnsi="Times"/>
      <w:sz w:val="24"/>
    </w:rPr>
  </w:style>
  <w:style w:type="character" w:customStyle="1" w:styleId="BodyTextIndent2Char">
    <w:name w:val="Body Text Indent 2 Char"/>
    <w:basedOn w:val="DefaultParagraphFont"/>
    <w:link w:val="BodyTextIndent2"/>
    <w:rsid w:val="00C610C7"/>
    <w:rPr>
      <w:sz w:val="24"/>
      <w:szCs w:val="24"/>
    </w:rPr>
  </w:style>
  <w:style w:type="character" w:customStyle="1" w:styleId="PlainTextChar">
    <w:name w:val="Plain Text Char"/>
    <w:basedOn w:val="DefaultParagraphFont"/>
    <w:link w:val="PlainText"/>
    <w:uiPriority w:val="99"/>
    <w:rsid w:val="00C610C7"/>
    <w:rPr>
      <w:rFonts w:ascii="Courier New" w:hAnsi="Courier New" w:cs="Courier New"/>
      <w:spacing w:val="-4"/>
      <w:sz w:val="24"/>
    </w:rPr>
  </w:style>
  <w:style w:type="character" w:customStyle="1" w:styleId="BodyTextIndent3Char">
    <w:name w:val="Body Text Indent 3 Char"/>
    <w:basedOn w:val="DefaultParagraphFont"/>
    <w:link w:val="BodyTextIndent3"/>
    <w:rsid w:val="00C610C7"/>
    <w:rPr>
      <w:snapToGrid w:val="0"/>
      <w:sz w:val="24"/>
    </w:rPr>
  </w:style>
  <w:style w:type="character" w:customStyle="1" w:styleId="BodyTextIndentChar">
    <w:name w:val="Body Text Indent Char"/>
    <w:basedOn w:val="DefaultParagraphFont"/>
    <w:link w:val="BodyTextIndent"/>
    <w:rsid w:val="00C610C7"/>
    <w:rPr>
      <w:rFonts w:ascii="Palatino" w:hAnsi="Palatino"/>
      <w:sz w:val="26"/>
    </w:rPr>
  </w:style>
  <w:style w:type="paragraph" w:customStyle="1" w:styleId="Body">
    <w:name w:val="Body"/>
    <w:rsid w:val="00C610C7"/>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hAnsi="Arial Unicode MS" w:cs="Arial Unicode MS"/>
      <w:color w:val="000000"/>
      <w:sz w:val="24"/>
      <w:szCs w:val="24"/>
      <w:u w:color="000000"/>
    </w:rPr>
  </w:style>
  <w:style w:type="character" w:customStyle="1" w:styleId="FootnoteCharacters">
    <w:name w:val="Footnote Characters"/>
    <w:rsid w:val="00C610C7"/>
    <w:rPr>
      <w:sz w:val="24"/>
      <w:vertAlign w:val="superscript"/>
    </w:rPr>
  </w:style>
  <w:style w:type="paragraph" w:customStyle="1" w:styleId="WW-Default">
    <w:name w:val="WW-Default"/>
    <w:rsid w:val="00C610C7"/>
    <w:pPr>
      <w:suppressAutoHyphens/>
      <w:autoSpaceDE w:val="0"/>
    </w:pPr>
    <w:rPr>
      <w:color w:val="000000"/>
      <w:sz w:val="24"/>
      <w:szCs w:val="24"/>
      <w:lang w:eastAsia="ar-SA"/>
    </w:rPr>
  </w:style>
  <w:style w:type="paragraph" w:styleId="EndnoteText">
    <w:name w:val="endnote text"/>
    <w:basedOn w:val="Normal"/>
    <w:link w:val="EndnoteTextChar"/>
    <w:rsid w:val="00C610C7"/>
    <w:rPr>
      <w:sz w:val="20"/>
    </w:rPr>
  </w:style>
  <w:style w:type="character" w:customStyle="1" w:styleId="EndnoteTextChar">
    <w:name w:val="Endnote Text Char"/>
    <w:basedOn w:val="DefaultParagraphFont"/>
    <w:link w:val="EndnoteText"/>
    <w:rsid w:val="00C610C7"/>
    <w:rPr>
      <w:rFonts w:ascii="Palatino" w:hAnsi="Palatino"/>
    </w:rPr>
  </w:style>
  <w:style w:type="character" w:styleId="EndnoteReference">
    <w:name w:val="endnote reference"/>
    <w:basedOn w:val="DefaultParagraphFont"/>
    <w:rsid w:val="00C610C7"/>
    <w:rPr>
      <w:vertAlign w:val="superscript"/>
    </w:rPr>
  </w:style>
  <w:style w:type="paragraph" w:customStyle="1" w:styleId="TOCTitle">
    <w:name w:val="TOC Title"/>
    <w:basedOn w:val="TOCHeading"/>
    <w:qFormat/>
    <w:rsid w:val="00C610C7"/>
    <w:pPr>
      <w:keepLines w:val="0"/>
      <w:tabs>
        <w:tab w:val="left" w:pos="360"/>
        <w:tab w:val="right" w:leader="dot" w:pos="10430"/>
      </w:tabs>
      <w:spacing w:after="240" w:line="280" w:lineRule="exact"/>
      <w:jc w:val="center"/>
    </w:pPr>
    <w:rPr>
      <w:rFonts w:ascii="Arial" w:eastAsia="Times New Roman" w:hAnsi="Arial" w:cs="Times New Roman"/>
      <w:bCs w:val="0"/>
      <w:color w:val="000090"/>
      <w:sz w:val="32"/>
      <w:szCs w:val="24"/>
    </w:rPr>
  </w:style>
  <w:style w:type="paragraph" w:styleId="TOCHeading">
    <w:name w:val="TOC Heading"/>
    <w:basedOn w:val="Heading1"/>
    <w:next w:val="Normal"/>
    <w:uiPriority w:val="39"/>
    <w:unhideWhenUsed/>
    <w:qFormat/>
    <w:rsid w:val="00C610C7"/>
    <w:pPr>
      <w:keepLines/>
      <w:numPr>
        <w:numId w:val="0"/>
      </w:numPr>
      <w:spacing w:before="480" w:after="0" w:line="276" w:lineRule="auto"/>
      <w:ind w:right="0"/>
      <w:outlineLvl w:val="9"/>
    </w:pPr>
    <w:rPr>
      <w:rFonts w:asciiTheme="majorHAnsi" w:eastAsiaTheme="majorEastAsia" w:hAnsiTheme="majorHAnsi" w:cstheme="majorBidi"/>
      <w:bCs/>
      <w:color w:val="365F91" w:themeColor="accent1" w:themeShade="BF"/>
      <w:kern w:val="0"/>
      <w:sz w:val="28"/>
      <w:szCs w:val="28"/>
    </w:rPr>
  </w:style>
  <w:style w:type="paragraph" w:customStyle="1" w:styleId="ExecSummary">
    <w:name w:val="Exec Summary"/>
    <w:basedOn w:val="Heading1"/>
    <w:next w:val="Normal"/>
    <w:rsid w:val="00C610C7"/>
    <w:pPr>
      <w:numPr>
        <w:numId w:val="0"/>
      </w:numPr>
      <w:tabs>
        <w:tab w:val="center" w:pos="4320"/>
        <w:tab w:val="right" w:pos="8640"/>
      </w:tabs>
      <w:spacing w:before="480" w:after="240" w:line="280" w:lineRule="exact"/>
      <w:ind w:right="0"/>
      <w:jc w:val="center"/>
    </w:pPr>
    <w:rPr>
      <w:rFonts w:ascii="Arial" w:hAnsi="Arial" w:cs="Arial"/>
      <w:bCs/>
      <w:caps/>
      <w:color w:val="000080"/>
      <w:kern w:val="32"/>
      <w:sz w:val="40"/>
      <w:szCs w:val="32"/>
    </w:rPr>
  </w:style>
  <w:style w:type="paragraph" w:styleId="Caption">
    <w:name w:val="caption"/>
    <w:basedOn w:val="Normal"/>
    <w:next w:val="Normal"/>
    <w:qFormat/>
    <w:rsid w:val="00C610C7"/>
    <w:pPr>
      <w:keepNext/>
      <w:spacing w:before="240" w:after="240" w:line="280" w:lineRule="exact"/>
      <w:ind w:left="360"/>
      <w:jc w:val="center"/>
    </w:pPr>
    <w:rPr>
      <w:rFonts w:ascii="Times New Roman" w:hAnsi="Times New Roman"/>
      <w:b/>
      <w:bCs/>
      <w:sz w:val="20"/>
    </w:rPr>
  </w:style>
  <w:style w:type="paragraph" w:styleId="TableofFigures">
    <w:name w:val="table of figures"/>
    <w:basedOn w:val="Normal"/>
    <w:next w:val="Normal"/>
    <w:uiPriority w:val="99"/>
    <w:rsid w:val="00C610C7"/>
    <w:pPr>
      <w:keepNext/>
      <w:spacing w:before="120" w:after="120" w:line="280" w:lineRule="exact"/>
      <w:jc w:val="both"/>
    </w:pPr>
    <w:rPr>
      <w:rFonts w:ascii="Times New Roman" w:hAnsi="Times New Roman"/>
      <w:sz w:val="22"/>
      <w:szCs w:val="24"/>
    </w:rPr>
  </w:style>
  <w:style w:type="paragraph" w:customStyle="1" w:styleId="StyleAuthorsonTitlepageBold">
    <w:name w:val="Style Authors on Title page + Bold"/>
    <w:basedOn w:val="Normal"/>
    <w:rsid w:val="00C610C7"/>
    <w:pPr>
      <w:keepNext/>
      <w:spacing w:before="240" w:after="240" w:line="280" w:lineRule="exact"/>
    </w:pPr>
    <w:rPr>
      <w:rFonts w:ascii="Arial" w:hAnsi="Arial"/>
      <w:bCs/>
      <w:color w:val="000000"/>
      <w:sz w:val="22"/>
      <w:szCs w:val="22"/>
    </w:rPr>
  </w:style>
  <w:style w:type="paragraph" w:customStyle="1" w:styleId="Default">
    <w:name w:val="Default"/>
    <w:rsid w:val="00C610C7"/>
    <w:pPr>
      <w:autoSpaceDE w:val="0"/>
      <w:autoSpaceDN w:val="0"/>
      <w:adjustRightInd w:val="0"/>
    </w:pPr>
    <w:rPr>
      <w:rFonts w:eastAsiaTheme="minorHAnsi"/>
      <w:color w:val="000000"/>
      <w:sz w:val="24"/>
      <w:szCs w:val="24"/>
    </w:rPr>
  </w:style>
  <w:style w:type="paragraph" w:styleId="NoSpacing">
    <w:name w:val="No Spacing"/>
    <w:uiPriority w:val="1"/>
    <w:qFormat/>
    <w:rsid w:val="00C610C7"/>
    <w:rPr>
      <w:rFonts w:asciiTheme="minorHAnsi" w:eastAsiaTheme="minorHAnsi" w:hAnsiTheme="minorHAnsi" w:cstheme="minorBidi"/>
      <w:sz w:val="22"/>
      <w:szCs w:val="22"/>
    </w:rPr>
  </w:style>
  <w:style w:type="paragraph" w:styleId="NormalWeb">
    <w:name w:val="Normal (Web)"/>
    <w:basedOn w:val="Normal"/>
    <w:uiPriority w:val="99"/>
    <w:rsid w:val="00C610C7"/>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C610C7"/>
    <w:rPr>
      <w:rFonts w:ascii="Palatino" w:hAnsi="Palatino"/>
      <w:sz w:val="26"/>
    </w:rPr>
  </w:style>
  <w:style w:type="numbering" w:customStyle="1" w:styleId="NoList1">
    <w:name w:val="No List1"/>
    <w:next w:val="NoList"/>
    <w:uiPriority w:val="99"/>
    <w:semiHidden/>
    <w:unhideWhenUsed/>
    <w:rsid w:val="00C610C7"/>
  </w:style>
  <w:style w:type="character" w:customStyle="1" w:styleId="SubtitleChar">
    <w:name w:val="Subtitle Char"/>
    <w:basedOn w:val="DefaultParagraphFont"/>
    <w:link w:val="Subtitle"/>
    <w:rsid w:val="00C610C7"/>
    <w:rPr>
      <w:rFonts w:ascii="Arial" w:hAnsi="Arial"/>
      <w:sz w:val="26"/>
    </w:rPr>
  </w:style>
  <w:style w:type="character" w:customStyle="1" w:styleId="UnresolvedMention1">
    <w:name w:val="Unresolved Mention1"/>
    <w:basedOn w:val="DefaultParagraphFont"/>
    <w:uiPriority w:val="99"/>
    <w:semiHidden/>
    <w:unhideWhenUsed/>
    <w:rsid w:val="00C610C7"/>
    <w:rPr>
      <w:color w:val="808080"/>
      <w:shd w:val="clear" w:color="auto" w:fill="E6E6E6"/>
    </w:rPr>
  </w:style>
  <w:style w:type="character" w:styleId="Emphasis">
    <w:name w:val="Emphasis"/>
    <w:basedOn w:val="DefaultParagraphFont"/>
    <w:uiPriority w:val="20"/>
    <w:qFormat/>
    <w:rsid w:val="00B4735F"/>
    <w:rPr>
      <w:b/>
      <w:bCs/>
      <w:i w:val="0"/>
      <w:iCs w:val="0"/>
    </w:rPr>
  </w:style>
  <w:style w:type="character" w:customStyle="1" w:styleId="st1">
    <w:name w:val="st1"/>
    <w:basedOn w:val="DefaultParagraphFont"/>
    <w:rsid w:val="00B4735F"/>
  </w:style>
  <w:style w:type="character" w:customStyle="1" w:styleId="y0nh2b">
    <w:name w:val="y0nh2b"/>
    <w:basedOn w:val="DefaultParagraphFont"/>
    <w:rsid w:val="00F15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91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footer" Target="footer9.xml"/><Relationship Id="rId39" Type="http://schemas.openxmlformats.org/officeDocument/2006/relationships/footer" Target="footer1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s://kwftp.cpuc.ca.gov" TargetMode="External"/><Relationship Id="rId42" Type="http://schemas.openxmlformats.org/officeDocument/2006/relationships/footer" Target="footer16.xml"/><Relationship Id="rId47" Type="http://schemas.openxmlformats.org/officeDocument/2006/relationships/footer" Target="footer19.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yperlink" Target="https://kwftp.cpuc.ca.gov" TargetMode="External"/><Relationship Id="rId38" Type="http://schemas.openxmlformats.org/officeDocument/2006/relationships/footer" Target="footer14.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eader" Target="header14.xml"/><Relationship Id="rId40" Type="http://schemas.openxmlformats.org/officeDocument/2006/relationships/header" Target="header15.xml"/><Relationship Id="rId45" Type="http://schemas.openxmlformats.org/officeDocument/2006/relationships/footer" Target="footer1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footer" Target="footer11.xml"/><Relationship Id="rId35" Type="http://schemas.openxmlformats.org/officeDocument/2006/relationships/header" Target="header13.xml"/><Relationship Id="rId43" Type="http://schemas.openxmlformats.org/officeDocument/2006/relationships/footer" Target="footer17.xml"/><Relationship Id="rId48" Type="http://schemas.openxmlformats.org/officeDocument/2006/relationships/footer" Target="footer20.xml"/><Relationship Id="rId8" Type="http://schemas.openxmlformats.org/officeDocument/2006/relationships/endnotes" Target="endnotes.xml"/></Relationships>
</file>

<file path=word/_rels/footer9.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image" Target="media/image3.wmf"/><Relationship Id="rId7" Type="http://schemas.openxmlformats.org/officeDocument/2006/relationships/image" Target="media/image6.wmf"/><Relationship Id="rId2" Type="http://schemas.openxmlformats.org/officeDocument/2006/relationships/image" Target="media/image2.wmf"/><Relationship Id="rId1" Type="http://schemas.openxmlformats.org/officeDocument/2006/relationships/image" Target="media/image1.wmf"/><Relationship Id="rId6" Type="http://schemas.openxmlformats.org/officeDocument/2006/relationships/image" Target="media/image5.wmf"/><Relationship Id="rId5" Type="http://schemas.openxmlformats.org/officeDocument/2006/relationships/image" Target="media/image4.wmf"/><Relationship Id="rId4" Type="http://schemas.openxmlformats.org/officeDocument/2006/relationships/control" Target="activeX/activeX1.xml"/></Relationships>
</file>

<file path=word/_rels/footnotes.xml.rels><?xml version="1.0" encoding="UTF-8" standalone="yes"?>
<Relationships xmlns="http://schemas.openxmlformats.org/package/2006/relationships"><Relationship Id="rId8" Type="http://schemas.openxmlformats.org/officeDocument/2006/relationships/hyperlink" Target="http://www.cetfund.org/node/9318" TargetMode="External"/><Relationship Id="rId3" Type="http://schemas.openxmlformats.org/officeDocument/2006/relationships/hyperlink" Target="http://www.cpuc.ca.gov/General.aspx?id=2241" TargetMode="External"/><Relationship Id="rId7" Type="http://schemas.openxmlformats.org/officeDocument/2006/relationships/hyperlink" Target="https://www2.ntia.doc.gov/files/toolkit_042913.pdf" TargetMode="External"/><Relationship Id="rId2" Type="http://schemas.openxmlformats.org/officeDocument/2006/relationships/hyperlink" Target="http://www.cetfund.org/node/9318" TargetMode="External"/><Relationship Id="rId1" Type="http://schemas.openxmlformats.org/officeDocument/2006/relationships/hyperlink" Target="http://www.cpuc.ca.gov/internetforall/" TargetMode="External"/><Relationship Id="rId6" Type="http://schemas.openxmlformats.org/officeDocument/2006/relationships/hyperlink" Target="https://www2.ntia.doc.gov/files/toolkit_042913.pdf" TargetMode="External"/><Relationship Id="rId11" Type="http://schemas.openxmlformats.org/officeDocument/2006/relationships/hyperlink" Target="http://www.cpuc.ca.gov/General.aspx?id=8246" TargetMode="External"/><Relationship Id="rId5" Type="http://schemas.openxmlformats.org/officeDocument/2006/relationships/hyperlink" Target="http://www.cpuc.ca.gov/casf/" TargetMode="External"/><Relationship Id="rId10" Type="http://schemas.openxmlformats.org/officeDocument/2006/relationships/hyperlink" Target="https://www2.ntia.doc.gov/files/toolkit_042913.pdf" TargetMode="External"/><Relationship Id="rId4" Type="http://schemas.openxmlformats.org/officeDocument/2006/relationships/hyperlink" Target="http://www.broadbandmap.ca.gov/" TargetMode="External"/><Relationship Id="rId9" Type="http://schemas.openxmlformats.org/officeDocument/2006/relationships/hyperlink" Target="http://www.cpuc.ca.gov/General.aspx?id=575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t2\Application%20Data\Microsoft\Templates\cpuc%20template\Decision-1.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4F5DA-134F-4CA1-9581-E198B599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Decision-1.dot</Template>
  <TotalTime>56</TotalTime>
  <Pages>4</Pages>
  <Words>18616</Words>
  <Characters>106115</Characters>
  <Application>Microsoft Office Word</Application>
  <DocSecurity>0</DocSecurity>
  <Lines>884</Lines>
  <Paragraphs>248</Paragraphs>
  <ScaleCrop>false</ScaleCrop>
  <HeadingPairs>
    <vt:vector size="2" baseType="variant">
      <vt:variant>
        <vt:lpstr>Title</vt:lpstr>
      </vt:variant>
      <vt:variant>
        <vt:i4>1</vt:i4>
      </vt:variant>
    </vt:vector>
  </HeadingPairs>
  <TitlesOfParts>
    <vt:vector size="1" baseType="lpstr">
      <vt:lpstr>ALJ/MLC/tcg</vt:lpstr>
    </vt:vector>
  </TitlesOfParts>
  <Company>Microsoft</Company>
  <LinksUpToDate>false</LinksUpToDate>
  <CharactersWithSpaces>124483</CharactersWithSpaces>
  <SharedDoc>false</SharedDoc>
  <HLinks>
    <vt:vector size="144" baseType="variant">
      <vt:variant>
        <vt:i4>1376310</vt:i4>
      </vt:variant>
      <vt:variant>
        <vt:i4>140</vt:i4>
      </vt:variant>
      <vt:variant>
        <vt:i4>0</vt:i4>
      </vt:variant>
      <vt:variant>
        <vt:i4>5</vt:i4>
      </vt:variant>
      <vt:variant>
        <vt:lpwstr/>
      </vt:variant>
      <vt:variant>
        <vt:lpwstr>_Toc359484472</vt:lpwstr>
      </vt:variant>
      <vt:variant>
        <vt:i4>1376310</vt:i4>
      </vt:variant>
      <vt:variant>
        <vt:i4>134</vt:i4>
      </vt:variant>
      <vt:variant>
        <vt:i4>0</vt:i4>
      </vt:variant>
      <vt:variant>
        <vt:i4>5</vt:i4>
      </vt:variant>
      <vt:variant>
        <vt:lpwstr/>
      </vt:variant>
      <vt:variant>
        <vt:lpwstr>_Toc359484471</vt:lpwstr>
      </vt:variant>
      <vt:variant>
        <vt:i4>1376310</vt:i4>
      </vt:variant>
      <vt:variant>
        <vt:i4>128</vt:i4>
      </vt:variant>
      <vt:variant>
        <vt:i4>0</vt:i4>
      </vt:variant>
      <vt:variant>
        <vt:i4>5</vt:i4>
      </vt:variant>
      <vt:variant>
        <vt:lpwstr/>
      </vt:variant>
      <vt:variant>
        <vt:lpwstr>_Toc359484470</vt:lpwstr>
      </vt:variant>
      <vt:variant>
        <vt:i4>1310774</vt:i4>
      </vt:variant>
      <vt:variant>
        <vt:i4>122</vt:i4>
      </vt:variant>
      <vt:variant>
        <vt:i4>0</vt:i4>
      </vt:variant>
      <vt:variant>
        <vt:i4>5</vt:i4>
      </vt:variant>
      <vt:variant>
        <vt:lpwstr/>
      </vt:variant>
      <vt:variant>
        <vt:lpwstr>_Toc359484469</vt:lpwstr>
      </vt:variant>
      <vt:variant>
        <vt:i4>1310774</vt:i4>
      </vt:variant>
      <vt:variant>
        <vt:i4>116</vt:i4>
      </vt:variant>
      <vt:variant>
        <vt:i4>0</vt:i4>
      </vt:variant>
      <vt:variant>
        <vt:i4>5</vt:i4>
      </vt:variant>
      <vt:variant>
        <vt:lpwstr/>
      </vt:variant>
      <vt:variant>
        <vt:lpwstr>_Toc359484468</vt:lpwstr>
      </vt:variant>
      <vt:variant>
        <vt:i4>1310774</vt:i4>
      </vt:variant>
      <vt:variant>
        <vt:i4>110</vt:i4>
      </vt:variant>
      <vt:variant>
        <vt:i4>0</vt:i4>
      </vt:variant>
      <vt:variant>
        <vt:i4>5</vt:i4>
      </vt:variant>
      <vt:variant>
        <vt:lpwstr/>
      </vt:variant>
      <vt:variant>
        <vt:lpwstr>_Toc359484467</vt:lpwstr>
      </vt:variant>
      <vt:variant>
        <vt:i4>1310774</vt:i4>
      </vt:variant>
      <vt:variant>
        <vt:i4>104</vt:i4>
      </vt:variant>
      <vt:variant>
        <vt:i4>0</vt:i4>
      </vt:variant>
      <vt:variant>
        <vt:i4>5</vt:i4>
      </vt:variant>
      <vt:variant>
        <vt:lpwstr/>
      </vt:variant>
      <vt:variant>
        <vt:lpwstr>_Toc359484466</vt:lpwstr>
      </vt:variant>
      <vt:variant>
        <vt:i4>1310774</vt:i4>
      </vt:variant>
      <vt:variant>
        <vt:i4>98</vt:i4>
      </vt:variant>
      <vt:variant>
        <vt:i4>0</vt:i4>
      </vt:variant>
      <vt:variant>
        <vt:i4>5</vt:i4>
      </vt:variant>
      <vt:variant>
        <vt:lpwstr/>
      </vt:variant>
      <vt:variant>
        <vt:lpwstr>_Toc359484465</vt:lpwstr>
      </vt:variant>
      <vt:variant>
        <vt:i4>1310774</vt:i4>
      </vt:variant>
      <vt:variant>
        <vt:i4>92</vt:i4>
      </vt:variant>
      <vt:variant>
        <vt:i4>0</vt:i4>
      </vt:variant>
      <vt:variant>
        <vt:i4>5</vt:i4>
      </vt:variant>
      <vt:variant>
        <vt:lpwstr/>
      </vt:variant>
      <vt:variant>
        <vt:lpwstr>_Toc359484464</vt:lpwstr>
      </vt:variant>
      <vt:variant>
        <vt:i4>1310774</vt:i4>
      </vt:variant>
      <vt:variant>
        <vt:i4>86</vt:i4>
      </vt:variant>
      <vt:variant>
        <vt:i4>0</vt:i4>
      </vt:variant>
      <vt:variant>
        <vt:i4>5</vt:i4>
      </vt:variant>
      <vt:variant>
        <vt:lpwstr/>
      </vt:variant>
      <vt:variant>
        <vt:lpwstr>_Toc359484463</vt:lpwstr>
      </vt:variant>
      <vt:variant>
        <vt:i4>1310774</vt:i4>
      </vt:variant>
      <vt:variant>
        <vt:i4>80</vt:i4>
      </vt:variant>
      <vt:variant>
        <vt:i4>0</vt:i4>
      </vt:variant>
      <vt:variant>
        <vt:i4>5</vt:i4>
      </vt:variant>
      <vt:variant>
        <vt:lpwstr/>
      </vt:variant>
      <vt:variant>
        <vt:lpwstr>_Toc359484462</vt:lpwstr>
      </vt:variant>
      <vt:variant>
        <vt:i4>1310774</vt:i4>
      </vt:variant>
      <vt:variant>
        <vt:i4>74</vt:i4>
      </vt:variant>
      <vt:variant>
        <vt:i4>0</vt:i4>
      </vt:variant>
      <vt:variant>
        <vt:i4>5</vt:i4>
      </vt:variant>
      <vt:variant>
        <vt:lpwstr/>
      </vt:variant>
      <vt:variant>
        <vt:lpwstr>_Toc359484461</vt:lpwstr>
      </vt:variant>
      <vt:variant>
        <vt:i4>1310774</vt:i4>
      </vt:variant>
      <vt:variant>
        <vt:i4>68</vt:i4>
      </vt:variant>
      <vt:variant>
        <vt:i4>0</vt:i4>
      </vt:variant>
      <vt:variant>
        <vt:i4>5</vt:i4>
      </vt:variant>
      <vt:variant>
        <vt:lpwstr/>
      </vt:variant>
      <vt:variant>
        <vt:lpwstr>_Toc359484460</vt:lpwstr>
      </vt:variant>
      <vt:variant>
        <vt:i4>1507382</vt:i4>
      </vt:variant>
      <vt:variant>
        <vt:i4>62</vt:i4>
      </vt:variant>
      <vt:variant>
        <vt:i4>0</vt:i4>
      </vt:variant>
      <vt:variant>
        <vt:i4>5</vt:i4>
      </vt:variant>
      <vt:variant>
        <vt:lpwstr/>
      </vt:variant>
      <vt:variant>
        <vt:lpwstr>_Toc359484459</vt:lpwstr>
      </vt:variant>
      <vt:variant>
        <vt:i4>1507382</vt:i4>
      </vt:variant>
      <vt:variant>
        <vt:i4>56</vt:i4>
      </vt:variant>
      <vt:variant>
        <vt:i4>0</vt:i4>
      </vt:variant>
      <vt:variant>
        <vt:i4>5</vt:i4>
      </vt:variant>
      <vt:variant>
        <vt:lpwstr/>
      </vt:variant>
      <vt:variant>
        <vt:lpwstr>_Toc359484458</vt:lpwstr>
      </vt:variant>
      <vt:variant>
        <vt:i4>1507382</vt:i4>
      </vt:variant>
      <vt:variant>
        <vt:i4>50</vt:i4>
      </vt:variant>
      <vt:variant>
        <vt:i4>0</vt:i4>
      </vt:variant>
      <vt:variant>
        <vt:i4>5</vt:i4>
      </vt:variant>
      <vt:variant>
        <vt:lpwstr/>
      </vt:variant>
      <vt:variant>
        <vt:lpwstr>_Toc359484457</vt:lpwstr>
      </vt:variant>
      <vt:variant>
        <vt:i4>1507382</vt:i4>
      </vt:variant>
      <vt:variant>
        <vt:i4>44</vt:i4>
      </vt:variant>
      <vt:variant>
        <vt:i4>0</vt:i4>
      </vt:variant>
      <vt:variant>
        <vt:i4>5</vt:i4>
      </vt:variant>
      <vt:variant>
        <vt:lpwstr/>
      </vt:variant>
      <vt:variant>
        <vt:lpwstr>_Toc359484456</vt:lpwstr>
      </vt:variant>
      <vt:variant>
        <vt:i4>1507382</vt:i4>
      </vt:variant>
      <vt:variant>
        <vt:i4>38</vt:i4>
      </vt:variant>
      <vt:variant>
        <vt:i4>0</vt:i4>
      </vt:variant>
      <vt:variant>
        <vt:i4>5</vt:i4>
      </vt:variant>
      <vt:variant>
        <vt:lpwstr/>
      </vt:variant>
      <vt:variant>
        <vt:lpwstr>_Toc359484455</vt:lpwstr>
      </vt:variant>
      <vt:variant>
        <vt:i4>1507382</vt:i4>
      </vt:variant>
      <vt:variant>
        <vt:i4>32</vt:i4>
      </vt:variant>
      <vt:variant>
        <vt:i4>0</vt:i4>
      </vt:variant>
      <vt:variant>
        <vt:i4>5</vt:i4>
      </vt:variant>
      <vt:variant>
        <vt:lpwstr/>
      </vt:variant>
      <vt:variant>
        <vt:lpwstr>_Toc359484454</vt:lpwstr>
      </vt:variant>
      <vt:variant>
        <vt:i4>1507382</vt:i4>
      </vt:variant>
      <vt:variant>
        <vt:i4>26</vt:i4>
      </vt:variant>
      <vt:variant>
        <vt:i4>0</vt:i4>
      </vt:variant>
      <vt:variant>
        <vt:i4>5</vt:i4>
      </vt:variant>
      <vt:variant>
        <vt:lpwstr/>
      </vt:variant>
      <vt:variant>
        <vt:lpwstr>_Toc359484453</vt:lpwstr>
      </vt:variant>
      <vt:variant>
        <vt:i4>1507382</vt:i4>
      </vt:variant>
      <vt:variant>
        <vt:i4>20</vt:i4>
      </vt:variant>
      <vt:variant>
        <vt:i4>0</vt:i4>
      </vt:variant>
      <vt:variant>
        <vt:i4>5</vt:i4>
      </vt:variant>
      <vt:variant>
        <vt:lpwstr/>
      </vt:variant>
      <vt:variant>
        <vt:lpwstr>_Toc359484452</vt:lpwstr>
      </vt:variant>
      <vt:variant>
        <vt:i4>1507382</vt:i4>
      </vt:variant>
      <vt:variant>
        <vt:i4>14</vt:i4>
      </vt:variant>
      <vt:variant>
        <vt:i4>0</vt:i4>
      </vt:variant>
      <vt:variant>
        <vt:i4>5</vt:i4>
      </vt:variant>
      <vt:variant>
        <vt:lpwstr/>
      </vt:variant>
      <vt:variant>
        <vt:lpwstr>_Toc359484451</vt:lpwstr>
      </vt:variant>
      <vt:variant>
        <vt:i4>1507382</vt:i4>
      </vt:variant>
      <vt:variant>
        <vt:i4>8</vt:i4>
      </vt:variant>
      <vt:variant>
        <vt:i4>0</vt:i4>
      </vt:variant>
      <vt:variant>
        <vt:i4>5</vt:i4>
      </vt:variant>
      <vt:variant>
        <vt:lpwstr/>
      </vt:variant>
      <vt:variant>
        <vt:lpwstr>_Toc359484450</vt:lpwstr>
      </vt:variant>
      <vt:variant>
        <vt:i4>1441846</vt:i4>
      </vt:variant>
      <vt:variant>
        <vt:i4>2</vt:i4>
      </vt:variant>
      <vt:variant>
        <vt:i4>0</vt:i4>
      </vt:variant>
      <vt:variant>
        <vt:i4>5</vt:i4>
      </vt:variant>
      <vt:variant>
        <vt:lpwstr/>
      </vt:variant>
      <vt:variant>
        <vt:lpwstr>_Toc359484449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ALJ/MLC/tcg</dc:title>
  <dc:creator>Joyce Tom</dc:creator>
  <cp:lastModifiedBy>ECMadmin</cp:lastModifiedBy>
  <cp:revision>11</cp:revision>
  <cp:lastPrinted>2018-06-21T23:46:00Z</cp:lastPrinted>
  <dcterms:created xsi:type="dcterms:W3CDTF">2018-06-21T21:23:00Z</dcterms:created>
  <dcterms:modified xsi:type="dcterms:W3CDTF">2018-06-21T23:46:00Z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IFAAdg9u4s6HKdiuF9xLWYFIR+lA50XlV6Egc+7/SyKEkt7047xIVIdS0J4+C+VLb5wfUYIv3jWlzO7J
iHa+zw8cR+vmY7hk1c42blS02KpQhQBsiMjqM5Sx3ZVq0uWv9/j4YM634ifo+bUhi7PSRh9TqGYa
stQnKdQ0YuGDvCAdAwJT8CzuIT/nUioGVkCsSS+YbIn3NebnglgLC8XwTpH9wfWORg2ZlDUkKVxV
u+ZDKwc7XlLcw17Sx</vt:lpwstr>
  </property>
  <property fmtid="{D5CDD505-2E9C-101B-9397-08002B2CF9AE}" pid="3" name="MAIL_MSG_ID2">
    <vt:lpwstr>0BSuRAqhEkq+ivvNK9Ql/wq/lBI6aKmIZXqWj8Vc8/JBolKiouAfO046a10
MNFGnwsLLfChOAog</vt:lpwstr>
  </property>
  <property fmtid="{D5CDD505-2E9C-101B-9397-08002B2CF9AE}" pid="4" name="RESPONSE_SENDER_NAME">
    <vt:lpwstr>4AAA4Lxe55UJ0C+6790VdjDKeMewyOTcOHng07cbQjOGZaUMkuWG4kG9SA==</vt:lpwstr>
  </property>
  <property fmtid="{D5CDD505-2E9C-101B-9397-08002B2CF9AE}" pid="5" name="EMAIL_OWNER_ADDRESS">
    <vt:lpwstr>4AAAyjQjm0EOGgJj0HFvXH8HxuZ+uw+Qln8aA3+7rmhHvJP1po0sBEWV/g==</vt:lpwstr>
  </property>
</Properties>
</file>