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D0B" w:rsidRPr="00D260D6" w:rsidRDefault="005870FA" w:rsidP="00D260D6">
      <w:pPr>
        <w:suppressAutoHyphens/>
        <w:ind w:right="-360"/>
        <w:rPr>
          <w:b/>
          <w:color w:val="000000"/>
        </w:rPr>
      </w:pPr>
      <w:r>
        <w:rPr>
          <w:color w:val="000000"/>
        </w:rPr>
        <w:t>ALJ/</w:t>
      </w:r>
      <w:r w:rsidR="0096036A">
        <w:rPr>
          <w:color w:val="000000"/>
        </w:rPr>
        <w:t>SL5/MLC</w:t>
      </w:r>
      <w:r w:rsidR="001F645E">
        <w:rPr>
          <w:color w:val="000000"/>
        </w:rPr>
        <w:t>/ek4</w:t>
      </w:r>
      <w:r w:rsidR="00D260D6">
        <w:rPr>
          <w:color w:val="000000"/>
        </w:rPr>
        <w:t>/</w:t>
      </w:r>
      <w:proofErr w:type="spellStart"/>
      <w:r w:rsidR="00D260D6">
        <w:rPr>
          <w:color w:val="000000"/>
        </w:rPr>
        <w:t>avs</w:t>
      </w:r>
      <w:proofErr w:type="spellEnd"/>
      <w:r w:rsidR="0068251F">
        <w:rPr>
          <w:color w:val="000000"/>
        </w:rPr>
        <w:tab/>
      </w:r>
      <w:r w:rsidR="0068251F">
        <w:rPr>
          <w:color w:val="000000"/>
        </w:rPr>
        <w:tab/>
      </w:r>
      <w:r w:rsidR="001F645E">
        <w:rPr>
          <w:color w:val="000000"/>
        </w:rPr>
        <w:t xml:space="preserve">    </w:t>
      </w:r>
      <w:r w:rsidR="001F645E">
        <w:rPr>
          <w:b/>
          <w:color w:val="000000"/>
        </w:rPr>
        <w:t>PROPOSED DECISION</w:t>
      </w:r>
      <w:r w:rsidR="0068251F">
        <w:rPr>
          <w:color w:val="000000"/>
        </w:rPr>
        <w:tab/>
      </w:r>
      <w:r w:rsidR="00D260D6">
        <w:rPr>
          <w:color w:val="000000"/>
        </w:rPr>
        <w:tab/>
      </w:r>
      <w:r w:rsidR="0068251F" w:rsidRPr="00D260D6">
        <w:rPr>
          <w:b/>
          <w:color w:val="000000"/>
        </w:rPr>
        <w:t>Agenda #</w:t>
      </w:r>
      <w:r w:rsidR="00D260D6" w:rsidRPr="00D260D6">
        <w:rPr>
          <w:b/>
          <w:color w:val="000000"/>
        </w:rPr>
        <w:t>16689</w:t>
      </w:r>
    </w:p>
    <w:p w:rsidR="0068251F" w:rsidRPr="00D260D6" w:rsidRDefault="001F645E" w:rsidP="001F645E">
      <w:pPr>
        <w:suppressAutoHyphens/>
        <w:jc w:val="right"/>
        <w:rPr>
          <w:b/>
          <w:color w:val="000000"/>
        </w:rPr>
      </w:pPr>
      <w:r w:rsidRPr="00D260D6">
        <w:rPr>
          <w:b/>
          <w:color w:val="000000"/>
        </w:rPr>
        <w:t>Ratesetting</w:t>
      </w:r>
    </w:p>
    <w:p w:rsidR="0068251F" w:rsidRPr="00D260D6" w:rsidRDefault="0068251F" w:rsidP="00D260D6">
      <w:pPr>
        <w:suppressAutoHyphens/>
        <w:jc w:val="right"/>
        <w:rPr>
          <w:b/>
          <w:color w:val="000000"/>
        </w:rPr>
      </w:pPr>
    </w:p>
    <w:p w:rsidR="0068251F" w:rsidRPr="007F620E" w:rsidRDefault="0068251F">
      <w:pPr>
        <w:suppressAutoHyphens/>
        <w:rPr>
          <w:color w:val="000000"/>
        </w:rPr>
      </w:pPr>
      <w:r>
        <w:rPr>
          <w:color w:val="000000"/>
        </w:rPr>
        <w:t>Decision________</w:t>
      </w:r>
    </w:p>
    <w:p w:rsidR="00A92D0B" w:rsidRPr="007F620E" w:rsidRDefault="00A92D0B">
      <w:pPr>
        <w:pStyle w:val="titlebar"/>
        <w:rPr>
          <w:rFonts w:ascii="Times New Roman" w:hAnsi="Times New Roman"/>
          <w:color w:val="000000"/>
          <w:sz w:val="24"/>
          <w:szCs w:val="24"/>
        </w:rPr>
      </w:pPr>
    </w:p>
    <w:p w:rsidR="00A92D0B" w:rsidRPr="007F620E" w:rsidRDefault="00A92D0B">
      <w:pPr>
        <w:pStyle w:val="titlebar"/>
        <w:rPr>
          <w:rFonts w:ascii="Times New Roman" w:hAnsi="Times New Roman"/>
          <w:color w:val="000000"/>
          <w:sz w:val="24"/>
          <w:szCs w:val="24"/>
        </w:rPr>
      </w:pPr>
    </w:p>
    <w:p w:rsidR="001F645E" w:rsidRPr="001F645E" w:rsidRDefault="001F645E" w:rsidP="001F645E">
      <w:pPr>
        <w:ind w:right="-720"/>
        <w:rPr>
          <w:rFonts w:ascii="Helvetica" w:hAnsi="Helvetica"/>
          <w:b/>
          <w:bCs/>
          <w:szCs w:val="20"/>
        </w:rPr>
      </w:pPr>
      <w:r w:rsidRPr="001F645E">
        <w:rPr>
          <w:rFonts w:ascii="Helvetica" w:hAnsi="Helvetica"/>
          <w:b/>
          <w:bCs/>
          <w:szCs w:val="20"/>
        </w:rPr>
        <w:t>BEFORE THE PUBLIC UTILITIES COMMISSION OF THE STATE OF CALIFORNIA</w:t>
      </w:r>
    </w:p>
    <w:p w:rsidR="00A92D0B" w:rsidRPr="007F620E" w:rsidRDefault="00A92D0B">
      <w:pPr>
        <w:suppressAutoHyphens/>
        <w:rPr>
          <w:color w:val="000000"/>
        </w:rPr>
      </w:pPr>
    </w:p>
    <w:tbl>
      <w:tblPr>
        <w:tblW w:w="0" w:type="auto"/>
        <w:tblLayout w:type="fixed"/>
        <w:tblLook w:val="0000" w:firstRow="0" w:lastRow="0" w:firstColumn="0" w:lastColumn="0" w:noHBand="0" w:noVBand="0"/>
      </w:tblPr>
      <w:tblGrid>
        <w:gridCol w:w="5328"/>
        <w:gridCol w:w="3917"/>
      </w:tblGrid>
      <w:tr w:rsidR="001F645E" w:rsidRPr="00343589" w:rsidTr="001F645E">
        <w:tc>
          <w:tcPr>
            <w:tcW w:w="5328" w:type="dxa"/>
            <w:tcBorders>
              <w:bottom w:val="single" w:sz="4" w:space="0" w:color="auto"/>
              <w:right w:val="single" w:sz="6" w:space="0" w:color="auto"/>
            </w:tcBorders>
          </w:tcPr>
          <w:p w:rsidR="001F645E" w:rsidRPr="00A72B50" w:rsidRDefault="001F645E" w:rsidP="001F645E">
            <w:pPr>
              <w:tabs>
                <w:tab w:val="left" w:pos="4575"/>
              </w:tabs>
            </w:pPr>
            <w:r w:rsidRPr="00A72B50">
              <w:t>Application of San Diego Gas &amp; Electric Company (U 902E) for Approval of SB 350 Transportation Electrification Proposals.</w:t>
            </w:r>
          </w:p>
          <w:p w:rsidR="001F645E" w:rsidRPr="00A72B50" w:rsidRDefault="001F645E" w:rsidP="001F645E">
            <w:pPr>
              <w:tabs>
                <w:tab w:val="left" w:pos="4575"/>
              </w:tabs>
            </w:pPr>
          </w:p>
        </w:tc>
        <w:tc>
          <w:tcPr>
            <w:tcW w:w="3917" w:type="dxa"/>
            <w:tcBorders>
              <w:left w:val="nil"/>
            </w:tcBorders>
          </w:tcPr>
          <w:p w:rsidR="002764AF" w:rsidRDefault="002764AF" w:rsidP="001F645E">
            <w:pPr>
              <w:jc w:val="center"/>
            </w:pPr>
          </w:p>
          <w:p w:rsidR="001F645E" w:rsidRPr="00343589" w:rsidRDefault="001F645E" w:rsidP="001F645E">
            <w:pPr>
              <w:jc w:val="center"/>
            </w:pPr>
            <w:r w:rsidRPr="00343589">
              <w:t>Application 17-01-020</w:t>
            </w:r>
          </w:p>
          <w:p w:rsidR="001F645E" w:rsidRPr="00343589" w:rsidRDefault="001F645E" w:rsidP="001F645E"/>
          <w:p w:rsidR="001F645E" w:rsidRPr="00343589" w:rsidRDefault="001F645E" w:rsidP="001F645E">
            <w:pPr>
              <w:jc w:val="center"/>
            </w:pPr>
          </w:p>
        </w:tc>
      </w:tr>
      <w:tr w:rsidR="001F645E" w:rsidRPr="00343589" w:rsidTr="001F645E">
        <w:tc>
          <w:tcPr>
            <w:tcW w:w="5328" w:type="dxa"/>
            <w:tcBorders>
              <w:top w:val="single" w:sz="4" w:space="0" w:color="auto"/>
              <w:bottom w:val="single" w:sz="6" w:space="0" w:color="auto"/>
              <w:right w:val="single" w:sz="6" w:space="0" w:color="auto"/>
            </w:tcBorders>
          </w:tcPr>
          <w:p w:rsidR="001F645E" w:rsidRPr="00A72B50" w:rsidRDefault="001F645E" w:rsidP="001F645E">
            <w:pPr>
              <w:tabs>
                <w:tab w:val="left" w:pos="4575"/>
              </w:tabs>
            </w:pPr>
          </w:p>
          <w:p w:rsidR="001F645E" w:rsidRPr="00A72B50" w:rsidRDefault="001F645E" w:rsidP="001F645E">
            <w:pPr>
              <w:tabs>
                <w:tab w:val="left" w:pos="4575"/>
              </w:tabs>
            </w:pPr>
            <w:r w:rsidRPr="00A72B50">
              <w:t>And Related Matters.</w:t>
            </w:r>
          </w:p>
          <w:p w:rsidR="001F645E" w:rsidRPr="00A72B50" w:rsidRDefault="001F645E" w:rsidP="001F645E">
            <w:pPr>
              <w:tabs>
                <w:tab w:val="left" w:pos="4575"/>
              </w:tabs>
            </w:pPr>
          </w:p>
        </w:tc>
        <w:tc>
          <w:tcPr>
            <w:tcW w:w="3917" w:type="dxa"/>
            <w:tcBorders>
              <w:left w:val="nil"/>
            </w:tcBorders>
          </w:tcPr>
          <w:p w:rsidR="001F645E" w:rsidRPr="00343589" w:rsidRDefault="001F645E" w:rsidP="001F645E">
            <w:pPr>
              <w:jc w:val="center"/>
            </w:pPr>
            <w:r w:rsidRPr="00343589">
              <w:t>Application 17-01-021</w:t>
            </w:r>
          </w:p>
          <w:p w:rsidR="001F645E" w:rsidRPr="00343589" w:rsidRDefault="001F645E" w:rsidP="001F645E">
            <w:pPr>
              <w:jc w:val="center"/>
            </w:pPr>
            <w:r w:rsidRPr="00343589">
              <w:t>Application 17-01-022</w:t>
            </w:r>
          </w:p>
        </w:tc>
      </w:tr>
    </w:tbl>
    <w:p w:rsidR="001F645E" w:rsidRPr="007F620E" w:rsidRDefault="001F645E">
      <w:pPr>
        <w:jc w:val="center"/>
        <w:rPr>
          <w:b/>
          <w:color w:val="000000"/>
        </w:rPr>
      </w:pPr>
    </w:p>
    <w:p w:rsidR="00A92D0B" w:rsidRDefault="00770877">
      <w:pPr>
        <w:jc w:val="center"/>
        <w:rPr>
          <w:b/>
          <w:shd w:val="clear" w:color="auto" w:fill="CCFFCC"/>
        </w:rPr>
      </w:pPr>
      <w:r>
        <w:rPr>
          <w:b/>
        </w:rPr>
        <w:t>DECISION GRANTING COMPENSATION TO SAN DIEGO AIRPORT PARKING COMPANY FOR SUBSTANTIAL CONTRIBUTION TO DECISION 18-01-024</w:t>
      </w:r>
    </w:p>
    <w:p w:rsidR="00A92D0B" w:rsidRPr="007F620E" w:rsidRDefault="00A92D0B">
      <w:pPr>
        <w:suppressAutoHyphens/>
        <w:rPr>
          <w:color w:val="00000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4789"/>
      </w:tblGrid>
      <w:tr w:rsidR="00A92D0B" w:rsidRPr="007F620E" w:rsidTr="00D70E8E">
        <w:tc>
          <w:tcPr>
            <w:tcW w:w="4116" w:type="dxa"/>
            <w:shd w:val="clear" w:color="auto" w:fill="auto"/>
          </w:tcPr>
          <w:p w:rsidR="00A92D0B" w:rsidRPr="00770877" w:rsidRDefault="005A63D4" w:rsidP="00A92D0B">
            <w:pPr>
              <w:tabs>
                <w:tab w:val="left" w:pos="1620"/>
                <w:tab w:val="right" w:pos="4500"/>
              </w:tabs>
              <w:spacing w:before="120"/>
              <w:rPr>
                <w:color w:val="000000"/>
              </w:rPr>
            </w:pPr>
            <w:r w:rsidRPr="00770877">
              <w:rPr>
                <w:color w:val="000000"/>
              </w:rPr>
              <w:t>Intervenor</w:t>
            </w:r>
            <w:r w:rsidR="00F63C29" w:rsidRPr="00770877">
              <w:rPr>
                <w:color w:val="000000"/>
              </w:rPr>
              <w:t>:</w:t>
            </w:r>
            <w:r w:rsidR="00FD73CF" w:rsidRPr="00770877">
              <w:rPr>
                <w:color w:val="000000"/>
              </w:rPr>
              <w:t xml:space="preserve">  San Diego Airport Parking Company</w:t>
            </w:r>
            <w:r w:rsidR="0071428D">
              <w:rPr>
                <w:color w:val="000000"/>
              </w:rPr>
              <w:t xml:space="preserve"> (SDAP)</w:t>
            </w:r>
          </w:p>
        </w:tc>
        <w:tc>
          <w:tcPr>
            <w:tcW w:w="4789" w:type="dxa"/>
            <w:shd w:val="clear" w:color="auto" w:fill="auto"/>
          </w:tcPr>
          <w:p w:rsidR="00A92D0B" w:rsidRPr="00770877" w:rsidRDefault="00A92D0B" w:rsidP="00DE3A5D">
            <w:pPr>
              <w:tabs>
                <w:tab w:val="left" w:pos="1872"/>
                <w:tab w:val="right" w:pos="3672"/>
              </w:tabs>
              <w:spacing w:before="120"/>
              <w:rPr>
                <w:color w:val="000000"/>
              </w:rPr>
            </w:pPr>
            <w:r w:rsidRPr="00770877">
              <w:rPr>
                <w:color w:val="000000"/>
              </w:rPr>
              <w:t>For contribution to D</w:t>
            </w:r>
            <w:r w:rsidR="00DE3A5D" w:rsidRPr="00770877">
              <w:rPr>
                <w:color w:val="000000"/>
              </w:rPr>
              <w:t xml:space="preserve">ecision (D.) </w:t>
            </w:r>
            <w:r w:rsidR="00FD73CF" w:rsidRPr="00770877">
              <w:rPr>
                <w:color w:val="000000"/>
              </w:rPr>
              <w:t>18-01-024</w:t>
            </w:r>
          </w:p>
        </w:tc>
      </w:tr>
      <w:tr w:rsidR="00A92D0B" w:rsidRPr="007F620E" w:rsidTr="00D70E8E">
        <w:tc>
          <w:tcPr>
            <w:tcW w:w="4116" w:type="dxa"/>
            <w:shd w:val="clear" w:color="auto" w:fill="auto"/>
          </w:tcPr>
          <w:p w:rsidR="00A92D0B" w:rsidRPr="00770877" w:rsidRDefault="00A92D0B" w:rsidP="00FC72B7">
            <w:pPr>
              <w:tabs>
                <w:tab w:val="left" w:pos="1620"/>
                <w:tab w:val="right" w:pos="4500"/>
              </w:tabs>
              <w:spacing w:before="120"/>
              <w:rPr>
                <w:color w:val="000000"/>
                <w:u w:val="single"/>
              </w:rPr>
            </w:pPr>
            <w:r w:rsidRPr="00770877">
              <w:rPr>
                <w:color w:val="000000"/>
              </w:rPr>
              <w:t>Claimed:</w:t>
            </w:r>
            <w:r w:rsidR="00F63C29" w:rsidRPr="00770877">
              <w:rPr>
                <w:color w:val="000000"/>
              </w:rPr>
              <w:t xml:space="preserve"> </w:t>
            </w:r>
            <w:r w:rsidR="00FC72B7" w:rsidRPr="00770877">
              <w:rPr>
                <w:color w:val="000000"/>
              </w:rPr>
              <w:t xml:space="preserve"> $</w:t>
            </w:r>
            <w:r w:rsidR="003446F4" w:rsidRPr="00770877">
              <w:rPr>
                <w:color w:val="000000"/>
              </w:rPr>
              <w:t>3</w:t>
            </w:r>
            <w:r w:rsidR="00C2216A" w:rsidRPr="00770877">
              <w:rPr>
                <w:color w:val="000000"/>
              </w:rPr>
              <w:t>8,3</w:t>
            </w:r>
            <w:r w:rsidR="00F545FD" w:rsidRPr="00770877">
              <w:rPr>
                <w:color w:val="000000"/>
              </w:rPr>
              <w:t>97</w:t>
            </w:r>
            <w:r w:rsidR="00576928">
              <w:rPr>
                <w:color w:val="000000"/>
              </w:rPr>
              <w:t>.00</w:t>
            </w:r>
          </w:p>
        </w:tc>
        <w:tc>
          <w:tcPr>
            <w:tcW w:w="4789" w:type="dxa"/>
            <w:tcBorders>
              <w:bottom w:val="single" w:sz="4" w:space="0" w:color="auto"/>
            </w:tcBorders>
            <w:shd w:val="clear" w:color="auto" w:fill="auto"/>
          </w:tcPr>
          <w:p w:rsidR="00A92D0B" w:rsidRPr="00770877" w:rsidRDefault="00A92D0B" w:rsidP="00FC72B7">
            <w:pPr>
              <w:tabs>
                <w:tab w:val="left" w:pos="1872"/>
                <w:tab w:val="right" w:pos="3672"/>
              </w:tabs>
              <w:spacing w:before="120"/>
              <w:rPr>
                <w:color w:val="000000"/>
                <w:u w:val="single"/>
              </w:rPr>
            </w:pPr>
            <w:r w:rsidRPr="00770877">
              <w:rPr>
                <w:color w:val="000000"/>
              </w:rPr>
              <w:t>Awarded:</w:t>
            </w:r>
            <w:r w:rsidR="00FC72B7" w:rsidRPr="00770877">
              <w:rPr>
                <w:color w:val="000000"/>
              </w:rPr>
              <w:t xml:space="preserve">  $</w:t>
            </w:r>
            <w:r w:rsidR="00FD1C37">
              <w:t>34,400.60</w:t>
            </w:r>
          </w:p>
        </w:tc>
      </w:tr>
      <w:tr w:rsidR="00A92D0B" w:rsidRPr="007F620E" w:rsidTr="00D70E8E">
        <w:tc>
          <w:tcPr>
            <w:tcW w:w="4116" w:type="dxa"/>
            <w:shd w:val="clear" w:color="auto" w:fill="auto"/>
          </w:tcPr>
          <w:p w:rsidR="00A92D0B" w:rsidRPr="00770877" w:rsidRDefault="00A92D0B" w:rsidP="00A92D0B">
            <w:pPr>
              <w:tabs>
                <w:tab w:val="left" w:pos="3060"/>
                <w:tab w:val="right" w:pos="4500"/>
              </w:tabs>
              <w:spacing w:before="120"/>
              <w:rPr>
                <w:color w:val="000000"/>
                <w:u w:val="single"/>
              </w:rPr>
            </w:pPr>
            <w:r w:rsidRPr="00770877">
              <w:rPr>
                <w:color w:val="000000"/>
              </w:rPr>
              <w:t xml:space="preserve">Assigned Commissioner:  </w:t>
            </w:r>
            <w:r w:rsidR="0099203B" w:rsidRPr="00770877">
              <w:rPr>
                <w:color w:val="000000"/>
              </w:rPr>
              <w:t>Carla Peterman</w:t>
            </w:r>
          </w:p>
        </w:tc>
        <w:tc>
          <w:tcPr>
            <w:tcW w:w="4789" w:type="dxa"/>
            <w:shd w:val="clear" w:color="auto" w:fill="auto"/>
          </w:tcPr>
          <w:p w:rsidR="00A92D0B" w:rsidRPr="00770877" w:rsidRDefault="00A92D0B" w:rsidP="006F38BE">
            <w:pPr>
              <w:tabs>
                <w:tab w:val="left" w:pos="1872"/>
                <w:tab w:val="right" w:pos="3672"/>
              </w:tabs>
              <w:spacing w:before="120"/>
              <w:rPr>
                <w:color w:val="000000"/>
                <w:u w:val="single"/>
              </w:rPr>
            </w:pPr>
            <w:r w:rsidRPr="00770877">
              <w:rPr>
                <w:color w:val="000000"/>
              </w:rPr>
              <w:t>Assigned A</w:t>
            </w:r>
            <w:r w:rsidR="006F38BE">
              <w:rPr>
                <w:color w:val="000000"/>
              </w:rPr>
              <w:t>dministrative Law Judges</w:t>
            </w:r>
            <w:r w:rsidRPr="00770877">
              <w:rPr>
                <w:color w:val="000000"/>
              </w:rPr>
              <w:t>:</w:t>
            </w:r>
            <w:r w:rsidR="00F63C29" w:rsidRPr="00770877">
              <w:rPr>
                <w:color w:val="000000"/>
              </w:rPr>
              <w:t xml:space="preserve">  </w:t>
            </w:r>
            <w:r w:rsidR="0099203B" w:rsidRPr="00770877">
              <w:rPr>
                <w:color w:val="000000"/>
              </w:rPr>
              <w:t>Michelle Cooke and Sasha Goldberg</w:t>
            </w:r>
          </w:p>
        </w:tc>
      </w:tr>
    </w:tbl>
    <w:p w:rsidR="00A92D0B" w:rsidRPr="007F620E" w:rsidRDefault="00A92D0B">
      <w:pPr>
        <w:rPr>
          <w:color w:val="000000"/>
        </w:rPr>
      </w:pPr>
    </w:p>
    <w:p w:rsidR="00A92D0B" w:rsidRPr="007F620E" w:rsidRDefault="00A92D0B" w:rsidP="00770877">
      <w:pPr>
        <w:rPr>
          <w:color w:val="000000"/>
        </w:rPr>
      </w:pPr>
      <w:r w:rsidRPr="007F620E">
        <w:rPr>
          <w:b/>
          <w:color w:val="000000"/>
        </w:rPr>
        <w:t>PART I:  PROCED</w:t>
      </w:r>
      <w:r w:rsidR="00770877">
        <w:rPr>
          <w:b/>
          <w:color w:val="000000"/>
        </w:rPr>
        <w:t>URAL ISSUES:</w:t>
      </w:r>
    </w:p>
    <w:p w:rsidR="00A92D0B" w:rsidRPr="007F620E" w:rsidRDefault="00A92D0B">
      <w:pPr>
        <w:rPr>
          <w:color w:val="00000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537"/>
      </w:tblGrid>
      <w:tr w:rsidR="00A92D0B" w:rsidRPr="007F620E" w:rsidTr="00A27667">
        <w:tc>
          <w:tcPr>
            <w:tcW w:w="1368" w:type="dxa"/>
            <w:shd w:val="clear" w:color="auto" w:fill="auto"/>
          </w:tcPr>
          <w:p w:rsidR="00A92D0B" w:rsidRPr="00770877" w:rsidRDefault="00A92D0B" w:rsidP="00915118">
            <w:pPr>
              <w:rPr>
                <w:color w:val="000000"/>
              </w:rPr>
            </w:pPr>
            <w:r w:rsidRPr="00770877">
              <w:rPr>
                <w:color w:val="000000"/>
              </w:rPr>
              <w:t xml:space="preserve">A.  Brief </w:t>
            </w:r>
            <w:r w:rsidR="00A319DE" w:rsidRPr="00770877">
              <w:rPr>
                <w:color w:val="000000"/>
              </w:rPr>
              <w:t>d</w:t>
            </w:r>
            <w:r w:rsidRPr="00770877">
              <w:rPr>
                <w:color w:val="000000"/>
              </w:rPr>
              <w:t xml:space="preserve">escription of Decision: </w:t>
            </w:r>
          </w:p>
        </w:tc>
        <w:tc>
          <w:tcPr>
            <w:tcW w:w="7537" w:type="dxa"/>
            <w:shd w:val="clear" w:color="auto" w:fill="auto"/>
          </w:tcPr>
          <w:p w:rsidR="00A92D0B" w:rsidRPr="003E01BA" w:rsidRDefault="00A06C61">
            <w:r w:rsidRPr="003E01BA">
              <w:t>In this proceeding, SDG&amp;E, PG&amp;E and SCE, submitted proposals regarding their Priority Review Transportation Electrification Projects and associated budgets</w:t>
            </w:r>
            <w:r w:rsidR="00390F90" w:rsidRPr="003E01BA">
              <w:t xml:space="preserve"> of </w:t>
            </w:r>
            <w:r w:rsidR="00894EAB" w:rsidRPr="003E01BA">
              <w:t xml:space="preserve">funding limits of </w:t>
            </w:r>
            <w:r w:rsidR="00390F90" w:rsidRPr="003E01BA">
              <w:t>$20 million dollars</w:t>
            </w:r>
            <w:r w:rsidRPr="003E01BA">
              <w:t xml:space="preserve"> for </w:t>
            </w:r>
            <w:r w:rsidR="00390F90" w:rsidRPr="003E01BA">
              <w:t xml:space="preserve">each of the </w:t>
            </w:r>
            <w:r w:rsidR="00894EAB" w:rsidRPr="003E01BA">
              <w:t>investor-owned utility’s (IOU’s)</w:t>
            </w:r>
            <w:r w:rsidR="00390F90" w:rsidRPr="003E01BA">
              <w:t xml:space="preserve"> to complete the </w:t>
            </w:r>
            <w:r w:rsidRPr="003E01BA">
              <w:t xml:space="preserve">pilot projects.  </w:t>
            </w:r>
            <w:r w:rsidR="00390F90" w:rsidRPr="003E01BA">
              <w:t xml:space="preserve"> </w:t>
            </w:r>
          </w:p>
          <w:p w:rsidR="00E46F4F" w:rsidRPr="003E01BA" w:rsidRDefault="00E46F4F"/>
          <w:p w:rsidR="00390F90" w:rsidRPr="003E01BA" w:rsidRDefault="00C73E8E">
            <w:r w:rsidRPr="003E01BA">
              <w:t>These proposals included required</w:t>
            </w:r>
            <w:r w:rsidR="0043674D" w:rsidRPr="003E01BA">
              <w:t xml:space="preserve"> TE</w:t>
            </w:r>
            <w:r w:rsidRPr="003E01BA">
              <w:t xml:space="preserve"> pilots that would carry out various proposed</w:t>
            </w:r>
            <w:r w:rsidR="0043674D" w:rsidRPr="003E01BA">
              <w:t xml:space="preserve"> EV</w:t>
            </w:r>
            <w:r w:rsidRPr="003E01BA">
              <w:t xml:space="preserve"> projects that would</w:t>
            </w:r>
            <w:r w:rsidR="00390F90" w:rsidRPr="003E01BA">
              <w:t xml:space="preserve"> be non-controversial</w:t>
            </w:r>
            <w:r w:rsidR="00894EAB" w:rsidRPr="003E01BA">
              <w:t>, short term 1-year investment</w:t>
            </w:r>
            <w:r w:rsidR="00E46F4F" w:rsidRPr="003E01BA">
              <w:t>s</w:t>
            </w:r>
            <w:r w:rsidR="00894EAB" w:rsidRPr="003E01BA">
              <w:t xml:space="preserve"> </w:t>
            </w:r>
            <w:r w:rsidR="00390F90" w:rsidRPr="003E01BA">
              <w:t xml:space="preserve">and could </w:t>
            </w:r>
            <w:r w:rsidRPr="003E01BA">
              <w:t>accelerate adoption of electric vehicles for commercial MHD fleets and for Light Duty</w:t>
            </w:r>
            <w:r w:rsidR="00894EAB" w:rsidRPr="003E01BA">
              <w:t xml:space="preserve"> vehicles</w:t>
            </w:r>
            <w:r w:rsidR="003A18C2" w:rsidRPr="003E01BA">
              <w:t xml:space="preserve"> (LDA)</w:t>
            </w:r>
            <w:r w:rsidRPr="003E01BA">
              <w:t xml:space="preserve">.  </w:t>
            </w:r>
          </w:p>
          <w:p w:rsidR="00B216EB" w:rsidRPr="003E01BA" w:rsidRDefault="00B216EB"/>
          <w:p w:rsidR="00894EAB" w:rsidRPr="003E01BA" w:rsidRDefault="00390F90">
            <w:r w:rsidRPr="003E01BA">
              <w:t>The approval of the Priority Review Projects continues the efforts to support SB350 and proceeding 13-11-007 and the larger Standard Review Project</w:t>
            </w:r>
            <w:r w:rsidR="00894EAB" w:rsidRPr="003E01BA">
              <w:t>s</w:t>
            </w:r>
            <w:r w:rsidRPr="003E01BA">
              <w:t xml:space="preserve"> remain open with a decision expected in May 2018.</w:t>
            </w:r>
          </w:p>
          <w:p w:rsidR="00894EAB" w:rsidRPr="003E01BA" w:rsidRDefault="00894EAB"/>
          <w:p w:rsidR="00894EAB" w:rsidRPr="003E01BA" w:rsidRDefault="00894EAB">
            <w:r w:rsidRPr="003E01BA">
              <w:t xml:space="preserve">The </w:t>
            </w:r>
            <w:r w:rsidR="0043674D" w:rsidRPr="003E01BA">
              <w:t xml:space="preserve">Priority Review (PR) </w:t>
            </w:r>
            <w:r w:rsidRPr="003E01BA">
              <w:t>proposal</w:t>
            </w:r>
            <w:r w:rsidR="00E46F4F" w:rsidRPr="003E01BA">
              <w:t>s were to</w:t>
            </w:r>
            <w:r w:rsidRPr="003E01BA">
              <w:t xml:space="preserve"> includ</w:t>
            </w:r>
            <w:r w:rsidR="00E46F4F" w:rsidRPr="003E01BA">
              <w:t>e</w:t>
            </w:r>
            <w:r w:rsidR="00390F90" w:rsidRPr="003E01BA">
              <w:t xml:space="preserve"> </w:t>
            </w:r>
            <w:r w:rsidRPr="003E01BA">
              <w:t xml:space="preserve">required best cost and best benefit effectiveness </w:t>
            </w:r>
            <w:r w:rsidR="00C73E8E" w:rsidRPr="003E01BA">
              <w:t xml:space="preserve">for each IOU’s individual </w:t>
            </w:r>
            <w:r w:rsidR="00E46F4F" w:rsidRPr="003E01BA">
              <w:t xml:space="preserve">pilot projects, achieve pollution reduction benefits and grid management integration, using </w:t>
            </w:r>
            <w:r w:rsidR="00E46F4F" w:rsidRPr="003E01BA">
              <w:lastRenderedPageBreak/>
              <w:t>renewable or non-renewable technologies with the lowest pollutants or zero pollutants</w:t>
            </w:r>
            <w:r w:rsidR="00C73E8E" w:rsidRPr="003E01BA">
              <w:t xml:space="preserve"> and </w:t>
            </w:r>
            <w:r w:rsidR="00E46F4F" w:rsidRPr="003E01BA">
              <w:t xml:space="preserve">the </w:t>
            </w:r>
            <w:r w:rsidR="00C73E8E" w:rsidRPr="003E01BA">
              <w:t>overall portfolio of programs</w:t>
            </w:r>
            <w:r w:rsidRPr="003E01BA">
              <w:t xml:space="preserve"> should experiment with diverse market segments</w:t>
            </w:r>
            <w:r w:rsidR="00E46F4F" w:rsidRPr="003E01BA">
              <w:t xml:space="preserve"> and promote benefits to low income and disadvantaged communities</w:t>
            </w:r>
            <w:r w:rsidR="00C73E8E" w:rsidRPr="003E01BA">
              <w:t xml:space="preserve">, </w:t>
            </w:r>
            <w:r w:rsidR="00E46F4F" w:rsidRPr="003E01BA">
              <w:t>increase the access of electricity as a transportation fuel</w:t>
            </w:r>
            <w:r w:rsidR="00D61006" w:rsidRPr="003E01BA">
              <w:t xml:space="preserve"> and deployment should integrate renewable generation</w:t>
            </w:r>
            <w:r w:rsidR="00E46F4F" w:rsidRPr="003E01BA">
              <w:t xml:space="preserve">, </w:t>
            </w:r>
            <w:r w:rsidR="00C73E8E" w:rsidRPr="003E01BA">
              <w:t>program</w:t>
            </w:r>
            <w:r w:rsidR="00D61006" w:rsidRPr="003E01BA">
              <w:t xml:space="preserve">s are not to unfairly compete with non-utility enterprises and can implement a reasonable cost recovery mechanism and are to be in the interest of ratepayers.  </w:t>
            </w:r>
            <w:r w:rsidR="00C73E8E" w:rsidRPr="003E01BA">
              <w:t xml:space="preserve"> </w:t>
            </w:r>
          </w:p>
          <w:p w:rsidR="00894EAB" w:rsidRPr="003E01BA" w:rsidRDefault="00894EAB"/>
          <w:p w:rsidR="00894EAB" w:rsidRPr="003E01BA" w:rsidRDefault="00C73E8E">
            <w:r w:rsidRPr="003E01BA">
              <w:t xml:space="preserve">In addition, the Commission requested during the proceeding that parties provide feedback on </w:t>
            </w:r>
            <w:r w:rsidR="00D61006" w:rsidRPr="003E01BA">
              <w:t xml:space="preserve">the proposals as </w:t>
            </w:r>
            <w:r w:rsidR="0043674D" w:rsidRPr="003E01BA">
              <w:t xml:space="preserve">to the Consolidation of the Applications and </w:t>
            </w:r>
            <w:r w:rsidR="00D61006" w:rsidRPr="003E01BA">
              <w:t>one of the objectives is to understand whether the proposals can be expanded upon in the future to develop the TE market and to advance the use of renewables through grid integration.  The</w:t>
            </w:r>
            <w:r w:rsidRPr="003E01BA">
              <w:t xml:space="preserve"> Commission </w:t>
            </w:r>
            <w:r w:rsidR="00D61006" w:rsidRPr="003E01BA">
              <w:t xml:space="preserve">established the scope of issues </w:t>
            </w:r>
            <w:r w:rsidRPr="003E01BA">
              <w:t xml:space="preserve">regarding the </w:t>
            </w:r>
            <w:r w:rsidR="001657C4" w:rsidRPr="003E01BA">
              <w:t>TE</w:t>
            </w:r>
            <w:r w:rsidRPr="003E01BA">
              <w:t xml:space="preserve"> programs, as well as the</w:t>
            </w:r>
            <w:r w:rsidR="001657C4" w:rsidRPr="003E01BA">
              <w:t xml:space="preserve"> need for modifications</w:t>
            </w:r>
            <w:r w:rsidRPr="003E01BA">
              <w:t xml:space="preserve"> </w:t>
            </w:r>
            <w:r w:rsidR="001657C4" w:rsidRPr="003E01BA">
              <w:t xml:space="preserve">to be considered and to address the rate design issues </w:t>
            </w:r>
            <w:r w:rsidRPr="003E01BA">
              <w:t>targeting</w:t>
            </w:r>
            <w:r w:rsidR="001657C4" w:rsidRPr="003E01BA">
              <w:t xml:space="preserve"> mandatory vs optional participation and demand charges.  </w:t>
            </w:r>
          </w:p>
          <w:p w:rsidR="00894EAB" w:rsidRPr="003E01BA" w:rsidRDefault="00894EAB"/>
          <w:p w:rsidR="00C73E8E" w:rsidRPr="003E01BA" w:rsidRDefault="00C73E8E">
            <w:r w:rsidRPr="003E01BA">
              <w:t xml:space="preserve">The decision issued by the Commission in this proceeding addresses each of these issues. The issues that </w:t>
            </w:r>
            <w:r w:rsidR="001657C4" w:rsidRPr="003E01BA">
              <w:t xml:space="preserve">SDAP </w:t>
            </w:r>
            <w:r w:rsidRPr="003E01BA">
              <w:t>raised regarding</w:t>
            </w:r>
            <w:r w:rsidR="0037509F" w:rsidRPr="003E01BA">
              <w:t xml:space="preserve"> consolidation was that many fleets are not just in one service territory and that many of the TE policies will impact all projects and therefore all parties can benefit from consolidation without having to have additional burdens administratively to participate in multiple proceedings.  </w:t>
            </w:r>
            <w:r w:rsidRPr="003E01BA">
              <w:t xml:space="preserve"> SDG&amp;E’s proposed </w:t>
            </w:r>
            <w:r w:rsidR="001657C4" w:rsidRPr="003E01BA">
              <w:t xml:space="preserve">Green/Taxi/Shuttle/Rideshare </w:t>
            </w:r>
            <w:r w:rsidRPr="003E01BA">
              <w:t xml:space="preserve">program and </w:t>
            </w:r>
            <w:r w:rsidR="001657C4" w:rsidRPr="003E01BA">
              <w:t>rates</w:t>
            </w:r>
            <w:r w:rsidRPr="003E01BA">
              <w:t xml:space="preserve">, which included the </w:t>
            </w:r>
            <w:r w:rsidR="001657C4" w:rsidRPr="003E01BA">
              <w:t xml:space="preserve">best </w:t>
            </w:r>
            <w:r w:rsidRPr="003E01BA">
              <w:t>cost</w:t>
            </w:r>
            <w:r w:rsidR="001657C4" w:rsidRPr="003E01BA">
              <w:t xml:space="preserve"> and best benefit </w:t>
            </w:r>
            <w:r w:rsidRPr="003E01BA">
              <w:t>effectiveness of SDG&amp;E’s program and portfolio</w:t>
            </w:r>
            <w:r w:rsidR="003469C6" w:rsidRPr="003E01BA">
              <w:t xml:space="preserve"> that</w:t>
            </w:r>
            <w:r w:rsidR="001657C4" w:rsidRPr="003E01BA">
              <w:t xml:space="preserve"> </w:t>
            </w:r>
            <w:r w:rsidR="003469C6" w:rsidRPr="003E01BA">
              <w:t xml:space="preserve">is projected to </w:t>
            </w:r>
            <w:r w:rsidR="001657C4" w:rsidRPr="003E01BA">
              <w:t>assist in accelerated adoption in the shortest period of time</w:t>
            </w:r>
            <w:r w:rsidR="003469C6" w:rsidRPr="003E01BA">
              <w:t xml:space="preserve"> and to fulfill the direction to target entities with high utiliz</w:t>
            </w:r>
            <w:r w:rsidR="009F0E57" w:rsidRPr="003E01BA">
              <w:t>ation and</w:t>
            </w:r>
            <w:r w:rsidR="003469C6" w:rsidRPr="003E01BA">
              <w:t xml:space="preserve"> that will result in</w:t>
            </w:r>
            <w:r w:rsidR="009F0E57" w:rsidRPr="003E01BA">
              <w:t xml:space="preserve"> the</w:t>
            </w:r>
            <w:r w:rsidR="003469C6" w:rsidRPr="003E01BA">
              <w:t xml:space="preserve"> highest pollutant reductions and whereby when implemented these fleets can act in the quickest period of time</w:t>
            </w:r>
            <w:r w:rsidR="009F0E57" w:rsidRPr="003E01BA">
              <w:t xml:space="preserve"> and together adequately are the best fit for TE technology adoption due to the current requirements of the fleets duty cycle and the nature of the fleets daily vehicle miles traveled (VMT) </w:t>
            </w:r>
            <w:r w:rsidR="003A18C2" w:rsidRPr="003E01BA">
              <w:t xml:space="preserve">and thereby </w:t>
            </w:r>
            <w:r w:rsidR="009F0E57" w:rsidRPr="003E01BA">
              <w:t>it can be established that the fleets in the</w:t>
            </w:r>
            <w:r w:rsidR="003A18C2" w:rsidRPr="003E01BA">
              <w:t xml:space="preserve"> proposed</w:t>
            </w:r>
            <w:r w:rsidR="009F0E57" w:rsidRPr="003E01BA">
              <w:t xml:space="preserve"> projects are</w:t>
            </w:r>
            <w:r w:rsidR="002A241E" w:rsidRPr="003E01BA">
              <w:t xml:space="preserve"> best</w:t>
            </w:r>
            <w:r w:rsidR="003469C6" w:rsidRPr="003E01BA">
              <w:t xml:space="preserve"> </w:t>
            </w:r>
            <w:r w:rsidR="009F0E57" w:rsidRPr="003E01BA">
              <w:t xml:space="preserve">aligned </w:t>
            </w:r>
            <w:r w:rsidR="002A241E" w:rsidRPr="003E01BA">
              <w:t xml:space="preserve">to achieve a benefit, provide the data to help understand the charging needs that are best for the fleet and has the potential to be installed </w:t>
            </w:r>
            <w:r w:rsidR="003469C6" w:rsidRPr="003E01BA">
              <w:t xml:space="preserve">without any concern for deploying stranded assets of infrastructure.  </w:t>
            </w:r>
            <w:r w:rsidR="002A241E" w:rsidRPr="003E01BA">
              <w:t xml:space="preserve">Modifications were </w:t>
            </w:r>
            <w:r w:rsidR="003A18C2" w:rsidRPr="003E01BA">
              <w:t xml:space="preserve">to be </w:t>
            </w:r>
            <w:r w:rsidR="002A241E" w:rsidRPr="003E01BA">
              <w:t xml:space="preserve">addressed </w:t>
            </w:r>
            <w:r w:rsidR="003A18C2" w:rsidRPr="003E01BA">
              <w:t>if the parties found</w:t>
            </w:r>
            <w:r w:rsidR="002A241E" w:rsidRPr="003E01BA">
              <w:t xml:space="preserve"> </w:t>
            </w:r>
            <w:r w:rsidR="003A18C2" w:rsidRPr="003E01BA">
              <w:t>that</w:t>
            </w:r>
            <w:r w:rsidR="007B6532" w:rsidRPr="003E01BA">
              <w:t xml:space="preserve"> the applications do not adequately</w:t>
            </w:r>
            <w:r w:rsidR="002A241E" w:rsidRPr="003E01BA">
              <w:t xml:space="preserve"> best reflect the fleets with the most potential to inform the future of all electric fleet vehicles that would have </w:t>
            </w:r>
            <w:r w:rsidR="007B6532" w:rsidRPr="003E01BA">
              <w:t xml:space="preserve">the potential for the most </w:t>
            </w:r>
            <w:r w:rsidR="002A241E" w:rsidRPr="003E01BA">
              <w:t>positive impact not just in the</w:t>
            </w:r>
            <w:r w:rsidR="007B6532" w:rsidRPr="003E01BA">
              <w:t xml:space="preserve"> project service territory or the customers service territory</w:t>
            </w:r>
            <w:r w:rsidR="002A241E" w:rsidRPr="003E01BA">
              <w:t xml:space="preserve"> but also throughout California.  </w:t>
            </w:r>
          </w:p>
        </w:tc>
      </w:tr>
    </w:tbl>
    <w:p w:rsidR="00A92D0B" w:rsidRDefault="00A92D0B">
      <w:pPr>
        <w:rPr>
          <w:color w:val="000000"/>
        </w:rPr>
      </w:pPr>
    </w:p>
    <w:p w:rsidR="00F73FA3" w:rsidRDefault="00F73FA3">
      <w:pPr>
        <w:rPr>
          <w:color w:val="000000"/>
        </w:rPr>
      </w:pPr>
      <w:r>
        <w:rPr>
          <w:color w:val="000000"/>
        </w:rPr>
        <w:br w:type="page"/>
      </w:r>
    </w:p>
    <w:p w:rsidR="00A92D0B" w:rsidRPr="00770877" w:rsidRDefault="005A63D4">
      <w:pPr>
        <w:numPr>
          <w:ilvl w:val="0"/>
          <w:numId w:val="5"/>
        </w:numPr>
        <w:rPr>
          <w:color w:val="000000"/>
        </w:rPr>
      </w:pPr>
      <w:r w:rsidRPr="00770877">
        <w:rPr>
          <w:color w:val="000000"/>
        </w:rPr>
        <w:lastRenderedPageBreak/>
        <w:t xml:space="preserve">Intervenor </w:t>
      </w:r>
      <w:r w:rsidR="00A92D0B" w:rsidRPr="00770877">
        <w:rPr>
          <w:color w:val="000000"/>
        </w:rPr>
        <w:t xml:space="preserve">must satisfy intervenor compensation </w:t>
      </w:r>
      <w:r w:rsidR="00DE3A5D" w:rsidRPr="00770877">
        <w:rPr>
          <w:color w:val="000000"/>
        </w:rPr>
        <w:t>requirements set forth in Pub. Util.</w:t>
      </w:r>
      <w:r w:rsidR="00A92D0B" w:rsidRPr="00770877">
        <w:rPr>
          <w:color w:val="000000"/>
        </w:rPr>
        <w:t xml:space="preserve"> Code §§ 1801-1812:</w:t>
      </w:r>
    </w:p>
    <w:p w:rsidR="00A92D0B" w:rsidRPr="007F620E" w:rsidRDefault="00A92D0B">
      <w:pPr>
        <w:tabs>
          <w:tab w:val="left" w:pos="360"/>
        </w:tabs>
        <w:rPr>
          <w:color w:val="00000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270"/>
        <w:gridCol w:w="1170"/>
        <w:gridCol w:w="360"/>
        <w:gridCol w:w="4567"/>
      </w:tblGrid>
      <w:tr w:rsidR="00A92D0B" w:rsidRPr="007F620E" w:rsidTr="003E01BA">
        <w:tc>
          <w:tcPr>
            <w:tcW w:w="2808" w:type="dxa"/>
            <w:gridSpan w:val="2"/>
            <w:tcBorders>
              <w:bottom w:val="single" w:sz="4" w:space="0" w:color="auto"/>
            </w:tcBorders>
            <w:shd w:val="clear" w:color="auto" w:fill="auto"/>
          </w:tcPr>
          <w:p w:rsidR="00A92D0B" w:rsidRPr="00770877" w:rsidRDefault="00A92D0B" w:rsidP="00A92D0B">
            <w:pPr>
              <w:tabs>
                <w:tab w:val="left" w:pos="360"/>
              </w:tabs>
              <w:spacing w:before="120"/>
              <w:jc w:val="center"/>
              <w:rPr>
                <w:color w:val="000000"/>
              </w:rPr>
            </w:pPr>
          </w:p>
        </w:tc>
        <w:tc>
          <w:tcPr>
            <w:tcW w:w="1530" w:type="dxa"/>
            <w:gridSpan w:val="2"/>
            <w:tcBorders>
              <w:bottom w:val="single" w:sz="4" w:space="0" w:color="auto"/>
            </w:tcBorders>
            <w:shd w:val="clear" w:color="auto" w:fill="auto"/>
          </w:tcPr>
          <w:p w:rsidR="00A92D0B" w:rsidRPr="00770877" w:rsidRDefault="005A63D4" w:rsidP="00A92D0B">
            <w:pPr>
              <w:tabs>
                <w:tab w:val="left" w:pos="360"/>
              </w:tabs>
              <w:spacing w:before="120"/>
              <w:jc w:val="center"/>
              <w:rPr>
                <w:color w:val="000000"/>
              </w:rPr>
            </w:pPr>
            <w:r w:rsidRPr="00770877">
              <w:rPr>
                <w:color w:val="000000"/>
              </w:rPr>
              <w:t>Intervenor</w:t>
            </w:r>
          </w:p>
        </w:tc>
        <w:tc>
          <w:tcPr>
            <w:tcW w:w="4567" w:type="dxa"/>
            <w:tcBorders>
              <w:bottom w:val="single" w:sz="4" w:space="0" w:color="auto"/>
            </w:tcBorders>
            <w:shd w:val="clear" w:color="auto" w:fill="auto"/>
          </w:tcPr>
          <w:p w:rsidR="00A92D0B" w:rsidRPr="00770877" w:rsidRDefault="00A92D0B" w:rsidP="00A92D0B">
            <w:pPr>
              <w:tabs>
                <w:tab w:val="left" w:pos="360"/>
              </w:tabs>
              <w:spacing w:before="120"/>
              <w:jc w:val="center"/>
              <w:rPr>
                <w:color w:val="000000"/>
              </w:rPr>
            </w:pPr>
            <w:r w:rsidRPr="00770877">
              <w:rPr>
                <w:color w:val="000000"/>
              </w:rPr>
              <w:t>CPUC Verified</w:t>
            </w:r>
          </w:p>
        </w:tc>
      </w:tr>
      <w:tr w:rsidR="00A92D0B" w:rsidRPr="007F620E" w:rsidTr="00A27667">
        <w:tc>
          <w:tcPr>
            <w:tcW w:w="8905" w:type="dxa"/>
            <w:gridSpan w:val="5"/>
            <w:tcBorders>
              <w:top w:val="single" w:sz="4" w:space="0" w:color="auto"/>
              <w:left w:val="single" w:sz="4" w:space="0" w:color="auto"/>
              <w:bottom w:val="single" w:sz="4" w:space="0" w:color="auto"/>
              <w:right w:val="single" w:sz="4" w:space="0" w:color="auto"/>
            </w:tcBorders>
            <w:shd w:val="clear" w:color="auto" w:fill="E6E6E6"/>
          </w:tcPr>
          <w:p w:rsidR="00A92D0B" w:rsidRPr="00770877" w:rsidRDefault="00A92D0B" w:rsidP="00A92D0B">
            <w:pPr>
              <w:tabs>
                <w:tab w:val="left" w:pos="360"/>
              </w:tabs>
              <w:spacing w:before="60"/>
              <w:jc w:val="center"/>
            </w:pPr>
            <w:r w:rsidRPr="00770877">
              <w:t>Timely filing of notice of intent to claim compensation (NOI) (§ 1804(a)):</w:t>
            </w:r>
          </w:p>
        </w:tc>
      </w:tr>
      <w:tr w:rsidR="00A92D0B" w:rsidRPr="007F620E" w:rsidTr="003E01BA">
        <w:tc>
          <w:tcPr>
            <w:tcW w:w="2808" w:type="dxa"/>
            <w:gridSpan w:val="2"/>
            <w:tcBorders>
              <w:top w:val="single" w:sz="4" w:space="0" w:color="auto"/>
            </w:tcBorders>
            <w:shd w:val="clear" w:color="auto" w:fill="auto"/>
          </w:tcPr>
          <w:p w:rsidR="00A92D0B" w:rsidRPr="007F620E" w:rsidRDefault="009F4922" w:rsidP="009F4922">
            <w:pPr>
              <w:tabs>
                <w:tab w:val="left" w:pos="360"/>
              </w:tabs>
              <w:spacing w:before="120"/>
              <w:rPr>
                <w:color w:val="000000"/>
              </w:rPr>
            </w:pPr>
            <w:r>
              <w:rPr>
                <w:color w:val="000000"/>
              </w:rPr>
              <w:t>1</w:t>
            </w:r>
            <w:r w:rsidR="00A92D0B" w:rsidRPr="007F620E">
              <w:rPr>
                <w:color w:val="000000"/>
              </w:rPr>
              <w:t>. Date of Prehearing Conference:</w:t>
            </w:r>
          </w:p>
        </w:tc>
        <w:tc>
          <w:tcPr>
            <w:tcW w:w="1530" w:type="dxa"/>
            <w:gridSpan w:val="2"/>
            <w:tcBorders>
              <w:top w:val="single" w:sz="4" w:space="0" w:color="auto"/>
            </w:tcBorders>
            <w:shd w:val="clear" w:color="auto" w:fill="auto"/>
          </w:tcPr>
          <w:p w:rsidR="00A92D0B" w:rsidRPr="007F620E" w:rsidRDefault="00E803A1" w:rsidP="00E803A1">
            <w:pPr>
              <w:tabs>
                <w:tab w:val="left" w:pos="360"/>
              </w:tabs>
              <w:spacing w:before="120"/>
              <w:rPr>
                <w:color w:val="000000"/>
              </w:rPr>
            </w:pPr>
            <w:r>
              <w:rPr>
                <w:color w:val="000000"/>
              </w:rPr>
              <w:t>3-16-17</w:t>
            </w:r>
          </w:p>
        </w:tc>
        <w:tc>
          <w:tcPr>
            <w:tcW w:w="4567" w:type="dxa"/>
            <w:tcBorders>
              <w:top w:val="single" w:sz="4" w:space="0" w:color="auto"/>
            </w:tcBorders>
            <w:shd w:val="clear" w:color="auto" w:fill="auto"/>
          </w:tcPr>
          <w:p w:rsidR="00A92D0B" w:rsidRPr="007F620E" w:rsidRDefault="00576928" w:rsidP="002E1FA5">
            <w:pPr>
              <w:tabs>
                <w:tab w:val="left" w:pos="360"/>
              </w:tabs>
              <w:spacing w:before="120"/>
              <w:jc w:val="center"/>
              <w:rPr>
                <w:color w:val="000000"/>
              </w:rPr>
            </w:pPr>
            <w:r>
              <w:rPr>
                <w:color w:val="000000"/>
              </w:rPr>
              <w:t>Verified</w:t>
            </w:r>
          </w:p>
        </w:tc>
      </w:tr>
      <w:tr w:rsidR="00A92D0B" w:rsidRPr="007F620E" w:rsidTr="003E01BA">
        <w:tc>
          <w:tcPr>
            <w:tcW w:w="2808" w:type="dxa"/>
            <w:gridSpan w:val="2"/>
            <w:shd w:val="clear" w:color="auto" w:fill="auto"/>
          </w:tcPr>
          <w:p w:rsidR="00A92D0B" w:rsidRPr="007F620E" w:rsidRDefault="00A92D0B" w:rsidP="009F4922">
            <w:pPr>
              <w:tabs>
                <w:tab w:val="left" w:pos="360"/>
              </w:tabs>
              <w:spacing w:before="120"/>
              <w:rPr>
                <w:color w:val="000000"/>
              </w:rPr>
            </w:pPr>
            <w:r w:rsidRPr="007F620E">
              <w:rPr>
                <w:color w:val="000000"/>
              </w:rPr>
              <w:t xml:space="preserve">2. Other </w:t>
            </w:r>
            <w:r w:rsidR="00A319DE" w:rsidRPr="007F620E">
              <w:rPr>
                <w:color w:val="000000"/>
              </w:rPr>
              <w:t>s</w:t>
            </w:r>
            <w:r w:rsidRPr="007F620E">
              <w:rPr>
                <w:color w:val="000000"/>
              </w:rPr>
              <w:t xml:space="preserve">pecified </w:t>
            </w:r>
            <w:r w:rsidR="00A319DE" w:rsidRPr="007F620E">
              <w:rPr>
                <w:color w:val="000000"/>
              </w:rPr>
              <w:t>d</w:t>
            </w:r>
            <w:r w:rsidRPr="007F620E">
              <w:rPr>
                <w:color w:val="000000"/>
              </w:rPr>
              <w:t>ate for NOI:</w:t>
            </w:r>
          </w:p>
        </w:tc>
        <w:tc>
          <w:tcPr>
            <w:tcW w:w="1530" w:type="dxa"/>
            <w:gridSpan w:val="2"/>
            <w:shd w:val="clear" w:color="auto" w:fill="auto"/>
          </w:tcPr>
          <w:p w:rsidR="00A92D0B" w:rsidRPr="007F620E" w:rsidRDefault="00E803A1" w:rsidP="00A27667">
            <w:pPr>
              <w:tabs>
                <w:tab w:val="left" w:pos="360"/>
              </w:tabs>
              <w:rPr>
                <w:color w:val="000000"/>
              </w:rPr>
            </w:pPr>
            <w:r>
              <w:rPr>
                <w:color w:val="000000"/>
              </w:rPr>
              <w:t>6-27-17 (Amended NOI)</w:t>
            </w:r>
          </w:p>
        </w:tc>
        <w:tc>
          <w:tcPr>
            <w:tcW w:w="4567" w:type="dxa"/>
            <w:shd w:val="clear" w:color="auto" w:fill="auto"/>
          </w:tcPr>
          <w:p w:rsidR="00A92D0B" w:rsidRPr="007F620E" w:rsidRDefault="00A27667" w:rsidP="002E1FA5">
            <w:pPr>
              <w:tabs>
                <w:tab w:val="left" w:pos="360"/>
              </w:tabs>
              <w:spacing w:before="120"/>
              <w:jc w:val="center"/>
              <w:rPr>
                <w:color w:val="000000"/>
              </w:rPr>
            </w:pPr>
            <w:r>
              <w:rPr>
                <w:color w:val="000000"/>
              </w:rPr>
              <w:t>Verified</w:t>
            </w:r>
          </w:p>
        </w:tc>
      </w:tr>
      <w:tr w:rsidR="00A92D0B" w:rsidRPr="007F620E" w:rsidTr="003E01BA">
        <w:tc>
          <w:tcPr>
            <w:tcW w:w="2808" w:type="dxa"/>
            <w:gridSpan w:val="2"/>
            <w:shd w:val="clear" w:color="auto" w:fill="auto"/>
          </w:tcPr>
          <w:p w:rsidR="00A92D0B" w:rsidRPr="007F620E" w:rsidRDefault="00A92D0B" w:rsidP="009F4922">
            <w:pPr>
              <w:tabs>
                <w:tab w:val="left" w:pos="360"/>
              </w:tabs>
              <w:spacing w:before="120"/>
              <w:rPr>
                <w:color w:val="000000"/>
              </w:rPr>
            </w:pPr>
            <w:r w:rsidRPr="007F620E">
              <w:rPr>
                <w:color w:val="000000"/>
              </w:rPr>
              <w:t xml:space="preserve">3. Date NOI </w:t>
            </w:r>
            <w:r w:rsidR="00A319DE" w:rsidRPr="007F620E">
              <w:rPr>
                <w:color w:val="000000"/>
              </w:rPr>
              <w:t>f</w:t>
            </w:r>
            <w:r w:rsidRPr="007F620E">
              <w:rPr>
                <w:color w:val="000000"/>
              </w:rPr>
              <w:t>iled:</w:t>
            </w:r>
          </w:p>
        </w:tc>
        <w:tc>
          <w:tcPr>
            <w:tcW w:w="1530" w:type="dxa"/>
            <w:gridSpan w:val="2"/>
            <w:tcBorders>
              <w:bottom w:val="single" w:sz="4" w:space="0" w:color="auto"/>
            </w:tcBorders>
            <w:shd w:val="clear" w:color="auto" w:fill="auto"/>
          </w:tcPr>
          <w:p w:rsidR="00A92D0B" w:rsidRPr="007F620E" w:rsidRDefault="00E803A1" w:rsidP="00770877">
            <w:pPr>
              <w:tabs>
                <w:tab w:val="left" w:pos="360"/>
              </w:tabs>
              <w:rPr>
                <w:color w:val="000000"/>
              </w:rPr>
            </w:pPr>
            <w:r>
              <w:rPr>
                <w:color w:val="000000"/>
              </w:rPr>
              <w:t>4-17-17</w:t>
            </w:r>
          </w:p>
        </w:tc>
        <w:tc>
          <w:tcPr>
            <w:tcW w:w="4567" w:type="dxa"/>
            <w:tcBorders>
              <w:bottom w:val="single" w:sz="4" w:space="0" w:color="auto"/>
            </w:tcBorders>
            <w:shd w:val="clear" w:color="auto" w:fill="auto"/>
          </w:tcPr>
          <w:p w:rsidR="00A92D0B" w:rsidRPr="007F620E" w:rsidRDefault="00576928" w:rsidP="002E1FA5">
            <w:pPr>
              <w:tabs>
                <w:tab w:val="left" w:pos="360"/>
              </w:tabs>
              <w:spacing w:before="120"/>
              <w:jc w:val="center"/>
              <w:rPr>
                <w:color w:val="000000"/>
              </w:rPr>
            </w:pPr>
            <w:r>
              <w:rPr>
                <w:color w:val="000000"/>
              </w:rPr>
              <w:t>Verified</w:t>
            </w:r>
          </w:p>
        </w:tc>
      </w:tr>
      <w:tr w:rsidR="00A92D0B" w:rsidRPr="007F620E" w:rsidTr="003E01BA">
        <w:tc>
          <w:tcPr>
            <w:tcW w:w="4338" w:type="dxa"/>
            <w:gridSpan w:val="4"/>
            <w:tcBorders>
              <w:bottom w:val="single" w:sz="4" w:space="0" w:color="auto"/>
            </w:tcBorders>
            <w:shd w:val="clear" w:color="auto" w:fill="auto"/>
          </w:tcPr>
          <w:p w:rsidR="00A92D0B" w:rsidRPr="007F620E" w:rsidRDefault="00A92D0B" w:rsidP="009F4922">
            <w:pPr>
              <w:tabs>
                <w:tab w:val="left" w:pos="360"/>
              </w:tabs>
              <w:spacing w:before="120"/>
              <w:rPr>
                <w:color w:val="000000"/>
              </w:rPr>
            </w:pPr>
            <w:r w:rsidRPr="007F620E">
              <w:rPr>
                <w:color w:val="000000"/>
              </w:rPr>
              <w:t>4. Was the NOI timely filed?</w:t>
            </w:r>
          </w:p>
        </w:tc>
        <w:tc>
          <w:tcPr>
            <w:tcW w:w="4567" w:type="dxa"/>
            <w:tcBorders>
              <w:bottom w:val="single" w:sz="4" w:space="0" w:color="auto"/>
            </w:tcBorders>
            <w:shd w:val="clear" w:color="auto" w:fill="auto"/>
          </w:tcPr>
          <w:p w:rsidR="00A92D0B" w:rsidRPr="007F620E" w:rsidRDefault="00576928" w:rsidP="002E1FA5">
            <w:pPr>
              <w:tabs>
                <w:tab w:val="left" w:pos="360"/>
              </w:tabs>
              <w:spacing w:before="120"/>
              <w:jc w:val="center"/>
              <w:rPr>
                <w:color w:val="000000"/>
              </w:rPr>
            </w:pPr>
            <w:r>
              <w:rPr>
                <w:color w:val="000000"/>
              </w:rPr>
              <w:t>Yes</w:t>
            </w:r>
          </w:p>
        </w:tc>
      </w:tr>
      <w:tr w:rsidR="00A92D0B" w:rsidRPr="007F620E" w:rsidTr="00A27667">
        <w:tc>
          <w:tcPr>
            <w:tcW w:w="8905" w:type="dxa"/>
            <w:gridSpan w:val="5"/>
            <w:tcBorders>
              <w:top w:val="single" w:sz="4" w:space="0" w:color="auto"/>
              <w:left w:val="single" w:sz="4" w:space="0" w:color="auto"/>
              <w:bottom w:val="single" w:sz="4" w:space="0" w:color="auto"/>
              <w:right w:val="single" w:sz="4" w:space="0" w:color="auto"/>
            </w:tcBorders>
            <w:shd w:val="clear" w:color="auto" w:fill="E6E6E6"/>
          </w:tcPr>
          <w:p w:rsidR="00A92D0B" w:rsidRPr="00770877" w:rsidRDefault="00A92D0B" w:rsidP="00A27667">
            <w:pPr>
              <w:keepNext/>
              <w:keepLines/>
              <w:tabs>
                <w:tab w:val="left" w:pos="360"/>
              </w:tabs>
              <w:spacing w:before="60"/>
              <w:jc w:val="center"/>
              <w:rPr>
                <w:color w:val="000000"/>
              </w:rPr>
            </w:pPr>
            <w:r w:rsidRPr="00770877">
              <w:rPr>
                <w:color w:val="000000"/>
              </w:rPr>
              <w:t xml:space="preserve">Showing of </w:t>
            </w:r>
            <w:r w:rsidR="00F63C29" w:rsidRPr="00770877">
              <w:rPr>
                <w:color w:val="000000"/>
              </w:rPr>
              <w:t xml:space="preserve">eligible </w:t>
            </w:r>
            <w:r w:rsidRPr="00770877">
              <w:rPr>
                <w:color w:val="000000"/>
              </w:rPr>
              <w:t xml:space="preserve">customer </w:t>
            </w:r>
            <w:r w:rsidR="00F63C29" w:rsidRPr="00770877">
              <w:rPr>
                <w:color w:val="000000"/>
              </w:rPr>
              <w:t>status (§ 1802(b))</w:t>
            </w:r>
            <w:r w:rsidRPr="00770877">
              <w:rPr>
                <w:color w:val="000000"/>
              </w:rPr>
              <w:t>:</w:t>
            </w:r>
          </w:p>
        </w:tc>
      </w:tr>
      <w:tr w:rsidR="00794A6C" w:rsidRPr="007F620E" w:rsidTr="00794A6C">
        <w:tc>
          <w:tcPr>
            <w:tcW w:w="2538" w:type="dxa"/>
            <w:tcBorders>
              <w:top w:val="single" w:sz="4" w:space="0" w:color="auto"/>
            </w:tcBorders>
            <w:shd w:val="clear" w:color="auto" w:fill="auto"/>
          </w:tcPr>
          <w:p w:rsidR="00794A6C" w:rsidRPr="00105767" w:rsidRDefault="00794A6C" w:rsidP="009F4922">
            <w:pPr>
              <w:keepNext/>
              <w:keepLines/>
              <w:spacing w:before="120"/>
              <w:rPr>
                <w:color w:val="000000"/>
              </w:rPr>
            </w:pPr>
            <w:r w:rsidRPr="00105767">
              <w:rPr>
                <w:color w:val="000000"/>
              </w:rPr>
              <w:t>5. Based on A</w:t>
            </w:r>
            <w:r w:rsidR="006F38BE">
              <w:rPr>
                <w:color w:val="000000"/>
              </w:rPr>
              <w:t xml:space="preserve">dministrative Law Judge (ALJ) </w:t>
            </w:r>
            <w:r w:rsidRPr="00105767">
              <w:rPr>
                <w:color w:val="000000"/>
              </w:rPr>
              <w:t>LJ ruling issued in proceeding number:</w:t>
            </w:r>
          </w:p>
        </w:tc>
        <w:tc>
          <w:tcPr>
            <w:tcW w:w="1440" w:type="dxa"/>
            <w:gridSpan w:val="2"/>
            <w:tcBorders>
              <w:top w:val="single" w:sz="4" w:space="0" w:color="auto"/>
            </w:tcBorders>
            <w:shd w:val="clear" w:color="auto" w:fill="auto"/>
          </w:tcPr>
          <w:p w:rsidR="00794A6C" w:rsidRPr="00105767" w:rsidRDefault="00794A6C" w:rsidP="007E71C3">
            <w:pPr>
              <w:keepNext/>
              <w:keepLines/>
              <w:tabs>
                <w:tab w:val="left" w:pos="360"/>
              </w:tabs>
              <w:spacing w:before="120"/>
              <w:ind w:left="360" w:hanging="360"/>
              <w:rPr>
                <w:color w:val="000000"/>
              </w:rPr>
            </w:pPr>
            <w:r w:rsidRPr="00105767">
              <w:rPr>
                <w:color w:val="000000"/>
              </w:rPr>
              <w:t>17-01-020</w:t>
            </w:r>
          </w:p>
        </w:tc>
        <w:tc>
          <w:tcPr>
            <w:tcW w:w="4927" w:type="dxa"/>
            <w:gridSpan w:val="2"/>
            <w:vMerge w:val="restart"/>
            <w:tcBorders>
              <w:top w:val="single" w:sz="4" w:space="0" w:color="auto"/>
            </w:tcBorders>
            <w:shd w:val="clear" w:color="auto" w:fill="auto"/>
          </w:tcPr>
          <w:p w:rsidR="00794A6C" w:rsidRPr="00105767" w:rsidRDefault="00794A6C" w:rsidP="00794A6C">
            <w:pPr>
              <w:keepNext/>
              <w:keepLines/>
              <w:tabs>
                <w:tab w:val="left" w:pos="360"/>
              </w:tabs>
              <w:spacing w:before="120"/>
              <w:rPr>
                <w:color w:val="000000"/>
              </w:rPr>
            </w:pPr>
            <w:r w:rsidRPr="00105767">
              <w:rPr>
                <w:color w:val="000000"/>
              </w:rPr>
              <w:t>A ruling of May 25, 2017 on San Diego Airport Parking’s (SDAP) NOI directed SDAP to complete the showing of customer status in the amended NOI, by providing additional information. On June 27, 2017, SDAP filed an amended NOI. See CPUC’s discussion of SDAP’s showing of customer status in Part I(C)(1), below.</w:t>
            </w:r>
          </w:p>
        </w:tc>
      </w:tr>
      <w:tr w:rsidR="00794A6C" w:rsidRPr="007F620E" w:rsidTr="00794A6C">
        <w:tc>
          <w:tcPr>
            <w:tcW w:w="2538" w:type="dxa"/>
            <w:shd w:val="clear" w:color="auto" w:fill="auto"/>
          </w:tcPr>
          <w:p w:rsidR="00794A6C" w:rsidRPr="007F620E" w:rsidRDefault="00794A6C" w:rsidP="009F4922">
            <w:pPr>
              <w:tabs>
                <w:tab w:val="left" w:pos="360"/>
              </w:tabs>
              <w:spacing w:before="120"/>
              <w:rPr>
                <w:color w:val="000000"/>
              </w:rPr>
            </w:pPr>
            <w:r w:rsidRPr="007F620E">
              <w:rPr>
                <w:color w:val="000000"/>
              </w:rPr>
              <w:t>6. Date of ALJ ruling:</w:t>
            </w:r>
          </w:p>
        </w:tc>
        <w:tc>
          <w:tcPr>
            <w:tcW w:w="1440" w:type="dxa"/>
            <w:gridSpan w:val="2"/>
            <w:shd w:val="clear" w:color="auto" w:fill="auto"/>
          </w:tcPr>
          <w:p w:rsidR="00794A6C" w:rsidRPr="007F620E" w:rsidRDefault="00794A6C" w:rsidP="00A92D0B">
            <w:pPr>
              <w:tabs>
                <w:tab w:val="left" w:pos="360"/>
              </w:tabs>
              <w:spacing w:before="120"/>
              <w:ind w:left="360" w:hanging="360"/>
              <w:rPr>
                <w:color w:val="000000"/>
              </w:rPr>
            </w:pPr>
            <w:r>
              <w:rPr>
                <w:color w:val="000000"/>
              </w:rPr>
              <w:t>5-25-17</w:t>
            </w:r>
          </w:p>
        </w:tc>
        <w:tc>
          <w:tcPr>
            <w:tcW w:w="4927" w:type="dxa"/>
            <w:gridSpan w:val="2"/>
            <w:vMerge/>
            <w:shd w:val="clear" w:color="auto" w:fill="auto"/>
          </w:tcPr>
          <w:p w:rsidR="00794A6C" w:rsidRPr="003E100D" w:rsidRDefault="00794A6C" w:rsidP="00CB0301">
            <w:pPr>
              <w:tabs>
                <w:tab w:val="left" w:pos="360"/>
              </w:tabs>
              <w:spacing w:before="120"/>
              <w:rPr>
                <w:color w:val="000000"/>
                <w:highlight w:val="yellow"/>
              </w:rPr>
            </w:pPr>
          </w:p>
        </w:tc>
      </w:tr>
      <w:tr w:rsidR="00A92D0B" w:rsidRPr="007F620E" w:rsidTr="00794A6C">
        <w:tc>
          <w:tcPr>
            <w:tcW w:w="2538" w:type="dxa"/>
            <w:shd w:val="clear" w:color="auto" w:fill="auto"/>
          </w:tcPr>
          <w:p w:rsidR="00A92D0B" w:rsidRPr="007F620E" w:rsidRDefault="009F4922" w:rsidP="009F4922">
            <w:pPr>
              <w:tabs>
                <w:tab w:val="left" w:pos="360"/>
              </w:tabs>
              <w:spacing w:before="120"/>
              <w:rPr>
                <w:color w:val="000000"/>
              </w:rPr>
            </w:pPr>
            <w:r>
              <w:rPr>
                <w:color w:val="000000"/>
              </w:rPr>
              <w:t xml:space="preserve">7. </w:t>
            </w:r>
            <w:r w:rsidR="00A92D0B" w:rsidRPr="007F620E">
              <w:rPr>
                <w:color w:val="000000"/>
              </w:rPr>
              <w:t>Based on another CPUC determination (specify):</w:t>
            </w:r>
          </w:p>
        </w:tc>
        <w:tc>
          <w:tcPr>
            <w:tcW w:w="1440" w:type="dxa"/>
            <w:gridSpan w:val="2"/>
            <w:tcBorders>
              <w:bottom w:val="single" w:sz="4" w:space="0" w:color="auto"/>
            </w:tcBorders>
            <w:shd w:val="clear" w:color="auto" w:fill="auto"/>
          </w:tcPr>
          <w:p w:rsidR="00A92D0B" w:rsidRPr="007F620E" w:rsidRDefault="00A92D0B" w:rsidP="00A92D0B">
            <w:pPr>
              <w:tabs>
                <w:tab w:val="left" w:pos="360"/>
              </w:tabs>
              <w:spacing w:before="120"/>
              <w:ind w:left="360" w:hanging="360"/>
              <w:rPr>
                <w:color w:val="000000"/>
              </w:rPr>
            </w:pPr>
          </w:p>
        </w:tc>
        <w:tc>
          <w:tcPr>
            <w:tcW w:w="4927" w:type="dxa"/>
            <w:gridSpan w:val="2"/>
            <w:tcBorders>
              <w:bottom w:val="single" w:sz="4" w:space="0" w:color="auto"/>
            </w:tcBorders>
            <w:shd w:val="clear" w:color="auto" w:fill="auto"/>
          </w:tcPr>
          <w:p w:rsidR="00A92D0B" w:rsidRPr="00105767" w:rsidRDefault="00794A6C" w:rsidP="00794A6C">
            <w:pPr>
              <w:tabs>
                <w:tab w:val="left" w:pos="360"/>
              </w:tabs>
              <w:spacing w:before="120"/>
              <w:rPr>
                <w:color w:val="000000"/>
              </w:rPr>
            </w:pPr>
            <w:r w:rsidRPr="00105767">
              <w:rPr>
                <w:color w:val="000000"/>
              </w:rPr>
              <w:t xml:space="preserve">This decision finds that SDAP has demonstrated eligible customer status. </w:t>
            </w:r>
            <w:r w:rsidR="00275F64" w:rsidRPr="00105767">
              <w:rPr>
                <w:color w:val="000000"/>
              </w:rPr>
              <w:t xml:space="preserve">See CPUC’s </w:t>
            </w:r>
            <w:r w:rsidR="003E01BA" w:rsidRPr="00105767">
              <w:rPr>
                <w:color w:val="000000"/>
              </w:rPr>
              <w:t>discussion</w:t>
            </w:r>
            <w:r w:rsidR="00275F64" w:rsidRPr="00105767">
              <w:rPr>
                <w:color w:val="000000"/>
              </w:rPr>
              <w:t xml:space="preserve"> </w:t>
            </w:r>
            <w:r w:rsidRPr="00105767">
              <w:rPr>
                <w:color w:val="000000"/>
              </w:rPr>
              <w:t xml:space="preserve">of SDAP’s showing of customer status </w:t>
            </w:r>
            <w:r w:rsidR="00275F64" w:rsidRPr="00105767">
              <w:rPr>
                <w:color w:val="000000"/>
              </w:rPr>
              <w:t>in Part I(C)</w:t>
            </w:r>
            <w:r w:rsidR="00417E49" w:rsidRPr="00105767">
              <w:rPr>
                <w:color w:val="000000"/>
              </w:rPr>
              <w:t>(1)</w:t>
            </w:r>
            <w:r w:rsidR="00275F64" w:rsidRPr="00105767">
              <w:rPr>
                <w:color w:val="000000"/>
              </w:rPr>
              <w:t>, below.</w:t>
            </w:r>
          </w:p>
        </w:tc>
      </w:tr>
      <w:tr w:rsidR="00A92D0B" w:rsidRPr="007F620E" w:rsidTr="00794A6C">
        <w:tc>
          <w:tcPr>
            <w:tcW w:w="3978" w:type="dxa"/>
            <w:gridSpan w:val="3"/>
            <w:tcBorders>
              <w:bottom w:val="single" w:sz="4" w:space="0" w:color="auto"/>
            </w:tcBorders>
            <w:shd w:val="clear" w:color="auto" w:fill="auto"/>
          </w:tcPr>
          <w:p w:rsidR="00A92D0B" w:rsidRPr="007F620E" w:rsidRDefault="00A92D0B" w:rsidP="00394EC0">
            <w:pPr>
              <w:tabs>
                <w:tab w:val="left" w:pos="360"/>
              </w:tabs>
              <w:spacing w:before="120"/>
              <w:rPr>
                <w:color w:val="000000"/>
              </w:rPr>
            </w:pPr>
            <w:r w:rsidRPr="007F620E">
              <w:rPr>
                <w:color w:val="000000"/>
              </w:rPr>
              <w:t>8.</w:t>
            </w:r>
            <w:r w:rsidR="00FC72B7" w:rsidRPr="007F620E">
              <w:rPr>
                <w:color w:val="000000"/>
              </w:rPr>
              <w:t xml:space="preserve"> </w:t>
            </w:r>
            <w:r w:rsidRPr="007F620E">
              <w:rPr>
                <w:color w:val="000000"/>
              </w:rPr>
              <w:t xml:space="preserve">Has the </w:t>
            </w:r>
            <w:r w:rsidR="005A63D4" w:rsidRPr="007F620E">
              <w:rPr>
                <w:color w:val="000000"/>
              </w:rPr>
              <w:t xml:space="preserve">Intervenor </w:t>
            </w:r>
            <w:r w:rsidRPr="007F620E">
              <w:rPr>
                <w:color w:val="000000"/>
              </w:rPr>
              <w:t xml:space="preserve">demonstrated </w:t>
            </w:r>
            <w:r w:rsidRPr="00ED6B6B">
              <w:t>customer</w:t>
            </w:r>
            <w:r w:rsidRPr="007F620E">
              <w:rPr>
                <w:color w:val="000000"/>
              </w:rPr>
              <w:t xml:space="preserve"> </w:t>
            </w:r>
            <w:r w:rsidR="00ED6B6B">
              <w:rPr>
                <w:color w:val="000000"/>
              </w:rPr>
              <w:t>status</w:t>
            </w:r>
            <w:r w:rsidR="00394EC0">
              <w:rPr>
                <w:color w:val="000000"/>
              </w:rPr>
              <w:t>?</w:t>
            </w:r>
          </w:p>
        </w:tc>
        <w:tc>
          <w:tcPr>
            <w:tcW w:w="4927" w:type="dxa"/>
            <w:gridSpan w:val="2"/>
            <w:tcBorders>
              <w:bottom w:val="single" w:sz="4" w:space="0" w:color="auto"/>
            </w:tcBorders>
            <w:shd w:val="clear" w:color="auto" w:fill="auto"/>
          </w:tcPr>
          <w:p w:rsidR="00A92D0B" w:rsidRPr="00105767" w:rsidRDefault="00576928" w:rsidP="003E01BA">
            <w:pPr>
              <w:tabs>
                <w:tab w:val="left" w:pos="360"/>
              </w:tabs>
              <w:spacing w:before="120"/>
              <w:rPr>
                <w:color w:val="000000"/>
              </w:rPr>
            </w:pPr>
            <w:r w:rsidRPr="00105767">
              <w:rPr>
                <w:color w:val="000000"/>
              </w:rPr>
              <w:t>Yes</w:t>
            </w:r>
            <w:r w:rsidR="00275F64" w:rsidRPr="00105767">
              <w:rPr>
                <w:color w:val="000000"/>
              </w:rPr>
              <w:t xml:space="preserve">. See CPUC’s </w:t>
            </w:r>
            <w:r w:rsidR="003E01BA" w:rsidRPr="00105767">
              <w:rPr>
                <w:color w:val="000000"/>
              </w:rPr>
              <w:t>discussion</w:t>
            </w:r>
            <w:r w:rsidR="00275F64" w:rsidRPr="00105767">
              <w:rPr>
                <w:color w:val="000000"/>
              </w:rPr>
              <w:t xml:space="preserve"> in Part I(C)</w:t>
            </w:r>
            <w:r w:rsidR="00417E49" w:rsidRPr="00105767">
              <w:rPr>
                <w:color w:val="000000"/>
              </w:rPr>
              <w:t>(1)</w:t>
            </w:r>
            <w:r w:rsidR="00275F64" w:rsidRPr="00105767">
              <w:rPr>
                <w:color w:val="000000"/>
              </w:rPr>
              <w:t>, below.</w:t>
            </w:r>
          </w:p>
        </w:tc>
      </w:tr>
      <w:tr w:rsidR="00A92D0B" w:rsidRPr="007F620E" w:rsidTr="00A27667">
        <w:tc>
          <w:tcPr>
            <w:tcW w:w="8905" w:type="dxa"/>
            <w:gridSpan w:val="5"/>
            <w:tcBorders>
              <w:top w:val="single" w:sz="4" w:space="0" w:color="auto"/>
              <w:left w:val="single" w:sz="4" w:space="0" w:color="auto"/>
              <w:bottom w:val="single" w:sz="4" w:space="0" w:color="auto"/>
              <w:right w:val="single" w:sz="4" w:space="0" w:color="auto"/>
            </w:tcBorders>
            <w:shd w:val="clear" w:color="auto" w:fill="E6E6E6"/>
          </w:tcPr>
          <w:p w:rsidR="00A92D0B" w:rsidRPr="00770877" w:rsidRDefault="00A92D0B" w:rsidP="00ED6B6B">
            <w:pPr>
              <w:tabs>
                <w:tab w:val="left" w:pos="360"/>
              </w:tabs>
              <w:spacing w:before="60"/>
              <w:jc w:val="center"/>
              <w:rPr>
                <w:color w:val="000000"/>
              </w:rPr>
            </w:pPr>
            <w:r w:rsidRPr="00770877">
              <w:rPr>
                <w:color w:val="000000"/>
              </w:rPr>
              <w:t>Showing of “significant</w:t>
            </w:r>
            <w:r w:rsidR="00F63C29" w:rsidRPr="00770877">
              <w:rPr>
                <w:color w:val="000000"/>
              </w:rPr>
              <w:t xml:space="preserve"> financial hardship” (§1802(</w:t>
            </w:r>
            <w:r w:rsidR="00175865" w:rsidRPr="00770877">
              <w:rPr>
                <w:color w:val="000000"/>
              </w:rPr>
              <w:t>h</w:t>
            </w:r>
            <w:r w:rsidR="00F63C29" w:rsidRPr="00770877">
              <w:rPr>
                <w:color w:val="000000"/>
              </w:rPr>
              <w:t xml:space="preserve">) or </w:t>
            </w:r>
            <w:r w:rsidR="00ED6B6B" w:rsidRPr="00770877">
              <w:rPr>
                <w:color w:val="000000"/>
              </w:rPr>
              <w:t>§</w:t>
            </w:r>
            <w:r w:rsidR="00F63C29" w:rsidRPr="00770877">
              <w:rPr>
                <w:color w:val="000000"/>
              </w:rPr>
              <w:t>1803.1(b))</w:t>
            </w:r>
          </w:p>
        </w:tc>
      </w:tr>
      <w:tr w:rsidR="00794A6C" w:rsidRPr="007F620E" w:rsidTr="00794A6C">
        <w:tc>
          <w:tcPr>
            <w:tcW w:w="2538" w:type="dxa"/>
            <w:tcBorders>
              <w:top w:val="single" w:sz="4" w:space="0" w:color="auto"/>
            </w:tcBorders>
            <w:shd w:val="clear" w:color="auto" w:fill="auto"/>
          </w:tcPr>
          <w:p w:rsidR="00794A6C" w:rsidRPr="007F620E" w:rsidRDefault="00794A6C" w:rsidP="009F4922">
            <w:pPr>
              <w:tabs>
                <w:tab w:val="left" w:pos="315"/>
              </w:tabs>
              <w:spacing w:before="120"/>
              <w:rPr>
                <w:color w:val="000000"/>
              </w:rPr>
            </w:pPr>
            <w:r>
              <w:rPr>
                <w:color w:val="000000"/>
              </w:rPr>
              <w:t xml:space="preserve">9. </w:t>
            </w:r>
            <w:r w:rsidRPr="007F620E">
              <w:rPr>
                <w:color w:val="000000"/>
              </w:rPr>
              <w:t>Based on ALJ ruling issued in proceeding number:</w:t>
            </w:r>
          </w:p>
        </w:tc>
        <w:tc>
          <w:tcPr>
            <w:tcW w:w="1440" w:type="dxa"/>
            <w:gridSpan w:val="2"/>
            <w:tcBorders>
              <w:top w:val="single" w:sz="4" w:space="0" w:color="auto"/>
            </w:tcBorders>
            <w:shd w:val="clear" w:color="auto" w:fill="auto"/>
          </w:tcPr>
          <w:p w:rsidR="00794A6C" w:rsidRPr="007F620E" w:rsidRDefault="00794A6C" w:rsidP="00576928">
            <w:pPr>
              <w:tabs>
                <w:tab w:val="left" w:pos="360"/>
              </w:tabs>
              <w:spacing w:before="120"/>
              <w:ind w:left="360" w:hanging="360"/>
              <w:jc w:val="center"/>
              <w:rPr>
                <w:color w:val="000000"/>
              </w:rPr>
            </w:pPr>
            <w:r>
              <w:rPr>
                <w:color w:val="000000"/>
              </w:rPr>
              <w:t>17-01-020</w:t>
            </w:r>
          </w:p>
        </w:tc>
        <w:tc>
          <w:tcPr>
            <w:tcW w:w="4927" w:type="dxa"/>
            <w:gridSpan w:val="2"/>
            <w:vMerge w:val="restart"/>
            <w:tcBorders>
              <w:top w:val="single" w:sz="4" w:space="0" w:color="auto"/>
            </w:tcBorders>
            <w:shd w:val="clear" w:color="auto" w:fill="auto"/>
          </w:tcPr>
          <w:p w:rsidR="00794A6C" w:rsidRPr="00105767" w:rsidRDefault="00794A6C" w:rsidP="00794A6C">
            <w:pPr>
              <w:tabs>
                <w:tab w:val="left" w:pos="360"/>
              </w:tabs>
              <w:spacing w:before="120"/>
              <w:rPr>
                <w:color w:val="000000"/>
              </w:rPr>
            </w:pPr>
            <w:r w:rsidRPr="00105767">
              <w:rPr>
                <w:color w:val="000000"/>
              </w:rPr>
              <w:t xml:space="preserve">A ruling of May 25, 2017, on SDAP’s NOI directed SDAP to support the showing of significant financial hardship in the amended NOI or an intervenor compensation claim, by providing additional documents and information. On June 27, 2017, SDAP filed an amended NOI. See CPUC’s discussion of the showing of significant financial hardship in Part I(C)(1), below. </w:t>
            </w:r>
          </w:p>
        </w:tc>
      </w:tr>
      <w:tr w:rsidR="00794A6C" w:rsidRPr="007F620E" w:rsidTr="00794A6C">
        <w:tc>
          <w:tcPr>
            <w:tcW w:w="2538" w:type="dxa"/>
            <w:shd w:val="clear" w:color="auto" w:fill="auto"/>
          </w:tcPr>
          <w:p w:rsidR="00794A6C" w:rsidRPr="007F620E" w:rsidRDefault="00794A6C" w:rsidP="009F4922">
            <w:pPr>
              <w:tabs>
                <w:tab w:val="left" w:pos="315"/>
              </w:tabs>
              <w:spacing w:before="120"/>
              <w:rPr>
                <w:color w:val="000000"/>
              </w:rPr>
            </w:pPr>
            <w:r w:rsidRPr="007F620E">
              <w:rPr>
                <w:color w:val="000000"/>
              </w:rPr>
              <w:t>10.</w:t>
            </w:r>
            <w:r w:rsidRPr="007F620E">
              <w:rPr>
                <w:color w:val="000000"/>
              </w:rPr>
              <w:tab/>
              <w:t xml:space="preserve"> Date of ALJ ruling:</w:t>
            </w:r>
          </w:p>
        </w:tc>
        <w:tc>
          <w:tcPr>
            <w:tcW w:w="1440" w:type="dxa"/>
            <w:gridSpan w:val="2"/>
            <w:shd w:val="clear" w:color="auto" w:fill="auto"/>
          </w:tcPr>
          <w:p w:rsidR="00794A6C" w:rsidRPr="007F620E" w:rsidRDefault="00794A6C" w:rsidP="00A92D0B">
            <w:pPr>
              <w:tabs>
                <w:tab w:val="left" w:pos="360"/>
              </w:tabs>
              <w:spacing w:before="120"/>
              <w:ind w:hanging="360"/>
              <w:rPr>
                <w:color w:val="000000"/>
              </w:rPr>
            </w:pPr>
          </w:p>
        </w:tc>
        <w:tc>
          <w:tcPr>
            <w:tcW w:w="4927" w:type="dxa"/>
            <w:gridSpan w:val="2"/>
            <w:vMerge/>
            <w:shd w:val="clear" w:color="auto" w:fill="auto"/>
          </w:tcPr>
          <w:p w:rsidR="00794A6C" w:rsidRPr="00105767" w:rsidRDefault="00794A6C" w:rsidP="00CB0301">
            <w:pPr>
              <w:tabs>
                <w:tab w:val="left" w:pos="360"/>
              </w:tabs>
              <w:spacing w:before="120"/>
              <w:rPr>
                <w:color w:val="000000"/>
              </w:rPr>
            </w:pPr>
          </w:p>
        </w:tc>
      </w:tr>
      <w:tr w:rsidR="00357F1A" w:rsidRPr="007F620E" w:rsidTr="00794A6C">
        <w:tc>
          <w:tcPr>
            <w:tcW w:w="2538" w:type="dxa"/>
            <w:shd w:val="clear" w:color="auto" w:fill="auto"/>
          </w:tcPr>
          <w:p w:rsidR="00357F1A" w:rsidRPr="007F620E" w:rsidRDefault="00357F1A" w:rsidP="009F4922">
            <w:pPr>
              <w:tabs>
                <w:tab w:val="left" w:pos="315"/>
              </w:tabs>
              <w:spacing w:before="120"/>
              <w:rPr>
                <w:color w:val="000000"/>
              </w:rPr>
            </w:pPr>
            <w:r w:rsidRPr="007F620E">
              <w:rPr>
                <w:color w:val="000000"/>
              </w:rPr>
              <w:t>11. Based on another CPUC determination (specify):</w:t>
            </w:r>
          </w:p>
        </w:tc>
        <w:tc>
          <w:tcPr>
            <w:tcW w:w="1440" w:type="dxa"/>
            <w:gridSpan w:val="2"/>
            <w:shd w:val="clear" w:color="auto" w:fill="auto"/>
          </w:tcPr>
          <w:p w:rsidR="00357F1A" w:rsidRPr="007F620E" w:rsidRDefault="00357F1A" w:rsidP="00A92D0B">
            <w:pPr>
              <w:tabs>
                <w:tab w:val="left" w:pos="360"/>
              </w:tabs>
              <w:spacing w:before="120"/>
              <w:ind w:hanging="360"/>
              <w:rPr>
                <w:color w:val="000000"/>
              </w:rPr>
            </w:pPr>
          </w:p>
        </w:tc>
        <w:tc>
          <w:tcPr>
            <w:tcW w:w="4927" w:type="dxa"/>
            <w:gridSpan w:val="2"/>
            <w:shd w:val="clear" w:color="auto" w:fill="auto"/>
          </w:tcPr>
          <w:p w:rsidR="00357F1A" w:rsidRPr="00105767" w:rsidRDefault="00062881" w:rsidP="003E01BA">
            <w:pPr>
              <w:tabs>
                <w:tab w:val="left" w:pos="360"/>
              </w:tabs>
              <w:spacing w:before="120"/>
              <w:rPr>
                <w:color w:val="000000"/>
              </w:rPr>
            </w:pPr>
            <w:r w:rsidRPr="00105767">
              <w:rPr>
                <w:color w:val="000000"/>
              </w:rPr>
              <w:t xml:space="preserve">See CPUC’s </w:t>
            </w:r>
            <w:r w:rsidR="003E01BA" w:rsidRPr="00105767">
              <w:rPr>
                <w:color w:val="000000"/>
              </w:rPr>
              <w:t>discussion of</w:t>
            </w:r>
            <w:r w:rsidRPr="00105767">
              <w:rPr>
                <w:color w:val="000000"/>
              </w:rPr>
              <w:t xml:space="preserve"> </w:t>
            </w:r>
            <w:r w:rsidR="00794A6C" w:rsidRPr="00105767">
              <w:rPr>
                <w:color w:val="000000"/>
              </w:rPr>
              <w:t>significant financial hardship</w:t>
            </w:r>
            <w:r w:rsidRPr="00105767">
              <w:rPr>
                <w:color w:val="000000"/>
              </w:rPr>
              <w:t xml:space="preserve"> in Part I(C)</w:t>
            </w:r>
            <w:r w:rsidR="00417E49" w:rsidRPr="00105767">
              <w:rPr>
                <w:color w:val="000000"/>
              </w:rPr>
              <w:t>(1)</w:t>
            </w:r>
            <w:r w:rsidRPr="00105767">
              <w:rPr>
                <w:color w:val="000000"/>
              </w:rPr>
              <w:t>, below.</w:t>
            </w:r>
          </w:p>
        </w:tc>
      </w:tr>
      <w:tr w:rsidR="00A92D0B" w:rsidRPr="007F620E" w:rsidTr="00794A6C">
        <w:tc>
          <w:tcPr>
            <w:tcW w:w="3978" w:type="dxa"/>
            <w:gridSpan w:val="3"/>
            <w:tcBorders>
              <w:bottom w:val="single" w:sz="4" w:space="0" w:color="auto"/>
            </w:tcBorders>
            <w:shd w:val="clear" w:color="auto" w:fill="auto"/>
          </w:tcPr>
          <w:p w:rsidR="00A92D0B" w:rsidRPr="007F620E" w:rsidRDefault="009F4922" w:rsidP="002E1FA5">
            <w:pPr>
              <w:keepNext/>
              <w:keepLines/>
              <w:tabs>
                <w:tab w:val="left" w:pos="360"/>
              </w:tabs>
              <w:spacing w:before="120"/>
              <w:ind w:hanging="360"/>
              <w:rPr>
                <w:color w:val="000000"/>
              </w:rPr>
            </w:pPr>
            <w:r>
              <w:rPr>
                <w:color w:val="000000"/>
              </w:rPr>
              <w:lastRenderedPageBreak/>
              <w:t>12.</w:t>
            </w:r>
            <w:r w:rsidR="00A92D0B" w:rsidRPr="007F620E">
              <w:rPr>
                <w:color w:val="000000"/>
              </w:rPr>
              <w:t>12.</w:t>
            </w:r>
            <w:r w:rsidR="00FC72B7" w:rsidRPr="007F620E">
              <w:rPr>
                <w:color w:val="000000"/>
              </w:rPr>
              <w:t xml:space="preserve"> </w:t>
            </w:r>
            <w:r w:rsidR="00A92D0B" w:rsidRPr="007F620E">
              <w:rPr>
                <w:color w:val="000000"/>
              </w:rPr>
              <w:t>Has the</w:t>
            </w:r>
            <w:r w:rsidR="00A319DE" w:rsidRPr="007F620E">
              <w:rPr>
                <w:color w:val="000000"/>
              </w:rPr>
              <w:t xml:space="preserve"> </w:t>
            </w:r>
            <w:r w:rsidR="005A63D4" w:rsidRPr="007F620E">
              <w:rPr>
                <w:color w:val="000000"/>
              </w:rPr>
              <w:t>Intervenor</w:t>
            </w:r>
            <w:r w:rsidR="00A92D0B" w:rsidRPr="007F620E">
              <w:rPr>
                <w:color w:val="000000"/>
              </w:rPr>
              <w:t xml:space="preserve"> demonstrated significant financial hardship?</w:t>
            </w:r>
          </w:p>
        </w:tc>
        <w:tc>
          <w:tcPr>
            <w:tcW w:w="4927" w:type="dxa"/>
            <w:gridSpan w:val="2"/>
            <w:tcBorders>
              <w:bottom w:val="single" w:sz="4" w:space="0" w:color="auto"/>
            </w:tcBorders>
            <w:shd w:val="clear" w:color="auto" w:fill="auto"/>
          </w:tcPr>
          <w:p w:rsidR="00A92D0B" w:rsidRPr="00105767" w:rsidRDefault="00576928" w:rsidP="002E1FA5">
            <w:pPr>
              <w:keepNext/>
              <w:keepLines/>
              <w:tabs>
                <w:tab w:val="left" w:pos="360"/>
              </w:tabs>
              <w:spacing w:before="120"/>
              <w:rPr>
                <w:color w:val="000000"/>
              </w:rPr>
            </w:pPr>
            <w:r w:rsidRPr="00105767">
              <w:rPr>
                <w:color w:val="000000"/>
              </w:rPr>
              <w:t>Yes</w:t>
            </w:r>
            <w:r w:rsidR="003E01BA" w:rsidRPr="00105767">
              <w:rPr>
                <w:color w:val="000000"/>
              </w:rPr>
              <w:t>. See CPUC’s</w:t>
            </w:r>
            <w:r w:rsidR="00062881" w:rsidRPr="00105767">
              <w:rPr>
                <w:color w:val="000000"/>
              </w:rPr>
              <w:t xml:space="preserve"> </w:t>
            </w:r>
            <w:r w:rsidR="003E01BA" w:rsidRPr="00105767">
              <w:rPr>
                <w:color w:val="000000"/>
              </w:rPr>
              <w:t>discussion of</w:t>
            </w:r>
            <w:r w:rsidR="00062881" w:rsidRPr="00105767">
              <w:rPr>
                <w:color w:val="000000"/>
              </w:rPr>
              <w:t xml:space="preserve"> </w:t>
            </w:r>
            <w:r w:rsidR="00794A6C" w:rsidRPr="00105767">
              <w:rPr>
                <w:color w:val="000000"/>
              </w:rPr>
              <w:t xml:space="preserve">significant financial hardship </w:t>
            </w:r>
            <w:r w:rsidR="00062881" w:rsidRPr="00105767">
              <w:rPr>
                <w:color w:val="000000"/>
              </w:rPr>
              <w:t>in Part I(C)</w:t>
            </w:r>
            <w:r w:rsidR="00417E49" w:rsidRPr="00105767">
              <w:rPr>
                <w:color w:val="000000"/>
              </w:rPr>
              <w:t>(1)</w:t>
            </w:r>
            <w:r w:rsidR="00062881" w:rsidRPr="00105767">
              <w:rPr>
                <w:color w:val="000000"/>
              </w:rPr>
              <w:t>, below.</w:t>
            </w:r>
          </w:p>
        </w:tc>
      </w:tr>
      <w:tr w:rsidR="00A92D0B" w:rsidRPr="007F620E" w:rsidTr="00A27667">
        <w:tc>
          <w:tcPr>
            <w:tcW w:w="8905" w:type="dxa"/>
            <w:gridSpan w:val="5"/>
            <w:tcBorders>
              <w:top w:val="single" w:sz="4" w:space="0" w:color="auto"/>
              <w:left w:val="single" w:sz="4" w:space="0" w:color="auto"/>
              <w:bottom w:val="single" w:sz="4" w:space="0" w:color="auto"/>
              <w:right w:val="single" w:sz="4" w:space="0" w:color="auto"/>
            </w:tcBorders>
            <w:shd w:val="clear" w:color="auto" w:fill="E6E6E6"/>
          </w:tcPr>
          <w:p w:rsidR="00A92D0B" w:rsidRPr="00770877" w:rsidRDefault="00A92D0B" w:rsidP="00A92D0B">
            <w:pPr>
              <w:tabs>
                <w:tab w:val="left" w:pos="360"/>
              </w:tabs>
              <w:spacing w:before="60"/>
              <w:jc w:val="center"/>
              <w:rPr>
                <w:color w:val="000000"/>
              </w:rPr>
            </w:pPr>
            <w:r w:rsidRPr="00770877">
              <w:rPr>
                <w:color w:val="000000"/>
              </w:rPr>
              <w:t>Timely request for compensation (§ 1804(c)):</w:t>
            </w:r>
          </w:p>
        </w:tc>
      </w:tr>
      <w:tr w:rsidR="00A92D0B" w:rsidRPr="007F620E" w:rsidTr="00794A6C">
        <w:tc>
          <w:tcPr>
            <w:tcW w:w="2538" w:type="dxa"/>
            <w:tcBorders>
              <w:top w:val="single" w:sz="4" w:space="0" w:color="auto"/>
            </w:tcBorders>
            <w:shd w:val="clear" w:color="auto" w:fill="auto"/>
          </w:tcPr>
          <w:p w:rsidR="00A92D0B" w:rsidRPr="007F620E" w:rsidRDefault="00A92D0B" w:rsidP="00A92D0B">
            <w:pPr>
              <w:keepNext/>
              <w:tabs>
                <w:tab w:val="left" w:pos="612"/>
              </w:tabs>
              <w:spacing w:before="120"/>
              <w:ind w:left="360" w:hanging="360"/>
              <w:rPr>
                <w:color w:val="000000"/>
              </w:rPr>
            </w:pPr>
            <w:r w:rsidRPr="007F620E">
              <w:rPr>
                <w:color w:val="000000"/>
              </w:rPr>
              <w:t>13.  Identify Final Decision:</w:t>
            </w:r>
          </w:p>
        </w:tc>
        <w:tc>
          <w:tcPr>
            <w:tcW w:w="1440" w:type="dxa"/>
            <w:gridSpan w:val="2"/>
            <w:tcBorders>
              <w:top w:val="single" w:sz="4" w:space="0" w:color="auto"/>
            </w:tcBorders>
            <w:shd w:val="clear" w:color="auto" w:fill="auto"/>
          </w:tcPr>
          <w:p w:rsidR="00A92D0B" w:rsidRPr="007F620E" w:rsidRDefault="00C73E8E" w:rsidP="003E01BA">
            <w:pPr>
              <w:tabs>
                <w:tab w:val="left" w:pos="360"/>
              </w:tabs>
              <w:spacing w:before="120"/>
              <w:rPr>
                <w:color w:val="000000"/>
              </w:rPr>
            </w:pPr>
            <w:r>
              <w:rPr>
                <w:color w:val="000000"/>
              </w:rPr>
              <w:t>D.18-01-024</w:t>
            </w:r>
          </w:p>
        </w:tc>
        <w:tc>
          <w:tcPr>
            <w:tcW w:w="4927" w:type="dxa"/>
            <w:gridSpan w:val="2"/>
            <w:tcBorders>
              <w:top w:val="single" w:sz="4" w:space="0" w:color="auto"/>
            </w:tcBorders>
            <w:shd w:val="clear" w:color="auto" w:fill="auto"/>
          </w:tcPr>
          <w:p w:rsidR="00A92D0B" w:rsidRPr="007F620E" w:rsidRDefault="00576928" w:rsidP="002E1FA5">
            <w:pPr>
              <w:tabs>
                <w:tab w:val="left" w:pos="360"/>
              </w:tabs>
              <w:spacing w:before="120"/>
              <w:jc w:val="center"/>
              <w:rPr>
                <w:color w:val="000000"/>
              </w:rPr>
            </w:pPr>
            <w:r>
              <w:rPr>
                <w:color w:val="000000"/>
              </w:rPr>
              <w:t>Verified</w:t>
            </w:r>
          </w:p>
        </w:tc>
      </w:tr>
      <w:tr w:rsidR="00A92D0B" w:rsidRPr="007F620E" w:rsidTr="00794A6C">
        <w:tc>
          <w:tcPr>
            <w:tcW w:w="2538" w:type="dxa"/>
            <w:shd w:val="clear" w:color="auto" w:fill="auto"/>
          </w:tcPr>
          <w:p w:rsidR="00A92D0B" w:rsidRPr="007F620E" w:rsidRDefault="00A92D0B" w:rsidP="00A92D0B">
            <w:pPr>
              <w:keepNext/>
              <w:tabs>
                <w:tab w:val="left" w:pos="612"/>
              </w:tabs>
              <w:spacing w:before="120"/>
              <w:ind w:left="360" w:hanging="360"/>
              <w:rPr>
                <w:color w:val="000000"/>
              </w:rPr>
            </w:pPr>
            <w:r w:rsidRPr="007F620E">
              <w:rPr>
                <w:color w:val="000000"/>
              </w:rPr>
              <w:t xml:space="preserve">14. </w:t>
            </w:r>
            <w:r w:rsidR="00FC72B7" w:rsidRPr="007F620E">
              <w:rPr>
                <w:color w:val="000000"/>
              </w:rPr>
              <w:t xml:space="preserve"> </w:t>
            </w:r>
            <w:r w:rsidRPr="007F620E">
              <w:rPr>
                <w:color w:val="000000"/>
              </w:rPr>
              <w:t xml:space="preserve">Date of </w:t>
            </w:r>
            <w:r w:rsidR="00A319DE" w:rsidRPr="007F620E">
              <w:rPr>
                <w:color w:val="000000"/>
              </w:rPr>
              <w:t>i</w:t>
            </w:r>
            <w:r w:rsidRPr="007F620E">
              <w:rPr>
                <w:color w:val="000000"/>
              </w:rPr>
              <w:t xml:space="preserve">ssuance of Final Order or Decision:    </w:t>
            </w:r>
          </w:p>
        </w:tc>
        <w:tc>
          <w:tcPr>
            <w:tcW w:w="1440" w:type="dxa"/>
            <w:gridSpan w:val="2"/>
            <w:shd w:val="clear" w:color="auto" w:fill="auto"/>
          </w:tcPr>
          <w:p w:rsidR="00A92D0B" w:rsidRPr="007F620E" w:rsidRDefault="00C73E8E" w:rsidP="00A92D0B">
            <w:pPr>
              <w:tabs>
                <w:tab w:val="left" w:pos="360"/>
              </w:tabs>
              <w:spacing w:before="120"/>
              <w:rPr>
                <w:color w:val="000000"/>
              </w:rPr>
            </w:pPr>
            <w:r>
              <w:rPr>
                <w:color w:val="000000"/>
              </w:rPr>
              <w:t>1-11-2018</w:t>
            </w:r>
          </w:p>
        </w:tc>
        <w:tc>
          <w:tcPr>
            <w:tcW w:w="4927" w:type="dxa"/>
            <w:gridSpan w:val="2"/>
            <w:shd w:val="clear" w:color="auto" w:fill="auto"/>
          </w:tcPr>
          <w:p w:rsidR="00A92D0B" w:rsidRPr="007F620E" w:rsidRDefault="00576928" w:rsidP="002E1FA5">
            <w:pPr>
              <w:tabs>
                <w:tab w:val="left" w:pos="360"/>
              </w:tabs>
              <w:spacing w:before="120"/>
              <w:jc w:val="center"/>
              <w:rPr>
                <w:color w:val="000000"/>
              </w:rPr>
            </w:pPr>
            <w:r>
              <w:rPr>
                <w:color w:val="000000"/>
              </w:rPr>
              <w:t>1/17/2018</w:t>
            </w:r>
          </w:p>
        </w:tc>
      </w:tr>
      <w:tr w:rsidR="00A92D0B" w:rsidRPr="007F620E" w:rsidTr="00794A6C">
        <w:tc>
          <w:tcPr>
            <w:tcW w:w="2538" w:type="dxa"/>
            <w:shd w:val="clear" w:color="auto" w:fill="auto"/>
          </w:tcPr>
          <w:p w:rsidR="00A92D0B" w:rsidRPr="007F620E" w:rsidRDefault="00A92D0B" w:rsidP="00A92D0B">
            <w:pPr>
              <w:keepNext/>
              <w:tabs>
                <w:tab w:val="left" w:pos="612"/>
              </w:tabs>
              <w:spacing w:before="120"/>
              <w:ind w:left="360" w:hanging="360"/>
              <w:rPr>
                <w:color w:val="000000"/>
              </w:rPr>
            </w:pPr>
            <w:r w:rsidRPr="007F620E">
              <w:rPr>
                <w:color w:val="000000"/>
              </w:rPr>
              <w:t xml:space="preserve">15. </w:t>
            </w:r>
            <w:r w:rsidR="00FC72B7" w:rsidRPr="007F620E">
              <w:rPr>
                <w:color w:val="000000"/>
              </w:rPr>
              <w:t xml:space="preserve"> </w:t>
            </w:r>
            <w:r w:rsidRPr="007F620E">
              <w:rPr>
                <w:color w:val="000000"/>
              </w:rPr>
              <w:t>File date of compensation request:</w:t>
            </w:r>
          </w:p>
        </w:tc>
        <w:tc>
          <w:tcPr>
            <w:tcW w:w="1440" w:type="dxa"/>
            <w:gridSpan w:val="2"/>
            <w:shd w:val="clear" w:color="auto" w:fill="auto"/>
          </w:tcPr>
          <w:p w:rsidR="00A92D0B" w:rsidRPr="007F620E" w:rsidRDefault="00C73E8E" w:rsidP="00A92D0B">
            <w:pPr>
              <w:tabs>
                <w:tab w:val="left" w:pos="360"/>
              </w:tabs>
              <w:spacing w:before="120"/>
              <w:rPr>
                <w:color w:val="000000"/>
              </w:rPr>
            </w:pPr>
            <w:r>
              <w:rPr>
                <w:color w:val="000000"/>
              </w:rPr>
              <w:t>3-19-2018</w:t>
            </w:r>
          </w:p>
        </w:tc>
        <w:tc>
          <w:tcPr>
            <w:tcW w:w="4927" w:type="dxa"/>
            <w:gridSpan w:val="2"/>
            <w:shd w:val="clear" w:color="auto" w:fill="auto"/>
          </w:tcPr>
          <w:p w:rsidR="00A92D0B" w:rsidRPr="007F620E" w:rsidRDefault="00576928" w:rsidP="002E1FA5">
            <w:pPr>
              <w:tabs>
                <w:tab w:val="left" w:pos="360"/>
              </w:tabs>
              <w:spacing w:before="120"/>
              <w:jc w:val="center"/>
              <w:rPr>
                <w:color w:val="000000"/>
              </w:rPr>
            </w:pPr>
            <w:r>
              <w:rPr>
                <w:color w:val="000000"/>
              </w:rPr>
              <w:t>Verified</w:t>
            </w:r>
          </w:p>
        </w:tc>
      </w:tr>
      <w:tr w:rsidR="00A92D0B" w:rsidRPr="007F620E" w:rsidTr="00794A6C">
        <w:tc>
          <w:tcPr>
            <w:tcW w:w="3978" w:type="dxa"/>
            <w:gridSpan w:val="3"/>
            <w:shd w:val="clear" w:color="auto" w:fill="auto"/>
          </w:tcPr>
          <w:p w:rsidR="00A92D0B" w:rsidRPr="007F620E" w:rsidRDefault="00A92D0B" w:rsidP="00FC72B7">
            <w:pPr>
              <w:tabs>
                <w:tab w:val="left" w:pos="360"/>
              </w:tabs>
              <w:spacing w:before="120"/>
              <w:ind w:left="360" w:hanging="360"/>
              <w:rPr>
                <w:color w:val="000000"/>
              </w:rPr>
            </w:pPr>
            <w:r w:rsidRPr="007F620E">
              <w:rPr>
                <w:color w:val="000000"/>
              </w:rPr>
              <w:t>16. Was the request for compensation timely?</w:t>
            </w:r>
          </w:p>
        </w:tc>
        <w:tc>
          <w:tcPr>
            <w:tcW w:w="4927" w:type="dxa"/>
            <w:gridSpan w:val="2"/>
            <w:shd w:val="clear" w:color="auto" w:fill="auto"/>
          </w:tcPr>
          <w:p w:rsidR="00A92D0B" w:rsidRPr="007F620E" w:rsidRDefault="00576928" w:rsidP="002E1FA5">
            <w:pPr>
              <w:tabs>
                <w:tab w:val="left" w:pos="360"/>
              </w:tabs>
              <w:spacing w:before="120"/>
              <w:jc w:val="center"/>
              <w:rPr>
                <w:color w:val="000000"/>
              </w:rPr>
            </w:pPr>
            <w:r>
              <w:rPr>
                <w:color w:val="000000"/>
              </w:rPr>
              <w:t>Yes</w:t>
            </w:r>
          </w:p>
        </w:tc>
      </w:tr>
    </w:tbl>
    <w:p w:rsidR="00A92D0B" w:rsidRPr="007F620E" w:rsidRDefault="00A92D0B">
      <w:pPr>
        <w:tabs>
          <w:tab w:val="left" w:pos="360"/>
        </w:tabs>
        <w:rPr>
          <w:b/>
          <w:color w:val="000000"/>
        </w:rPr>
      </w:pPr>
    </w:p>
    <w:p w:rsidR="00A92D0B" w:rsidRPr="00770877" w:rsidRDefault="00A92D0B">
      <w:pPr>
        <w:numPr>
          <w:ilvl w:val="0"/>
          <w:numId w:val="5"/>
        </w:numPr>
        <w:rPr>
          <w:color w:val="000000"/>
        </w:rPr>
      </w:pPr>
      <w:r w:rsidRPr="00770877">
        <w:rPr>
          <w:color w:val="000000"/>
        </w:rPr>
        <w:t xml:space="preserve">Additional </w:t>
      </w:r>
      <w:r w:rsidR="00770877">
        <w:rPr>
          <w:color w:val="000000"/>
        </w:rPr>
        <w:t>Comments on Part I</w:t>
      </w:r>
      <w:r w:rsidRPr="00770877">
        <w:rPr>
          <w:color w:val="000000"/>
        </w:rPr>
        <w:t>:</w:t>
      </w:r>
    </w:p>
    <w:p w:rsidR="00A92D0B" w:rsidRPr="007F620E" w:rsidRDefault="00A92D0B">
      <w:pPr>
        <w:tabs>
          <w:tab w:val="left" w:pos="360"/>
        </w:tabs>
        <w:rPr>
          <w:color w:val="00000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8"/>
        <w:gridCol w:w="8077"/>
      </w:tblGrid>
      <w:tr w:rsidR="00394EC0" w:rsidRPr="007F620E" w:rsidTr="00417E49">
        <w:trPr>
          <w:trHeight w:val="589"/>
        </w:trPr>
        <w:tc>
          <w:tcPr>
            <w:tcW w:w="750" w:type="dxa"/>
            <w:tcBorders>
              <w:bottom w:val="single" w:sz="4" w:space="0" w:color="auto"/>
            </w:tcBorders>
            <w:shd w:val="clear" w:color="auto" w:fill="auto"/>
          </w:tcPr>
          <w:p w:rsidR="00394EC0" w:rsidRPr="00770877" w:rsidRDefault="00394EC0" w:rsidP="00394EC0">
            <w:pPr>
              <w:tabs>
                <w:tab w:val="left" w:pos="360"/>
              </w:tabs>
              <w:jc w:val="center"/>
              <w:rPr>
                <w:color w:val="000000"/>
              </w:rPr>
            </w:pPr>
            <w:r w:rsidRPr="00770877">
              <w:rPr>
                <w:color w:val="000000"/>
              </w:rPr>
              <w:t>#</w:t>
            </w:r>
          </w:p>
        </w:tc>
        <w:tc>
          <w:tcPr>
            <w:tcW w:w="8155" w:type="dxa"/>
            <w:gridSpan w:val="2"/>
            <w:tcBorders>
              <w:bottom w:val="single" w:sz="4" w:space="0" w:color="auto"/>
            </w:tcBorders>
            <w:shd w:val="clear" w:color="auto" w:fill="auto"/>
          </w:tcPr>
          <w:p w:rsidR="00394EC0" w:rsidRPr="00D45BD2" w:rsidRDefault="00D45BD2" w:rsidP="00D45BD2">
            <w:pPr>
              <w:tabs>
                <w:tab w:val="left" w:pos="360"/>
              </w:tabs>
              <w:jc w:val="center"/>
              <w:rPr>
                <w:b/>
                <w:color w:val="000000"/>
              </w:rPr>
            </w:pPr>
            <w:r w:rsidRPr="00D45BD2">
              <w:rPr>
                <w:b/>
                <w:color w:val="000000"/>
              </w:rPr>
              <w:t xml:space="preserve">I. </w:t>
            </w:r>
            <w:r w:rsidR="00394EC0" w:rsidRPr="00D45BD2">
              <w:rPr>
                <w:b/>
                <w:color w:val="000000"/>
              </w:rPr>
              <w:t>Intervenor’s Comments</w:t>
            </w:r>
          </w:p>
        </w:tc>
      </w:tr>
      <w:tr w:rsidR="00394EC0" w:rsidRPr="007F620E" w:rsidTr="00417E49">
        <w:trPr>
          <w:trHeight w:val="67"/>
        </w:trPr>
        <w:tc>
          <w:tcPr>
            <w:tcW w:w="750" w:type="dxa"/>
            <w:shd w:val="clear" w:color="auto" w:fill="auto"/>
          </w:tcPr>
          <w:p w:rsidR="00394EC0" w:rsidRPr="007F620E" w:rsidRDefault="00394EC0" w:rsidP="00C42F9B">
            <w:pPr>
              <w:tabs>
                <w:tab w:val="left" w:pos="360"/>
              </w:tabs>
              <w:spacing w:before="120" w:after="240"/>
              <w:rPr>
                <w:color w:val="000000"/>
              </w:rPr>
            </w:pPr>
          </w:p>
        </w:tc>
        <w:tc>
          <w:tcPr>
            <w:tcW w:w="8155" w:type="dxa"/>
            <w:gridSpan w:val="2"/>
            <w:shd w:val="clear" w:color="auto" w:fill="auto"/>
          </w:tcPr>
          <w:p w:rsidR="00394EC0" w:rsidRDefault="00394EC0" w:rsidP="00C42F9B">
            <w:pPr>
              <w:spacing w:after="240"/>
              <w:jc w:val="both"/>
            </w:pPr>
            <w:r>
              <w:t xml:space="preserve">As San Diego Airport Parking Company (SDAP) became interested in these proceedings (CPUC SB350), Lisa McGhee, its Operations Manager, began participating in the many new regulatory changes and educational opportunities and workshops offered by the State Agencies and its affiliates. Numerous trips, meetings, seminars and workshops have been attended by SDAP in the course of the last 24 months in preparation for ensuring fleet reliability and to share fleet experiences in commercial operations that have high demand vehicle miles traveled --- the technology must fit the demand and needs of the vocation and be a reliable transportation technology source and SDAP has a desire help pave the way for others as many of these proceedings have yet to include participation by fleets.  The cost of this participation was borne entirely from the normal business proceeds of SDAP and Lisa McGhee has deferred the majority of the time and hours spent that are beyond the normal number of hours that Ms. McGhee delivers weekly to the operations of the business of SDAP; as such, Ms. McGhee’s deferral has been agreed upon until after the claim is determined in order to help support the participation for SDAP. </w:t>
            </w:r>
          </w:p>
          <w:p w:rsidR="00394EC0" w:rsidRDefault="00394EC0" w:rsidP="00C42F9B">
            <w:pPr>
              <w:spacing w:after="240"/>
              <w:jc w:val="both"/>
            </w:pPr>
            <w:r>
              <w:t>SDAP has been a local small private busin</w:t>
            </w:r>
            <w:r w:rsidR="003E01BA">
              <w:t xml:space="preserve">ess fleet operator since 1991. </w:t>
            </w:r>
            <w:r>
              <w:t xml:space="preserve">SDAP also procured 3 electric shuttles in 2015 and by the end of 2016 all 3 shuttles have remained non-operational as the OEM does not have a fix for the airport user and has refused any warranty support to SDAP; as such, we have been paying $5,000 per month for over one year for vehicles that do not run that are a long term liability obligation to SDAP and a large monthly payment that SDAP has budgeted as being an asset on the books that would help to generate revenue; but that is currently not the case.  In the last 30 days from this filing SDAP had to </w:t>
            </w:r>
            <w:r>
              <w:lastRenderedPageBreak/>
              <w:t xml:space="preserve">request a financial hardship waiver on the three vehicles with the equipment finance company </w:t>
            </w:r>
            <w:proofErr w:type="gramStart"/>
            <w:r>
              <w:t>in order to</w:t>
            </w:r>
            <w:proofErr w:type="gramEnd"/>
            <w:r>
              <w:t xml:space="preserve"> support the business through it’s slow season which is January to April 15 annually. Nonetheless, SDAP has managed to remain successful in meeting all of its business financial obligations and this has been in large part because of the sound financial management practices of its Operations Manager, Ms. Lisa McGhee and her passion and support of small private business.</w:t>
            </w:r>
          </w:p>
          <w:p w:rsidR="00394EC0" w:rsidRDefault="00394EC0" w:rsidP="00C42F9B">
            <w:pPr>
              <w:spacing w:after="240"/>
              <w:jc w:val="both"/>
            </w:pPr>
            <w:r>
              <w:t xml:space="preserve">An attached income statement indicates clearly the expenses that SDAP incurred during the course of its normal operations in calendar year 2017 (shown in a monthly format), the Balance Sheet for 2017 shows limited net proceeds would be available for the level of commitment and costs and time that participation in this proceeding requires.  However, as the company’s participation in the electrification process has increased, and promises to increase even more in the near future, so will the motivation of SDAP as capital investment in TE is substantially more than other more conventional technologies and choices.  SDAP has been a pioneer in the electrification industry, to not only avail itself of all future programs, but also to avail itself of opportunities to upgrade its operations by mobilizing a fully electric fleet along with the infrastructure and employee training needed to operate it.  SDAP sees the TE as a great option for their short duty cycle and use; however, the risk is high with all equipment being proprietary and with no real-world data to determine the useful life.   Currently, in San Diego, per the HVIP data website, San Diego has only 9 HVIP vouchers that have been distributed in San Diego for ZEV’s since the start of the program in 2009 and SDAP has 3 of them.  </w:t>
            </w:r>
          </w:p>
          <w:p w:rsidR="00394EC0" w:rsidRDefault="00394EC0" w:rsidP="00C42F9B">
            <w:pPr>
              <w:spacing w:after="240"/>
              <w:jc w:val="both"/>
            </w:pPr>
            <w:r>
              <w:t xml:space="preserve">In light of these future estimated expenditures, and the current state of SDAP’s downturn in annual proceeds due to supporting the non-functional three ZEV’s, the financial commitment to these proceedings, the recent negative impact by the TNC industry -- along with all of these new regulatory measures to adopt ZEV’s over other transportation alternatives, SDAP forecasts that it will not be able to afford </w:t>
            </w:r>
            <w:r w:rsidRPr="00773EF2">
              <w:t>the costs of effective participation in the</w:t>
            </w:r>
            <w:r>
              <w:t>se and future</w:t>
            </w:r>
            <w:r w:rsidRPr="00773EF2">
              <w:t xml:space="preserve"> pr</w:t>
            </w:r>
            <w:r>
              <w:t>oceedings without undue hardship; accordingly, SDAP is grateful for the opportunity to file this claim.</w:t>
            </w:r>
            <w:r w:rsidR="003E01BA">
              <w:t xml:space="preserve"> </w:t>
            </w:r>
            <w:r>
              <w:t>All expenses shown on the provided expense time table are hard costs, as provided to SDAP by its vendors.</w:t>
            </w:r>
          </w:p>
          <w:p w:rsidR="00394EC0" w:rsidRDefault="00394EC0" w:rsidP="00C42F9B">
            <w:pPr>
              <w:spacing w:after="240"/>
              <w:jc w:val="both"/>
            </w:pPr>
            <w:r>
              <w:t xml:space="preserve">Ms. McGhee, who is the driving force of SDAP’s participation in these proceedings, has managed most of the time to these proceedings and drafting of documents, coordinated filings etc. as SDAP has not directly hired additional staff to take on the more skilled requirements or it has been very limited.  Ms. McGhee as operations manager of SDAP over the last several years has supported SDAP at a pay rate far less than what the market could offer her elsewhere. Partly due to her desire to propel SDAP into the future as a model participant in the vehicle TE electrification space and to overcome the hardship that the ZEV OEM has created on SDAP; moreover, Ms. McGhee’s, rate of $100 per hour is justified as a modest hourly rate and is at the low end of other participating intervenors that are advocates with approved rates. Ms. McGhee’s expertise, which is equivalent to </w:t>
            </w:r>
            <w:r>
              <w:lastRenderedPageBreak/>
              <w:t>that of other expertise according to the Guide’s Hourly Rate table. We are exercising adherence to form over substance with respect to her value in these proceedings.</w:t>
            </w:r>
          </w:p>
          <w:p w:rsidR="00394EC0" w:rsidRPr="007F620E" w:rsidRDefault="00394EC0" w:rsidP="00C42F9B">
            <w:pPr>
              <w:spacing w:after="240"/>
              <w:jc w:val="both"/>
              <w:rPr>
                <w:color w:val="000000"/>
              </w:rPr>
            </w:pPr>
            <w:r>
              <w:t xml:space="preserve">Should SDAP be awarded this intervenor compensation, the funds would be deposited back into SDAP’s accounts to continue participation in the CPUC’s electrification program as currently SDGE has filed application 18-01-012 for TE in the Class 2b-Class 8 commercial vehicle fleet operations and this will have an impact on the transportation industry and needs to be a program that reaches other fleets and supports the business vocation and ratepayers of San Diego. </w:t>
            </w:r>
          </w:p>
        </w:tc>
      </w:tr>
      <w:tr w:rsidR="00394EC0" w:rsidRPr="007F620E" w:rsidTr="003E01BA">
        <w:trPr>
          <w:trHeight w:val="67"/>
        </w:trPr>
        <w:tc>
          <w:tcPr>
            <w:tcW w:w="8905" w:type="dxa"/>
            <w:gridSpan w:val="3"/>
            <w:shd w:val="clear" w:color="auto" w:fill="auto"/>
          </w:tcPr>
          <w:p w:rsidR="00394EC0" w:rsidRPr="00417E49" w:rsidRDefault="00D45BD2" w:rsidP="003E01BA">
            <w:pPr>
              <w:tabs>
                <w:tab w:val="left" w:pos="360"/>
              </w:tabs>
              <w:jc w:val="center"/>
              <w:rPr>
                <w:b/>
                <w:color w:val="000000"/>
              </w:rPr>
            </w:pPr>
            <w:r>
              <w:rPr>
                <w:b/>
                <w:color w:val="000000"/>
              </w:rPr>
              <w:lastRenderedPageBreak/>
              <w:t xml:space="preserve">II. </w:t>
            </w:r>
            <w:r w:rsidR="00394EC0" w:rsidRPr="00417E49">
              <w:rPr>
                <w:b/>
                <w:color w:val="000000"/>
              </w:rPr>
              <w:t>CPUC Discussion</w:t>
            </w:r>
          </w:p>
        </w:tc>
      </w:tr>
      <w:tr w:rsidR="00417E49" w:rsidRPr="007F620E" w:rsidTr="003E01BA">
        <w:trPr>
          <w:trHeight w:val="67"/>
        </w:trPr>
        <w:tc>
          <w:tcPr>
            <w:tcW w:w="8905" w:type="dxa"/>
            <w:gridSpan w:val="3"/>
            <w:shd w:val="clear" w:color="auto" w:fill="auto"/>
          </w:tcPr>
          <w:p w:rsidR="00417E49" w:rsidRPr="00417E49" w:rsidRDefault="00417E49" w:rsidP="007B3CA9">
            <w:pPr>
              <w:tabs>
                <w:tab w:val="left" w:pos="360"/>
              </w:tabs>
              <w:spacing w:before="240" w:after="240"/>
              <w:jc w:val="center"/>
              <w:rPr>
                <w:b/>
                <w:color w:val="000000"/>
              </w:rPr>
            </w:pPr>
            <w:r>
              <w:rPr>
                <w:b/>
                <w:color w:val="000000"/>
              </w:rPr>
              <w:t>1. Eligibility to Claim Intervenor Compensation</w:t>
            </w:r>
          </w:p>
        </w:tc>
      </w:tr>
      <w:tr w:rsidR="00394EC0" w:rsidRPr="007F620E" w:rsidTr="00417E49">
        <w:trPr>
          <w:trHeight w:val="67"/>
        </w:trPr>
        <w:tc>
          <w:tcPr>
            <w:tcW w:w="828" w:type="dxa"/>
            <w:gridSpan w:val="2"/>
            <w:shd w:val="clear" w:color="auto" w:fill="auto"/>
          </w:tcPr>
          <w:p w:rsidR="00394EC0" w:rsidRPr="00105767" w:rsidRDefault="00417E49" w:rsidP="0064682C">
            <w:pPr>
              <w:tabs>
                <w:tab w:val="left" w:pos="360"/>
              </w:tabs>
              <w:spacing w:before="120" w:after="240"/>
              <w:rPr>
                <w:color w:val="000000"/>
              </w:rPr>
            </w:pPr>
            <w:r w:rsidRPr="00105767">
              <w:rPr>
                <w:color w:val="000000"/>
              </w:rPr>
              <w:t xml:space="preserve">Part I(B), Items </w:t>
            </w:r>
            <w:r w:rsidR="00394EC0" w:rsidRPr="00105767">
              <w:rPr>
                <w:color w:val="000000"/>
              </w:rPr>
              <w:t>5-8</w:t>
            </w:r>
            <w:r w:rsidRPr="00105767">
              <w:rPr>
                <w:color w:val="000000"/>
              </w:rPr>
              <w:t>, above</w:t>
            </w:r>
          </w:p>
        </w:tc>
        <w:tc>
          <w:tcPr>
            <w:tcW w:w="8077" w:type="dxa"/>
            <w:shd w:val="clear" w:color="auto" w:fill="auto"/>
          </w:tcPr>
          <w:p w:rsidR="0064682C" w:rsidRDefault="007B3CA9" w:rsidP="0071428D">
            <w:pPr>
              <w:autoSpaceDE w:val="0"/>
              <w:autoSpaceDN w:val="0"/>
              <w:adjustRightInd w:val="0"/>
              <w:spacing w:after="240"/>
              <w:rPr>
                <w:color w:val="000000"/>
              </w:rPr>
            </w:pPr>
            <w:r w:rsidRPr="002E1FA5">
              <w:rPr>
                <w:b/>
                <w:color w:val="000000"/>
                <w:u w:val="single"/>
              </w:rPr>
              <w:t>Customer Status.</w:t>
            </w:r>
            <w:r w:rsidRPr="00105767">
              <w:rPr>
                <w:color w:val="000000"/>
              </w:rPr>
              <w:t xml:space="preserve"> </w:t>
            </w:r>
            <w:r w:rsidR="002A406C" w:rsidRPr="0071428D">
              <w:rPr>
                <w:color w:val="000000"/>
              </w:rPr>
              <w:t xml:space="preserve">SDAP </w:t>
            </w:r>
            <w:r w:rsidR="008867DD" w:rsidRPr="0071428D">
              <w:rPr>
                <w:color w:val="000000"/>
              </w:rPr>
              <w:t>claims that it is</w:t>
            </w:r>
            <w:r w:rsidR="002A406C" w:rsidRPr="0071428D">
              <w:rPr>
                <w:color w:val="000000"/>
              </w:rPr>
              <w:t xml:space="preserve"> a </w:t>
            </w:r>
            <w:r w:rsidR="008867DD" w:rsidRPr="0071428D">
              <w:rPr>
                <w:color w:val="000000"/>
              </w:rPr>
              <w:t>“</w:t>
            </w:r>
            <w:r w:rsidR="002A406C" w:rsidRPr="0071428D">
              <w:rPr>
                <w:color w:val="000000"/>
              </w:rPr>
              <w:t>customer</w:t>
            </w:r>
            <w:r w:rsidR="008867DD" w:rsidRPr="0071428D">
              <w:rPr>
                <w:color w:val="000000"/>
              </w:rPr>
              <w:t>”</w:t>
            </w:r>
            <w:r w:rsidR="002A406C" w:rsidRPr="0071428D">
              <w:rPr>
                <w:color w:val="000000"/>
              </w:rPr>
              <w:t xml:space="preserve"> pursuant to Section 1802(b)(1)(A)</w:t>
            </w:r>
            <w:r w:rsidR="0064682C" w:rsidRPr="00DA7A2E">
              <w:rPr>
                <w:color w:val="000000"/>
              </w:rPr>
              <w:t>. Section 1802(b)(1)(A) defines a customer as “a participant representing consumers, customers, or subscribers</w:t>
            </w:r>
            <w:r w:rsidR="0064682C" w:rsidRPr="00DE6FFB">
              <w:rPr>
                <w:color w:val="000000"/>
              </w:rPr>
              <w:t xml:space="preserve"> of any electrical, gas, telephone, telegraph, or water corporation that is subject to the jurisdiction of the Commission.</w:t>
            </w:r>
            <w:r w:rsidR="000C3D35" w:rsidRPr="00443958">
              <w:rPr>
                <w:color w:val="000000"/>
              </w:rPr>
              <w:t>”</w:t>
            </w:r>
            <w:r w:rsidR="0064682C" w:rsidRPr="00443958">
              <w:rPr>
                <w:color w:val="000000"/>
              </w:rPr>
              <w:t xml:space="preserve"> </w:t>
            </w:r>
            <w:r w:rsidR="000C3D35" w:rsidRPr="00443958">
              <w:rPr>
                <w:color w:val="000000"/>
              </w:rPr>
              <w:t>Such</w:t>
            </w:r>
            <w:r w:rsidR="0064682C" w:rsidRPr="00443958">
              <w:rPr>
                <w:color w:val="000000"/>
              </w:rPr>
              <w:t xml:space="preserve"> “</w:t>
            </w:r>
            <w:r w:rsidR="000C3D35" w:rsidRPr="00443958">
              <w:rPr>
                <w:color w:val="000000"/>
              </w:rPr>
              <w:t>participant</w:t>
            </w:r>
            <w:r w:rsidR="0064682C" w:rsidRPr="002B2D05">
              <w:rPr>
                <w:color w:val="000000"/>
              </w:rPr>
              <w:t xml:space="preserve">” is </w:t>
            </w:r>
            <w:r w:rsidR="002A406C" w:rsidRPr="002E1FA5">
              <w:t>an “actual customer who represents more than his own narrow self-interest; a self-appointed representative.”</w:t>
            </w:r>
            <w:r w:rsidR="0064682C" w:rsidRPr="002E1FA5">
              <w:rPr>
                <w:rStyle w:val="FootnoteReference"/>
              </w:rPr>
              <w:footnoteReference w:id="1"/>
            </w:r>
            <w:r w:rsidR="002A406C" w:rsidRPr="002E1FA5">
              <w:t xml:space="preserve"> </w:t>
            </w:r>
            <w:r w:rsidR="0071428D" w:rsidRPr="002E1FA5">
              <w:t>SDA</w:t>
            </w:r>
            <w:r w:rsidR="00090235">
              <w:t xml:space="preserve"> </w:t>
            </w:r>
            <w:proofErr w:type="spellStart"/>
            <w:r w:rsidR="0071428D" w:rsidRPr="002E1FA5">
              <w:t>P</w:t>
            </w:r>
            <w:r w:rsidR="00CB54CD" w:rsidRPr="002E1FA5">
              <w:t>has</w:t>
            </w:r>
            <w:proofErr w:type="spellEnd"/>
            <w:r w:rsidR="00CB54CD" w:rsidRPr="002E1FA5">
              <w:t xml:space="preserve"> </w:t>
            </w:r>
            <w:r w:rsidR="006151E1" w:rsidRPr="002E1FA5">
              <w:t>explained</w:t>
            </w:r>
            <w:r w:rsidR="00CB54CD" w:rsidRPr="002E1FA5">
              <w:t xml:space="preserve"> its own economic interest in the outcomes of this proceeding</w:t>
            </w:r>
            <w:r w:rsidR="000C3D35" w:rsidRPr="002E1FA5">
              <w:t xml:space="preserve">. </w:t>
            </w:r>
            <w:r w:rsidR="0071428D" w:rsidRPr="002E1FA5">
              <w:t xml:space="preserve">SDAP </w:t>
            </w:r>
            <w:r w:rsidR="000C3D35" w:rsidRPr="002E1FA5">
              <w:t>has also shown that it</w:t>
            </w:r>
            <w:r w:rsidR="00CB54CD" w:rsidRPr="002E1FA5">
              <w:t xml:space="preserve"> advocates on behalf of the similar economic interests of </w:t>
            </w:r>
            <w:r w:rsidR="006151E1" w:rsidRPr="002E1FA5">
              <w:t>other</w:t>
            </w:r>
            <w:r w:rsidR="00CB54CD" w:rsidRPr="002E1FA5">
              <w:t xml:space="preserve"> SDG&amp;E customers </w:t>
            </w:r>
            <w:r w:rsidR="000C3D35" w:rsidRPr="002E1FA5">
              <w:t>operating</w:t>
            </w:r>
            <w:r w:rsidR="00CB54CD" w:rsidRPr="002E1FA5">
              <w:t xml:space="preserve"> as San Diego International Airport’s ground transportation commercial fleet operators interested in investing in and acquiring, zero emission vehicles. </w:t>
            </w:r>
            <w:r w:rsidR="008867DD" w:rsidRPr="002E1FA5">
              <w:t xml:space="preserve">In support of </w:t>
            </w:r>
            <w:r w:rsidR="0064682C" w:rsidRPr="002E1FA5">
              <w:t>its</w:t>
            </w:r>
            <w:r w:rsidR="008867DD" w:rsidRPr="002E1FA5">
              <w:t xml:space="preserve"> claim, SDAP presented a copy of the utility bill demonstrating that this </w:t>
            </w:r>
            <w:r w:rsidR="003E01BA" w:rsidRPr="002E1FA5">
              <w:t>small local business</w:t>
            </w:r>
            <w:r w:rsidR="008867DD" w:rsidRPr="002E1FA5">
              <w:t xml:space="preserve"> is an actual customer of San Diego Gas &amp; Electric Company</w:t>
            </w:r>
            <w:r w:rsidR="0064682C" w:rsidRPr="002E1FA5">
              <w:t xml:space="preserve"> (SDG&amp;E)</w:t>
            </w:r>
            <w:r w:rsidR="008867DD" w:rsidRPr="002E1FA5">
              <w:t xml:space="preserve">. </w:t>
            </w:r>
            <w:r w:rsidR="000268B9" w:rsidRPr="002E1FA5">
              <w:t xml:space="preserve">This decision finds that SDAP has demonstrated its status as a </w:t>
            </w:r>
            <w:r w:rsidR="000268B9" w:rsidRPr="002E1FA5">
              <w:rPr>
                <w:i/>
              </w:rPr>
              <w:t>customer</w:t>
            </w:r>
            <w:r w:rsidR="000268B9" w:rsidRPr="002E1FA5">
              <w:t xml:space="preserve"> pursuant to Section 1802(b)(1)(A).</w:t>
            </w:r>
            <w:r w:rsidR="000268B9">
              <w:rPr>
                <w:rFonts w:ascii="BookAntiqua" w:hAnsi="BookAntiqua" w:cs="BookAntiqua"/>
              </w:rPr>
              <w:t xml:space="preserve"> </w:t>
            </w:r>
          </w:p>
        </w:tc>
      </w:tr>
      <w:tr w:rsidR="00394EC0" w:rsidRPr="0064682C" w:rsidTr="00417E49">
        <w:trPr>
          <w:trHeight w:val="67"/>
        </w:trPr>
        <w:tc>
          <w:tcPr>
            <w:tcW w:w="828" w:type="dxa"/>
            <w:gridSpan w:val="2"/>
            <w:shd w:val="clear" w:color="auto" w:fill="auto"/>
          </w:tcPr>
          <w:p w:rsidR="00394EC0" w:rsidRPr="00105767" w:rsidRDefault="00417E49" w:rsidP="0051151E">
            <w:pPr>
              <w:tabs>
                <w:tab w:val="left" w:pos="360"/>
              </w:tabs>
              <w:spacing w:before="120" w:after="240"/>
              <w:rPr>
                <w:color w:val="000000"/>
              </w:rPr>
            </w:pPr>
            <w:r w:rsidRPr="00105767">
              <w:rPr>
                <w:color w:val="000000"/>
              </w:rPr>
              <w:t xml:space="preserve">Part I(B), items </w:t>
            </w:r>
            <w:r w:rsidR="00394EC0" w:rsidRPr="00105767">
              <w:rPr>
                <w:color w:val="000000"/>
              </w:rPr>
              <w:t>9-12</w:t>
            </w:r>
            <w:r w:rsidRPr="00105767">
              <w:rPr>
                <w:color w:val="000000"/>
              </w:rPr>
              <w:t>, above</w:t>
            </w:r>
          </w:p>
        </w:tc>
        <w:tc>
          <w:tcPr>
            <w:tcW w:w="8077" w:type="dxa"/>
            <w:shd w:val="clear" w:color="auto" w:fill="auto"/>
          </w:tcPr>
          <w:p w:rsidR="00394EC0" w:rsidRPr="0064682C" w:rsidRDefault="007B3CA9" w:rsidP="0071428D">
            <w:pPr>
              <w:autoSpaceDE w:val="0"/>
              <w:autoSpaceDN w:val="0"/>
              <w:adjustRightInd w:val="0"/>
              <w:rPr>
                <w:color w:val="000000"/>
              </w:rPr>
            </w:pPr>
            <w:r w:rsidRPr="002E1FA5">
              <w:rPr>
                <w:b/>
                <w:u w:val="single"/>
              </w:rPr>
              <w:t>Significant Financial Hardship</w:t>
            </w:r>
            <w:r w:rsidRPr="002E1FA5">
              <w:rPr>
                <w:b/>
              </w:rPr>
              <w:t>.</w:t>
            </w:r>
            <w:r w:rsidRPr="00105767">
              <w:t xml:space="preserve"> </w:t>
            </w:r>
            <w:r w:rsidR="000268B9" w:rsidRPr="0071428D">
              <w:t xml:space="preserve">Section 1802(h) states that “’significant financial hardship’ means … that the customer cannot afford, without undue hardship, to pay the costs of effective participation.” </w:t>
            </w:r>
            <w:r w:rsidR="00D409E4" w:rsidRPr="002E1FA5">
              <w:t xml:space="preserve">To </w:t>
            </w:r>
            <w:r w:rsidR="00F73DEB" w:rsidRPr="002E1FA5">
              <w:t>support its claim of</w:t>
            </w:r>
            <w:r w:rsidR="00D409E4" w:rsidRPr="002E1FA5">
              <w:t xml:space="preserve"> </w:t>
            </w:r>
            <w:r w:rsidRPr="002E1FA5">
              <w:t>undue</w:t>
            </w:r>
            <w:r w:rsidR="00D409E4" w:rsidRPr="002E1FA5">
              <w:t xml:space="preserve"> hardship, S</w:t>
            </w:r>
            <w:r w:rsidR="00965ECA" w:rsidRPr="002E1FA5">
              <w:t xml:space="preserve">DAP provides its most recent income and expense statement, end-of-the year balance sheet, and CALSTART Commercial Electric Vehicle Working Group agreement dated May 31, 2016. </w:t>
            </w:r>
            <w:r w:rsidR="00326F66" w:rsidRPr="002E1FA5">
              <w:t xml:space="preserve">These </w:t>
            </w:r>
            <w:r w:rsidR="00417E49" w:rsidRPr="002E1FA5">
              <w:t xml:space="preserve">documents support </w:t>
            </w:r>
            <w:r w:rsidR="00326F66" w:rsidRPr="002E1FA5">
              <w:t>SDAP’s</w:t>
            </w:r>
            <w:r w:rsidR="00965ECA" w:rsidRPr="002E1FA5">
              <w:t xml:space="preserve"> </w:t>
            </w:r>
            <w:r w:rsidR="00417E49" w:rsidRPr="002E1FA5">
              <w:t xml:space="preserve">claim of undue hardship. This decision finds that SDAP has </w:t>
            </w:r>
            <w:r w:rsidR="00105767" w:rsidRPr="002E1FA5">
              <w:t xml:space="preserve">met the definition of significant financial hardship by demonstrating </w:t>
            </w:r>
            <w:r w:rsidR="00965ECA" w:rsidRPr="002E1FA5">
              <w:t>that it cannot afford, without undue hardship, to pay the costs of effective participation in this proceeding</w:t>
            </w:r>
            <w:r w:rsidR="00417E49" w:rsidRPr="002E1FA5">
              <w:t>.</w:t>
            </w:r>
            <w:r w:rsidR="003B447C" w:rsidRPr="002E1FA5">
              <w:t xml:space="preserve"> This finding creates a rebuttable presumption of eligibility for compensation in other Commission proceedings commencing within one year of the date of the finding (Section 1804(b)). </w:t>
            </w:r>
          </w:p>
        </w:tc>
      </w:tr>
      <w:tr w:rsidR="00417E49" w:rsidRPr="000C3D35" w:rsidTr="003E01BA">
        <w:trPr>
          <w:trHeight w:val="67"/>
        </w:trPr>
        <w:tc>
          <w:tcPr>
            <w:tcW w:w="8905" w:type="dxa"/>
            <w:gridSpan w:val="3"/>
            <w:shd w:val="clear" w:color="auto" w:fill="auto"/>
          </w:tcPr>
          <w:p w:rsidR="00417E49" w:rsidRPr="000C3D35" w:rsidRDefault="00417E49" w:rsidP="007B3CA9">
            <w:pPr>
              <w:autoSpaceDE w:val="0"/>
              <w:autoSpaceDN w:val="0"/>
              <w:adjustRightInd w:val="0"/>
              <w:spacing w:before="240" w:after="240"/>
              <w:jc w:val="center"/>
              <w:rPr>
                <w:b/>
              </w:rPr>
            </w:pPr>
            <w:r w:rsidRPr="000C3D35">
              <w:rPr>
                <w:b/>
              </w:rPr>
              <w:lastRenderedPageBreak/>
              <w:t>2. Motion for Leave to File Confidential Documents Under Seal</w:t>
            </w:r>
          </w:p>
        </w:tc>
      </w:tr>
      <w:tr w:rsidR="00965ECA" w:rsidRPr="0064682C" w:rsidTr="003E01BA">
        <w:trPr>
          <w:trHeight w:val="67"/>
        </w:trPr>
        <w:tc>
          <w:tcPr>
            <w:tcW w:w="8905" w:type="dxa"/>
            <w:gridSpan w:val="3"/>
            <w:shd w:val="clear" w:color="auto" w:fill="auto"/>
          </w:tcPr>
          <w:p w:rsidR="00965ECA" w:rsidRPr="000C3D35" w:rsidRDefault="00F70E0F" w:rsidP="006F38BE">
            <w:pPr>
              <w:autoSpaceDE w:val="0"/>
              <w:autoSpaceDN w:val="0"/>
              <w:adjustRightInd w:val="0"/>
              <w:spacing w:after="240"/>
            </w:pPr>
            <w:r w:rsidRPr="000C3D35">
              <w:t xml:space="preserve">Pursuant to the Ruling of May 25, 2017, SDAP filed financial documents supporting </w:t>
            </w:r>
            <w:r w:rsidR="00DA7A2E">
              <w:t xml:space="preserve">its required </w:t>
            </w:r>
            <w:r w:rsidRPr="000C3D35">
              <w:t>showing of significant financial hardship</w:t>
            </w:r>
            <w:r w:rsidR="00DA7A2E">
              <w:t xml:space="preserve"> on March 19, 2018</w:t>
            </w:r>
            <w:r w:rsidRPr="000C3D35">
              <w:t xml:space="preserve">. </w:t>
            </w:r>
            <w:r w:rsidR="00DA7A2E">
              <w:t xml:space="preserve">Pursuant to Rule 11.4 SDAP requests leave to file its financial documentation under seal. The financial information includes: Income Statement; Balance Sheet; and a Cal Start Electric Vehicle (EV) Working Group Agreement.  </w:t>
            </w:r>
            <w:r w:rsidR="00194ECF" w:rsidRPr="000C3D35">
              <w:t xml:space="preserve">No party filed an opposition to the motion. </w:t>
            </w:r>
          </w:p>
          <w:p w:rsidR="00E24048" w:rsidRDefault="00672C7F" w:rsidP="006F38BE">
            <w:pPr>
              <w:spacing w:after="240"/>
            </w:pPr>
            <w:r w:rsidRPr="000C3D35">
              <w:t>The information marked as “confidential”</w:t>
            </w:r>
            <w:r w:rsidR="00655B2C" w:rsidRPr="000C3D35">
              <w:t xml:space="preserve"> </w:t>
            </w:r>
            <w:r w:rsidRPr="000C3D35">
              <w:t xml:space="preserve">is of the type that is not commonly made public and which, if made public, could subject SDAP to </w:t>
            </w:r>
            <w:r w:rsidR="0071428D">
              <w:t xml:space="preserve">an </w:t>
            </w:r>
            <w:r w:rsidRPr="000C3D35">
              <w:t>unfair business disadvantage.</w:t>
            </w:r>
            <w:r w:rsidR="00DA7A2E">
              <w:t xml:space="preserve">  We have granted similar requests in the past, and do so here.</w:t>
            </w:r>
            <w:r w:rsidRPr="000C3D35">
              <w:t xml:space="preserve">  </w:t>
            </w:r>
          </w:p>
          <w:p w:rsidR="006F38BE" w:rsidRDefault="00DA7A2E" w:rsidP="006F38BE">
            <w:pPr>
              <w:spacing w:after="240"/>
            </w:pPr>
            <w:r>
              <w:t>SDAP’s March 19, 2018 Motion to file its financial documentation under seal is granted for a period of three years from the effective date of this decision.  During this three-year period, this information shall not be publicly disclosed except on further Commission order or Administrative Law Judge ruling.  If SDAP believes it is necessary for this information to remain under seal for longer than three years, SDAP may file a new motion showing good cause for extending this order by no later than 30 days before the expiration of this order.</w:t>
            </w:r>
            <w:r w:rsidR="006F38BE">
              <w:t xml:space="preserve"> </w:t>
            </w:r>
          </w:p>
        </w:tc>
      </w:tr>
    </w:tbl>
    <w:p w:rsidR="00A92D0B" w:rsidRPr="007F620E" w:rsidRDefault="00A92D0B">
      <w:pPr>
        <w:ind w:left="900"/>
        <w:rPr>
          <w:color w:val="000000"/>
        </w:rPr>
      </w:pPr>
    </w:p>
    <w:p w:rsidR="00A92D0B" w:rsidRPr="007F620E" w:rsidRDefault="00A92D0B">
      <w:pPr>
        <w:rPr>
          <w:color w:val="000000"/>
        </w:rPr>
      </w:pPr>
      <w:r w:rsidRPr="007F620E">
        <w:rPr>
          <w:b/>
          <w:color w:val="000000"/>
        </w:rPr>
        <w:t xml:space="preserve">PART II:  SUBSTANTIAL </w:t>
      </w:r>
      <w:r w:rsidR="00770877">
        <w:rPr>
          <w:b/>
          <w:color w:val="000000"/>
        </w:rPr>
        <w:t>CONTRIBUTION:</w:t>
      </w:r>
    </w:p>
    <w:p w:rsidR="00A92D0B" w:rsidRPr="00770877" w:rsidRDefault="00A92D0B">
      <w:pPr>
        <w:rPr>
          <w:color w:val="000000"/>
        </w:rPr>
      </w:pPr>
    </w:p>
    <w:p w:rsidR="00A92D0B" w:rsidRPr="00770877" w:rsidRDefault="00D075B1">
      <w:pPr>
        <w:numPr>
          <w:ilvl w:val="0"/>
          <w:numId w:val="1"/>
        </w:numPr>
        <w:tabs>
          <w:tab w:val="clear" w:pos="900"/>
          <w:tab w:val="num" w:pos="360"/>
        </w:tabs>
        <w:spacing w:after="120"/>
        <w:ind w:left="360"/>
        <w:rPr>
          <w:color w:val="000000"/>
        </w:rPr>
      </w:pPr>
      <w:r w:rsidRPr="00770877">
        <w:rPr>
          <w:color w:val="000000"/>
        </w:rPr>
        <w:t xml:space="preserve">Did the </w:t>
      </w:r>
      <w:r w:rsidR="005A63D4" w:rsidRPr="00770877">
        <w:rPr>
          <w:color w:val="000000"/>
        </w:rPr>
        <w:t>Intervenor</w:t>
      </w:r>
      <w:r w:rsidRPr="00770877">
        <w:rPr>
          <w:color w:val="000000"/>
        </w:rPr>
        <w:t xml:space="preserve"> substantially contribute to the final decision</w:t>
      </w:r>
      <w:r w:rsidR="00A92D0B" w:rsidRPr="00770877">
        <w:rPr>
          <w:color w:val="000000"/>
        </w:rPr>
        <w:t xml:space="preserve"> (</w:t>
      </w:r>
      <w:r w:rsidR="00A92D0B" w:rsidRPr="00770877">
        <w:rPr>
          <w:i/>
          <w:color w:val="000000"/>
        </w:rPr>
        <w:t>see</w:t>
      </w:r>
      <w:r w:rsidR="00A92D0B" w:rsidRPr="00770877">
        <w:rPr>
          <w:color w:val="000000"/>
        </w:rPr>
        <w:t xml:space="preserve"> § 1802(</w:t>
      </w:r>
      <w:r w:rsidR="00ED6B6B" w:rsidRPr="00770877">
        <w:rPr>
          <w:color w:val="000000"/>
        </w:rPr>
        <w:t>j</w:t>
      </w:r>
      <w:r w:rsidR="00A92D0B" w:rsidRPr="00770877">
        <w:rPr>
          <w:color w:val="000000"/>
        </w:rPr>
        <w:t xml:space="preserve">), </w:t>
      </w:r>
      <w:r w:rsidR="001E77CF" w:rsidRPr="00770877">
        <w:rPr>
          <w:color w:val="000000"/>
        </w:rPr>
        <w:br/>
      </w:r>
      <w:r w:rsidR="00A92D0B" w:rsidRPr="00770877">
        <w:rPr>
          <w:color w:val="000000"/>
        </w:rPr>
        <w:t>§ 1803(a)</w:t>
      </w:r>
      <w:r w:rsidR="00F30DA8" w:rsidRPr="00770877">
        <w:rPr>
          <w:color w:val="000000"/>
        </w:rPr>
        <w:t>,</w:t>
      </w:r>
      <w:r w:rsidR="00A92D0B" w:rsidRPr="00770877">
        <w:rPr>
          <w:color w:val="000000"/>
        </w:rPr>
        <w:t xml:space="preserve"> </w:t>
      </w:r>
      <w:r w:rsidR="00ED6B6B" w:rsidRPr="00770877">
        <w:rPr>
          <w:color w:val="000000"/>
        </w:rPr>
        <w:t xml:space="preserve">1803.1(a) </w:t>
      </w:r>
      <w:r w:rsidR="00F30DA8" w:rsidRPr="00770877">
        <w:rPr>
          <w:color w:val="000000"/>
        </w:rPr>
        <w:t>and</w:t>
      </w:r>
      <w:r w:rsidR="00770877" w:rsidRPr="00770877">
        <w:rPr>
          <w:color w:val="000000"/>
        </w:rPr>
        <w:t xml:space="preserve"> D.98-04-059).</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3207"/>
        <w:gridCol w:w="2070"/>
      </w:tblGrid>
      <w:tr w:rsidR="00E76A9B" w:rsidRPr="007F620E" w:rsidTr="00D70E8E">
        <w:tc>
          <w:tcPr>
            <w:tcW w:w="3628" w:type="dxa"/>
            <w:tcBorders>
              <w:bottom w:val="single" w:sz="4" w:space="0" w:color="auto"/>
            </w:tcBorders>
            <w:shd w:val="pct12" w:color="auto" w:fill="auto"/>
          </w:tcPr>
          <w:p w:rsidR="00A92D0B" w:rsidRPr="00770877" w:rsidRDefault="00D075B1" w:rsidP="00A92D0B">
            <w:pPr>
              <w:spacing w:before="120"/>
              <w:jc w:val="center"/>
              <w:rPr>
                <w:color w:val="000000"/>
              </w:rPr>
            </w:pPr>
            <w:r w:rsidRPr="00770877">
              <w:rPr>
                <w:color w:val="000000"/>
              </w:rPr>
              <w:t>Intervenor’s Claimed Contribution(s)</w:t>
            </w:r>
          </w:p>
        </w:tc>
        <w:tc>
          <w:tcPr>
            <w:tcW w:w="3207" w:type="dxa"/>
            <w:tcBorders>
              <w:bottom w:val="single" w:sz="4" w:space="0" w:color="auto"/>
            </w:tcBorders>
            <w:shd w:val="pct12" w:color="auto" w:fill="auto"/>
          </w:tcPr>
          <w:p w:rsidR="00A92D0B" w:rsidRPr="00770877" w:rsidRDefault="00A92D0B" w:rsidP="00D075B1">
            <w:pPr>
              <w:spacing w:before="120"/>
              <w:jc w:val="center"/>
              <w:rPr>
                <w:color w:val="000000"/>
              </w:rPr>
            </w:pPr>
            <w:r w:rsidRPr="00770877">
              <w:rPr>
                <w:color w:val="000000"/>
              </w:rPr>
              <w:t xml:space="preserve">Specific References to </w:t>
            </w:r>
            <w:r w:rsidR="00D075B1" w:rsidRPr="00770877">
              <w:rPr>
                <w:color w:val="000000"/>
              </w:rPr>
              <w:t>Intervenor’s Claimed Contribution(s)</w:t>
            </w:r>
          </w:p>
        </w:tc>
        <w:tc>
          <w:tcPr>
            <w:tcW w:w="2070" w:type="dxa"/>
            <w:shd w:val="pct12" w:color="auto" w:fill="auto"/>
          </w:tcPr>
          <w:p w:rsidR="00A92D0B" w:rsidRPr="00770877" w:rsidRDefault="00D075B1" w:rsidP="00A92D0B">
            <w:pPr>
              <w:spacing w:before="120"/>
              <w:jc w:val="center"/>
              <w:rPr>
                <w:color w:val="000000"/>
              </w:rPr>
            </w:pPr>
            <w:r w:rsidRPr="00770877">
              <w:rPr>
                <w:color w:val="000000"/>
              </w:rPr>
              <w:t>CPUC Discussion</w:t>
            </w:r>
          </w:p>
        </w:tc>
      </w:tr>
      <w:tr w:rsidR="00E76A9B" w:rsidRPr="007F620E" w:rsidTr="00D70E8E">
        <w:tc>
          <w:tcPr>
            <w:tcW w:w="3628" w:type="dxa"/>
            <w:shd w:val="clear" w:color="auto" w:fill="auto"/>
          </w:tcPr>
          <w:p w:rsidR="0037509F" w:rsidRPr="00D70E8E" w:rsidRDefault="0037509F" w:rsidP="0037509F">
            <w:pPr>
              <w:pStyle w:val="ListParagraph"/>
              <w:spacing w:before="120"/>
              <w:rPr>
                <w:rFonts w:ascii="Times New Roman" w:hAnsi="Times New Roman"/>
                <w:color w:val="000000"/>
              </w:rPr>
            </w:pPr>
            <w:r w:rsidRPr="00D70E8E">
              <w:rPr>
                <w:rFonts w:ascii="Times New Roman" w:hAnsi="Times New Roman"/>
                <w:color w:val="000000"/>
              </w:rPr>
              <w:t>Summary</w:t>
            </w:r>
          </w:p>
          <w:p w:rsidR="00F16697" w:rsidRPr="00D70E8E" w:rsidRDefault="0089225D" w:rsidP="00F16697">
            <w:pPr>
              <w:pStyle w:val="ListParagraph"/>
              <w:numPr>
                <w:ilvl w:val="0"/>
                <w:numId w:val="7"/>
              </w:numPr>
              <w:spacing w:before="120"/>
              <w:rPr>
                <w:rFonts w:ascii="Times New Roman" w:hAnsi="Times New Roman"/>
                <w:color w:val="000000"/>
              </w:rPr>
            </w:pPr>
            <w:r w:rsidRPr="00D70E8E">
              <w:rPr>
                <w:rFonts w:ascii="Times New Roman" w:hAnsi="Times New Roman"/>
                <w:color w:val="000000"/>
                <w:u w:val="single"/>
              </w:rPr>
              <w:t>Consolidation</w:t>
            </w:r>
            <w:r w:rsidRPr="00D70E8E">
              <w:rPr>
                <w:rFonts w:ascii="Times New Roman" w:hAnsi="Times New Roman"/>
                <w:color w:val="000000"/>
              </w:rPr>
              <w:t xml:space="preserve">:  </w:t>
            </w:r>
            <w:r w:rsidR="00A26CBB" w:rsidRPr="00D70E8E">
              <w:rPr>
                <w:rFonts w:ascii="Times New Roman" w:hAnsi="Times New Roman"/>
                <w:color w:val="000000"/>
              </w:rPr>
              <w:t>At the onset of the prehearing, the first item to discuss i</w:t>
            </w:r>
            <w:r w:rsidR="002A241E" w:rsidRPr="00D70E8E">
              <w:rPr>
                <w:rFonts w:ascii="Times New Roman" w:hAnsi="Times New Roman"/>
                <w:color w:val="000000"/>
              </w:rPr>
              <w:t>n th</w:t>
            </w:r>
            <w:r w:rsidR="00A26CBB" w:rsidRPr="00D70E8E">
              <w:rPr>
                <w:rFonts w:ascii="Times New Roman" w:hAnsi="Times New Roman"/>
                <w:color w:val="000000"/>
              </w:rPr>
              <w:t xml:space="preserve">e </w:t>
            </w:r>
            <w:r w:rsidR="00F16697" w:rsidRPr="00D70E8E">
              <w:rPr>
                <w:rFonts w:ascii="Times New Roman" w:hAnsi="Times New Roman"/>
              </w:rPr>
              <w:t>three IOU’s proceeding</w:t>
            </w:r>
            <w:r w:rsidR="00A26CBB" w:rsidRPr="00D70E8E">
              <w:rPr>
                <w:rFonts w:ascii="Times New Roman" w:hAnsi="Times New Roman"/>
              </w:rPr>
              <w:t xml:space="preserve">s </w:t>
            </w:r>
            <w:r w:rsidR="00F16697" w:rsidRPr="00D70E8E">
              <w:rPr>
                <w:rFonts w:ascii="Times New Roman" w:hAnsi="Times New Roman"/>
              </w:rPr>
              <w:t>were</w:t>
            </w:r>
            <w:r w:rsidR="00A26CBB" w:rsidRPr="00D70E8E">
              <w:rPr>
                <w:rFonts w:ascii="Times New Roman" w:hAnsi="Times New Roman"/>
              </w:rPr>
              <w:t xml:space="preserve"> arguments against consolidation.  </w:t>
            </w:r>
            <w:r w:rsidR="00F16697" w:rsidRPr="00D70E8E">
              <w:rPr>
                <w:rFonts w:ascii="Times New Roman" w:hAnsi="Times New Roman"/>
              </w:rPr>
              <w:t xml:space="preserve"> </w:t>
            </w:r>
            <w:r w:rsidR="0037509F" w:rsidRPr="00D70E8E">
              <w:rPr>
                <w:rFonts w:ascii="Times New Roman" w:hAnsi="Times New Roman"/>
              </w:rPr>
              <w:t>SDAP offered support for consolidation as many of the programs would be impacted by the same common issues</w:t>
            </w:r>
            <w:r w:rsidR="00A26CBB" w:rsidRPr="00D70E8E">
              <w:rPr>
                <w:rFonts w:ascii="Times New Roman" w:hAnsi="Times New Roman"/>
              </w:rPr>
              <w:t xml:space="preserve"> and parties could benefit from consolidation both administratively </w:t>
            </w:r>
            <w:r w:rsidR="00AA5C5E" w:rsidRPr="00D70E8E">
              <w:rPr>
                <w:rFonts w:ascii="Times New Roman" w:hAnsi="Times New Roman"/>
              </w:rPr>
              <w:t>including the parties</w:t>
            </w:r>
            <w:r w:rsidR="00A26CBB" w:rsidRPr="00D70E8E">
              <w:rPr>
                <w:rFonts w:ascii="Times New Roman" w:hAnsi="Times New Roman"/>
              </w:rPr>
              <w:t xml:space="preserve"> shared common objectives, benefits, interest and barriers.  </w:t>
            </w:r>
            <w:r w:rsidR="002A0088" w:rsidRPr="00D70E8E">
              <w:rPr>
                <w:rFonts w:ascii="Times New Roman" w:hAnsi="Times New Roman"/>
              </w:rPr>
              <w:t xml:space="preserve">Including that </w:t>
            </w:r>
            <w:r w:rsidR="002A0088" w:rsidRPr="00D70E8E">
              <w:rPr>
                <w:rFonts w:ascii="Times New Roman" w:hAnsi="Times New Roman"/>
              </w:rPr>
              <w:lastRenderedPageBreak/>
              <w:t xml:space="preserve">some fleets are domiciled in more than one service territory and will require fueling infrastructure in several service territories.  </w:t>
            </w:r>
            <w:r w:rsidR="00AA5C5E" w:rsidRPr="00D70E8E">
              <w:rPr>
                <w:rFonts w:ascii="Times New Roman" w:hAnsi="Times New Roman"/>
              </w:rPr>
              <w:t xml:space="preserve"> It was determined the applications were to be consolidated to support administrative cost, questions of law, fact and policies.  </w:t>
            </w:r>
          </w:p>
          <w:p w:rsidR="00F16697" w:rsidRPr="00D70E8E" w:rsidRDefault="0089225D" w:rsidP="00F16697">
            <w:pPr>
              <w:pStyle w:val="ListParagraph"/>
              <w:numPr>
                <w:ilvl w:val="0"/>
                <w:numId w:val="7"/>
              </w:numPr>
              <w:spacing w:before="120"/>
              <w:rPr>
                <w:rFonts w:ascii="Times New Roman" w:hAnsi="Times New Roman"/>
                <w:color w:val="000000"/>
              </w:rPr>
            </w:pPr>
            <w:r w:rsidRPr="00D70E8E">
              <w:rPr>
                <w:rFonts w:ascii="Times New Roman" w:hAnsi="Times New Roman"/>
                <w:color w:val="000000"/>
                <w:u w:val="single"/>
              </w:rPr>
              <w:t>LDA Rideshare Vehicle Cost Effectiveness</w:t>
            </w:r>
            <w:r w:rsidR="00A72BFD" w:rsidRPr="00D70E8E">
              <w:rPr>
                <w:rFonts w:ascii="Times New Roman" w:hAnsi="Times New Roman"/>
                <w:color w:val="000000"/>
                <w:u w:val="single"/>
              </w:rPr>
              <w:t xml:space="preserve"> over Shuttles</w:t>
            </w:r>
            <w:r w:rsidRPr="00D70E8E">
              <w:rPr>
                <w:rFonts w:ascii="Times New Roman" w:hAnsi="Times New Roman"/>
                <w:color w:val="000000"/>
                <w:u w:val="single"/>
              </w:rPr>
              <w:t>:</w:t>
            </w:r>
            <w:r w:rsidRPr="00D70E8E">
              <w:rPr>
                <w:rFonts w:ascii="Times New Roman" w:hAnsi="Times New Roman"/>
                <w:color w:val="000000"/>
              </w:rPr>
              <w:t xml:space="preserve">  </w:t>
            </w:r>
            <w:r w:rsidR="00F16697" w:rsidRPr="00D70E8E">
              <w:rPr>
                <w:rFonts w:ascii="Times New Roman" w:hAnsi="Times New Roman"/>
                <w:color w:val="000000"/>
              </w:rPr>
              <w:t>In this</w:t>
            </w:r>
            <w:r w:rsidR="00A26CBB" w:rsidRPr="00D70E8E">
              <w:rPr>
                <w:rFonts w:ascii="Times New Roman" w:hAnsi="Times New Roman"/>
                <w:color w:val="000000"/>
              </w:rPr>
              <w:t xml:space="preserve"> PR</w:t>
            </w:r>
            <w:r w:rsidR="00F16697" w:rsidRPr="00D70E8E">
              <w:rPr>
                <w:rFonts w:ascii="Times New Roman" w:hAnsi="Times New Roman"/>
                <w:color w:val="000000"/>
              </w:rPr>
              <w:t xml:space="preserve"> proceeding </w:t>
            </w:r>
            <w:r w:rsidR="00F16697" w:rsidRPr="00D70E8E">
              <w:rPr>
                <w:rFonts w:ascii="Times New Roman" w:hAnsi="Times New Roman"/>
              </w:rPr>
              <w:t>SDG&amp;E proposed the Green/Taxi/Shuttle/Rideshare program</w:t>
            </w:r>
            <w:r w:rsidR="00A26CBB" w:rsidRPr="00D70E8E">
              <w:rPr>
                <w:rFonts w:ascii="Times New Roman" w:hAnsi="Times New Roman"/>
              </w:rPr>
              <w:t xml:space="preserve"> </w:t>
            </w:r>
            <w:r w:rsidR="00B26832" w:rsidRPr="00D70E8E">
              <w:rPr>
                <w:rFonts w:ascii="Times New Roman" w:hAnsi="Times New Roman"/>
              </w:rPr>
              <w:t xml:space="preserve">(GTSRP) </w:t>
            </w:r>
            <w:r w:rsidR="00A26CBB" w:rsidRPr="00D70E8E">
              <w:rPr>
                <w:rFonts w:ascii="Times New Roman" w:hAnsi="Times New Roman"/>
              </w:rPr>
              <w:t xml:space="preserve">with a new dynamic GIR Public Rate that will require enrollment by all parties and the Taxi and TNC drivers when at home are required to enroll in the residential GIR rate.  The program proposed </w:t>
            </w:r>
            <w:r w:rsidR="00F16697" w:rsidRPr="00D70E8E">
              <w:rPr>
                <w:rFonts w:ascii="Times New Roman" w:hAnsi="Times New Roman"/>
              </w:rPr>
              <w:t>to include Taxi and Rideshare vehicles (Transportation Network Company’s “TNC’s” are considered rideshare vehicles like an Uber or Lyft driver), this</w:t>
            </w:r>
            <w:r w:rsidR="00197A40" w:rsidRPr="00D70E8E">
              <w:rPr>
                <w:rFonts w:ascii="Times New Roman" w:hAnsi="Times New Roman"/>
              </w:rPr>
              <w:t xml:space="preserve"> proposal</w:t>
            </w:r>
            <w:r w:rsidR="00F16697" w:rsidRPr="00D70E8E">
              <w:rPr>
                <w:rFonts w:ascii="Times New Roman" w:hAnsi="Times New Roman"/>
              </w:rPr>
              <w:t xml:space="preserve"> was unique among the three IOU’s in that the proposed program </w:t>
            </w:r>
            <w:r w:rsidR="00197A40" w:rsidRPr="00D70E8E">
              <w:rPr>
                <w:rFonts w:ascii="Times New Roman" w:hAnsi="Times New Roman"/>
              </w:rPr>
              <w:t xml:space="preserve">included a new dynamic rate, </w:t>
            </w:r>
            <w:r w:rsidR="00F16697" w:rsidRPr="00D70E8E">
              <w:rPr>
                <w:rFonts w:ascii="Times New Roman" w:hAnsi="Times New Roman"/>
              </w:rPr>
              <w:t xml:space="preserve">included $10,000 per EV for a Taxi or Shuttle and fueling incentives for both Taxi and TNC’s.  </w:t>
            </w:r>
            <w:r w:rsidR="00A26CBB" w:rsidRPr="00D70E8E">
              <w:rPr>
                <w:rFonts w:ascii="Times New Roman" w:hAnsi="Times New Roman"/>
              </w:rPr>
              <w:t>SDGE</w:t>
            </w:r>
            <w:r w:rsidR="00AA5C5E" w:rsidRPr="00D70E8E">
              <w:rPr>
                <w:rFonts w:ascii="Times New Roman" w:hAnsi="Times New Roman"/>
              </w:rPr>
              <w:t>’s</w:t>
            </w:r>
            <w:r w:rsidR="00A26CBB" w:rsidRPr="00D70E8E">
              <w:rPr>
                <w:rFonts w:ascii="Times New Roman" w:hAnsi="Times New Roman"/>
              </w:rPr>
              <w:t xml:space="preserve"> proposal expressed support by the Taxi</w:t>
            </w:r>
            <w:r w:rsidR="00197A40" w:rsidRPr="00D70E8E">
              <w:rPr>
                <w:rFonts w:ascii="Times New Roman" w:hAnsi="Times New Roman"/>
              </w:rPr>
              <w:t xml:space="preserve"> companies and added that the TNC rideshare drivers once exposed would gain confidence about the benefits of TE.  SDGE’s lack of current </w:t>
            </w:r>
            <w:r w:rsidR="00AA5C5E" w:rsidRPr="00D70E8E">
              <w:rPr>
                <w:rFonts w:ascii="Times New Roman" w:hAnsi="Times New Roman"/>
              </w:rPr>
              <w:t xml:space="preserve">EV </w:t>
            </w:r>
            <w:r w:rsidR="00197A40" w:rsidRPr="00D70E8E">
              <w:rPr>
                <w:rFonts w:ascii="Times New Roman" w:hAnsi="Times New Roman"/>
              </w:rPr>
              <w:t>fleet</w:t>
            </w:r>
            <w:r w:rsidR="00AA5C5E" w:rsidRPr="00D70E8E">
              <w:rPr>
                <w:rFonts w:ascii="Times New Roman" w:hAnsi="Times New Roman"/>
              </w:rPr>
              <w:t xml:space="preserve"> experience</w:t>
            </w:r>
            <w:r w:rsidR="00197A40" w:rsidRPr="00D70E8E">
              <w:rPr>
                <w:rFonts w:ascii="Times New Roman" w:hAnsi="Times New Roman"/>
              </w:rPr>
              <w:t xml:space="preserve"> </w:t>
            </w:r>
            <w:r w:rsidR="00AA5C5E" w:rsidRPr="00D70E8E">
              <w:rPr>
                <w:rFonts w:ascii="Times New Roman" w:hAnsi="Times New Roman"/>
              </w:rPr>
              <w:t>proposed LDA vehicles for</w:t>
            </w:r>
            <w:r w:rsidR="00197A40" w:rsidRPr="00D70E8E">
              <w:rPr>
                <w:rFonts w:ascii="Times New Roman" w:hAnsi="Times New Roman"/>
              </w:rPr>
              <w:t xml:space="preserve"> TE</w:t>
            </w:r>
            <w:r w:rsidR="00AA5C5E" w:rsidRPr="00D70E8E">
              <w:rPr>
                <w:rFonts w:ascii="Times New Roman" w:hAnsi="Times New Roman"/>
              </w:rPr>
              <w:t xml:space="preserve"> that were not the best fit</w:t>
            </w:r>
            <w:r w:rsidR="00C21C75" w:rsidRPr="00D70E8E">
              <w:rPr>
                <w:rFonts w:ascii="Times New Roman" w:hAnsi="Times New Roman"/>
              </w:rPr>
              <w:t xml:space="preserve"> for a benefit and </w:t>
            </w:r>
            <w:r w:rsidR="00197A40" w:rsidRPr="00D70E8E">
              <w:rPr>
                <w:rFonts w:ascii="Times New Roman" w:hAnsi="Times New Roman"/>
              </w:rPr>
              <w:t>included</w:t>
            </w:r>
            <w:r w:rsidR="00C21C75" w:rsidRPr="00D70E8E">
              <w:rPr>
                <w:rFonts w:ascii="Times New Roman" w:hAnsi="Times New Roman"/>
              </w:rPr>
              <w:t xml:space="preserve"> rideshare</w:t>
            </w:r>
            <w:r w:rsidR="00197A40" w:rsidRPr="00D70E8E">
              <w:rPr>
                <w:rFonts w:ascii="Times New Roman" w:hAnsi="Times New Roman"/>
              </w:rPr>
              <w:t xml:space="preserve"> fleets that could be asked to drive anywhere from a few miles to over 100 miles when hailed for a ride which </w:t>
            </w:r>
            <w:r w:rsidR="00197A40" w:rsidRPr="00D70E8E">
              <w:rPr>
                <w:rFonts w:ascii="Times New Roman" w:hAnsi="Times New Roman"/>
              </w:rPr>
              <w:lastRenderedPageBreak/>
              <w:t>may not be achieved in all EV’s vehicles and specifically for a round trip plus many of the taxi and TNC vehicles already meet the requirements of the GHG mandates at the airport and thereby are currently driving vehicles that achieve</w:t>
            </w:r>
            <w:r w:rsidR="001C1FFD" w:rsidRPr="00D70E8E">
              <w:rPr>
                <w:rFonts w:ascii="Times New Roman" w:hAnsi="Times New Roman"/>
              </w:rPr>
              <w:t xml:space="preserve"> an attractive</w:t>
            </w:r>
            <w:r w:rsidR="00197A40" w:rsidRPr="00D70E8E">
              <w:rPr>
                <w:rFonts w:ascii="Times New Roman" w:hAnsi="Times New Roman"/>
              </w:rPr>
              <w:t xml:space="preserve"> </w:t>
            </w:r>
            <w:r w:rsidR="00036E1C" w:rsidRPr="00D70E8E">
              <w:rPr>
                <w:rFonts w:ascii="Times New Roman" w:hAnsi="Times New Roman"/>
              </w:rPr>
              <w:t>cost per mile benefit in a Hybrid vehicle</w:t>
            </w:r>
            <w:r w:rsidR="001C1FFD" w:rsidRPr="00D70E8E">
              <w:rPr>
                <w:rFonts w:ascii="Times New Roman" w:hAnsi="Times New Roman"/>
              </w:rPr>
              <w:t xml:space="preserve"> and essentially these two sectors and modes of transportation are not facing the</w:t>
            </w:r>
            <w:r w:rsidR="00C21C75" w:rsidRPr="00D70E8E">
              <w:rPr>
                <w:rFonts w:ascii="Times New Roman" w:hAnsi="Times New Roman"/>
              </w:rPr>
              <w:t xml:space="preserve"> level of</w:t>
            </w:r>
            <w:r w:rsidR="001C1FFD" w:rsidRPr="00D70E8E">
              <w:rPr>
                <w:rFonts w:ascii="Times New Roman" w:hAnsi="Times New Roman"/>
              </w:rPr>
              <w:t xml:space="preserve"> barrier</w:t>
            </w:r>
            <w:r w:rsidR="00C21C75" w:rsidRPr="00D70E8E">
              <w:rPr>
                <w:rFonts w:ascii="Times New Roman" w:hAnsi="Times New Roman"/>
              </w:rPr>
              <w:t>s</w:t>
            </w:r>
            <w:r w:rsidR="001C1FFD" w:rsidRPr="00D70E8E">
              <w:rPr>
                <w:rFonts w:ascii="Times New Roman" w:hAnsi="Times New Roman"/>
              </w:rPr>
              <w:t xml:space="preserve"> that MHD shuttles face and thereby</w:t>
            </w:r>
            <w:r w:rsidR="00C21C75" w:rsidRPr="00D70E8E">
              <w:rPr>
                <w:rFonts w:ascii="Times New Roman" w:hAnsi="Times New Roman"/>
              </w:rPr>
              <w:t xml:space="preserve"> shuttles are a </w:t>
            </w:r>
            <w:r w:rsidR="001C1FFD" w:rsidRPr="00D70E8E">
              <w:rPr>
                <w:rFonts w:ascii="Times New Roman" w:hAnsi="Times New Roman"/>
              </w:rPr>
              <w:t>sector that already creates high emissions and moves multiple people at one time in a vehicle with 10-20 seats verses a taxi or a TNC that on average has one customer in the vehicle.  Transformation for EV adoption is not a priority for the</w:t>
            </w:r>
            <w:r w:rsidR="00C21C75" w:rsidRPr="00D70E8E">
              <w:rPr>
                <w:rFonts w:ascii="Times New Roman" w:hAnsi="Times New Roman"/>
              </w:rPr>
              <w:t xml:space="preserve"> Taxi and Independent TNC </w:t>
            </w:r>
            <w:r w:rsidR="001C1FFD" w:rsidRPr="00D70E8E">
              <w:rPr>
                <w:rFonts w:ascii="Times New Roman" w:hAnsi="Times New Roman"/>
              </w:rPr>
              <w:t xml:space="preserve">drivers the same as it is with shuttles </w:t>
            </w:r>
            <w:r w:rsidR="00C21C75" w:rsidRPr="00D70E8E">
              <w:rPr>
                <w:rFonts w:ascii="Times New Roman" w:hAnsi="Times New Roman"/>
              </w:rPr>
              <w:t xml:space="preserve">operations </w:t>
            </w:r>
            <w:r w:rsidR="001C1FFD" w:rsidRPr="00D70E8E">
              <w:rPr>
                <w:rFonts w:ascii="Times New Roman" w:hAnsi="Times New Roman"/>
              </w:rPr>
              <w:t>that can benefit and are facing</w:t>
            </w:r>
            <w:r w:rsidR="00C21C75" w:rsidRPr="00D70E8E">
              <w:rPr>
                <w:rFonts w:ascii="Times New Roman" w:hAnsi="Times New Roman"/>
              </w:rPr>
              <w:t xml:space="preserve"> proposed</w:t>
            </w:r>
            <w:r w:rsidR="001C1FFD" w:rsidRPr="00D70E8E">
              <w:rPr>
                <w:rFonts w:ascii="Times New Roman" w:hAnsi="Times New Roman"/>
              </w:rPr>
              <w:t xml:space="preserve"> statutory mandates to procure EV</w:t>
            </w:r>
            <w:r w:rsidR="00C21C75" w:rsidRPr="00D70E8E">
              <w:rPr>
                <w:rFonts w:ascii="Times New Roman" w:hAnsi="Times New Roman"/>
              </w:rPr>
              <w:t xml:space="preserve"> shuttles when supporting ground transportation at airports</w:t>
            </w:r>
            <w:r w:rsidR="001C1FFD" w:rsidRPr="00D70E8E">
              <w:rPr>
                <w:rFonts w:ascii="Times New Roman" w:hAnsi="Times New Roman"/>
              </w:rPr>
              <w:t xml:space="preserve">.  </w:t>
            </w:r>
            <w:r w:rsidR="00A53789" w:rsidRPr="00D70E8E">
              <w:rPr>
                <w:rFonts w:ascii="Times New Roman" w:hAnsi="Times New Roman"/>
              </w:rPr>
              <w:t xml:space="preserve">In the decision the project was modified to focus solely on shuttle services that are in fixed destinations, like hotels to airports or parking lots to transportation hubs.  </w:t>
            </w:r>
          </w:p>
          <w:p w:rsidR="001C1FFD" w:rsidRPr="00D70E8E" w:rsidRDefault="0089225D" w:rsidP="00F16697">
            <w:pPr>
              <w:pStyle w:val="ListParagraph"/>
              <w:numPr>
                <w:ilvl w:val="0"/>
                <w:numId w:val="7"/>
              </w:numPr>
              <w:spacing w:before="120"/>
              <w:rPr>
                <w:rFonts w:ascii="Times New Roman" w:hAnsi="Times New Roman"/>
                <w:color w:val="000000"/>
              </w:rPr>
            </w:pPr>
            <w:r w:rsidRPr="00D70E8E">
              <w:rPr>
                <w:rFonts w:ascii="Times New Roman" w:hAnsi="Times New Roman"/>
                <w:color w:val="000000"/>
                <w:u w:val="single"/>
              </w:rPr>
              <w:t>Stranded Assets:</w:t>
            </w:r>
            <w:r w:rsidRPr="00D70E8E">
              <w:rPr>
                <w:rFonts w:ascii="Times New Roman" w:hAnsi="Times New Roman"/>
                <w:color w:val="000000"/>
              </w:rPr>
              <w:t xml:space="preserve"> </w:t>
            </w:r>
            <w:r w:rsidR="001C1FFD" w:rsidRPr="00D70E8E">
              <w:rPr>
                <w:rFonts w:ascii="Times New Roman" w:hAnsi="Times New Roman"/>
                <w:color w:val="000000"/>
              </w:rPr>
              <w:t xml:space="preserve">Furthermore, SDGE’s proposal to install infrastructure at homes lacks cost effectiveness as there is not the option to share the installed EVSE nor is there a guarantee that the driver will remain in the business </w:t>
            </w:r>
            <w:r w:rsidR="00B26832" w:rsidRPr="00D70E8E">
              <w:rPr>
                <w:rFonts w:ascii="Times New Roman" w:hAnsi="Times New Roman"/>
                <w:color w:val="000000"/>
              </w:rPr>
              <w:t xml:space="preserve">or </w:t>
            </w:r>
            <w:r w:rsidR="001C1FFD" w:rsidRPr="00D70E8E">
              <w:rPr>
                <w:rFonts w:ascii="Times New Roman" w:hAnsi="Times New Roman"/>
                <w:color w:val="000000"/>
              </w:rPr>
              <w:t xml:space="preserve">keep </w:t>
            </w:r>
            <w:r w:rsidR="00B26832" w:rsidRPr="00D70E8E">
              <w:rPr>
                <w:rFonts w:ascii="Times New Roman" w:hAnsi="Times New Roman"/>
                <w:color w:val="000000"/>
              </w:rPr>
              <w:t xml:space="preserve">the </w:t>
            </w:r>
            <w:r w:rsidR="001C1FFD" w:rsidRPr="00D70E8E">
              <w:rPr>
                <w:rFonts w:ascii="Times New Roman" w:hAnsi="Times New Roman"/>
                <w:color w:val="000000"/>
              </w:rPr>
              <w:t xml:space="preserve">EV as this individual is an independent contractor, and thereby this is not in the best interest of ratepayers as this </w:t>
            </w:r>
            <w:r w:rsidR="001C1FFD" w:rsidRPr="00D70E8E">
              <w:rPr>
                <w:rFonts w:ascii="Times New Roman" w:hAnsi="Times New Roman"/>
                <w:color w:val="000000"/>
              </w:rPr>
              <w:lastRenderedPageBreak/>
              <w:t>could create stranded assets</w:t>
            </w:r>
            <w:r w:rsidR="00B26832" w:rsidRPr="00D70E8E">
              <w:rPr>
                <w:rFonts w:ascii="Times New Roman" w:hAnsi="Times New Roman"/>
                <w:color w:val="000000"/>
              </w:rPr>
              <w:t xml:space="preserve"> which can potentially be to the detriment of ratepayers and given that</w:t>
            </w:r>
            <w:r w:rsidR="001C1FFD" w:rsidRPr="00D70E8E">
              <w:rPr>
                <w:rFonts w:ascii="Times New Roman" w:hAnsi="Times New Roman"/>
                <w:color w:val="000000"/>
              </w:rPr>
              <w:t xml:space="preserve"> </w:t>
            </w:r>
            <w:r w:rsidR="00B26832" w:rsidRPr="00D70E8E">
              <w:rPr>
                <w:rFonts w:ascii="Times New Roman" w:hAnsi="Times New Roman"/>
                <w:color w:val="000000"/>
              </w:rPr>
              <w:t xml:space="preserve">the </w:t>
            </w:r>
            <w:r w:rsidR="001C1FFD" w:rsidRPr="00D70E8E">
              <w:rPr>
                <w:rFonts w:ascii="Times New Roman" w:hAnsi="Times New Roman"/>
                <w:color w:val="000000"/>
              </w:rPr>
              <w:t xml:space="preserve">priority to achieve benefits should be </w:t>
            </w:r>
            <w:r w:rsidR="00B26832" w:rsidRPr="00D70E8E">
              <w:rPr>
                <w:rFonts w:ascii="Times New Roman" w:hAnsi="Times New Roman"/>
                <w:color w:val="000000"/>
              </w:rPr>
              <w:t>geared towards</w:t>
            </w:r>
            <w:r w:rsidR="001C1FFD" w:rsidRPr="00D70E8E">
              <w:rPr>
                <w:rFonts w:ascii="Times New Roman" w:hAnsi="Times New Roman"/>
                <w:color w:val="000000"/>
              </w:rPr>
              <w:t xml:space="preserve"> operators that can leverage the technology with a benefit </w:t>
            </w:r>
            <w:r w:rsidR="00B26832" w:rsidRPr="00D70E8E">
              <w:rPr>
                <w:rFonts w:ascii="Times New Roman" w:hAnsi="Times New Roman"/>
                <w:color w:val="000000"/>
              </w:rPr>
              <w:t>from</w:t>
            </w:r>
            <w:r w:rsidR="001C1FFD" w:rsidRPr="00D70E8E">
              <w:rPr>
                <w:rFonts w:ascii="Times New Roman" w:hAnsi="Times New Roman"/>
                <w:color w:val="000000"/>
              </w:rPr>
              <w:t xml:space="preserve"> high utilization </w:t>
            </w:r>
            <w:r w:rsidR="00B26832" w:rsidRPr="00D70E8E">
              <w:rPr>
                <w:rFonts w:ascii="Times New Roman" w:hAnsi="Times New Roman"/>
                <w:color w:val="000000"/>
              </w:rPr>
              <w:t xml:space="preserve">and could </w:t>
            </w:r>
            <w:r w:rsidR="001C1FFD" w:rsidRPr="00D70E8E">
              <w:rPr>
                <w:rFonts w:ascii="Times New Roman" w:hAnsi="Times New Roman"/>
                <w:color w:val="000000"/>
              </w:rPr>
              <w:t>ha</w:t>
            </w:r>
            <w:r w:rsidR="00B26832" w:rsidRPr="00D70E8E">
              <w:rPr>
                <w:rFonts w:ascii="Times New Roman" w:hAnsi="Times New Roman"/>
                <w:color w:val="000000"/>
              </w:rPr>
              <w:t xml:space="preserve">ve </w:t>
            </w:r>
            <w:r w:rsidR="001C1FFD" w:rsidRPr="00D70E8E">
              <w:rPr>
                <w:rFonts w:ascii="Times New Roman" w:hAnsi="Times New Roman"/>
                <w:color w:val="000000"/>
              </w:rPr>
              <w:t xml:space="preserve">the potential to share the infrastructure.  </w:t>
            </w:r>
          </w:p>
          <w:p w:rsidR="00D168DD" w:rsidRPr="00D70E8E" w:rsidRDefault="0089225D" w:rsidP="000C592C">
            <w:pPr>
              <w:pStyle w:val="ListParagraph"/>
              <w:numPr>
                <w:ilvl w:val="0"/>
                <w:numId w:val="7"/>
              </w:numPr>
              <w:spacing w:before="120"/>
              <w:rPr>
                <w:rFonts w:ascii="Times New Roman" w:hAnsi="Times New Roman"/>
                <w:color w:val="000000"/>
              </w:rPr>
            </w:pPr>
            <w:r w:rsidRPr="00D70E8E">
              <w:rPr>
                <w:rFonts w:ascii="Times New Roman" w:hAnsi="Times New Roman"/>
                <w:color w:val="000000"/>
                <w:u w:val="single"/>
              </w:rPr>
              <w:t>Renewable Integration:</w:t>
            </w:r>
            <w:r w:rsidRPr="00D70E8E">
              <w:rPr>
                <w:rFonts w:ascii="Times New Roman" w:hAnsi="Times New Roman"/>
                <w:color w:val="000000"/>
              </w:rPr>
              <w:t xml:space="preserve">  </w:t>
            </w:r>
            <w:r w:rsidR="00B26832" w:rsidRPr="00D70E8E">
              <w:rPr>
                <w:rFonts w:ascii="Times New Roman" w:hAnsi="Times New Roman"/>
                <w:color w:val="000000"/>
              </w:rPr>
              <w:t>Furthermore, SDAP proposed the Solar Array and Battery storage site concept to SDGE which the decision supported one site for the program.  The renewable integration and infrastructure reduces the load on the grid, reduces emissions, reduces rates</w:t>
            </w:r>
            <w:r w:rsidR="00D93625" w:rsidRPr="00D70E8E">
              <w:rPr>
                <w:rFonts w:ascii="Times New Roman" w:hAnsi="Times New Roman"/>
                <w:color w:val="000000"/>
              </w:rPr>
              <w:t xml:space="preserve"> and </w:t>
            </w:r>
            <w:r w:rsidR="00B26832" w:rsidRPr="00D70E8E">
              <w:rPr>
                <w:rFonts w:ascii="Times New Roman" w:hAnsi="Times New Roman"/>
                <w:color w:val="000000"/>
              </w:rPr>
              <w:t>include</w:t>
            </w:r>
            <w:r w:rsidR="00D93625" w:rsidRPr="00D70E8E">
              <w:rPr>
                <w:rFonts w:ascii="Times New Roman" w:hAnsi="Times New Roman"/>
                <w:color w:val="000000"/>
              </w:rPr>
              <w:t>s</w:t>
            </w:r>
            <w:r w:rsidR="00B26832" w:rsidRPr="00D70E8E">
              <w:rPr>
                <w:rFonts w:ascii="Times New Roman" w:hAnsi="Times New Roman"/>
                <w:color w:val="000000"/>
              </w:rPr>
              <w:t xml:space="preserve"> the</w:t>
            </w:r>
            <w:r w:rsidR="00D93625" w:rsidRPr="00D70E8E">
              <w:rPr>
                <w:rFonts w:ascii="Times New Roman" w:hAnsi="Times New Roman"/>
                <w:color w:val="000000"/>
              </w:rPr>
              <w:t xml:space="preserve"> advanced technology which supports managed charging, reduced installation costs and</w:t>
            </w:r>
            <w:r w:rsidR="00704EC6" w:rsidRPr="00D70E8E">
              <w:rPr>
                <w:rFonts w:ascii="Times New Roman" w:hAnsi="Times New Roman"/>
                <w:color w:val="000000"/>
              </w:rPr>
              <w:t xml:space="preserve"> can</w:t>
            </w:r>
            <w:r w:rsidRPr="00D70E8E">
              <w:rPr>
                <w:rFonts w:ascii="Times New Roman" w:hAnsi="Times New Roman"/>
                <w:color w:val="000000"/>
              </w:rPr>
              <w:t xml:space="preserve"> assist fleet demand use with optimized charging from the renewable integration while ensuring support to the fleet as the infrastructure establishes an emergency </w:t>
            </w:r>
            <w:proofErr w:type="spellStart"/>
            <w:r w:rsidRPr="00D70E8E">
              <w:rPr>
                <w:rFonts w:ascii="Times New Roman" w:hAnsi="Times New Roman"/>
                <w:color w:val="000000"/>
              </w:rPr>
              <w:t>back up</w:t>
            </w:r>
            <w:proofErr w:type="spellEnd"/>
            <w:r w:rsidRPr="00D70E8E">
              <w:rPr>
                <w:rFonts w:ascii="Times New Roman" w:hAnsi="Times New Roman"/>
                <w:color w:val="000000"/>
              </w:rPr>
              <w:t xml:space="preserve"> energy hub. </w:t>
            </w:r>
          </w:p>
          <w:p w:rsidR="0089225D" w:rsidRPr="00D70E8E" w:rsidRDefault="0089225D" w:rsidP="00A26CBB">
            <w:pPr>
              <w:pStyle w:val="ListParagraph"/>
              <w:numPr>
                <w:ilvl w:val="0"/>
                <w:numId w:val="7"/>
              </w:numPr>
              <w:spacing w:before="120"/>
              <w:rPr>
                <w:rFonts w:ascii="Times New Roman" w:hAnsi="Times New Roman"/>
                <w:color w:val="000000"/>
                <w:u w:val="single"/>
              </w:rPr>
            </w:pPr>
            <w:r w:rsidRPr="00D70E8E">
              <w:rPr>
                <w:rFonts w:ascii="Times New Roman" w:hAnsi="Times New Roman"/>
                <w:u w:val="single"/>
              </w:rPr>
              <w:t xml:space="preserve">GIR Rates: </w:t>
            </w:r>
          </w:p>
          <w:p w:rsidR="0089225D" w:rsidRPr="00D70E8E" w:rsidRDefault="002E6E8B" w:rsidP="0089225D">
            <w:pPr>
              <w:pStyle w:val="ListParagraph"/>
              <w:spacing w:before="120"/>
              <w:rPr>
                <w:rFonts w:ascii="Times New Roman" w:hAnsi="Times New Roman"/>
                <w:color w:val="000000"/>
              </w:rPr>
            </w:pPr>
            <w:r w:rsidRPr="00D70E8E">
              <w:rPr>
                <w:rFonts w:ascii="Times New Roman" w:hAnsi="Times New Roman"/>
                <w:color w:val="000000"/>
              </w:rPr>
              <w:t xml:space="preserve">Two new rates were introduced in the PR programs.  </w:t>
            </w:r>
            <w:r w:rsidR="0089225D" w:rsidRPr="00D70E8E">
              <w:rPr>
                <w:rFonts w:ascii="Times New Roman" w:hAnsi="Times New Roman"/>
                <w:color w:val="000000"/>
              </w:rPr>
              <w:t xml:space="preserve">The proposed </w:t>
            </w:r>
            <w:r w:rsidRPr="00D70E8E">
              <w:rPr>
                <w:rFonts w:ascii="Times New Roman" w:hAnsi="Times New Roman"/>
                <w:color w:val="000000"/>
              </w:rPr>
              <w:t xml:space="preserve">Public and </w:t>
            </w:r>
            <w:r w:rsidR="0089225D" w:rsidRPr="00D70E8E">
              <w:rPr>
                <w:rFonts w:ascii="Times New Roman" w:hAnsi="Times New Roman"/>
                <w:color w:val="000000"/>
              </w:rPr>
              <w:t>Commercial GIR Rate</w:t>
            </w:r>
            <w:r w:rsidRPr="00D70E8E">
              <w:rPr>
                <w:rFonts w:ascii="Times New Roman" w:hAnsi="Times New Roman"/>
                <w:color w:val="000000"/>
              </w:rPr>
              <w:t>s.  The Commercial GIR (CGIR)</w:t>
            </w:r>
            <w:r w:rsidR="00A32DCA" w:rsidRPr="00D70E8E">
              <w:rPr>
                <w:rFonts w:ascii="Times New Roman" w:hAnsi="Times New Roman"/>
                <w:color w:val="000000"/>
              </w:rPr>
              <w:t xml:space="preserve"> is a proposed rate</w:t>
            </w:r>
            <w:r w:rsidR="0089225D" w:rsidRPr="00D70E8E">
              <w:rPr>
                <w:rFonts w:ascii="Times New Roman" w:hAnsi="Times New Roman"/>
                <w:color w:val="000000"/>
              </w:rPr>
              <w:t xml:space="preserve"> for the </w:t>
            </w:r>
            <w:r w:rsidR="00A32DCA" w:rsidRPr="00D70E8E">
              <w:rPr>
                <w:rFonts w:ascii="Times New Roman" w:hAnsi="Times New Roman"/>
                <w:color w:val="000000"/>
              </w:rPr>
              <w:t>fleet delivery and Public Highway</w:t>
            </w:r>
            <w:r w:rsidR="0089225D" w:rsidRPr="00D70E8E">
              <w:rPr>
                <w:rFonts w:ascii="Times New Roman" w:hAnsi="Times New Roman"/>
                <w:color w:val="000000"/>
              </w:rPr>
              <w:t xml:space="preserve"> PR </w:t>
            </w:r>
            <w:r w:rsidR="00BB00E2" w:rsidRPr="00D70E8E">
              <w:rPr>
                <w:rFonts w:ascii="Times New Roman" w:hAnsi="Times New Roman"/>
                <w:color w:val="000000"/>
              </w:rPr>
              <w:t>projects</w:t>
            </w:r>
            <w:r w:rsidR="00A32DCA" w:rsidRPr="00D70E8E">
              <w:rPr>
                <w:rFonts w:ascii="Times New Roman" w:hAnsi="Times New Roman"/>
                <w:color w:val="000000"/>
              </w:rPr>
              <w:t xml:space="preserve">.  The CGIR </w:t>
            </w:r>
            <w:r w:rsidR="0089225D" w:rsidRPr="00D70E8E">
              <w:rPr>
                <w:rFonts w:ascii="Times New Roman" w:hAnsi="Times New Roman"/>
                <w:color w:val="000000"/>
              </w:rPr>
              <w:t xml:space="preserve">established a </w:t>
            </w:r>
            <w:r w:rsidR="00BB00E2" w:rsidRPr="00D70E8E">
              <w:rPr>
                <w:rFonts w:ascii="Times New Roman" w:hAnsi="Times New Roman"/>
                <w:color w:val="000000"/>
              </w:rPr>
              <w:t xml:space="preserve">high monthly </w:t>
            </w:r>
            <w:r w:rsidR="0089225D" w:rsidRPr="00D70E8E">
              <w:rPr>
                <w:rFonts w:ascii="Times New Roman" w:hAnsi="Times New Roman"/>
                <w:color w:val="000000"/>
              </w:rPr>
              <w:t>GIR fee</w:t>
            </w:r>
            <w:r w:rsidR="00BB00E2" w:rsidRPr="00D70E8E">
              <w:rPr>
                <w:rFonts w:ascii="Times New Roman" w:hAnsi="Times New Roman"/>
                <w:color w:val="000000"/>
              </w:rPr>
              <w:t xml:space="preserve"> along with two dynamic adders fees, the proposed GIR rates with high monthly fees had little support</w:t>
            </w:r>
            <w:r w:rsidR="00D40966" w:rsidRPr="00D70E8E">
              <w:rPr>
                <w:rFonts w:ascii="Times New Roman" w:hAnsi="Times New Roman"/>
                <w:color w:val="000000"/>
              </w:rPr>
              <w:t xml:space="preserve"> by the parties</w:t>
            </w:r>
            <w:r w:rsidR="00BB00E2" w:rsidRPr="00D70E8E">
              <w:rPr>
                <w:rFonts w:ascii="Times New Roman" w:hAnsi="Times New Roman"/>
                <w:color w:val="000000"/>
              </w:rPr>
              <w:t xml:space="preserve"> and would have increased rates for transportation fleets beyond </w:t>
            </w:r>
            <w:r w:rsidR="00BB00E2" w:rsidRPr="00D70E8E">
              <w:rPr>
                <w:rFonts w:ascii="Times New Roman" w:hAnsi="Times New Roman"/>
                <w:color w:val="000000"/>
              </w:rPr>
              <w:lastRenderedPageBreak/>
              <w:t xml:space="preserve">the displaced diesel fuel cost per mile and would have negative operational cost to the fleets; moreover, fleets with high VMT will never avoid high monthly GIR fees and the higher kWh dynamic adders fees as the </w:t>
            </w:r>
            <w:r w:rsidR="00D40966" w:rsidRPr="00D70E8E">
              <w:rPr>
                <w:rFonts w:ascii="Times New Roman" w:hAnsi="Times New Roman"/>
                <w:color w:val="000000"/>
              </w:rPr>
              <w:t>fleet driver</w:t>
            </w:r>
            <w:r w:rsidR="00BB00E2" w:rsidRPr="00D70E8E">
              <w:rPr>
                <w:rFonts w:ascii="Times New Roman" w:hAnsi="Times New Roman"/>
                <w:color w:val="000000"/>
              </w:rPr>
              <w:t xml:space="preserve"> cannot schedule around the</w:t>
            </w:r>
            <w:r w:rsidR="00D40966" w:rsidRPr="00D70E8E">
              <w:rPr>
                <w:rFonts w:ascii="Times New Roman" w:hAnsi="Times New Roman"/>
                <w:color w:val="000000"/>
              </w:rPr>
              <w:t xml:space="preserve"> hourly</w:t>
            </w:r>
            <w:r w:rsidR="00BB00E2" w:rsidRPr="00D70E8E">
              <w:rPr>
                <w:rFonts w:ascii="Times New Roman" w:hAnsi="Times New Roman"/>
                <w:color w:val="000000"/>
              </w:rPr>
              <w:t xml:space="preserve"> rates as the daily VMT will go beyond the range of the</w:t>
            </w:r>
            <w:r w:rsidR="00D40966" w:rsidRPr="00D70E8E">
              <w:rPr>
                <w:rFonts w:ascii="Times New Roman" w:hAnsi="Times New Roman"/>
                <w:color w:val="000000"/>
              </w:rPr>
              <w:t xml:space="preserve"> EV</w:t>
            </w:r>
            <w:r w:rsidR="00BB00E2" w:rsidRPr="00D70E8E">
              <w:rPr>
                <w:rFonts w:ascii="Times New Roman" w:hAnsi="Times New Roman"/>
                <w:color w:val="000000"/>
              </w:rPr>
              <w:t xml:space="preserve"> vehicle</w:t>
            </w:r>
            <w:r w:rsidR="00A53789" w:rsidRPr="00D70E8E">
              <w:rPr>
                <w:rFonts w:ascii="Times New Roman" w:hAnsi="Times New Roman"/>
                <w:color w:val="000000"/>
              </w:rPr>
              <w:t xml:space="preserve"> determining that the EV vehicle requires charging </w:t>
            </w:r>
            <w:proofErr w:type="spellStart"/>
            <w:r w:rsidR="00A53789" w:rsidRPr="00D70E8E">
              <w:rPr>
                <w:rFonts w:ascii="Times New Roman" w:hAnsi="Times New Roman"/>
                <w:color w:val="000000"/>
              </w:rPr>
              <w:t>through out</w:t>
            </w:r>
            <w:proofErr w:type="spellEnd"/>
            <w:r w:rsidR="00A53789" w:rsidRPr="00D70E8E">
              <w:rPr>
                <w:rFonts w:ascii="Times New Roman" w:hAnsi="Times New Roman"/>
                <w:color w:val="000000"/>
              </w:rPr>
              <w:t xml:space="preserve"> the day as the reserve is </w:t>
            </w:r>
            <w:r w:rsidR="00D40966" w:rsidRPr="00D70E8E">
              <w:rPr>
                <w:rFonts w:ascii="Times New Roman" w:hAnsi="Times New Roman"/>
                <w:color w:val="000000"/>
              </w:rPr>
              <w:t xml:space="preserve">slowly </w:t>
            </w:r>
            <w:r w:rsidR="00A53789" w:rsidRPr="00D70E8E">
              <w:rPr>
                <w:rFonts w:ascii="Times New Roman" w:hAnsi="Times New Roman"/>
                <w:color w:val="000000"/>
              </w:rPr>
              <w:t>depleting and thereby when plugging in multiple vehicles at the same time, this will increase the GIR base fee as it determined by the amount of kW used by the fleet at one time.  All of this was detrimental to the fleet operator, does not support having an operational benefit, was confusing as the rate is dynamic every hour</w:t>
            </w:r>
            <w:r w:rsidR="00D40966" w:rsidRPr="00D70E8E">
              <w:rPr>
                <w:rFonts w:ascii="Times New Roman" w:hAnsi="Times New Roman"/>
                <w:color w:val="000000"/>
              </w:rPr>
              <w:t xml:space="preserve"> and could negatively impact fleet adoption as the conventionally fueled vehicles cost per mile is less than electric GIR rates proposed.  </w:t>
            </w:r>
          </w:p>
          <w:p w:rsidR="00A92D0B" w:rsidRPr="00D70E8E" w:rsidRDefault="006F3199" w:rsidP="006F3199">
            <w:pPr>
              <w:pStyle w:val="ListParagraph"/>
              <w:spacing w:before="120"/>
              <w:rPr>
                <w:rFonts w:ascii="Times New Roman" w:hAnsi="Times New Roman"/>
                <w:color w:val="000000"/>
              </w:rPr>
            </w:pPr>
            <w:r w:rsidRPr="00D70E8E">
              <w:rPr>
                <w:rFonts w:ascii="Times New Roman" w:hAnsi="Times New Roman"/>
              </w:rPr>
              <w:t xml:space="preserve"> </w:t>
            </w:r>
          </w:p>
        </w:tc>
        <w:tc>
          <w:tcPr>
            <w:tcW w:w="3207" w:type="dxa"/>
            <w:shd w:val="clear" w:color="auto" w:fill="auto"/>
          </w:tcPr>
          <w:p w:rsidR="002A0088" w:rsidRPr="00D70E8E" w:rsidRDefault="0037509F" w:rsidP="00A92D0B">
            <w:pPr>
              <w:spacing w:before="120"/>
            </w:pPr>
            <w:r w:rsidRPr="00D70E8E">
              <w:lastRenderedPageBreak/>
              <w:t>Specific references to SDAP’s contributions to this case are provided in subsequent rows of this table.</w:t>
            </w:r>
          </w:p>
          <w:p w:rsidR="00AA5C5E" w:rsidRPr="00D70E8E" w:rsidRDefault="00A861CD" w:rsidP="00A92D0B">
            <w:pPr>
              <w:pStyle w:val="ListParagraph"/>
              <w:numPr>
                <w:ilvl w:val="0"/>
                <w:numId w:val="9"/>
              </w:numPr>
              <w:spacing w:before="120"/>
              <w:rPr>
                <w:rFonts w:ascii="Times New Roman" w:hAnsi="Times New Roman"/>
                <w:color w:val="000000"/>
              </w:rPr>
            </w:pPr>
            <w:r w:rsidRPr="00D70E8E">
              <w:rPr>
                <w:rFonts w:ascii="Times New Roman" w:hAnsi="Times New Roman"/>
                <w:color w:val="000000"/>
              </w:rPr>
              <w:t xml:space="preserve"> </w:t>
            </w:r>
            <w:r w:rsidR="00E5245C" w:rsidRPr="00D70E8E">
              <w:rPr>
                <w:rFonts w:ascii="Times New Roman" w:hAnsi="Times New Roman"/>
                <w:u w:val="single"/>
              </w:rPr>
              <w:t xml:space="preserve">SDAP </w:t>
            </w:r>
            <w:r w:rsidR="00D40966" w:rsidRPr="00D70E8E">
              <w:rPr>
                <w:rFonts w:ascii="Times New Roman" w:hAnsi="Times New Roman"/>
                <w:u w:val="single"/>
              </w:rPr>
              <w:t>Comments at Pre-Hearing</w:t>
            </w:r>
            <w:r w:rsidR="00E5245C" w:rsidRPr="00D70E8E">
              <w:rPr>
                <w:rFonts w:ascii="Times New Roman" w:hAnsi="Times New Roman"/>
                <w:u w:val="single"/>
              </w:rPr>
              <w:t xml:space="preserve"> 3-</w:t>
            </w:r>
            <w:r w:rsidR="00D40966" w:rsidRPr="00D70E8E">
              <w:rPr>
                <w:rFonts w:ascii="Times New Roman" w:hAnsi="Times New Roman"/>
                <w:u w:val="single"/>
              </w:rPr>
              <w:t>1</w:t>
            </w:r>
            <w:r w:rsidR="00E5245C" w:rsidRPr="00D70E8E">
              <w:rPr>
                <w:rFonts w:ascii="Times New Roman" w:hAnsi="Times New Roman"/>
                <w:u w:val="single"/>
              </w:rPr>
              <w:t>6-17</w:t>
            </w:r>
          </w:p>
          <w:p w:rsidR="00AA5C5E" w:rsidRPr="00D70E8E" w:rsidRDefault="00AA5C5E" w:rsidP="00A92D0B">
            <w:pPr>
              <w:spacing w:before="120"/>
              <w:rPr>
                <w:u w:val="single"/>
              </w:rPr>
            </w:pPr>
            <w:r w:rsidRPr="00D70E8E">
              <w:rPr>
                <w:u w:val="single"/>
              </w:rPr>
              <w:t>SDAP Response 3-6-17, pp. 3</w:t>
            </w:r>
          </w:p>
          <w:p w:rsidR="00AA5C5E" w:rsidRPr="00D70E8E" w:rsidRDefault="006B2FB8" w:rsidP="00A92D0B">
            <w:pPr>
              <w:spacing w:before="120"/>
              <w:rPr>
                <w:color w:val="000000"/>
                <w:u w:val="single"/>
              </w:rPr>
            </w:pPr>
            <w:r w:rsidRPr="00D70E8E">
              <w:rPr>
                <w:color w:val="000000"/>
                <w:u w:val="single"/>
              </w:rPr>
              <w:t>D.  18-01-024 pp 5</w:t>
            </w:r>
          </w:p>
          <w:p w:rsidR="00AA5C5E" w:rsidRPr="00D70E8E" w:rsidRDefault="00A861CD" w:rsidP="00A861CD">
            <w:pPr>
              <w:pStyle w:val="ListParagraph"/>
              <w:numPr>
                <w:ilvl w:val="0"/>
                <w:numId w:val="9"/>
              </w:numPr>
              <w:spacing w:before="120"/>
              <w:rPr>
                <w:rFonts w:ascii="Times New Roman" w:hAnsi="Times New Roman"/>
                <w:color w:val="000000"/>
              </w:rPr>
            </w:pPr>
            <w:r w:rsidRPr="00D70E8E">
              <w:rPr>
                <w:rFonts w:ascii="Times New Roman" w:hAnsi="Times New Roman"/>
                <w:color w:val="000000"/>
              </w:rPr>
              <w:t xml:space="preserve"> </w:t>
            </w:r>
          </w:p>
          <w:p w:rsidR="00AA5C5E" w:rsidRPr="00D70E8E" w:rsidRDefault="00AA5C5E" w:rsidP="00A92D0B">
            <w:pPr>
              <w:spacing w:before="120"/>
              <w:rPr>
                <w:u w:val="single"/>
              </w:rPr>
            </w:pPr>
            <w:r w:rsidRPr="00D70E8E">
              <w:rPr>
                <w:u w:val="single"/>
              </w:rPr>
              <w:t xml:space="preserve">SDAP Response 3-6-17, pp. </w:t>
            </w:r>
            <w:r w:rsidR="00C21C75" w:rsidRPr="00D70E8E">
              <w:rPr>
                <w:u w:val="single"/>
              </w:rPr>
              <w:t>4-7</w:t>
            </w:r>
          </w:p>
          <w:p w:rsidR="00C21C75" w:rsidRPr="00D70E8E" w:rsidRDefault="00C21C75" w:rsidP="00C21C75">
            <w:pPr>
              <w:pStyle w:val="ListParagraph"/>
              <w:numPr>
                <w:ilvl w:val="0"/>
                <w:numId w:val="8"/>
              </w:numPr>
              <w:spacing w:before="120"/>
              <w:rPr>
                <w:rFonts w:ascii="Times New Roman" w:hAnsi="Times New Roman"/>
                <w:color w:val="000000"/>
              </w:rPr>
            </w:pPr>
            <w:r w:rsidRPr="00D70E8E">
              <w:rPr>
                <w:rFonts w:ascii="Times New Roman" w:hAnsi="Times New Roman"/>
                <w:color w:val="000000"/>
              </w:rPr>
              <w:t>Shuttle are in fixed routes</w:t>
            </w:r>
          </w:p>
          <w:p w:rsidR="00C21C75" w:rsidRPr="00D70E8E" w:rsidRDefault="00C21C75" w:rsidP="00C21C75">
            <w:pPr>
              <w:pStyle w:val="ListParagraph"/>
              <w:numPr>
                <w:ilvl w:val="0"/>
                <w:numId w:val="8"/>
              </w:numPr>
              <w:spacing w:before="120"/>
              <w:rPr>
                <w:rFonts w:ascii="Times New Roman" w:hAnsi="Times New Roman"/>
                <w:color w:val="000000"/>
              </w:rPr>
            </w:pPr>
            <w:r w:rsidRPr="00D70E8E">
              <w:rPr>
                <w:rFonts w:ascii="Times New Roman" w:hAnsi="Times New Roman"/>
                <w:color w:val="000000"/>
              </w:rPr>
              <w:t xml:space="preserve">Have high </w:t>
            </w:r>
            <w:proofErr w:type="spellStart"/>
            <w:r w:rsidRPr="00D70E8E">
              <w:rPr>
                <w:rFonts w:ascii="Times New Roman" w:hAnsi="Times New Roman"/>
                <w:color w:val="000000"/>
              </w:rPr>
              <w:t>vmt</w:t>
            </w:r>
            <w:proofErr w:type="spellEnd"/>
          </w:p>
          <w:p w:rsidR="00C21C75" w:rsidRPr="00D70E8E" w:rsidRDefault="00C21C75" w:rsidP="00C21C75">
            <w:pPr>
              <w:pStyle w:val="ListParagraph"/>
              <w:numPr>
                <w:ilvl w:val="0"/>
                <w:numId w:val="8"/>
              </w:numPr>
              <w:spacing w:before="120"/>
              <w:rPr>
                <w:rFonts w:ascii="Times New Roman" w:hAnsi="Times New Roman"/>
                <w:color w:val="000000"/>
              </w:rPr>
            </w:pPr>
            <w:r w:rsidRPr="00D70E8E">
              <w:rPr>
                <w:rFonts w:ascii="Times New Roman" w:hAnsi="Times New Roman"/>
                <w:color w:val="000000"/>
              </w:rPr>
              <w:lastRenderedPageBreak/>
              <w:t>Short duty cycle driving behaviors that constantly and consistently repeat 24 hours per day</w:t>
            </w:r>
          </w:p>
          <w:p w:rsidR="00C21C75" w:rsidRPr="00D70E8E" w:rsidRDefault="00C21C75" w:rsidP="00C21C75">
            <w:pPr>
              <w:pStyle w:val="ListParagraph"/>
              <w:numPr>
                <w:ilvl w:val="0"/>
                <w:numId w:val="8"/>
              </w:numPr>
              <w:spacing w:before="120"/>
              <w:rPr>
                <w:rFonts w:ascii="Times New Roman" w:hAnsi="Times New Roman"/>
                <w:color w:val="000000"/>
              </w:rPr>
            </w:pPr>
            <w:r w:rsidRPr="00D70E8E">
              <w:rPr>
                <w:rFonts w:ascii="Times New Roman" w:hAnsi="Times New Roman"/>
                <w:color w:val="000000"/>
              </w:rPr>
              <w:t xml:space="preserve"> Returns to depot with short trips</w:t>
            </w:r>
          </w:p>
          <w:p w:rsidR="00D40966" w:rsidRPr="00D70E8E" w:rsidRDefault="00C21C75" w:rsidP="00D40966">
            <w:pPr>
              <w:pStyle w:val="ListParagraph"/>
              <w:numPr>
                <w:ilvl w:val="0"/>
                <w:numId w:val="8"/>
              </w:numPr>
              <w:spacing w:before="120"/>
              <w:rPr>
                <w:rFonts w:ascii="Times New Roman" w:hAnsi="Times New Roman"/>
                <w:color w:val="000000"/>
                <w:u w:val="single"/>
              </w:rPr>
            </w:pPr>
            <w:r w:rsidRPr="00D70E8E">
              <w:rPr>
                <w:rFonts w:ascii="Times New Roman" w:hAnsi="Times New Roman"/>
                <w:color w:val="000000"/>
              </w:rPr>
              <w:t>Scalable across all airports</w:t>
            </w:r>
          </w:p>
          <w:p w:rsidR="00573C28" w:rsidRPr="00D70E8E" w:rsidRDefault="00D40966" w:rsidP="00573C28">
            <w:pPr>
              <w:pStyle w:val="ListParagraph"/>
              <w:numPr>
                <w:ilvl w:val="0"/>
                <w:numId w:val="5"/>
              </w:numPr>
              <w:spacing w:before="120"/>
              <w:rPr>
                <w:rFonts w:ascii="Times New Roman" w:hAnsi="Times New Roman"/>
                <w:color w:val="000000"/>
                <w:u w:val="single"/>
              </w:rPr>
            </w:pPr>
            <w:r w:rsidRPr="00D70E8E">
              <w:rPr>
                <w:rFonts w:ascii="Times New Roman" w:hAnsi="Times New Roman"/>
                <w:color w:val="000000"/>
                <w:u w:val="single"/>
              </w:rPr>
              <w:t>18-01-024 pp 35</w:t>
            </w:r>
          </w:p>
          <w:p w:rsidR="00714351" w:rsidRPr="00D70E8E" w:rsidRDefault="00714351" w:rsidP="00573C28">
            <w:pPr>
              <w:spacing w:before="120"/>
              <w:rPr>
                <w:color w:val="000000"/>
                <w:u w:val="single"/>
              </w:rPr>
            </w:pPr>
            <w:r w:rsidRPr="00D70E8E">
              <w:rPr>
                <w:color w:val="000000"/>
                <w:u w:val="single"/>
              </w:rPr>
              <w:t>SDAP Opening Brief at 5</w:t>
            </w:r>
          </w:p>
          <w:p w:rsidR="00714351" w:rsidRPr="00D70E8E" w:rsidRDefault="00714351" w:rsidP="00714351">
            <w:pPr>
              <w:spacing w:before="120"/>
              <w:rPr>
                <w:color w:val="000000"/>
                <w:u w:val="single"/>
              </w:rPr>
            </w:pPr>
            <w:r w:rsidRPr="00D70E8E">
              <w:rPr>
                <w:color w:val="000000"/>
                <w:u w:val="single"/>
              </w:rPr>
              <w:t xml:space="preserve">SDAP Opening Brief at 6 </w:t>
            </w:r>
          </w:p>
          <w:p w:rsidR="00573C28" w:rsidRPr="00D70E8E" w:rsidRDefault="00714351" w:rsidP="00573C28">
            <w:pPr>
              <w:spacing w:before="120"/>
              <w:rPr>
                <w:color w:val="000000"/>
              </w:rPr>
            </w:pPr>
            <w:r w:rsidRPr="00D70E8E">
              <w:rPr>
                <w:color w:val="000000"/>
              </w:rPr>
              <w:t xml:space="preserve">Taxi and Uber drivers will not access the same cost effectiveness over shuttles or larger GVW shuttle operations.  </w:t>
            </w:r>
          </w:p>
          <w:p w:rsidR="00573C28" w:rsidRPr="00D70E8E" w:rsidRDefault="00A861CD" w:rsidP="00573C28">
            <w:pPr>
              <w:pStyle w:val="ListParagraph"/>
              <w:numPr>
                <w:ilvl w:val="0"/>
                <w:numId w:val="9"/>
              </w:numPr>
              <w:spacing w:before="120"/>
              <w:rPr>
                <w:rFonts w:ascii="Times New Roman" w:hAnsi="Times New Roman"/>
                <w:color w:val="000000"/>
                <w:u w:val="single"/>
              </w:rPr>
            </w:pPr>
            <w:r w:rsidRPr="00D70E8E">
              <w:rPr>
                <w:rFonts w:ascii="Times New Roman" w:hAnsi="Times New Roman"/>
                <w:color w:val="000000"/>
                <w:u w:val="single"/>
              </w:rPr>
              <w:t xml:space="preserve"> </w:t>
            </w:r>
          </w:p>
          <w:p w:rsidR="00714351" w:rsidRPr="00D70E8E" w:rsidRDefault="00714351" w:rsidP="00714351">
            <w:pPr>
              <w:spacing w:before="120"/>
              <w:rPr>
                <w:color w:val="000000"/>
                <w:u w:val="single"/>
              </w:rPr>
            </w:pPr>
            <w:r w:rsidRPr="00D70E8E">
              <w:rPr>
                <w:color w:val="000000"/>
                <w:u w:val="single"/>
              </w:rPr>
              <w:t xml:space="preserve">SDAP Opening Brief at 6 </w:t>
            </w:r>
          </w:p>
          <w:p w:rsidR="00573C28" w:rsidRPr="00D70E8E" w:rsidRDefault="00714351" w:rsidP="00573C28">
            <w:pPr>
              <w:spacing w:before="120"/>
              <w:rPr>
                <w:color w:val="000000"/>
              </w:rPr>
            </w:pPr>
            <w:r w:rsidRPr="00D70E8E">
              <w:rPr>
                <w:color w:val="000000"/>
              </w:rPr>
              <w:t xml:space="preserve">SDAP states to target fleets in fixed routes in order to avoid stranded assets.  </w:t>
            </w:r>
          </w:p>
          <w:p w:rsidR="00573C28" w:rsidRPr="00D70E8E" w:rsidRDefault="00A861CD" w:rsidP="00A861CD">
            <w:pPr>
              <w:pStyle w:val="ListParagraph"/>
              <w:numPr>
                <w:ilvl w:val="0"/>
                <w:numId w:val="11"/>
              </w:numPr>
              <w:spacing w:before="120"/>
              <w:rPr>
                <w:rFonts w:ascii="Times New Roman" w:hAnsi="Times New Roman"/>
                <w:color w:val="000000"/>
                <w:u w:val="single"/>
              </w:rPr>
            </w:pPr>
            <w:r w:rsidRPr="00D70E8E">
              <w:rPr>
                <w:rFonts w:ascii="Times New Roman" w:hAnsi="Times New Roman"/>
                <w:color w:val="000000"/>
                <w:u w:val="single"/>
              </w:rPr>
              <w:t xml:space="preserve"> </w:t>
            </w:r>
            <w:r w:rsidR="00573C28" w:rsidRPr="00D70E8E">
              <w:rPr>
                <w:rFonts w:ascii="Times New Roman" w:hAnsi="Times New Roman"/>
                <w:color w:val="000000"/>
                <w:u w:val="single"/>
              </w:rPr>
              <w:t>SDGE Concept Meeting 12-1-16</w:t>
            </w:r>
          </w:p>
          <w:p w:rsidR="00A861CD" w:rsidRPr="00D70E8E" w:rsidRDefault="00573C28" w:rsidP="00A861CD">
            <w:pPr>
              <w:spacing w:before="120"/>
              <w:rPr>
                <w:color w:val="000000"/>
              </w:rPr>
            </w:pPr>
            <w:r w:rsidRPr="00D70E8E">
              <w:rPr>
                <w:color w:val="000000"/>
              </w:rPr>
              <w:t xml:space="preserve">Meeting with Hannon Rasool, Linda Brown, Envision Solar, SDAP, Energetics, </w:t>
            </w:r>
            <w:proofErr w:type="spellStart"/>
            <w:r w:rsidRPr="00D70E8E">
              <w:rPr>
                <w:color w:val="000000"/>
              </w:rPr>
              <w:t>Greenlots</w:t>
            </w:r>
            <w:proofErr w:type="spellEnd"/>
            <w:r w:rsidRPr="00D70E8E">
              <w:rPr>
                <w:color w:val="000000"/>
              </w:rPr>
              <w:t xml:space="preserve"> and Phoenix Motorcars.  This concept </w:t>
            </w:r>
            <w:r w:rsidR="00E76A9B" w:rsidRPr="00D70E8E">
              <w:rPr>
                <w:color w:val="000000"/>
              </w:rPr>
              <w:t>was created by and includes a coordinated team of</w:t>
            </w:r>
            <w:r w:rsidRPr="00D70E8E">
              <w:rPr>
                <w:color w:val="000000"/>
              </w:rPr>
              <w:t xml:space="preserve"> experts in the industry that SDAP </w:t>
            </w:r>
            <w:r w:rsidR="00E76A9B" w:rsidRPr="00D70E8E">
              <w:rPr>
                <w:color w:val="000000"/>
              </w:rPr>
              <w:t xml:space="preserve">collaborated with to </w:t>
            </w:r>
            <w:r w:rsidRPr="00D70E8E">
              <w:rPr>
                <w:color w:val="000000"/>
              </w:rPr>
              <w:t>design</w:t>
            </w:r>
            <w:r w:rsidR="00576928">
              <w:rPr>
                <w:color w:val="000000"/>
              </w:rPr>
              <w:t xml:space="preserve"> a turn</w:t>
            </w:r>
            <w:r w:rsidR="00E76A9B" w:rsidRPr="00D70E8E">
              <w:rPr>
                <w:color w:val="000000"/>
              </w:rPr>
              <w:t>key solution</w:t>
            </w:r>
            <w:r w:rsidRPr="00D70E8E">
              <w:rPr>
                <w:color w:val="000000"/>
              </w:rPr>
              <w:t xml:space="preserve"> to help support optimization for fleet charging with advanced non-grid charging and grid charging.  The concept idea was shared with SDGE to allow </w:t>
            </w:r>
            <w:r w:rsidR="00E76A9B" w:rsidRPr="00D70E8E">
              <w:rPr>
                <w:color w:val="000000"/>
              </w:rPr>
              <w:t xml:space="preserve">the SDGE team to support the concept in their PR </w:t>
            </w:r>
            <w:r w:rsidRPr="00D70E8E">
              <w:rPr>
                <w:color w:val="000000"/>
              </w:rPr>
              <w:t>project</w:t>
            </w:r>
            <w:r w:rsidR="00E76A9B" w:rsidRPr="00D70E8E">
              <w:rPr>
                <w:color w:val="000000"/>
              </w:rPr>
              <w:t xml:space="preserve"> and it would directly support and </w:t>
            </w:r>
            <w:r w:rsidRPr="00D70E8E">
              <w:rPr>
                <w:color w:val="000000"/>
              </w:rPr>
              <w:t xml:space="preserve">benefit fleets with high VMT </w:t>
            </w:r>
            <w:r w:rsidR="00E76A9B" w:rsidRPr="00D70E8E">
              <w:rPr>
                <w:color w:val="000000"/>
              </w:rPr>
              <w:t xml:space="preserve">such as all airport </w:t>
            </w:r>
            <w:r w:rsidR="00E76A9B" w:rsidRPr="00D70E8E">
              <w:rPr>
                <w:color w:val="000000"/>
              </w:rPr>
              <w:lastRenderedPageBreak/>
              <w:t>shuttle operations.  The idea was ripe for shuttles, for a pilot, for data collecting and when</w:t>
            </w:r>
            <w:r w:rsidRPr="00D70E8E">
              <w:rPr>
                <w:color w:val="000000"/>
              </w:rPr>
              <w:t xml:space="preserve"> </w:t>
            </w:r>
            <w:r w:rsidR="00E76A9B" w:rsidRPr="00D70E8E">
              <w:rPr>
                <w:color w:val="000000"/>
              </w:rPr>
              <w:t>deployed will achieve a result with benefits.   All experts are closely aligned and committed to the concept and benefits that it achieves</w:t>
            </w:r>
            <w:r w:rsidR="004B7F0C" w:rsidRPr="00D70E8E">
              <w:rPr>
                <w:color w:val="000000"/>
              </w:rPr>
              <w:t xml:space="preserve"> and this meeting had all parties present and was very productive and SDGE agreed to support a solar a</w:t>
            </w:r>
            <w:r w:rsidR="00576928">
              <w:rPr>
                <w:color w:val="000000"/>
              </w:rPr>
              <w:t>rray with battery storage in it</w:t>
            </w:r>
            <w:r w:rsidR="004B7F0C" w:rsidRPr="00D70E8E">
              <w:rPr>
                <w:color w:val="000000"/>
              </w:rPr>
              <w:t xml:space="preserve">s PR proposal. </w:t>
            </w:r>
          </w:p>
          <w:p w:rsidR="00573C28" w:rsidRPr="00D70E8E" w:rsidRDefault="004B7F0C" w:rsidP="00A861CD">
            <w:pPr>
              <w:spacing w:before="120"/>
              <w:rPr>
                <w:color w:val="000000"/>
                <w:u w:val="single"/>
              </w:rPr>
            </w:pPr>
            <w:r w:rsidRPr="00D70E8E">
              <w:rPr>
                <w:color w:val="000000"/>
              </w:rPr>
              <w:t xml:space="preserve"> </w:t>
            </w:r>
            <w:r w:rsidR="00A861CD" w:rsidRPr="00D70E8E">
              <w:rPr>
                <w:color w:val="000000"/>
                <w:u w:val="single"/>
              </w:rPr>
              <w:t xml:space="preserve">D.  </w:t>
            </w:r>
            <w:r w:rsidR="00573C28" w:rsidRPr="00D70E8E">
              <w:rPr>
                <w:color w:val="000000"/>
                <w:u w:val="single"/>
              </w:rPr>
              <w:t>18-01-024 pp 36</w:t>
            </w:r>
          </w:p>
          <w:p w:rsidR="00D168DD" w:rsidRPr="00D70E8E" w:rsidRDefault="004B7F0C" w:rsidP="004B7F0C">
            <w:pPr>
              <w:spacing w:before="120"/>
              <w:rPr>
                <w:color w:val="000000"/>
              </w:rPr>
            </w:pPr>
            <w:r w:rsidRPr="00D70E8E">
              <w:rPr>
                <w:color w:val="000000"/>
              </w:rPr>
              <w:t xml:space="preserve">Installing and supporting a program for Shuttle Rideshare fleets with Managed Charging by Renewable integration of Solar and Battery Storage.  </w:t>
            </w:r>
          </w:p>
          <w:p w:rsidR="004B7F0C" w:rsidRPr="00D70E8E" w:rsidRDefault="00A861CD" w:rsidP="00A861CD">
            <w:pPr>
              <w:pStyle w:val="ListParagraph"/>
              <w:numPr>
                <w:ilvl w:val="0"/>
                <w:numId w:val="11"/>
              </w:numPr>
              <w:spacing w:before="120"/>
              <w:rPr>
                <w:rFonts w:ascii="Times New Roman" w:hAnsi="Times New Roman"/>
                <w:color w:val="000000"/>
                <w:u w:val="single"/>
              </w:rPr>
            </w:pPr>
            <w:r w:rsidRPr="00D70E8E">
              <w:rPr>
                <w:rFonts w:ascii="Times New Roman" w:hAnsi="Times New Roman"/>
                <w:color w:val="000000"/>
                <w:u w:val="single"/>
              </w:rPr>
              <w:t xml:space="preserve"> </w:t>
            </w:r>
          </w:p>
          <w:p w:rsidR="00AC4BBF" w:rsidRPr="00D70E8E" w:rsidRDefault="00F07BD5" w:rsidP="00F07BD5">
            <w:pPr>
              <w:spacing w:before="120"/>
              <w:rPr>
                <w:color w:val="000000"/>
                <w:u w:val="single"/>
              </w:rPr>
            </w:pPr>
            <w:r w:rsidRPr="00D70E8E">
              <w:rPr>
                <w:color w:val="000000"/>
                <w:u w:val="single"/>
              </w:rPr>
              <w:t>D.  18-01-024 pp   34-36</w:t>
            </w:r>
            <w:r w:rsidR="00AC4BBF" w:rsidRPr="00D70E8E">
              <w:rPr>
                <w:color w:val="000000"/>
                <w:u w:val="single"/>
              </w:rPr>
              <w:t xml:space="preserve"> and 41-43</w:t>
            </w:r>
          </w:p>
          <w:p w:rsidR="00D168DD" w:rsidRPr="00D70E8E" w:rsidRDefault="00AC4BBF" w:rsidP="00F07BD5">
            <w:pPr>
              <w:spacing w:before="120"/>
              <w:rPr>
                <w:color w:val="000000"/>
              </w:rPr>
            </w:pPr>
            <w:r w:rsidRPr="00D70E8E">
              <w:rPr>
                <w:color w:val="000000"/>
              </w:rPr>
              <w:t xml:space="preserve">SDGE is directed to work with pilot participants to meet the needs of the shuttle companies and the GIR rate design is unnecessarily complex. SDGE did make modifications based on </w:t>
            </w:r>
            <w:proofErr w:type="gramStart"/>
            <w:r w:rsidRPr="00D70E8E">
              <w:rPr>
                <w:color w:val="000000"/>
              </w:rPr>
              <w:t>parties</w:t>
            </w:r>
            <w:proofErr w:type="gramEnd"/>
            <w:r w:rsidRPr="00D70E8E">
              <w:rPr>
                <w:color w:val="000000"/>
              </w:rPr>
              <w:t xml:space="preserve"> comments and the SR will determine the Commercial GIR Rate. </w:t>
            </w:r>
          </w:p>
          <w:p w:rsidR="00D168DD" w:rsidRPr="00D70E8E" w:rsidRDefault="00D168DD" w:rsidP="00D168DD">
            <w:pPr>
              <w:spacing w:before="120"/>
              <w:rPr>
                <w:color w:val="000000"/>
                <w:u w:val="single"/>
              </w:rPr>
            </w:pPr>
            <w:r w:rsidRPr="00D70E8E">
              <w:rPr>
                <w:color w:val="000000"/>
                <w:u w:val="single"/>
              </w:rPr>
              <w:t xml:space="preserve">SDAP Opening Brief at 7-9 </w:t>
            </w:r>
          </w:p>
          <w:p w:rsidR="00D168DD" w:rsidRPr="00D70E8E" w:rsidRDefault="00576928" w:rsidP="00D168DD">
            <w:pPr>
              <w:spacing w:before="120"/>
              <w:rPr>
                <w:color w:val="000000"/>
              </w:rPr>
            </w:pPr>
            <w:r>
              <w:rPr>
                <w:color w:val="000000"/>
              </w:rPr>
              <w:t xml:space="preserve">SDAP provided </w:t>
            </w:r>
            <w:r w:rsidR="00D168DD" w:rsidRPr="00D70E8E">
              <w:rPr>
                <w:color w:val="000000"/>
              </w:rPr>
              <w:t>depicted of use cases similarly to SDAP that could demonstrate that commercial EV operations will not avoid peak time charging and or the adder event fees.  The hourly daily rate is complex and does not provide a benefit cost per mile</w:t>
            </w:r>
            <w:r w:rsidR="00AC4BBF" w:rsidRPr="00D70E8E">
              <w:rPr>
                <w:color w:val="000000"/>
              </w:rPr>
              <w:t xml:space="preserve">; however, SDGE stated </w:t>
            </w:r>
            <w:r w:rsidR="00AC4BBF" w:rsidRPr="00D70E8E">
              <w:rPr>
                <w:color w:val="000000"/>
              </w:rPr>
              <w:lastRenderedPageBreak/>
              <w:t xml:space="preserve">on page 10 that the GIR provides pricing for charging needs irrespective of miles driven.  </w:t>
            </w:r>
          </w:p>
          <w:p w:rsidR="00D168DD" w:rsidRPr="00D70E8E" w:rsidRDefault="00D168DD" w:rsidP="00F07BD5">
            <w:pPr>
              <w:spacing w:before="120"/>
              <w:rPr>
                <w:color w:val="000000"/>
                <w:u w:val="single"/>
              </w:rPr>
            </w:pPr>
          </w:p>
        </w:tc>
        <w:tc>
          <w:tcPr>
            <w:tcW w:w="2070" w:type="dxa"/>
            <w:shd w:val="clear" w:color="auto" w:fill="auto"/>
          </w:tcPr>
          <w:p w:rsidR="00A92D0B" w:rsidRDefault="00576928" w:rsidP="00576928">
            <w:pPr>
              <w:pStyle w:val="ListParagraph"/>
              <w:numPr>
                <w:ilvl w:val="0"/>
                <w:numId w:val="13"/>
              </w:numPr>
              <w:spacing w:before="120"/>
              <w:rPr>
                <w:rFonts w:ascii="Times New Roman" w:hAnsi="Times New Roman"/>
                <w:color w:val="000000"/>
              </w:rPr>
            </w:pPr>
            <w:r w:rsidRPr="00576928">
              <w:rPr>
                <w:rFonts w:ascii="Times New Roman" w:hAnsi="Times New Roman"/>
                <w:color w:val="000000"/>
              </w:rPr>
              <w:lastRenderedPageBreak/>
              <w:t>Verified</w:t>
            </w:r>
          </w:p>
          <w:p w:rsidR="00576928" w:rsidRDefault="00576928" w:rsidP="00576928">
            <w:pPr>
              <w:pStyle w:val="ListParagraph"/>
              <w:numPr>
                <w:ilvl w:val="0"/>
                <w:numId w:val="13"/>
              </w:numPr>
              <w:spacing w:before="120"/>
              <w:rPr>
                <w:rFonts w:ascii="Times New Roman" w:hAnsi="Times New Roman"/>
                <w:color w:val="000000"/>
              </w:rPr>
            </w:pPr>
            <w:r>
              <w:rPr>
                <w:rFonts w:ascii="Times New Roman" w:hAnsi="Times New Roman"/>
                <w:color w:val="000000"/>
              </w:rPr>
              <w:t>Verified</w:t>
            </w:r>
          </w:p>
          <w:p w:rsidR="00576928" w:rsidRDefault="00576928" w:rsidP="00576928">
            <w:pPr>
              <w:pStyle w:val="ListParagraph"/>
              <w:numPr>
                <w:ilvl w:val="0"/>
                <w:numId w:val="13"/>
              </w:numPr>
              <w:spacing w:before="120"/>
              <w:rPr>
                <w:rFonts w:ascii="Times New Roman" w:hAnsi="Times New Roman"/>
                <w:color w:val="000000"/>
              </w:rPr>
            </w:pPr>
            <w:r>
              <w:rPr>
                <w:rFonts w:ascii="Times New Roman" w:hAnsi="Times New Roman"/>
                <w:color w:val="000000"/>
              </w:rPr>
              <w:t>Verified</w:t>
            </w:r>
          </w:p>
          <w:p w:rsidR="00576928" w:rsidRDefault="00576928" w:rsidP="00576928">
            <w:pPr>
              <w:pStyle w:val="ListParagraph"/>
              <w:numPr>
                <w:ilvl w:val="0"/>
                <w:numId w:val="13"/>
              </w:numPr>
              <w:spacing w:before="120"/>
              <w:rPr>
                <w:rFonts w:ascii="Times New Roman" w:hAnsi="Times New Roman"/>
                <w:color w:val="000000"/>
              </w:rPr>
            </w:pPr>
            <w:r>
              <w:rPr>
                <w:rFonts w:ascii="Times New Roman" w:hAnsi="Times New Roman"/>
                <w:color w:val="000000"/>
              </w:rPr>
              <w:t>Verified</w:t>
            </w:r>
          </w:p>
          <w:p w:rsidR="00576928" w:rsidRDefault="00576928" w:rsidP="00576928">
            <w:pPr>
              <w:pStyle w:val="ListParagraph"/>
              <w:numPr>
                <w:ilvl w:val="0"/>
                <w:numId w:val="13"/>
              </w:numPr>
              <w:spacing w:before="120"/>
              <w:rPr>
                <w:rFonts w:ascii="Times New Roman" w:hAnsi="Times New Roman"/>
                <w:color w:val="000000"/>
              </w:rPr>
            </w:pPr>
            <w:r>
              <w:rPr>
                <w:rFonts w:ascii="Times New Roman" w:hAnsi="Times New Roman"/>
                <w:color w:val="000000"/>
              </w:rPr>
              <w:t>Verified</w:t>
            </w:r>
          </w:p>
          <w:p w:rsidR="00576928" w:rsidRPr="00576928" w:rsidRDefault="00576928" w:rsidP="00576928">
            <w:pPr>
              <w:spacing w:before="120"/>
              <w:ind w:left="360"/>
              <w:rPr>
                <w:color w:val="000000"/>
              </w:rPr>
            </w:pPr>
          </w:p>
        </w:tc>
      </w:tr>
    </w:tbl>
    <w:p w:rsidR="00A92D0B" w:rsidRPr="007F620E" w:rsidRDefault="00A92D0B">
      <w:pPr>
        <w:rPr>
          <w:color w:val="000000"/>
        </w:rPr>
      </w:pPr>
    </w:p>
    <w:p w:rsidR="00A92D0B" w:rsidRPr="00784940" w:rsidRDefault="00A92D0B" w:rsidP="00DE3A5D">
      <w:pPr>
        <w:keepNext/>
        <w:keepLines/>
        <w:numPr>
          <w:ilvl w:val="0"/>
          <w:numId w:val="1"/>
        </w:numPr>
        <w:tabs>
          <w:tab w:val="clear" w:pos="900"/>
          <w:tab w:val="num" w:pos="360"/>
        </w:tabs>
        <w:spacing w:after="120"/>
        <w:ind w:left="360"/>
        <w:rPr>
          <w:color w:val="000000"/>
        </w:rPr>
      </w:pPr>
      <w:r w:rsidRPr="00784940">
        <w:rPr>
          <w:color w:val="000000"/>
        </w:rPr>
        <w:t xml:space="preserve">Duplication of Effort (§ 1801.3(f) </w:t>
      </w:r>
      <w:r w:rsidR="00F30DA8" w:rsidRPr="00784940">
        <w:rPr>
          <w:color w:val="000000"/>
        </w:rPr>
        <w:t xml:space="preserve">and § </w:t>
      </w:r>
      <w:r w:rsidRPr="00784940">
        <w:rPr>
          <w:color w:val="000000"/>
        </w:rPr>
        <w:t>1802.5):</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5"/>
        <w:gridCol w:w="1440"/>
        <w:gridCol w:w="2160"/>
      </w:tblGrid>
      <w:tr w:rsidR="00A92D0B" w:rsidRPr="007F620E" w:rsidTr="00D70E8E">
        <w:tc>
          <w:tcPr>
            <w:tcW w:w="5305" w:type="dxa"/>
            <w:shd w:val="clear" w:color="auto" w:fill="auto"/>
          </w:tcPr>
          <w:p w:rsidR="00A92D0B" w:rsidRPr="00784940" w:rsidRDefault="00A92D0B" w:rsidP="00DE3A5D">
            <w:pPr>
              <w:keepNext/>
              <w:keepLines/>
              <w:spacing w:before="120"/>
              <w:rPr>
                <w:color w:val="000000"/>
              </w:rPr>
            </w:pPr>
          </w:p>
        </w:tc>
        <w:tc>
          <w:tcPr>
            <w:tcW w:w="1440" w:type="dxa"/>
            <w:tcBorders>
              <w:bottom w:val="single" w:sz="4" w:space="0" w:color="auto"/>
            </w:tcBorders>
            <w:shd w:val="clear" w:color="auto" w:fill="auto"/>
          </w:tcPr>
          <w:p w:rsidR="00A92D0B" w:rsidRPr="00784940" w:rsidRDefault="005A63D4" w:rsidP="00DE3A5D">
            <w:pPr>
              <w:keepNext/>
              <w:keepLines/>
              <w:spacing w:before="120"/>
              <w:jc w:val="center"/>
              <w:rPr>
                <w:color w:val="000000"/>
              </w:rPr>
            </w:pPr>
            <w:r w:rsidRPr="00784940">
              <w:rPr>
                <w:color w:val="000000"/>
              </w:rPr>
              <w:t>Interveno</w:t>
            </w:r>
            <w:r w:rsidR="00204E3A" w:rsidRPr="00784940">
              <w:rPr>
                <w:color w:val="000000"/>
              </w:rPr>
              <w:t>r</w:t>
            </w:r>
            <w:r w:rsidRPr="00784940">
              <w:rPr>
                <w:color w:val="000000"/>
              </w:rPr>
              <w:t xml:space="preserve">’s </w:t>
            </w:r>
            <w:r w:rsidR="00D075B1" w:rsidRPr="00784940">
              <w:rPr>
                <w:color w:val="000000"/>
              </w:rPr>
              <w:t>Assertion</w:t>
            </w:r>
          </w:p>
        </w:tc>
        <w:tc>
          <w:tcPr>
            <w:tcW w:w="2160" w:type="dxa"/>
            <w:shd w:val="clear" w:color="auto" w:fill="auto"/>
          </w:tcPr>
          <w:p w:rsidR="00A92D0B" w:rsidRPr="00784940" w:rsidRDefault="00A92D0B" w:rsidP="00D075B1">
            <w:pPr>
              <w:keepNext/>
              <w:keepLines/>
              <w:spacing w:before="120"/>
              <w:jc w:val="center"/>
              <w:rPr>
                <w:color w:val="000000"/>
              </w:rPr>
            </w:pPr>
            <w:r w:rsidRPr="00784940">
              <w:rPr>
                <w:color w:val="000000"/>
              </w:rPr>
              <w:t xml:space="preserve">CPUC </w:t>
            </w:r>
            <w:r w:rsidR="00D075B1" w:rsidRPr="00784940">
              <w:rPr>
                <w:color w:val="000000"/>
              </w:rPr>
              <w:t>Discussion</w:t>
            </w:r>
          </w:p>
        </w:tc>
      </w:tr>
      <w:tr w:rsidR="00A92D0B" w:rsidRPr="007F620E" w:rsidTr="00D70E8E">
        <w:tc>
          <w:tcPr>
            <w:tcW w:w="5305" w:type="dxa"/>
            <w:shd w:val="clear" w:color="auto" w:fill="auto"/>
          </w:tcPr>
          <w:p w:rsidR="00A92D0B" w:rsidRPr="00784940" w:rsidRDefault="00A92D0B" w:rsidP="00090235">
            <w:pPr>
              <w:keepNext/>
              <w:keepLines/>
              <w:spacing w:before="120"/>
              <w:ind w:left="360" w:hanging="360"/>
              <w:rPr>
                <w:color w:val="000000"/>
              </w:rPr>
            </w:pPr>
            <w:r w:rsidRPr="00784940">
              <w:rPr>
                <w:color w:val="000000"/>
              </w:rPr>
              <w:t>a.</w:t>
            </w:r>
            <w:r w:rsidRPr="00784940">
              <w:rPr>
                <w:color w:val="000000"/>
              </w:rPr>
              <w:tab/>
            </w:r>
            <w:r w:rsidRPr="00784940">
              <w:t xml:space="preserve">Was the </w:t>
            </w:r>
            <w:r w:rsidR="00B55CCD" w:rsidRPr="00784940">
              <w:t xml:space="preserve">Office </w:t>
            </w:r>
            <w:r w:rsidRPr="00784940">
              <w:t>of Ratepayer Advocates (</w:t>
            </w:r>
            <w:r w:rsidR="00003A49" w:rsidRPr="00784940">
              <w:t>ORA</w:t>
            </w:r>
            <w:r w:rsidRPr="00784940">
              <w:t>) a party to the proceeding</w:t>
            </w:r>
            <w:r w:rsidRPr="00784940">
              <w:rPr>
                <w:color w:val="000000"/>
              </w:rPr>
              <w:t>?</w:t>
            </w:r>
          </w:p>
        </w:tc>
        <w:tc>
          <w:tcPr>
            <w:tcW w:w="1440" w:type="dxa"/>
            <w:shd w:val="clear" w:color="auto" w:fill="auto"/>
          </w:tcPr>
          <w:p w:rsidR="00A92D0B" w:rsidRPr="00784940" w:rsidRDefault="00C01C4B" w:rsidP="00DE3A5D">
            <w:pPr>
              <w:keepNext/>
              <w:keepLines/>
              <w:spacing w:before="120"/>
              <w:rPr>
                <w:color w:val="000000"/>
              </w:rPr>
            </w:pPr>
            <w:r w:rsidRPr="00784940">
              <w:rPr>
                <w:color w:val="000000"/>
              </w:rPr>
              <w:t>Yes</w:t>
            </w:r>
          </w:p>
        </w:tc>
        <w:tc>
          <w:tcPr>
            <w:tcW w:w="2160" w:type="dxa"/>
            <w:shd w:val="clear" w:color="auto" w:fill="auto"/>
          </w:tcPr>
          <w:p w:rsidR="00A92D0B" w:rsidRPr="00784940" w:rsidRDefault="00576928" w:rsidP="00DE3A5D">
            <w:pPr>
              <w:keepNext/>
              <w:keepLines/>
              <w:spacing w:before="120"/>
              <w:rPr>
                <w:color w:val="000000"/>
              </w:rPr>
            </w:pPr>
            <w:r>
              <w:rPr>
                <w:color w:val="000000"/>
              </w:rPr>
              <w:t>Verified</w:t>
            </w:r>
          </w:p>
        </w:tc>
      </w:tr>
      <w:tr w:rsidR="00A92D0B" w:rsidRPr="007F620E" w:rsidTr="00D70E8E">
        <w:tc>
          <w:tcPr>
            <w:tcW w:w="5305" w:type="dxa"/>
            <w:shd w:val="clear" w:color="auto" w:fill="auto"/>
          </w:tcPr>
          <w:p w:rsidR="00A92D0B" w:rsidRPr="00784940" w:rsidRDefault="00A92D0B" w:rsidP="00A92D0B">
            <w:pPr>
              <w:tabs>
                <w:tab w:val="left" w:pos="360"/>
              </w:tabs>
              <w:spacing w:before="120"/>
              <w:ind w:left="360" w:hanging="360"/>
              <w:rPr>
                <w:color w:val="000000"/>
              </w:rPr>
            </w:pPr>
            <w:r w:rsidRPr="00784940">
              <w:rPr>
                <w:color w:val="000000"/>
              </w:rPr>
              <w:t>b.</w:t>
            </w:r>
            <w:r w:rsidRPr="00784940">
              <w:rPr>
                <w:color w:val="000000"/>
              </w:rPr>
              <w:tab/>
              <w:t xml:space="preserve">Were there other parties to the proceeding with positions similar to yours? </w:t>
            </w:r>
          </w:p>
        </w:tc>
        <w:tc>
          <w:tcPr>
            <w:tcW w:w="1440" w:type="dxa"/>
            <w:shd w:val="clear" w:color="auto" w:fill="auto"/>
          </w:tcPr>
          <w:p w:rsidR="00A92D0B" w:rsidRPr="00784940" w:rsidRDefault="00C01C4B" w:rsidP="00A92D0B">
            <w:pPr>
              <w:spacing w:before="120"/>
              <w:rPr>
                <w:color w:val="000000"/>
              </w:rPr>
            </w:pPr>
            <w:r w:rsidRPr="00784940">
              <w:rPr>
                <w:color w:val="000000"/>
              </w:rPr>
              <w:t>No</w:t>
            </w:r>
          </w:p>
        </w:tc>
        <w:tc>
          <w:tcPr>
            <w:tcW w:w="2160" w:type="dxa"/>
            <w:shd w:val="clear" w:color="auto" w:fill="auto"/>
          </w:tcPr>
          <w:p w:rsidR="00A92D0B" w:rsidRPr="00784940" w:rsidRDefault="00576928" w:rsidP="00A92D0B">
            <w:pPr>
              <w:spacing w:before="120"/>
              <w:rPr>
                <w:color w:val="000000"/>
              </w:rPr>
            </w:pPr>
            <w:r>
              <w:rPr>
                <w:color w:val="000000"/>
              </w:rPr>
              <w:t>Verified</w:t>
            </w:r>
          </w:p>
        </w:tc>
      </w:tr>
      <w:tr w:rsidR="00A92D0B" w:rsidRPr="007F620E" w:rsidTr="00D70E8E">
        <w:tc>
          <w:tcPr>
            <w:tcW w:w="6745" w:type="dxa"/>
            <w:gridSpan w:val="2"/>
            <w:shd w:val="clear" w:color="auto" w:fill="auto"/>
          </w:tcPr>
          <w:p w:rsidR="00A92D0B" w:rsidRPr="00784940" w:rsidRDefault="00A92D0B" w:rsidP="00A92D0B">
            <w:pPr>
              <w:spacing w:before="120"/>
              <w:ind w:left="360" w:hanging="360"/>
              <w:rPr>
                <w:color w:val="000000"/>
              </w:rPr>
            </w:pPr>
            <w:r w:rsidRPr="00784940">
              <w:rPr>
                <w:color w:val="000000"/>
              </w:rPr>
              <w:t>c.</w:t>
            </w:r>
            <w:r w:rsidRPr="00784940">
              <w:rPr>
                <w:color w:val="000000"/>
              </w:rPr>
              <w:tab/>
              <w:t>If so, provide name of other parties:</w:t>
            </w:r>
            <w:r w:rsidR="00C01C4B" w:rsidRPr="00784940">
              <w:rPr>
                <w:color w:val="000000"/>
              </w:rPr>
              <w:t xml:space="preserve">  NA</w:t>
            </w:r>
          </w:p>
          <w:p w:rsidR="00A92D0B" w:rsidRPr="00784940" w:rsidRDefault="00A92D0B" w:rsidP="00A92D0B">
            <w:pPr>
              <w:spacing w:before="120"/>
              <w:ind w:left="360" w:hanging="360"/>
              <w:rPr>
                <w:color w:val="000000"/>
              </w:rPr>
            </w:pPr>
          </w:p>
        </w:tc>
        <w:tc>
          <w:tcPr>
            <w:tcW w:w="2160" w:type="dxa"/>
            <w:shd w:val="clear" w:color="auto" w:fill="auto"/>
          </w:tcPr>
          <w:p w:rsidR="00A92D0B" w:rsidRPr="00784940" w:rsidRDefault="00576928" w:rsidP="00A92D0B">
            <w:pPr>
              <w:spacing w:before="120"/>
              <w:rPr>
                <w:color w:val="000000"/>
              </w:rPr>
            </w:pPr>
            <w:r>
              <w:rPr>
                <w:color w:val="000000"/>
              </w:rPr>
              <w:t>N/A</w:t>
            </w:r>
          </w:p>
        </w:tc>
      </w:tr>
      <w:tr w:rsidR="00A92D0B" w:rsidRPr="007F620E" w:rsidTr="00D70E8E">
        <w:tc>
          <w:tcPr>
            <w:tcW w:w="6745" w:type="dxa"/>
            <w:gridSpan w:val="2"/>
            <w:shd w:val="clear" w:color="auto" w:fill="auto"/>
          </w:tcPr>
          <w:p w:rsidR="00C01C4B" w:rsidRPr="00784940" w:rsidRDefault="00A92D0B" w:rsidP="00D70E8E">
            <w:pPr>
              <w:tabs>
                <w:tab w:val="left" w:pos="360"/>
              </w:tabs>
              <w:spacing w:before="120"/>
              <w:ind w:left="360" w:hanging="360"/>
              <w:rPr>
                <w:color w:val="000000"/>
              </w:rPr>
            </w:pPr>
            <w:r w:rsidRPr="00784940">
              <w:rPr>
                <w:color w:val="000000"/>
              </w:rPr>
              <w:t>d.</w:t>
            </w:r>
            <w:r w:rsidRPr="00784940">
              <w:rPr>
                <w:color w:val="000000"/>
              </w:rPr>
              <w:tab/>
            </w:r>
            <w:r w:rsidR="00D075B1" w:rsidRPr="00784940">
              <w:rPr>
                <w:color w:val="000000"/>
              </w:rPr>
              <w:t xml:space="preserve">Intervenor’s </w:t>
            </w:r>
            <w:r w:rsidR="00A319DE" w:rsidRPr="00784940">
              <w:rPr>
                <w:color w:val="000000"/>
              </w:rPr>
              <w:t>c</w:t>
            </w:r>
            <w:r w:rsidR="00D075B1" w:rsidRPr="00784940">
              <w:rPr>
                <w:color w:val="000000"/>
              </w:rPr>
              <w:t xml:space="preserve">laim of </w:t>
            </w:r>
            <w:r w:rsidR="00A319DE" w:rsidRPr="00784940">
              <w:rPr>
                <w:color w:val="000000"/>
              </w:rPr>
              <w:t>n</w:t>
            </w:r>
            <w:r w:rsidR="00D075B1" w:rsidRPr="00784940">
              <w:rPr>
                <w:color w:val="000000"/>
              </w:rPr>
              <w:t>on-</w:t>
            </w:r>
            <w:r w:rsidR="00A319DE" w:rsidRPr="00784940">
              <w:rPr>
                <w:color w:val="000000"/>
              </w:rPr>
              <w:t>d</w:t>
            </w:r>
            <w:r w:rsidR="00D075B1" w:rsidRPr="00784940">
              <w:rPr>
                <w:color w:val="000000"/>
              </w:rPr>
              <w:t>uplication:</w:t>
            </w:r>
          </w:p>
          <w:p w:rsidR="00C01C4B" w:rsidRPr="00784940" w:rsidRDefault="00C01C4B" w:rsidP="00E568B8">
            <w:pPr>
              <w:tabs>
                <w:tab w:val="left" w:pos="360"/>
              </w:tabs>
              <w:spacing w:before="120"/>
              <w:ind w:left="360" w:hanging="360"/>
            </w:pPr>
            <w:r w:rsidRPr="00784940">
              <w:t xml:space="preserve">While SDAP </w:t>
            </w:r>
            <w:r w:rsidR="00480FEA" w:rsidRPr="00784940">
              <w:t xml:space="preserve">and </w:t>
            </w:r>
            <w:r w:rsidRPr="00784940">
              <w:t xml:space="preserve"> </w:t>
            </w:r>
            <w:r w:rsidR="008F1AAF" w:rsidRPr="00784940">
              <w:t xml:space="preserve">other parties </w:t>
            </w:r>
            <w:r w:rsidRPr="00784940">
              <w:t xml:space="preserve">shared certain interests in this </w:t>
            </w:r>
            <w:r w:rsidRPr="00784940">
              <w:lastRenderedPageBreak/>
              <w:t xml:space="preserve">proceeding and each addressed the </w:t>
            </w:r>
            <w:proofErr w:type="spellStart"/>
            <w:r w:rsidRPr="00784940">
              <w:t>IOUs’cost</w:t>
            </w:r>
            <w:proofErr w:type="spellEnd"/>
            <w:r w:rsidRPr="00784940">
              <w:t xml:space="preserve">-effectiveness benefits and GIR rates, SDAP covered issues specific to SDG&amp;E that only SDAP </w:t>
            </w:r>
            <w:r w:rsidR="008F1AAF" w:rsidRPr="00784940">
              <w:t xml:space="preserve">as a fleet customer user </w:t>
            </w:r>
            <w:r w:rsidRPr="00784940">
              <w:t xml:space="preserve">was capable of addressing as SDAP </w:t>
            </w:r>
            <w:r w:rsidR="008F1AAF" w:rsidRPr="00784940">
              <w:t>has been the</w:t>
            </w:r>
            <w:r w:rsidRPr="00784940">
              <w:t xml:space="preserve"> only individual small commercial business customer party that was representing their own interest as a business customer in the SDGE service territory</w:t>
            </w:r>
            <w:r w:rsidR="008F1AAF" w:rsidRPr="00784940">
              <w:t xml:space="preserve"> and is</w:t>
            </w:r>
            <w:r w:rsidRPr="00784940">
              <w:t xml:space="preserve"> also supporting other small fleet users</w:t>
            </w:r>
            <w:r w:rsidR="00257491" w:rsidRPr="00784940">
              <w:t xml:space="preserve"> and EV fleet adopters and is the only active fleet operator and party with actual EV early adoption fleet experience </w:t>
            </w:r>
            <w:r w:rsidR="008F1AAF" w:rsidRPr="00784940">
              <w:t xml:space="preserve">and </w:t>
            </w:r>
            <w:r w:rsidR="00257491" w:rsidRPr="00784940">
              <w:t>that includes procuring 3 EV shuttle buses that began operation in 2015, installed 3 EVSE commercial Level 2 chargers that delivery 14 kW each and has an EV operational experience with over 100,000 EV VMT by its fleet</w:t>
            </w:r>
            <w:r w:rsidR="00E97B1A" w:rsidRPr="00784940">
              <w:t xml:space="preserve"> operation</w:t>
            </w:r>
            <w:r w:rsidR="00A3688D" w:rsidRPr="00784940">
              <w:t xml:space="preserve"> that is open 24/7 and travels 20,000 miles per month as a small fleet business</w:t>
            </w:r>
            <w:r w:rsidR="008F1AAF" w:rsidRPr="00784940">
              <w:t xml:space="preserve"> and on each day each EV bus will go thru its entire reservoir of energy by 2pm</w:t>
            </w:r>
            <w:r w:rsidR="00257491" w:rsidRPr="00784940">
              <w:t xml:space="preserve">; as such, SDAP’s participation included far </w:t>
            </w:r>
            <w:r w:rsidRPr="00784940">
              <w:t xml:space="preserve">greater detail </w:t>
            </w:r>
            <w:r w:rsidR="00257491" w:rsidRPr="00784940">
              <w:t xml:space="preserve">and uniqueness’s </w:t>
            </w:r>
            <w:r w:rsidRPr="00784940">
              <w:t xml:space="preserve">than </w:t>
            </w:r>
            <w:r w:rsidR="008F1AAF" w:rsidRPr="00784940">
              <w:t>the other parties.</w:t>
            </w:r>
            <w:r w:rsidR="00257491" w:rsidRPr="00784940">
              <w:t xml:space="preserve">  </w:t>
            </w:r>
            <w:r w:rsidRPr="00784940">
              <w:t xml:space="preserve">Specifically, </w:t>
            </w:r>
            <w:r w:rsidR="00257491" w:rsidRPr="00784940">
              <w:t>SDAP</w:t>
            </w:r>
            <w:r w:rsidRPr="00784940">
              <w:t xml:space="preserve"> addressed SDG&amp;E’s requests for</w:t>
            </w:r>
            <w:r w:rsidR="00257491" w:rsidRPr="00784940">
              <w:t xml:space="preserve"> funding a rideshare program that included</w:t>
            </w:r>
            <w:r w:rsidR="00A3688D" w:rsidRPr="00784940">
              <w:t xml:space="preserve"> Taxi and TNC drivers,</w:t>
            </w:r>
            <w:r w:rsidR="0004745F" w:rsidRPr="00784940">
              <w:t xml:space="preserve"> SDAP</w:t>
            </w:r>
            <w:r w:rsidR="008F1AAF" w:rsidRPr="00784940">
              <w:t xml:space="preserve">’s </w:t>
            </w:r>
            <w:r w:rsidR="0004745F" w:rsidRPr="00784940">
              <w:t>recommendations</w:t>
            </w:r>
            <w:r w:rsidR="00A3688D" w:rsidRPr="00784940">
              <w:t xml:space="preserve"> were</w:t>
            </w:r>
            <w:r w:rsidR="0004745F" w:rsidRPr="00784940">
              <w:t xml:space="preserve"> to</w:t>
            </w:r>
            <w:r w:rsidR="00257491" w:rsidRPr="00784940">
              <w:t xml:space="preserve"> </w:t>
            </w:r>
            <w:r w:rsidR="0004745F" w:rsidRPr="00784940">
              <w:t xml:space="preserve">prioritize </w:t>
            </w:r>
            <w:r w:rsidR="00257491" w:rsidRPr="00784940">
              <w:t xml:space="preserve">shuttles </w:t>
            </w:r>
            <w:r w:rsidR="0004745F" w:rsidRPr="00784940">
              <w:t xml:space="preserve">over the </w:t>
            </w:r>
            <w:r w:rsidR="006B2FB8" w:rsidRPr="00784940">
              <w:t xml:space="preserve">Taxi and TNC drivers </w:t>
            </w:r>
            <w:r w:rsidR="008F1AAF" w:rsidRPr="00784940">
              <w:t>in the</w:t>
            </w:r>
            <w:r w:rsidR="006B2FB8" w:rsidRPr="00784940">
              <w:t xml:space="preserve"> </w:t>
            </w:r>
            <w:r w:rsidR="00257491" w:rsidRPr="00784940">
              <w:t>funding</w:t>
            </w:r>
            <w:r w:rsidR="00A3688D" w:rsidRPr="00784940">
              <w:t xml:space="preserve"> program</w:t>
            </w:r>
            <w:r w:rsidR="00257491" w:rsidRPr="00784940">
              <w:t xml:space="preserve"> </w:t>
            </w:r>
            <w:r w:rsidRPr="00784940">
              <w:t xml:space="preserve">and </w:t>
            </w:r>
            <w:r w:rsidR="0004745F" w:rsidRPr="00784940">
              <w:t xml:space="preserve">to include and </w:t>
            </w:r>
            <w:r w:rsidR="008F1AAF" w:rsidRPr="00784940">
              <w:t>integrate</w:t>
            </w:r>
            <w:r w:rsidR="006B2FB8" w:rsidRPr="00784940">
              <w:t xml:space="preserve"> solar array with battery storage and for the three IOU applications to be</w:t>
            </w:r>
            <w:r w:rsidRPr="00784940">
              <w:t xml:space="preserve"> consolidat</w:t>
            </w:r>
            <w:r w:rsidR="006B2FB8" w:rsidRPr="00784940">
              <w:t xml:space="preserve">ed </w:t>
            </w:r>
            <w:r w:rsidRPr="00784940">
              <w:t xml:space="preserve">into </w:t>
            </w:r>
            <w:r w:rsidR="006B2FB8" w:rsidRPr="00784940">
              <w:t>one proceeding</w:t>
            </w:r>
            <w:r w:rsidR="00583E7F" w:rsidRPr="00784940">
              <w:t xml:space="preserve">; however, </w:t>
            </w:r>
            <w:r w:rsidR="008F1AAF" w:rsidRPr="00784940">
              <w:t>no parties were able to target the SDGE rideshare program the same as SDAP, in fact, many parties only participated in comments with PGE and SCE as SDG&amp;E programs were far unique compared to PGE and SCE as such some of the parties</w:t>
            </w:r>
            <w:r w:rsidR="00583E7F" w:rsidRPr="00784940">
              <w:t xml:space="preserve"> </w:t>
            </w:r>
            <w:r w:rsidRPr="00784940">
              <w:t xml:space="preserve"> did not address</w:t>
            </w:r>
            <w:r w:rsidR="00583E7F" w:rsidRPr="00784940">
              <w:t xml:space="preserve"> </w:t>
            </w:r>
            <w:r w:rsidR="008F1AAF" w:rsidRPr="00784940">
              <w:t>the SDGE programs in detail or at all</w:t>
            </w:r>
            <w:r w:rsidRPr="00784940">
              <w:t>, in</w:t>
            </w:r>
            <w:r w:rsidR="008F1AAF" w:rsidRPr="00784940">
              <w:t xml:space="preserve"> either</w:t>
            </w:r>
            <w:r w:rsidRPr="00784940">
              <w:t xml:space="preserve"> testimony, hearings,</w:t>
            </w:r>
            <w:r w:rsidR="008F1AAF" w:rsidRPr="00784940">
              <w:t xml:space="preserve"> or</w:t>
            </w:r>
            <w:r w:rsidRPr="00784940">
              <w:t xml:space="preserve"> briefs. </w:t>
            </w:r>
            <w:r w:rsidR="00583E7F" w:rsidRPr="00784940">
              <w:t>SDAP</w:t>
            </w:r>
            <w:r w:rsidRPr="00784940">
              <w:t xml:space="preserve"> addressed the issues based on </w:t>
            </w:r>
            <w:r w:rsidR="00583E7F" w:rsidRPr="00784940">
              <w:t xml:space="preserve">discovery </w:t>
            </w:r>
            <w:r w:rsidR="00DC1910" w:rsidRPr="00784940">
              <w:t>via Data</w:t>
            </w:r>
            <w:r w:rsidR="00583E7F" w:rsidRPr="00784940">
              <w:t xml:space="preserve"> Request </w:t>
            </w:r>
            <w:r w:rsidRPr="00784940">
              <w:t>and by presenting detailed contributions to the factual record and specific recommendations regarding the</w:t>
            </w:r>
            <w:r w:rsidR="00583E7F" w:rsidRPr="00784940">
              <w:t>se recommendations and modifications</w:t>
            </w:r>
            <w:r w:rsidRPr="00784940">
              <w:t xml:space="preserve">. </w:t>
            </w:r>
            <w:r w:rsidR="008F1AAF" w:rsidRPr="00784940">
              <w:t xml:space="preserve"> </w:t>
            </w:r>
            <w:r w:rsidRPr="00784940">
              <w:t xml:space="preserve">In addition, </w:t>
            </w:r>
            <w:r w:rsidR="0004745F" w:rsidRPr="00784940">
              <w:t xml:space="preserve">SDAP </w:t>
            </w:r>
            <w:r w:rsidRPr="00784940">
              <w:t xml:space="preserve">contributed significant analysis regarding SDG&amp;E’s </w:t>
            </w:r>
            <w:r w:rsidR="0004745F" w:rsidRPr="00784940">
              <w:t>Ride Share Shuttle</w:t>
            </w:r>
            <w:r w:rsidRPr="00784940">
              <w:t xml:space="preserve"> program and </w:t>
            </w:r>
            <w:r w:rsidR="0004745F" w:rsidRPr="00784940">
              <w:t>its</w:t>
            </w:r>
            <w:r w:rsidRPr="00784940">
              <w:t xml:space="preserve"> cost-effectiveness</w:t>
            </w:r>
            <w:r w:rsidR="0004745F" w:rsidRPr="00784940">
              <w:t xml:space="preserve"> opportunity</w:t>
            </w:r>
            <w:r w:rsidRPr="00784940">
              <w:t xml:space="preserve">. </w:t>
            </w:r>
            <w:r w:rsidR="0004745F" w:rsidRPr="00784940">
              <w:t>SDAP</w:t>
            </w:r>
            <w:r w:rsidRPr="00784940">
              <w:t xml:space="preserve"> provided testimony presenting analytical findings regarding the cost-effectiveness results </w:t>
            </w:r>
            <w:r w:rsidR="0004745F" w:rsidRPr="00784940">
              <w:t>to support shuttles and to support MHD fleets</w:t>
            </w:r>
            <w:r w:rsidR="0055623E" w:rsidRPr="00784940">
              <w:t xml:space="preserve"> in fixed routes.  </w:t>
            </w:r>
            <w:r w:rsidRPr="00784940">
              <w:t>SDG&amp;E presented in its application according to the CPUC cost</w:t>
            </w:r>
            <w:r w:rsidR="0004745F" w:rsidRPr="00784940">
              <w:t xml:space="preserve"> e</w:t>
            </w:r>
            <w:r w:rsidRPr="00784940">
              <w:t>ffectiveness protocols</w:t>
            </w:r>
            <w:r w:rsidR="0004745F" w:rsidRPr="00784940">
              <w:t xml:space="preserve"> to achieve benefits in air quality reduction</w:t>
            </w:r>
            <w:r w:rsidRPr="00784940">
              <w:t>,</w:t>
            </w:r>
            <w:r w:rsidR="00E568B8" w:rsidRPr="00784940">
              <w:t xml:space="preserve"> a</w:t>
            </w:r>
            <w:r w:rsidR="0004745F" w:rsidRPr="00784940">
              <w:t>nd its</w:t>
            </w:r>
            <w:r w:rsidRPr="00784940">
              <w:t xml:space="preserve"> cost-effectiveness scenarios that SDG&amp;E presented</w:t>
            </w:r>
            <w:r w:rsidR="0004745F" w:rsidRPr="00784940">
              <w:t xml:space="preserve"> for the Taxi and TNC drivers assumptions for potential to reduce pollutants</w:t>
            </w:r>
            <w:r w:rsidRPr="00784940">
              <w:t xml:space="preserve"> and the impact of reducing certain </w:t>
            </w:r>
            <w:r w:rsidR="0004745F" w:rsidRPr="00784940">
              <w:t>pollutants</w:t>
            </w:r>
            <w:r w:rsidRPr="00784940">
              <w:t xml:space="preserve">, </w:t>
            </w:r>
            <w:r w:rsidR="0004745F" w:rsidRPr="00784940">
              <w:t>the benefits on ratepayers</w:t>
            </w:r>
            <w:r w:rsidR="00E9376D" w:rsidRPr="00784940">
              <w:t xml:space="preserve"> and the end to end utility ownership model</w:t>
            </w:r>
            <w:r w:rsidRPr="00784940">
              <w:t>,</w:t>
            </w:r>
            <w:r w:rsidR="00E9376D" w:rsidRPr="00784940">
              <w:t xml:space="preserve"> a summary of the capital and expenses budgeted with limits of $4 million in cost per</w:t>
            </w:r>
            <w:r w:rsidR="00A3688D" w:rsidRPr="00784940">
              <w:t xml:space="preserve"> each PR</w:t>
            </w:r>
            <w:r w:rsidR="00E9376D" w:rsidRPr="00784940">
              <w:t xml:space="preserve"> project and</w:t>
            </w:r>
            <w:r w:rsidRPr="00784940">
              <w:t xml:space="preserve"> on SDG&amp;E’s </w:t>
            </w:r>
            <w:r w:rsidR="00E9376D" w:rsidRPr="00784940">
              <w:t xml:space="preserve">TE </w:t>
            </w:r>
            <w:r w:rsidRPr="00784940">
              <w:t xml:space="preserve">program </w:t>
            </w:r>
            <w:r w:rsidR="00E9376D" w:rsidRPr="00784940">
              <w:t xml:space="preserve">and rates to reduce barriers and </w:t>
            </w:r>
            <w:r w:rsidR="00E9376D" w:rsidRPr="00784940">
              <w:lastRenderedPageBreak/>
              <w:t xml:space="preserve">to achieve results that will not create stranded assets and costs recoverable from ratepayers.  </w:t>
            </w:r>
            <w:r w:rsidRPr="00784940">
              <w:t xml:space="preserve">As a result of these analyses, </w:t>
            </w:r>
            <w:r w:rsidR="00E9376D" w:rsidRPr="00784940">
              <w:t>SDAP</w:t>
            </w:r>
            <w:r w:rsidRPr="00784940">
              <w:t xml:space="preserve"> developed its own specific recommendations of program modifications that could improve the cost-effectiveness of </w:t>
            </w:r>
            <w:r w:rsidR="00E9376D" w:rsidRPr="00784940">
              <w:t>collecting data, eliminating stranded assets concerns and low utilization</w:t>
            </w:r>
            <w:r w:rsidR="0055623E" w:rsidRPr="00784940">
              <w:t>, engagement with fleets</w:t>
            </w:r>
            <w:r w:rsidR="00E9376D" w:rsidRPr="00784940">
              <w:t xml:space="preserve"> in </w:t>
            </w:r>
            <w:r w:rsidRPr="00784940">
              <w:t>SDG&amp;E’s</w:t>
            </w:r>
            <w:r w:rsidR="00E9376D" w:rsidRPr="00784940">
              <w:t xml:space="preserve"> GTSRP</w:t>
            </w:r>
            <w:r w:rsidRPr="00784940">
              <w:t xml:space="preserve"> </w:t>
            </w:r>
            <w:r w:rsidR="00E9376D" w:rsidRPr="00784940">
              <w:t>project</w:t>
            </w:r>
            <w:r w:rsidR="00A3688D" w:rsidRPr="00784940">
              <w:t xml:space="preserve"> and thereby to only target shuttles</w:t>
            </w:r>
            <w:r w:rsidRPr="00784940">
              <w:t xml:space="preserve">. Thus, while </w:t>
            </w:r>
            <w:r w:rsidR="0055623E" w:rsidRPr="00784940">
              <w:t xml:space="preserve">other parties </w:t>
            </w:r>
            <w:r w:rsidRPr="00784940">
              <w:t xml:space="preserve">and </w:t>
            </w:r>
            <w:r w:rsidR="00E9376D" w:rsidRPr="00784940">
              <w:t>SDAP</w:t>
            </w:r>
            <w:r w:rsidRPr="00784940">
              <w:t xml:space="preserve"> both addressed the cost</w:t>
            </w:r>
            <w:r w:rsidR="00E9376D" w:rsidRPr="00784940">
              <w:t xml:space="preserve"> </w:t>
            </w:r>
            <w:r w:rsidRPr="00784940">
              <w:t xml:space="preserve">effectiveness </w:t>
            </w:r>
            <w:r w:rsidR="00E9376D" w:rsidRPr="00784940">
              <w:t>for fleets</w:t>
            </w:r>
            <w:r w:rsidR="001A554C" w:rsidRPr="00784940">
              <w:t>, dynamic GIR rates and</w:t>
            </w:r>
            <w:r w:rsidR="00E9376D" w:rsidRPr="00784940">
              <w:t xml:space="preserve"> demand charges, only SDAP addressed the service territory for </w:t>
            </w:r>
            <w:r w:rsidRPr="00784940">
              <w:t>SDG&amp;E’s</w:t>
            </w:r>
            <w:r w:rsidR="00E9376D" w:rsidRPr="00784940">
              <w:t xml:space="preserve"> </w:t>
            </w:r>
            <w:r w:rsidRPr="00784940">
              <w:t>proposals</w:t>
            </w:r>
            <w:r w:rsidR="0055623E" w:rsidRPr="00784940">
              <w:t xml:space="preserve"> in depth in according to </w:t>
            </w:r>
            <w:r w:rsidR="00DC1910" w:rsidRPr="00784940">
              <w:t>its</w:t>
            </w:r>
            <w:r w:rsidR="0055623E" w:rsidRPr="00784940">
              <w:t xml:space="preserve"> rate structure and the limitation to </w:t>
            </w:r>
            <w:r w:rsidR="00DC1910" w:rsidRPr="00784940">
              <w:t>avoid</w:t>
            </w:r>
            <w:r w:rsidR="0055623E" w:rsidRPr="00784940">
              <w:t xml:space="preserve"> the day time charging, the peak time charging and an inability to take full adv</w:t>
            </w:r>
            <w:r w:rsidR="00DC1910" w:rsidRPr="00784940">
              <w:t>antag</w:t>
            </w:r>
            <w:r w:rsidR="0055623E" w:rsidRPr="00784940">
              <w:t>e of an super off peak rates and thereby SDAP was concerned with no choice for an EV commercial rate that could be available to all TE fleets</w:t>
            </w:r>
            <w:r w:rsidRPr="00784940">
              <w:t>,</w:t>
            </w:r>
            <w:r w:rsidR="00E9376D" w:rsidRPr="00784940">
              <w:t xml:space="preserve"> SDAP</w:t>
            </w:r>
            <w:r w:rsidRPr="00784940">
              <w:t xml:space="preserve"> provided significant analytical contributions and recommendations regarding this issue separate from and incremental to </w:t>
            </w:r>
            <w:r w:rsidR="0055623E" w:rsidRPr="00784940">
              <w:t xml:space="preserve">other party </w:t>
            </w:r>
            <w:r w:rsidRPr="00784940">
              <w:t>contributions.</w:t>
            </w:r>
          </w:p>
          <w:p w:rsidR="00A92D0B" w:rsidRPr="00784940" w:rsidRDefault="00A92D0B" w:rsidP="00A92D0B">
            <w:pPr>
              <w:tabs>
                <w:tab w:val="left" w:pos="360"/>
              </w:tabs>
              <w:spacing w:before="120"/>
              <w:ind w:left="360" w:hanging="360"/>
              <w:rPr>
                <w:color w:val="000000"/>
              </w:rPr>
            </w:pPr>
          </w:p>
        </w:tc>
        <w:tc>
          <w:tcPr>
            <w:tcW w:w="2160" w:type="dxa"/>
            <w:shd w:val="clear" w:color="auto" w:fill="auto"/>
          </w:tcPr>
          <w:p w:rsidR="00A92D0B" w:rsidRPr="00784940" w:rsidRDefault="00576928" w:rsidP="00A92D0B">
            <w:pPr>
              <w:tabs>
                <w:tab w:val="left" w:pos="360"/>
              </w:tabs>
              <w:spacing w:before="120"/>
              <w:ind w:left="360" w:hanging="360"/>
              <w:rPr>
                <w:color w:val="000000"/>
              </w:rPr>
            </w:pPr>
            <w:r>
              <w:rPr>
                <w:color w:val="000000"/>
              </w:rPr>
              <w:lastRenderedPageBreak/>
              <w:t>Noted</w:t>
            </w:r>
          </w:p>
        </w:tc>
      </w:tr>
    </w:tbl>
    <w:p w:rsidR="00A92D0B" w:rsidRPr="007F620E" w:rsidRDefault="00A92D0B">
      <w:pPr>
        <w:tabs>
          <w:tab w:val="left" w:pos="1440"/>
        </w:tabs>
        <w:rPr>
          <w:color w:val="000000"/>
        </w:rPr>
      </w:pPr>
    </w:p>
    <w:p w:rsidR="00A92D0B" w:rsidRPr="00784940" w:rsidRDefault="00A92D0B" w:rsidP="00784940">
      <w:pPr>
        <w:tabs>
          <w:tab w:val="left" w:pos="1260"/>
        </w:tabs>
        <w:ind w:left="1260" w:hanging="1260"/>
        <w:rPr>
          <w:b/>
          <w:color w:val="000000"/>
        </w:rPr>
      </w:pPr>
      <w:r w:rsidRPr="007F620E">
        <w:rPr>
          <w:b/>
          <w:color w:val="000000"/>
        </w:rPr>
        <w:t>PART III:</w:t>
      </w:r>
      <w:r w:rsidRPr="007F620E">
        <w:rPr>
          <w:b/>
          <w:color w:val="000000"/>
        </w:rPr>
        <w:tab/>
        <w:t>REASONABL</w:t>
      </w:r>
      <w:r w:rsidR="00784940">
        <w:rPr>
          <w:b/>
          <w:color w:val="000000"/>
        </w:rPr>
        <w:t>ENESS OF REQUESTED COMPENSATION:</w:t>
      </w:r>
    </w:p>
    <w:p w:rsidR="00A92D0B" w:rsidRPr="00784940" w:rsidRDefault="00A92D0B">
      <w:pPr>
        <w:rPr>
          <w:color w:val="000000"/>
        </w:rPr>
      </w:pPr>
    </w:p>
    <w:p w:rsidR="00A92D0B" w:rsidRPr="00784940" w:rsidRDefault="00A92D0B">
      <w:pPr>
        <w:numPr>
          <w:ilvl w:val="0"/>
          <w:numId w:val="2"/>
        </w:numPr>
        <w:tabs>
          <w:tab w:val="clear" w:pos="900"/>
          <w:tab w:val="num" w:pos="360"/>
        </w:tabs>
        <w:spacing w:after="120"/>
        <w:ind w:left="360"/>
        <w:rPr>
          <w:color w:val="000000"/>
        </w:rPr>
      </w:pPr>
      <w:r w:rsidRPr="00784940">
        <w:rPr>
          <w:color w:val="000000"/>
        </w:rPr>
        <w:t xml:space="preserve">General Claim of Reasonableness </w:t>
      </w:r>
      <w:r w:rsidR="00F30DA8" w:rsidRPr="00784940">
        <w:rPr>
          <w:color w:val="000000"/>
        </w:rPr>
        <w:t xml:space="preserve">(§ </w:t>
      </w:r>
      <w:r w:rsidRPr="00784940">
        <w:rPr>
          <w:color w:val="000000"/>
        </w:rPr>
        <w:t xml:space="preserve">1801 </w:t>
      </w:r>
      <w:r w:rsidR="00F30DA8" w:rsidRPr="00784940">
        <w:rPr>
          <w:color w:val="000000"/>
        </w:rPr>
        <w:t>and §</w:t>
      </w:r>
      <w:r w:rsidRPr="00784940">
        <w:rPr>
          <w:color w:val="000000"/>
        </w:rPr>
        <w:t xml:space="preserve"> 1806):</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5"/>
        <w:gridCol w:w="2430"/>
      </w:tblGrid>
      <w:tr w:rsidR="00A92D0B" w:rsidRPr="007F620E" w:rsidTr="00D70E8E">
        <w:tc>
          <w:tcPr>
            <w:tcW w:w="6475" w:type="dxa"/>
            <w:tcBorders>
              <w:bottom w:val="single" w:sz="4" w:space="0" w:color="auto"/>
            </w:tcBorders>
            <w:shd w:val="clear" w:color="auto" w:fill="auto"/>
          </w:tcPr>
          <w:p w:rsidR="00A92D0B" w:rsidRPr="002E1FA5" w:rsidRDefault="00D075B1" w:rsidP="00DE316B">
            <w:pPr>
              <w:pStyle w:val="ListParagraph"/>
              <w:numPr>
                <w:ilvl w:val="0"/>
                <w:numId w:val="12"/>
              </w:numPr>
              <w:rPr>
                <w:rFonts w:ascii="Times New Roman" w:hAnsi="Times New Roman"/>
                <w:b/>
                <w:color w:val="000000"/>
              </w:rPr>
            </w:pPr>
            <w:r w:rsidRPr="002E1FA5">
              <w:rPr>
                <w:rFonts w:ascii="Times New Roman" w:hAnsi="Times New Roman"/>
                <w:b/>
                <w:color w:val="000000"/>
              </w:rPr>
              <w:t xml:space="preserve">Intervenor’s </w:t>
            </w:r>
            <w:r w:rsidR="00A319DE" w:rsidRPr="002E1FA5">
              <w:rPr>
                <w:rFonts w:ascii="Times New Roman" w:hAnsi="Times New Roman"/>
                <w:b/>
                <w:color w:val="000000"/>
              </w:rPr>
              <w:t>c</w:t>
            </w:r>
            <w:r w:rsidRPr="002E1FA5">
              <w:rPr>
                <w:rFonts w:ascii="Times New Roman" w:hAnsi="Times New Roman"/>
                <w:b/>
                <w:color w:val="000000"/>
              </w:rPr>
              <w:t xml:space="preserve">laim of </w:t>
            </w:r>
            <w:r w:rsidR="00A319DE" w:rsidRPr="002E1FA5">
              <w:rPr>
                <w:rFonts w:ascii="Times New Roman" w:hAnsi="Times New Roman"/>
                <w:b/>
                <w:color w:val="000000"/>
              </w:rPr>
              <w:t>c</w:t>
            </w:r>
            <w:r w:rsidRPr="002E1FA5">
              <w:rPr>
                <w:rFonts w:ascii="Times New Roman" w:hAnsi="Times New Roman"/>
                <w:b/>
                <w:color w:val="000000"/>
              </w:rPr>
              <w:t xml:space="preserve">ost </w:t>
            </w:r>
            <w:r w:rsidR="00A319DE" w:rsidRPr="002E1FA5">
              <w:rPr>
                <w:rFonts w:ascii="Times New Roman" w:hAnsi="Times New Roman"/>
                <w:b/>
                <w:color w:val="000000"/>
              </w:rPr>
              <w:t>r</w:t>
            </w:r>
            <w:r w:rsidRPr="002E1FA5">
              <w:rPr>
                <w:rFonts w:ascii="Times New Roman" w:hAnsi="Times New Roman"/>
                <w:b/>
                <w:color w:val="000000"/>
              </w:rPr>
              <w:t>easonableness:</w:t>
            </w:r>
          </w:p>
          <w:p w:rsidR="00A92D0B" w:rsidRPr="00784940" w:rsidRDefault="00DE316B">
            <w:pPr>
              <w:rPr>
                <w:color w:val="000000"/>
              </w:rPr>
            </w:pPr>
            <w:r w:rsidRPr="00784940">
              <w:t xml:space="preserve">SDAP’s costs </w:t>
            </w:r>
            <w:r w:rsidR="007C1767" w:rsidRPr="00784940">
              <w:t>o</w:t>
            </w:r>
            <w:r w:rsidRPr="00784940">
              <w:t>f $</w:t>
            </w:r>
            <w:r w:rsidR="00994A98" w:rsidRPr="00784940">
              <w:t>3</w:t>
            </w:r>
            <w:r w:rsidR="00C2216A" w:rsidRPr="00784940">
              <w:t>8,3</w:t>
            </w:r>
            <w:r w:rsidR="008B5E55" w:rsidRPr="00784940">
              <w:t>97</w:t>
            </w:r>
            <w:r w:rsidR="00994A98" w:rsidRPr="00784940">
              <w:t xml:space="preserve"> a</w:t>
            </w:r>
            <w:r w:rsidRPr="00784940">
              <w:t xml:space="preserve">re reasonable given SDAP’s active participation in this proceeding (see part </w:t>
            </w:r>
            <w:r w:rsidR="00573AEA" w:rsidRPr="00784940">
              <w:t xml:space="preserve">a and </w:t>
            </w:r>
            <w:r w:rsidRPr="00784940">
              <w:t>b) and reasonable rates that SDAP is hereby requesting to establish a rate for the first time as this is SDAP’s first time to claim intervenor compensation</w:t>
            </w:r>
            <w:r w:rsidR="00994A98" w:rsidRPr="00784940">
              <w:t xml:space="preserve"> and the 3</w:t>
            </w:r>
            <w:r w:rsidR="00994A98" w:rsidRPr="00784940">
              <w:rPr>
                <w:vertAlign w:val="superscript"/>
              </w:rPr>
              <w:t>rd</w:t>
            </w:r>
            <w:r w:rsidR="00994A98" w:rsidRPr="00784940">
              <w:t xml:space="preserve"> time SDAP has participated in a proceeding</w:t>
            </w:r>
            <w:r w:rsidRPr="00784940">
              <w:t xml:space="preserve">. As discussed in the attached rate justifications, the rates requested for SDAP’s advocacy are generally toward the lower end of the Commission’s approved compensation ranges.  </w:t>
            </w:r>
          </w:p>
        </w:tc>
        <w:tc>
          <w:tcPr>
            <w:tcW w:w="2430" w:type="dxa"/>
            <w:shd w:val="clear" w:color="auto" w:fill="auto"/>
          </w:tcPr>
          <w:p w:rsidR="00A92D0B" w:rsidRPr="00784940" w:rsidRDefault="00A92D0B" w:rsidP="00A92D0B">
            <w:pPr>
              <w:pBdr>
                <w:bottom w:val="single" w:sz="12" w:space="1" w:color="auto"/>
              </w:pBdr>
              <w:spacing w:before="120"/>
              <w:jc w:val="center"/>
              <w:rPr>
                <w:color w:val="000000"/>
              </w:rPr>
            </w:pPr>
            <w:r w:rsidRPr="00784940">
              <w:rPr>
                <w:color w:val="000000"/>
              </w:rPr>
              <w:t xml:space="preserve">CPUC </w:t>
            </w:r>
            <w:r w:rsidR="00D075B1" w:rsidRPr="00784940">
              <w:rPr>
                <w:color w:val="000000"/>
              </w:rPr>
              <w:t>Discussion</w:t>
            </w:r>
          </w:p>
          <w:p w:rsidR="00D075B1" w:rsidRPr="00784940" w:rsidRDefault="00576928" w:rsidP="00576928">
            <w:pPr>
              <w:spacing w:before="120"/>
              <w:rPr>
                <w:color w:val="000000"/>
              </w:rPr>
            </w:pPr>
            <w:r>
              <w:rPr>
                <w:color w:val="000000"/>
              </w:rPr>
              <w:t>Noted</w:t>
            </w:r>
          </w:p>
        </w:tc>
      </w:tr>
      <w:tr w:rsidR="00A92D0B" w:rsidRPr="007F620E" w:rsidTr="00D70E8E">
        <w:tc>
          <w:tcPr>
            <w:tcW w:w="6475" w:type="dxa"/>
            <w:shd w:val="clear" w:color="auto" w:fill="auto"/>
          </w:tcPr>
          <w:p w:rsidR="00A92D0B" w:rsidRPr="007F620E" w:rsidRDefault="00A92D0B">
            <w:pPr>
              <w:rPr>
                <w:color w:val="000000"/>
              </w:rPr>
            </w:pPr>
            <w:r w:rsidRPr="00784940">
              <w:rPr>
                <w:color w:val="000000"/>
              </w:rPr>
              <w:t xml:space="preserve">b. </w:t>
            </w:r>
            <w:r w:rsidRPr="002E1FA5">
              <w:rPr>
                <w:b/>
                <w:color w:val="000000"/>
              </w:rPr>
              <w:t xml:space="preserve">Reasonableness of </w:t>
            </w:r>
            <w:r w:rsidR="00A319DE" w:rsidRPr="002E1FA5">
              <w:rPr>
                <w:b/>
                <w:color w:val="000000"/>
              </w:rPr>
              <w:t>h</w:t>
            </w:r>
            <w:r w:rsidRPr="002E1FA5">
              <w:rPr>
                <w:b/>
                <w:color w:val="000000"/>
              </w:rPr>
              <w:t xml:space="preserve">ours </w:t>
            </w:r>
            <w:r w:rsidR="00A319DE" w:rsidRPr="002E1FA5">
              <w:rPr>
                <w:b/>
                <w:color w:val="000000"/>
              </w:rPr>
              <w:t>c</w:t>
            </w:r>
            <w:r w:rsidRPr="002E1FA5">
              <w:rPr>
                <w:b/>
                <w:color w:val="000000"/>
              </w:rPr>
              <w:t>laimed</w:t>
            </w:r>
            <w:r w:rsidR="00A319DE" w:rsidRPr="002E1FA5">
              <w:rPr>
                <w:b/>
                <w:color w:val="000000"/>
              </w:rPr>
              <w:t>:</w:t>
            </w:r>
          </w:p>
        </w:tc>
        <w:tc>
          <w:tcPr>
            <w:tcW w:w="2430" w:type="dxa"/>
            <w:shd w:val="clear" w:color="auto" w:fill="auto"/>
          </w:tcPr>
          <w:p w:rsidR="00A92D0B" w:rsidRPr="007F620E" w:rsidRDefault="00A92D0B" w:rsidP="00A92D0B">
            <w:pPr>
              <w:spacing w:before="120"/>
              <w:rPr>
                <w:color w:val="000000"/>
              </w:rPr>
            </w:pPr>
          </w:p>
        </w:tc>
      </w:tr>
      <w:tr w:rsidR="00A92D0B" w:rsidRPr="007F620E" w:rsidTr="00D70E8E">
        <w:tc>
          <w:tcPr>
            <w:tcW w:w="6475" w:type="dxa"/>
            <w:shd w:val="clear" w:color="auto" w:fill="auto"/>
          </w:tcPr>
          <w:p w:rsidR="00A92D0B" w:rsidRPr="002E1FA5" w:rsidRDefault="00A92D0B" w:rsidP="00F9118B">
            <w:pPr>
              <w:pStyle w:val="ListParagraph"/>
              <w:numPr>
                <w:ilvl w:val="0"/>
                <w:numId w:val="12"/>
              </w:numPr>
              <w:rPr>
                <w:rFonts w:ascii="Times New Roman" w:hAnsi="Times New Roman"/>
                <w:color w:val="000000"/>
                <w:u w:val="single"/>
              </w:rPr>
            </w:pPr>
            <w:r w:rsidRPr="002E1FA5">
              <w:rPr>
                <w:rFonts w:ascii="Times New Roman" w:hAnsi="Times New Roman"/>
                <w:color w:val="000000"/>
                <w:u w:val="single"/>
              </w:rPr>
              <w:t xml:space="preserve">Allocation of </w:t>
            </w:r>
            <w:r w:rsidR="00A319DE" w:rsidRPr="002E1FA5">
              <w:rPr>
                <w:rFonts w:ascii="Times New Roman" w:hAnsi="Times New Roman"/>
                <w:color w:val="000000"/>
                <w:u w:val="single"/>
              </w:rPr>
              <w:t>h</w:t>
            </w:r>
            <w:r w:rsidRPr="002E1FA5">
              <w:rPr>
                <w:rFonts w:ascii="Times New Roman" w:hAnsi="Times New Roman"/>
                <w:color w:val="000000"/>
                <w:u w:val="single"/>
              </w:rPr>
              <w:t xml:space="preserve">ours by </w:t>
            </w:r>
            <w:r w:rsidR="00A319DE" w:rsidRPr="002E1FA5">
              <w:rPr>
                <w:rFonts w:ascii="Times New Roman" w:hAnsi="Times New Roman"/>
                <w:color w:val="000000"/>
                <w:u w:val="single"/>
              </w:rPr>
              <w:t>i</w:t>
            </w:r>
            <w:r w:rsidRPr="002E1FA5">
              <w:rPr>
                <w:rFonts w:ascii="Times New Roman" w:hAnsi="Times New Roman"/>
                <w:color w:val="000000"/>
                <w:u w:val="single"/>
              </w:rPr>
              <w:t>ssue</w:t>
            </w:r>
            <w:r w:rsidR="00A319DE" w:rsidRPr="002E1FA5">
              <w:rPr>
                <w:rFonts w:ascii="Times New Roman" w:hAnsi="Times New Roman"/>
                <w:color w:val="000000"/>
                <w:u w:val="single"/>
              </w:rPr>
              <w:t>:</w:t>
            </w:r>
          </w:p>
          <w:p w:rsidR="00443958" w:rsidRDefault="00F9118B" w:rsidP="00F9118B">
            <w:pPr>
              <w:autoSpaceDE w:val="0"/>
              <w:autoSpaceDN w:val="0"/>
              <w:adjustRightInd w:val="0"/>
              <w:rPr>
                <w:b/>
              </w:rPr>
            </w:pPr>
            <w:r w:rsidRPr="00D70E8E">
              <w:t xml:space="preserve">In a proceeding such as this, there are often multiple issues difficult for </w:t>
            </w:r>
            <w:r w:rsidR="00EE1ADE" w:rsidRPr="00D70E8E">
              <w:t>an</w:t>
            </w:r>
            <w:r w:rsidR="00443958">
              <w:t xml:space="preserve"> expert to breakout and list.  Given this difficulty, SDAP has provided high level estimates on an </w:t>
            </w:r>
            <w:proofErr w:type="gramStart"/>
            <w:r w:rsidR="00443958">
              <w:t>overall  budget</w:t>
            </w:r>
            <w:proofErr w:type="gramEnd"/>
            <w:r w:rsidR="00443958">
              <w:t xml:space="preserve"> and the hours are an estimate that can be allocated to specific issues. </w:t>
            </w:r>
            <w:r w:rsidR="00443958" w:rsidRPr="002E1FA5">
              <w:rPr>
                <w:b/>
              </w:rPr>
              <w:t xml:space="preserve">The allocations are as follows: </w:t>
            </w:r>
          </w:p>
          <w:p w:rsidR="00443958" w:rsidRDefault="00443958" w:rsidP="00F9118B">
            <w:pPr>
              <w:autoSpaceDE w:val="0"/>
              <w:autoSpaceDN w:val="0"/>
              <w:adjustRightInd w:val="0"/>
              <w:rPr>
                <w:b/>
              </w:rPr>
            </w:pPr>
          </w:p>
          <w:p w:rsidR="00443958" w:rsidRDefault="00443958" w:rsidP="00443958">
            <w:pPr>
              <w:numPr>
                <w:ilvl w:val="0"/>
                <w:numId w:val="16"/>
              </w:numPr>
              <w:spacing w:after="200" w:line="276" w:lineRule="auto"/>
              <w:contextualSpacing/>
              <w:rPr>
                <w:rFonts w:eastAsiaTheme="minorHAnsi"/>
                <w:sz w:val="22"/>
                <w:szCs w:val="22"/>
              </w:rPr>
            </w:pPr>
            <w:r w:rsidRPr="00443958">
              <w:rPr>
                <w:rFonts w:eastAsiaTheme="minorHAnsi"/>
                <w:sz w:val="22"/>
                <w:szCs w:val="22"/>
              </w:rPr>
              <w:t xml:space="preserve">SDG&amp;E Cost-Effectiveness: 47% (includes fleet evaluation of SDG&amp;E’s cost-effectiveness calculation, load impact study results with high VMT when plugging-in at over 20 kW per bus and the opportunity to benefit when the use of renewables </w:t>
            </w:r>
            <w:r w:rsidRPr="00443958">
              <w:rPr>
                <w:rFonts w:eastAsiaTheme="minorHAnsi"/>
                <w:sz w:val="22"/>
                <w:szCs w:val="22"/>
              </w:rPr>
              <w:lastRenderedPageBreak/>
              <w:t>is maximized, and the individual program structures need to be targeted for high volume utilization or when an ineffective means limits the use of the incentive rates for commercial TE fleets and the incentive fails for commercial fleets and thereby that would not provide the incentive it was designed to achieve and will not support accelerated adoption of ZEV’s)</w:t>
            </w:r>
          </w:p>
          <w:p w:rsidR="00443958" w:rsidRPr="000B20C9" w:rsidRDefault="00443958" w:rsidP="00443958">
            <w:pPr>
              <w:pStyle w:val="ListParagraph"/>
              <w:numPr>
                <w:ilvl w:val="0"/>
                <w:numId w:val="16"/>
              </w:numPr>
              <w:autoSpaceDE w:val="0"/>
              <w:autoSpaceDN w:val="0"/>
              <w:adjustRightInd w:val="0"/>
              <w:rPr>
                <w:rFonts w:ascii="Times New Roman" w:hAnsi="Times New Roman"/>
              </w:rPr>
            </w:pPr>
            <w:r w:rsidRPr="000B20C9">
              <w:rPr>
                <w:rFonts w:ascii="Times New Roman" w:hAnsi="Times New Roman"/>
              </w:rPr>
              <w:t>SDG&amp;E GIR Rate Programs and Demand Charges including Adder fees and thoroughly evaluated the results of IOU rates verses other EV commercial rates over the other conventional fueled vehicles: 24%</w:t>
            </w:r>
            <w:r>
              <w:rPr>
                <w:rFonts w:ascii="Times New Roman" w:hAnsi="Times New Roman"/>
              </w:rPr>
              <w:br/>
            </w:r>
          </w:p>
          <w:p w:rsidR="00443958" w:rsidRDefault="00443958" w:rsidP="00443958">
            <w:pPr>
              <w:pStyle w:val="ListParagraph"/>
              <w:numPr>
                <w:ilvl w:val="0"/>
                <w:numId w:val="16"/>
              </w:numPr>
              <w:autoSpaceDE w:val="0"/>
              <w:autoSpaceDN w:val="0"/>
              <w:adjustRightInd w:val="0"/>
              <w:contextualSpacing/>
              <w:rPr>
                <w:rFonts w:ascii="Times New Roman" w:hAnsi="Times New Roman"/>
              </w:rPr>
            </w:pPr>
            <w:r w:rsidRPr="000B20C9">
              <w:rPr>
                <w:rFonts w:ascii="Times New Roman" w:hAnsi="Times New Roman"/>
              </w:rPr>
              <w:t>SDG&amp;E Outreach: 4%</w:t>
            </w:r>
          </w:p>
          <w:p w:rsidR="00443958" w:rsidRDefault="00443958" w:rsidP="002E1FA5">
            <w:pPr>
              <w:pStyle w:val="ListParagraph"/>
              <w:autoSpaceDE w:val="0"/>
              <w:autoSpaceDN w:val="0"/>
              <w:adjustRightInd w:val="0"/>
              <w:contextualSpacing/>
              <w:rPr>
                <w:rFonts w:ascii="Times New Roman" w:hAnsi="Times New Roman"/>
              </w:rPr>
            </w:pPr>
          </w:p>
          <w:p w:rsidR="00443958" w:rsidRPr="002E1FA5" w:rsidRDefault="00443958" w:rsidP="002E1FA5">
            <w:pPr>
              <w:pStyle w:val="ListParagraph"/>
              <w:numPr>
                <w:ilvl w:val="0"/>
                <w:numId w:val="16"/>
              </w:numPr>
              <w:autoSpaceDE w:val="0"/>
              <w:autoSpaceDN w:val="0"/>
              <w:adjustRightInd w:val="0"/>
              <w:contextualSpacing/>
              <w:rPr>
                <w:rFonts w:ascii="Times New Roman" w:hAnsi="Times New Roman"/>
              </w:rPr>
            </w:pPr>
            <w:r w:rsidRPr="00443958">
              <w:rPr>
                <w:rFonts w:ascii="Times New Roman" w:hAnsi="Times New Roman"/>
              </w:rPr>
              <w:t>The remaining hours included scoping the pleadings, drafting data</w:t>
            </w:r>
            <w:r>
              <w:rPr>
                <w:rFonts w:ascii="Times New Roman" w:hAnsi="Times New Roman"/>
              </w:rPr>
              <w:t xml:space="preserve"> </w:t>
            </w:r>
            <w:r w:rsidRPr="00443958">
              <w:rPr>
                <w:rFonts w:ascii="Times New Roman" w:hAnsi="Times New Roman"/>
              </w:rPr>
              <w:t>requests, editing the pleadings, reviewing other parties’ filings, participating in EV workshops including the CPUC VGI working group and other EV activities that cut across multiple TE issu</w:t>
            </w:r>
            <w:r w:rsidRPr="002E1FA5">
              <w:rPr>
                <w:rFonts w:ascii="Times New Roman" w:hAnsi="Times New Roman"/>
              </w:rPr>
              <w:t>es and barriers.</w:t>
            </w:r>
          </w:p>
          <w:p w:rsidR="00443958" w:rsidRPr="002E1FA5" w:rsidRDefault="00443958" w:rsidP="002E1FA5">
            <w:pPr>
              <w:spacing w:after="200" w:line="276" w:lineRule="auto"/>
              <w:contextualSpacing/>
              <w:rPr>
                <w:rFonts w:eastAsiaTheme="minorHAnsi"/>
                <w:sz w:val="22"/>
                <w:szCs w:val="22"/>
              </w:rPr>
            </w:pPr>
          </w:p>
          <w:p w:rsidR="00443958" w:rsidRDefault="00443958" w:rsidP="00443958">
            <w:pPr>
              <w:autoSpaceDE w:val="0"/>
              <w:autoSpaceDN w:val="0"/>
              <w:adjustRightInd w:val="0"/>
            </w:pPr>
          </w:p>
          <w:p w:rsidR="00443958" w:rsidRDefault="00443958" w:rsidP="00F9118B">
            <w:pPr>
              <w:autoSpaceDE w:val="0"/>
              <w:autoSpaceDN w:val="0"/>
              <w:adjustRightInd w:val="0"/>
            </w:pPr>
          </w:p>
          <w:p w:rsidR="003C205A" w:rsidRPr="00D70E8E" w:rsidRDefault="003C205A" w:rsidP="00784940">
            <w:pPr>
              <w:autoSpaceDE w:val="0"/>
              <w:autoSpaceDN w:val="0"/>
              <w:adjustRightInd w:val="0"/>
            </w:pPr>
          </w:p>
          <w:tbl>
            <w:tblPr>
              <w:tblW w:w="5480" w:type="dxa"/>
              <w:tblLayout w:type="fixed"/>
              <w:tblLook w:val="04A0" w:firstRow="1" w:lastRow="0" w:firstColumn="1" w:lastColumn="0" w:noHBand="0" w:noVBand="1"/>
            </w:tblPr>
            <w:tblGrid>
              <w:gridCol w:w="560"/>
              <w:gridCol w:w="960"/>
              <w:gridCol w:w="1980"/>
              <w:gridCol w:w="1980"/>
            </w:tblGrid>
            <w:tr w:rsidR="003C205A" w:rsidRPr="00D70E8E" w:rsidTr="003C205A">
              <w:trPr>
                <w:trHeight w:val="310"/>
              </w:trPr>
              <w:tc>
                <w:tcPr>
                  <w:tcW w:w="560" w:type="dxa"/>
                  <w:tcBorders>
                    <w:top w:val="single" w:sz="8" w:space="0" w:color="auto"/>
                    <w:left w:val="nil"/>
                    <w:bottom w:val="nil"/>
                    <w:right w:val="nil"/>
                  </w:tcBorders>
                  <w:shd w:val="clear" w:color="auto" w:fill="auto"/>
                  <w:noWrap/>
                  <w:vAlign w:val="bottom"/>
                  <w:hideMark/>
                </w:tcPr>
                <w:p w:rsidR="003C205A" w:rsidRPr="00D70E8E" w:rsidRDefault="003C205A" w:rsidP="003C205A">
                  <w:pPr>
                    <w:rPr>
                      <w:color w:val="000000"/>
                      <w:sz w:val="22"/>
                      <w:szCs w:val="22"/>
                    </w:rPr>
                  </w:pPr>
                  <w:r w:rsidRPr="00D70E8E">
                    <w:rPr>
                      <w:color w:val="000000"/>
                      <w:sz w:val="22"/>
                      <w:szCs w:val="22"/>
                    </w:rPr>
                    <w:t> </w:t>
                  </w:r>
                </w:p>
              </w:tc>
              <w:tc>
                <w:tcPr>
                  <w:tcW w:w="960" w:type="dxa"/>
                  <w:tcBorders>
                    <w:top w:val="single" w:sz="8" w:space="0" w:color="auto"/>
                    <w:left w:val="nil"/>
                    <w:bottom w:val="nil"/>
                    <w:right w:val="nil"/>
                  </w:tcBorders>
                  <w:shd w:val="clear" w:color="auto" w:fill="auto"/>
                  <w:noWrap/>
                  <w:hideMark/>
                </w:tcPr>
                <w:p w:rsidR="003C205A" w:rsidRPr="00D70E8E" w:rsidRDefault="003C205A" w:rsidP="003C205A">
                  <w:pPr>
                    <w:jc w:val="center"/>
                    <w:rPr>
                      <w:bCs/>
                      <w:color w:val="000000"/>
                    </w:rPr>
                  </w:pPr>
                  <w:r w:rsidRPr="00D70E8E">
                    <w:rPr>
                      <w:bCs/>
                      <w:color w:val="000000"/>
                    </w:rPr>
                    <w:t xml:space="preserve">Issue No. Hours: </w:t>
                  </w:r>
                </w:p>
              </w:tc>
              <w:tc>
                <w:tcPr>
                  <w:tcW w:w="1980" w:type="dxa"/>
                </w:tcPr>
                <w:p w:rsidR="003C205A" w:rsidRPr="00D70E8E" w:rsidRDefault="003C205A" w:rsidP="003C205A">
                  <w:pPr>
                    <w:rPr>
                      <w:sz w:val="20"/>
                      <w:szCs w:val="20"/>
                    </w:rPr>
                  </w:pPr>
                  <w:r w:rsidRPr="00D70E8E">
                    <w:rPr>
                      <w:color w:val="000000"/>
                      <w:sz w:val="22"/>
                      <w:szCs w:val="22"/>
                    </w:rPr>
                    <w:t> </w:t>
                  </w:r>
                </w:p>
              </w:tc>
              <w:tc>
                <w:tcPr>
                  <w:tcW w:w="1980" w:type="dxa"/>
                </w:tcPr>
                <w:p w:rsidR="003C205A" w:rsidRPr="00D70E8E" w:rsidRDefault="003C205A" w:rsidP="003C205A">
                  <w:pPr>
                    <w:rPr>
                      <w:sz w:val="20"/>
                      <w:szCs w:val="20"/>
                    </w:rPr>
                  </w:pPr>
                  <w:r w:rsidRPr="00D70E8E">
                    <w:rPr>
                      <w:bCs/>
                      <w:color w:val="000000"/>
                      <w:sz w:val="22"/>
                      <w:szCs w:val="22"/>
                    </w:rPr>
                    <w:t xml:space="preserve">Total </w:t>
                  </w:r>
                  <w:r w:rsidR="00A53D98" w:rsidRPr="00D70E8E">
                    <w:rPr>
                      <w:bCs/>
                      <w:color w:val="000000"/>
                      <w:sz w:val="22"/>
                      <w:szCs w:val="22"/>
                    </w:rPr>
                    <w:t xml:space="preserve">% </w:t>
                  </w:r>
                  <w:r w:rsidRPr="00D70E8E">
                    <w:rPr>
                      <w:bCs/>
                      <w:color w:val="000000"/>
                      <w:sz w:val="22"/>
                      <w:szCs w:val="22"/>
                    </w:rPr>
                    <w:t xml:space="preserve">Hours </w:t>
                  </w:r>
                </w:p>
              </w:tc>
            </w:tr>
            <w:tr w:rsidR="003C205A" w:rsidRPr="00D70E8E" w:rsidTr="003C205A">
              <w:trPr>
                <w:trHeight w:val="290"/>
              </w:trPr>
              <w:tc>
                <w:tcPr>
                  <w:tcW w:w="560" w:type="dxa"/>
                  <w:tcBorders>
                    <w:top w:val="nil"/>
                    <w:left w:val="nil"/>
                    <w:bottom w:val="nil"/>
                    <w:right w:val="nil"/>
                  </w:tcBorders>
                  <w:shd w:val="clear" w:color="auto" w:fill="auto"/>
                  <w:noWrap/>
                  <w:vAlign w:val="bottom"/>
                  <w:hideMark/>
                </w:tcPr>
                <w:p w:rsidR="003C205A" w:rsidRPr="00D70E8E" w:rsidRDefault="003C205A" w:rsidP="003C205A">
                  <w:pPr>
                    <w:jc w:val="right"/>
                    <w:rPr>
                      <w:color w:val="000000"/>
                      <w:sz w:val="22"/>
                      <w:szCs w:val="22"/>
                    </w:rPr>
                  </w:pPr>
                  <w:r w:rsidRPr="00D70E8E">
                    <w:rPr>
                      <w:color w:val="000000"/>
                      <w:sz w:val="22"/>
                      <w:szCs w:val="22"/>
                    </w:rPr>
                    <w:t xml:space="preserve">  </w:t>
                  </w:r>
                </w:p>
              </w:tc>
              <w:tc>
                <w:tcPr>
                  <w:tcW w:w="960" w:type="dxa"/>
                  <w:tcBorders>
                    <w:top w:val="nil"/>
                    <w:left w:val="nil"/>
                    <w:bottom w:val="nil"/>
                    <w:right w:val="nil"/>
                  </w:tcBorders>
                  <w:shd w:val="clear" w:color="auto" w:fill="auto"/>
                  <w:noWrap/>
                  <w:hideMark/>
                </w:tcPr>
                <w:p w:rsidR="003C205A" w:rsidRPr="00D70E8E" w:rsidRDefault="00B734DC" w:rsidP="003C205A">
                  <w:pPr>
                    <w:jc w:val="right"/>
                    <w:rPr>
                      <w:color w:val="000000"/>
                      <w:sz w:val="20"/>
                      <w:szCs w:val="20"/>
                    </w:rPr>
                  </w:pPr>
                  <w:r w:rsidRPr="00D70E8E">
                    <w:rPr>
                      <w:color w:val="000000"/>
                      <w:sz w:val="20"/>
                      <w:szCs w:val="20"/>
                    </w:rPr>
                    <w:t xml:space="preserve">1) </w:t>
                  </w:r>
                  <w:r w:rsidR="003C205A" w:rsidRPr="00D70E8E">
                    <w:rPr>
                      <w:color w:val="000000"/>
                      <w:sz w:val="20"/>
                      <w:szCs w:val="20"/>
                    </w:rPr>
                    <w:t>2</w:t>
                  </w:r>
                  <w:r w:rsidR="00975FA5" w:rsidRPr="00D70E8E">
                    <w:rPr>
                      <w:color w:val="000000"/>
                      <w:sz w:val="20"/>
                      <w:szCs w:val="20"/>
                    </w:rPr>
                    <w:t>3.4</w:t>
                  </w:r>
                  <w:r w:rsidR="003C205A" w:rsidRPr="00D70E8E">
                    <w:rPr>
                      <w:color w:val="000000"/>
                      <w:sz w:val="20"/>
                      <w:szCs w:val="20"/>
                    </w:rPr>
                    <w:t>5</w:t>
                  </w:r>
                  <w:r w:rsidRPr="00D70E8E">
                    <w:rPr>
                      <w:color w:val="000000"/>
                      <w:sz w:val="20"/>
                      <w:szCs w:val="20"/>
                    </w:rPr>
                    <w:t xml:space="preserve">     </w:t>
                  </w:r>
                </w:p>
              </w:tc>
              <w:tc>
                <w:tcPr>
                  <w:tcW w:w="1980" w:type="dxa"/>
                  <w:vAlign w:val="bottom"/>
                </w:tcPr>
                <w:p w:rsidR="003C205A" w:rsidRPr="00D70E8E" w:rsidRDefault="003C205A" w:rsidP="003C205A">
                  <w:pPr>
                    <w:rPr>
                      <w:sz w:val="20"/>
                      <w:szCs w:val="20"/>
                    </w:rPr>
                  </w:pPr>
                </w:p>
              </w:tc>
              <w:tc>
                <w:tcPr>
                  <w:tcW w:w="1980" w:type="dxa"/>
                </w:tcPr>
                <w:p w:rsidR="00B734DC" w:rsidRPr="00D70E8E" w:rsidRDefault="0075361E" w:rsidP="003C205A">
                  <w:pPr>
                    <w:rPr>
                      <w:color w:val="000000"/>
                      <w:sz w:val="20"/>
                      <w:szCs w:val="20"/>
                    </w:rPr>
                  </w:pPr>
                  <w:r w:rsidRPr="00D70E8E">
                    <w:rPr>
                      <w:color w:val="000000"/>
                      <w:sz w:val="20"/>
                      <w:szCs w:val="20"/>
                    </w:rPr>
                    <w:t>12.55</w:t>
                  </w:r>
                  <w:r w:rsidR="003C205A" w:rsidRPr="00D70E8E">
                    <w:rPr>
                      <w:color w:val="000000"/>
                      <w:sz w:val="20"/>
                      <w:szCs w:val="20"/>
                    </w:rPr>
                    <w:t xml:space="preserve">%       </w:t>
                  </w:r>
                </w:p>
                <w:p w:rsidR="003C205A" w:rsidRPr="00D70E8E" w:rsidRDefault="003C205A" w:rsidP="003C205A">
                  <w:pPr>
                    <w:rPr>
                      <w:color w:val="000000"/>
                      <w:sz w:val="20"/>
                      <w:szCs w:val="20"/>
                    </w:rPr>
                  </w:pPr>
                  <w:r w:rsidRPr="00D70E8E">
                    <w:rPr>
                      <w:color w:val="000000"/>
                      <w:sz w:val="20"/>
                      <w:szCs w:val="20"/>
                    </w:rPr>
                    <w:t>General</w:t>
                  </w:r>
                  <w:r w:rsidR="00B734DC" w:rsidRPr="00D70E8E">
                    <w:rPr>
                      <w:color w:val="000000"/>
                      <w:sz w:val="20"/>
                      <w:szCs w:val="20"/>
                    </w:rPr>
                    <w:t xml:space="preserve"> Prep </w:t>
                  </w:r>
                  <w:r w:rsidRPr="00D70E8E">
                    <w:rPr>
                      <w:color w:val="000000"/>
                      <w:sz w:val="20"/>
                      <w:szCs w:val="20"/>
                    </w:rPr>
                    <w:t>/</w:t>
                  </w:r>
                  <w:r w:rsidR="0006688C" w:rsidRPr="00D70E8E">
                    <w:rPr>
                      <w:color w:val="000000"/>
                      <w:sz w:val="20"/>
                      <w:szCs w:val="20"/>
                    </w:rPr>
                    <w:t>F</w:t>
                  </w:r>
                  <w:r w:rsidRPr="00D70E8E">
                    <w:rPr>
                      <w:color w:val="000000"/>
                      <w:sz w:val="20"/>
                      <w:szCs w:val="20"/>
                    </w:rPr>
                    <w:t xml:space="preserve">iling </w:t>
                  </w:r>
                  <w:r w:rsidR="0006688C" w:rsidRPr="00D70E8E">
                    <w:rPr>
                      <w:color w:val="000000"/>
                      <w:sz w:val="20"/>
                      <w:szCs w:val="20"/>
                    </w:rPr>
                    <w:t>(G)</w:t>
                  </w:r>
                </w:p>
                <w:p w:rsidR="00B734DC" w:rsidRPr="00D70E8E" w:rsidRDefault="00B734DC" w:rsidP="003C205A">
                  <w:pPr>
                    <w:rPr>
                      <w:sz w:val="20"/>
                      <w:szCs w:val="20"/>
                    </w:rPr>
                  </w:pPr>
                </w:p>
              </w:tc>
            </w:tr>
            <w:tr w:rsidR="003C205A" w:rsidRPr="00D70E8E" w:rsidTr="003C205A">
              <w:trPr>
                <w:trHeight w:val="290"/>
              </w:trPr>
              <w:tc>
                <w:tcPr>
                  <w:tcW w:w="560" w:type="dxa"/>
                  <w:tcBorders>
                    <w:top w:val="nil"/>
                    <w:left w:val="nil"/>
                    <w:bottom w:val="nil"/>
                    <w:right w:val="nil"/>
                  </w:tcBorders>
                  <w:shd w:val="clear" w:color="auto" w:fill="auto"/>
                  <w:noWrap/>
                  <w:vAlign w:val="bottom"/>
                  <w:hideMark/>
                </w:tcPr>
                <w:p w:rsidR="003C205A" w:rsidRPr="00D70E8E" w:rsidRDefault="003C205A" w:rsidP="003C205A">
                  <w:pPr>
                    <w:jc w:val="right"/>
                    <w:rPr>
                      <w:color w:val="000000"/>
                      <w:sz w:val="22"/>
                      <w:szCs w:val="22"/>
                    </w:rPr>
                  </w:pPr>
                </w:p>
              </w:tc>
              <w:tc>
                <w:tcPr>
                  <w:tcW w:w="960" w:type="dxa"/>
                  <w:tcBorders>
                    <w:top w:val="nil"/>
                    <w:left w:val="nil"/>
                    <w:bottom w:val="nil"/>
                    <w:right w:val="nil"/>
                  </w:tcBorders>
                  <w:shd w:val="clear" w:color="auto" w:fill="auto"/>
                  <w:noWrap/>
                  <w:hideMark/>
                </w:tcPr>
                <w:p w:rsidR="003C205A" w:rsidRPr="00D70E8E" w:rsidRDefault="00B734DC" w:rsidP="003C205A">
                  <w:pPr>
                    <w:jc w:val="right"/>
                    <w:rPr>
                      <w:color w:val="000000"/>
                      <w:sz w:val="20"/>
                      <w:szCs w:val="20"/>
                    </w:rPr>
                  </w:pPr>
                  <w:r w:rsidRPr="00D70E8E">
                    <w:rPr>
                      <w:color w:val="000000"/>
                      <w:sz w:val="20"/>
                      <w:szCs w:val="20"/>
                    </w:rPr>
                    <w:t xml:space="preserve">2)  </w:t>
                  </w:r>
                  <w:r w:rsidR="003C205A" w:rsidRPr="00D70E8E">
                    <w:rPr>
                      <w:color w:val="000000"/>
                      <w:sz w:val="20"/>
                      <w:szCs w:val="20"/>
                    </w:rPr>
                    <w:t>62.25</w:t>
                  </w:r>
                </w:p>
              </w:tc>
              <w:tc>
                <w:tcPr>
                  <w:tcW w:w="1980" w:type="dxa"/>
                  <w:vAlign w:val="bottom"/>
                </w:tcPr>
                <w:p w:rsidR="003C205A" w:rsidRPr="00D70E8E" w:rsidRDefault="003C205A" w:rsidP="003C205A">
                  <w:pPr>
                    <w:rPr>
                      <w:sz w:val="20"/>
                      <w:szCs w:val="20"/>
                    </w:rPr>
                  </w:pPr>
                </w:p>
              </w:tc>
              <w:tc>
                <w:tcPr>
                  <w:tcW w:w="1980" w:type="dxa"/>
                </w:tcPr>
                <w:p w:rsidR="003C205A" w:rsidRPr="00D70E8E" w:rsidRDefault="0075361E" w:rsidP="003C205A">
                  <w:pPr>
                    <w:rPr>
                      <w:color w:val="000000"/>
                      <w:sz w:val="20"/>
                      <w:szCs w:val="20"/>
                    </w:rPr>
                  </w:pPr>
                  <w:r w:rsidRPr="00D70E8E">
                    <w:rPr>
                      <w:color w:val="000000"/>
                      <w:sz w:val="20"/>
                      <w:szCs w:val="20"/>
                    </w:rPr>
                    <w:t>33.31</w:t>
                  </w:r>
                  <w:r w:rsidR="003C205A" w:rsidRPr="00D70E8E">
                    <w:rPr>
                      <w:color w:val="000000"/>
                      <w:sz w:val="20"/>
                      <w:szCs w:val="20"/>
                    </w:rPr>
                    <w:t>%</w:t>
                  </w:r>
                </w:p>
                <w:p w:rsidR="003C205A" w:rsidRPr="00D70E8E" w:rsidRDefault="003C205A" w:rsidP="003C205A">
                  <w:pPr>
                    <w:rPr>
                      <w:sz w:val="20"/>
                      <w:szCs w:val="20"/>
                    </w:rPr>
                  </w:pPr>
                  <w:r w:rsidRPr="00D70E8E">
                    <w:rPr>
                      <w:sz w:val="20"/>
                      <w:szCs w:val="20"/>
                    </w:rPr>
                    <w:t>Hearings,</w:t>
                  </w:r>
                  <w:r w:rsidR="00B734DC" w:rsidRPr="00D70E8E">
                    <w:rPr>
                      <w:sz w:val="20"/>
                      <w:szCs w:val="20"/>
                    </w:rPr>
                    <w:t xml:space="preserve"> </w:t>
                  </w:r>
                  <w:r w:rsidRPr="00D70E8E">
                    <w:rPr>
                      <w:sz w:val="20"/>
                      <w:szCs w:val="20"/>
                    </w:rPr>
                    <w:t xml:space="preserve">workshops, </w:t>
                  </w:r>
                  <w:r w:rsidR="00B734DC" w:rsidRPr="00D70E8E">
                    <w:rPr>
                      <w:sz w:val="20"/>
                      <w:szCs w:val="20"/>
                    </w:rPr>
                    <w:t>Conference</w:t>
                  </w:r>
                  <w:r w:rsidR="0006688C" w:rsidRPr="00D70E8E">
                    <w:rPr>
                      <w:sz w:val="20"/>
                      <w:szCs w:val="20"/>
                    </w:rPr>
                    <w:t xml:space="preserve"> (HWC)</w:t>
                  </w:r>
                </w:p>
                <w:p w:rsidR="00B734DC" w:rsidRPr="00D70E8E" w:rsidRDefault="00B734DC" w:rsidP="003C205A">
                  <w:pPr>
                    <w:rPr>
                      <w:sz w:val="20"/>
                      <w:szCs w:val="20"/>
                    </w:rPr>
                  </w:pPr>
                </w:p>
              </w:tc>
            </w:tr>
            <w:tr w:rsidR="003C205A" w:rsidRPr="00D70E8E" w:rsidTr="003C205A">
              <w:trPr>
                <w:trHeight w:val="310"/>
              </w:trPr>
              <w:tc>
                <w:tcPr>
                  <w:tcW w:w="560" w:type="dxa"/>
                  <w:tcBorders>
                    <w:top w:val="nil"/>
                    <w:left w:val="nil"/>
                    <w:bottom w:val="nil"/>
                    <w:right w:val="nil"/>
                  </w:tcBorders>
                  <w:shd w:val="clear" w:color="auto" w:fill="auto"/>
                  <w:noWrap/>
                  <w:hideMark/>
                </w:tcPr>
                <w:p w:rsidR="003C205A" w:rsidRPr="00D70E8E" w:rsidRDefault="003C205A" w:rsidP="003C205A">
                  <w:pPr>
                    <w:jc w:val="right"/>
                    <w:rPr>
                      <w:color w:val="000000"/>
                      <w:sz w:val="22"/>
                      <w:szCs w:val="22"/>
                    </w:rPr>
                  </w:pPr>
                </w:p>
              </w:tc>
              <w:tc>
                <w:tcPr>
                  <w:tcW w:w="960" w:type="dxa"/>
                  <w:tcBorders>
                    <w:top w:val="nil"/>
                    <w:left w:val="nil"/>
                    <w:bottom w:val="nil"/>
                    <w:right w:val="nil"/>
                  </w:tcBorders>
                  <w:shd w:val="clear" w:color="auto" w:fill="auto"/>
                  <w:noWrap/>
                  <w:hideMark/>
                </w:tcPr>
                <w:p w:rsidR="003C205A" w:rsidRPr="00D70E8E" w:rsidRDefault="00B734DC" w:rsidP="003C205A">
                  <w:pPr>
                    <w:jc w:val="right"/>
                    <w:rPr>
                      <w:color w:val="000000"/>
                      <w:sz w:val="20"/>
                      <w:szCs w:val="20"/>
                    </w:rPr>
                  </w:pPr>
                  <w:r w:rsidRPr="00D70E8E">
                    <w:rPr>
                      <w:color w:val="000000"/>
                      <w:sz w:val="20"/>
                      <w:szCs w:val="20"/>
                    </w:rPr>
                    <w:t xml:space="preserve">3) </w:t>
                  </w:r>
                  <w:r w:rsidR="003C205A" w:rsidRPr="00D70E8E">
                    <w:rPr>
                      <w:color w:val="000000"/>
                      <w:sz w:val="20"/>
                      <w:szCs w:val="20"/>
                    </w:rPr>
                    <w:t>0.00</w:t>
                  </w:r>
                </w:p>
              </w:tc>
              <w:tc>
                <w:tcPr>
                  <w:tcW w:w="1980" w:type="dxa"/>
                </w:tcPr>
                <w:p w:rsidR="003C205A" w:rsidRPr="00D70E8E" w:rsidRDefault="003C205A" w:rsidP="003C205A">
                  <w:pPr>
                    <w:rPr>
                      <w:sz w:val="20"/>
                      <w:szCs w:val="20"/>
                    </w:rPr>
                  </w:pPr>
                </w:p>
              </w:tc>
              <w:tc>
                <w:tcPr>
                  <w:tcW w:w="1980" w:type="dxa"/>
                </w:tcPr>
                <w:p w:rsidR="003C205A" w:rsidRPr="00D70E8E" w:rsidRDefault="003C205A" w:rsidP="003C205A">
                  <w:pPr>
                    <w:rPr>
                      <w:color w:val="000000"/>
                      <w:sz w:val="20"/>
                      <w:szCs w:val="20"/>
                    </w:rPr>
                  </w:pPr>
                  <w:r w:rsidRPr="00D70E8E">
                    <w:rPr>
                      <w:color w:val="000000"/>
                      <w:sz w:val="20"/>
                      <w:szCs w:val="20"/>
                    </w:rPr>
                    <w:t>0.00%</w:t>
                  </w:r>
                </w:p>
                <w:p w:rsidR="00B734DC" w:rsidRPr="00D70E8E" w:rsidRDefault="00B734DC" w:rsidP="003C205A">
                  <w:pPr>
                    <w:rPr>
                      <w:sz w:val="20"/>
                      <w:szCs w:val="20"/>
                    </w:rPr>
                  </w:pPr>
                  <w:r w:rsidRPr="00D70E8E">
                    <w:rPr>
                      <w:sz w:val="20"/>
                      <w:szCs w:val="20"/>
                    </w:rPr>
                    <w:t>Filing (</w:t>
                  </w:r>
                  <w:r w:rsidR="0006688C" w:rsidRPr="00D70E8E">
                    <w:rPr>
                      <w:sz w:val="20"/>
                      <w:szCs w:val="20"/>
                    </w:rPr>
                    <w:t>F</w:t>
                  </w:r>
                  <w:r w:rsidR="00DC1910" w:rsidRPr="00D70E8E">
                    <w:rPr>
                      <w:sz w:val="20"/>
                      <w:szCs w:val="20"/>
                    </w:rPr>
                    <w:t>), Is</w:t>
                  </w:r>
                  <w:r w:rsidR="0006688C" w:rsidRPr="00D70E8E">
                    <w:rPr>
                      <w:sz w:val="20"/>
                      <w:szCs w:val="20"/>
                    </w:rPr>
                    <w:t xml:space="preserve"> </w:t>
                  </w:r>
                  <w:r w:rsidRPr="00D70E8E">
                    <w:rPr>
                      <w:sz w:val="20"/>
                      <w:szCs w:val="20"/>
                    </w:rPr>
                    <w:t xml:space="preserve">combined in </w:t>
                  </w:r>
                  <w:r w:rsidR="0006688C" w:rsidRPr="00D70E8E">
                    <w:rPr>
                      <w:sz w:val="20"/>
                      <w:szCs w:val="20"/>
                    </w:rPr>
                    <w:t>(G)</w:t>
                  </w:r>
                </w:p>
                <w:p w:rsidR="00B734DC" w:rsidRPr="00D70E8E" w:rsidRDefault="00B734DC" w:rsidP="003C205A">
                  <w:pPr>
                    <w:rPr>
                      <w:sz w:val="20"/>
                      <w:szCs w:val="20"/>
                    </w:rPr>
                  </w:pPr>
                </w:p>
              </w:tc>
            </w:tr>
            <w:tr w:rsidR="003C205A" w:rsidRPr="00D70E8E" w:rsidTr="003C205A">
              <w:trPr>
                <w:trHeight w:val="290"/>
              </w:trPr>
              <w:tc>
                <w:tcPr>
                  <w:tcW w:w="560" w:type="dxa"/>
                  <w:tcBorders>
                    <w:top w:val="nil"/>
                    <w:left w:val="nil"/>
                    <w:bottom w:val="nil"/>
                    <w:right w:val="nil"/>
                  </w:tcBorders>
                  <w:shd w:val="clear" w:color="auto" w:fill="auto"/>
                  <w:noWrap/>
                  <w:vAlign w:val="bottom"/>
                  <w:hideMark/>
                </w:tcPr>
                <w:p w:rsidR="003C205A" w:rsidRPr="00D70E8E" w:rsidRDefault="003C205A" w:rsidP="00576928">
                  <w:pPr>
                    <w:rPr>
                      <w:color w:val="000000"/>
                      <w:sz w:val="22"/>
                      <w:szCs w:val="22"/>
                    </w:rPr>
                  </w:pPr>
                </w:p>
              </w:tc>
              <w:tc>
                <w:tcPr>
                  <w:tcW w:w="960" w:type="dxa"/>
                  <w:tcBorders>
                    <w:top w:val="nil"/>
                    <w:left w:val="nil"/>
                    <w:bottom w:val="nil"/>
                    <w:right w:val="nil"/>
                  </w:tcBorders>
                  <w:shd w:val="clear" w:color="auto" w:fill="auto"/>
                  <w:noWrap/>
                  <w:hideMark/>
                </w:tcPr>
                <w:p w:rsidR="003C205A" w:rsidRPr="00D70E8E" w:rsidRDefault="00B734DC" w:rsidP="003C205A">
                  <w:pPr>
                    <w:jc w:val="right"/>
                    <w:rPr>
                      <w:color w:val="000000"/>
                      <w:sz w:val="20"/>
                      <w:szCs w:val="20"/>
                    </w:rPr>
                  </w:pPr>
                  <w:r w:rsidRPr="00D70E8E">
                    <w:rPr>
                      <w:color w:val="000000"/>
                      <w:sz w:val="20"/>
                      <w:szCs w:val="20"/>
                    </w:rPr>
                    <w:t xml:space="preserve">4) </w:t>
                  </w:r>
                  <w:r w:rsidR="00DA4918" w:rsidRPr="00D70E8E">
                    <w:rPr>
                      <w:color w:val="000000"/>
                      <w:sz w:val="20"/>
                      <w:szCs w:val="20"/>
                    </w:rPr>
                    <w:t>82.0</w:t>
                  </w:r>
                </w:p>
              </w:tc>
              <w:tc>
                <w:tcPr>
                  <w:tcW w:w="1980" w:type="dxa"/>
                  <w:vAlign w:val="bottom"/>
                </w:tcPr>
                <w:p w:rsidR="003C205A" w:rsidRPr="00D70E8E" w:rsidRDefault="003C205A" w:rsidP="003C205A">
                  <w:pPr>
                    <w:rPr>
                      <w:sz w:val="20"/>
                      <w:szCs w:val="20"/>
                    </w:rPr>
                  </w:pPr>
                </w:p>
              </w:tc>
              <w:tc>
                <w:tcPr>
                  <w:tcW w:w="1980" w:type="dxa"/>
                </w:tcPr>
                <w:p w:rsidR="003C205A" w:rsidRPr="00D70E8E" w:rsidRDefault="0075361E" w:rsidP="003C205A">
                  <w:pPr>
                    <w:rPr>
                      <w:color w:val="000000"/>
                      <w:sz w:val="20"/>
                      <w:szCs w:val="20"/>
                    </w:rPr>
                  </w:pPr>
                  <w:r w:rsidRPr="00D70E8E">
                    <w:rPr>
                      <w:color w:val="000000"/>
                      <w:sz w:val="20"/>
                      <w:szCs w:val="20"/>
                    </w:rPr>
                    <w:t>43.87</w:t>
                  </w:r>
                  <w:r w:rsidR="003C205A" w:rsidRPr="00D70E8E">
                    <w:rPr>
                      <w:color w:val="000000"/>
                      <w:sz w:val="20"/>
                      <w:szCs w:val="20"/>
                    </w:rPr>
                    <w:t>%</w:t>
                  </w:r>
                </w:p>
                <w:p w:rsidR="00B734DC" w:rsidRPr="00D70E8E" w:rsidRDefault="00B734DC" w:rsidP="003C205A">
                  <w:pPr>
                    <w:rPr>
                      <w:sz w:val="20"/>
                      <w:szCs w:val="20"/>
                    </w:rPr>
                  </w:pPr>
                  <w:r w:rsidRPr="00D70E8E">
                    <w:rPr>
                      <w:sz w:val="20"/>
                      <w:szCs w:val="20"/>
                    </w:rPr>
                    <w:t>Discovery</w:t>
                  </w:r>
                </w:p>
                <w:p w:rsidR="0006688C" w:rsidRPr="00D70E8E" w:rsidRDefault="0006688C" w:rsidP="003C205A">
                  <w:pPr>
                    <w:rPr>
                      <w:sz w:val="20"/>
                      <w:szCs w:val="20"/>
                    </w:rPr>
                  </w:pPr>
                  <w:r w:rsidRPr="00D70E8E">
                    <w:rPr>
                      <w:sz w:val="20"/>
                      <w:szCs w:val="20"/>
                    </w:rPr>
                    <w:t>(D)</w:t>
                  </w:r>
                </w:p>
                <w:p w:rsidR="00D5231D" w:rsidRPr="00D70E8E" w:rsidRDefault="00D5231D" w:rsidP="003C205A">
                  <w:pPr>
                    <w:rPr>
                      <w:sz w:val="20"/>
                      <w:szCs w:val="20"/>
                    </w:rPr>
                  </w:pPr>
                </w:p>
                <w:p w:rsidR="00B734DC" w:rsidRPr="00D70E8E" w:rsidRDefault="00B734DC" w:rsidP="003C205A">
                  <w:pPr>
                    <w:rPr>
                      <w:sz w:val="20"/>
                      <w:szCs w:val="20"/>
                    </w:rPr>
                  </w:pPr>
                </w:p>
              </w:tc>
            </w:tr>
            <w:tr w:rsidR="003C205A" w:rsidRPr="00D70E8E" w:rsidTr="003C205A">
              <w:trPr>
                <w:trHeight w:val="290"/>
              </w:trPr>
              <w:tc>
                <w:tcPr>
                  <w:tcW w:w="560" w:type="dxa"/>
                  <w:tcBorders>
                    <w:top w:val="nil"/>
                    <w:left w:val="nil"/>
                    <w:bottom w:val="nil"/>
                    <w:right w:val="nil"/>
                  </w:tcBorders>
                  <w:shd w:val="clear" w:color="auto" w:fill="auto"/>
                  <w:noWrap/>
                  <w:vAlign w:val="bottom"/>
                  <w:hideMark/>
                </w:tcPr>
                <w:p w:rsidR="003C205A" w:rsidRPr="00D70E8E" w:rsidRDefault="003C205A" w:rsidP="003C205A">
                  <w:pPr>
                    <w:jc w:val="right"/>
                    <w:rPr>
                      <w:color w:val="000000"/>
                      <w:sz w:val="22"/>
                      <w:szCs w:val="22"/>
                    </w:rPr>
                  </w:pPr>
                </w:p>
              </w:tc>
              <w:tc>
                <w:tcPr>
                  <w:tcW w:w="960" w:type="dxa"/>
                  <w:tcBorders>
                    <w:top w:val="nil"/>
                    <w:left w:val="nil"/>
                    <w:bottom w:val="nil"/>
                    <w:right w:val="nil"/>
                  </w:tcBorders>
                  <w:shd w:val="clear" w:color="auto" w:fill="auto"/>
                  <w:noWrap/>
                  <w:hideMark/>
                </w:tcPr>
                <w:p w:rsidR="003C205A" w:rsidRPr="00D70E8E" w:rsidRDefault="00B734DC" w:rsidP="003C205A">
                  <w:pPr>
                    <w:jc w:val="right"/>
                    <w:rPr>
                      <w:color w:val="000000"/>
                      <w:sz w:val="20"/>
                      <w:szCs w:val="20"/>
                    </w:rPr>
                  </w:pPr>
                  <w:r w:rsidRPr="00D70E8E">
                    <w:rPr>
                      <w:color w:val="000000"/>
                      <w:sz w:val="20"/>
                      <w:szCs w:val="20"/>
                    </w:rPr>
                    <w:t xml:space="preserve">5) </w:t>
                  </w:r>
                  <w:r w:rsidR="003C205A" w:rsidRPr="00D70E8E">
                    <w:rPr>
                      <w:color w:val="000000"/>
                      <w:sz w:val="20"/>
                      <w:szCs w:val="20"/>
                    </w:rPr>
                    <w:t>20.00</w:t>
                  </w:r>
                </w:p>
              </w:tc>
              <w:tc>
                <w:tcPr>
                  <w:tcW w:w="1980" w:type="dxa"/>
                  <w:vAlign w:val="bottom"/>
                </w:tcPr>
                <w:p w:rsidR="003C205A" w:rsidRPr="00D70E8E" w:rsidRDefault="003C205A" w:rsidP="003C205A">
                  <w:pPr>
                    <w:rPr>
                      <w:sz w:val="20"/>
                      <w:szCs w:val="20"/>
                    </w:rPr>
                  </w:pPr>
                </w:p>
              </w:tc>
              <w:tc>
                <w:tcPr>
                  <w:tcW w:w="1980" w:type="dxa"/>
                </w:tcPr>
                <w:p w:rsidR="003C205A" w:rsidRPr="00D70E8E" w:rsidRDefault="0075361E" w:rsidP="003C205A">
                  <w:pPr>
                    <w:rPr>
                      <w:color w:val="000000"/>
                      <w:sz w:val="20"/>
                      <w:szCs w:val="20"/>
                    </w:rPr>
                  </w:pPr>
                  <w:r w:rsidRPr="00D70E8E">
                    <w:rPr>
                      <w:color w:val="000000"/>
                      <w:sz w:val="20"/>
                      <w:szCs w:val="20"/>
                    </w:rPr>
                    <w:t>10.7</w:t>
                  </w:r>
                  <w:r w:rsidR="003C205A" w:rsidRPr="00D70E8E">
                    <w:rPr>
                      <w:color w:val="000000"/>
                      <w:sz w:val="20"/>
                      <w:szCs w:val="20"/>
                    </w:rPr>
                    <w:t>%</w:t>
                  </w:r>
                </w:p>
                <w:p w:rsidR="00B734DC" w:rsidRPr="00D70E8E" w:rsidRDefault="00093B68" w:rsidP="003C205A">
                  <w:pPr>
                    <w:rPr>
                      <w:sz w:val="20"/>
                      <w:szCs w:val="20"/>
                    </w:rPr>
                  </w:pPr>
                  <w:r w:rsidRPr="00D70E8E">
                    <w:rPr>
                      <w:sz w:val="20"/>
                      <w:szCs w:val="20"/>
                    </w:rPr>
                    <w:t>Testimony</w:t>
                  </w:r>
                  <w:r w:rsidR="0006688C" w:rsidRPr="00D70E8E">
                    <w:rPr>
                      <w:sz w:val="20"/>
                      <w:szCs w:val="20"/>
                    </w:rPr>
                    <w:t xml:space="preserve">  (T)</w:t>
                  </w:r>
                </w:p>
                <w:p w:rsidR="00B734DC" w:rsidRPr="00D70E8E" w:rsidRDefault="00B734DC" w:rsidP="003C205A">
                  <w:pPr>
                    <w:rPr>
                      <w:sz w:val="20"/>
                      <w:szCs w:val="20"/>
                    </w:rPr>
                  </w:pPr>
                </w:p>
              </w:tc>
            </w:tr>
            <w:tr w:rsidR="003C205A" w:rsidRPr="00D70E8E" w:rsidTr="003C205A">
              <w:trPr>
                <w:trHeight w:val="290"/>
              </w:trPr>
              <w:tc>
                <w:tcPr>
                  <w:tcW w:w="560" w:type="dxa"/>
                  <w:tcBorders>
                    <w:top w:val="nil"/>
                    <w:left w:val="nil"/>
                    <w:bottom w:val="nil"/>
                    <w:right w:val="nil"/>
                  </w:tcBorders>
                  <w:shd w:val="clear" w:color="auto" w:fill="auto"/>
                  <w:noWrap/>
                  <w:vAlign w:val="bottom"/>
                  <w:hideMark/>
                </w:tcPr>
                <w:p w:rsidR="003C205A" w:rsidRPr="00D70E8E" w:rsidRDefault="003C205A" w:rsidP="003C205A">
                  <w:pPr>
                    <w:jc w:val="right"/>
                    <w:rPr>
                      <w:color w:val="000000"/>
                      <w:sz w:val="22"/>
                      <w:szCs w:val="22"/>
                    </w:rPr>
                  </w:pPr>
                </w:p>
              </w:tc>
              <w:tc>
                <w:tcPr>
                  <w:tcW w:w="960" w:type="dxa"/>
                  <w:tcBorders>
                    <w:top w:val="nil"/>
                    <w:left w:val="nil"/>
                    <w:bottom w:val="nil"/>
                    <w:right w:val="nil"/>
                  </w:tcBorders>
                  <w:shd w:val="clear" w:color="auto" w:fill="auto"/>
                  <w:noWrap/>
                  <w:hideMark/>
                </w:tcPr>
                <w:p w:rsidR="003C205A" w:rsidRPr="00D70E8E" w:rsidRDefault="00B734DC" w:rsidP="003C205A">
                  <w:pPr>
                    <w:jc w:val="right"/>
                    <w:rPr>
                      <w:color w:val="000000"/>
                      <w:sz w:val="20"/>
                      <w:szCs w:val="20"/>
                    </w:rPr>
                  </w:pPr>
                  <w:r w:rsidRPr="00D70E8E">
                    <w:rPr>
                      <w:color w:val="000000"/>
                      <w:sz w:val="20"/>
                      <w:szCs w:val="20"/>
                    </w:rPr>
                    <w:t xml:space="preserve">6) </w:t>
                  </w:r>
                  <w:r w:rsidR="003C205A" w:rsidRPr="00D70E8E">
                    <w:rPr>
                      <w:color w:val="000000"/>
                      <w:sz w:val="20"/>
                      <w:szCs w:val="20"/>
                    </w:rPr>
                    <w:t>1.70</w:t>
                  </w:r>
                </w:p>
              </w:tc>
              <w:tc>
                <w:tcPr>
                  <w:tcW w:w="1980" w:type="dxa"/>
                  <w:vAlign w:val="bottom"/>
                </w:tcPr>
                <w:p w:rsidR="003C205A" w:rsidRPr="00D70E8E" w:rsidRDefault="003C205A" w:rsidP="003C205A">
                  <w:pPr>
                    <w:rPr>
                      <w:sz w:val="20"/>
                      <w:szCs w:val="20"/>
                    </w:rPr>
                  </w:pPr>
                </w:p>
              </w:tc>
              <w:tc>
                <w:tcPr>
                  <w:tcW w:w="1980" w:type="dxa"/>
                </w:tcPr>
                <w:p w:rsidR="003C205A" w:rsidRPr="00D70E8E" w:rsidRDefault="003C205A" w:rsidP="003C205A">
                  <w:pPr>
                    <w:rPr>
                      <w:color w:val="000000"/>
                      <w:sz w:val="20"/>
                      <w:szCs w:val="20"/>
                    </w:rPr>
                  </w:pPr>
                  <w:r w:rsidRPr="00D70E8E">
                    <w:rPr>
                      <w:color w:val="000000"/>
                      <w:sz w:val="20"/>
                      <w:szCs w:val="20"/>
                    </w:rPr>
                    <w:t>0.</w:t>
                  </w:r>
                  <w:r w:rsidR="0075361E" w:rsidRPr="00D70E8E">
                    <w:rPr>
                      <w:color w:val="000000"/>
                      <w:sz w:val="20"/>
                      <w:szCs w:val="20"/>
                    </w:rPr>
                    <w:t>91</w:t>
                  </w:r>
                  <w:r w:rsidRPr="00D70E8E">
                    <w:rPr>
                      <w:color w:val="000000"/>
                      <w:sz w:val="20"/>
                      <w:szCs w:val="20"/>
                    </w:rPr>
                    <w:t>%</w:t>
                  </w:r>
                </w:p>
                <w:p w:rsidR="00B734DC" w:rsidRPr="00D70E8E" w:rsidRDefault="00093B68" w:rsidP="003C205A">
                  <w:pPr>
                    <w:rPr>
                      <w:sz w:val="20"/>
                      <w:szCs w:val="20"/>
                    </w:rPr>
                  </w:pPr>
                  <w:r w:rsidRPr="00D70E8E">
                    <w:rPr>
                      <w:sz w:val="20"/>
                      <w:szCs w:val="20"/>
                    </w:rPr>
                    <w:t>Procedural (</w:t>
                  </w:r>
                  <w:r w:rsidR="0006688C" w:rsidRPr="00D70E8E">
                    <w:rPr>
                      <w:sz w:val="20"/>
                      <w:szCs w:val="20"/>
                    </w:rPr>
                    <w:t>P)</w:t>
                  </w:r>
                </w:p>
                <w:p w:rsidR="00B734DC" w:rsidRPr="00D70E8E" w:rsidRDefault="00B734DC" w:rsidP="003C205A">
                  <w:pPr>
                    <w:rPr>
                      <w:sz w:val="20"/>
                      <w:szCs w:val="20"/>
                    </w:rPr>
                  </w:pPr>
                </w:p>
              </w:tc>
            </w:tr>
          </w:tbl>
          <w:p w:rsidR="00A92D0B" w:rsidRPr="00D70E8E" w:rsidRDefault="00A92D0B">
            <w:pPr>
              <w:rPr>
                <w:b/>
                <w:color w:val="000000"/>
              </w:rPr>
            </w:pPr>
          </w:p>
        </w:tc>
        <w:tc>
          <w:tcPr>
            <w:tcW w:w="2430" w:type="dxa"/>
            <w:shd w:val="clear" w:color="auto" w:fill="auto"/>
          </w:tcPr>
          <w:p w:rsidR="00A92D0B" w:rsidRPr="007F620E" w:rsidRDefault="00576928" w:rsidP="00A92D0B">
            <w:pPr>
              <w:spacing w:before="120"/>
              <w:rPr>
                <w:color w:val="000000"/>
              </w:rPr>
            </w:pPr>
            <w:r>
              <w:rPr>
                <w:color w:val="000000"/>
              </w:rPr>
              <w:lastRenderedPageBreak/>
              <w:t>Noted</w:t>
            </w:r>
          </w:p>
        </w:tc>
      </w:tr>
    </w:tbl>
    <w:p w:rsidR="00A92D0B" w:rsidRPr="00784940" w:rsidRDefault="00A92D0B" w:rsidP="00DE3A5D">
      <w:pPr>
        <w:keepNext/>
        <w:keepLines/>
        <w:numPr>
          <w:ilvl w:val="0"/>
          <w:numId w:val="2"/>
        </w:numPr>
        <w:tabs>
          <w:tab w:val="clear" w:pos="900"/>
          <w:tab w:val="num" w:pos="360"/>
        </w:tabs>
        <w:spacing w:after="240"/>
        <w:ind w:left="360"/>
        <w:rPr>
          <w:color w:val="000000"/>
        </w:rPr>
      </w:pPr>
      <w:r w:rsidRPr="00784940">
        <w:rPr>
          <w:color w:val="000000"/>
        </w:rPr>
        <w:lastRenderedPageBreak/>
        <w:t>Specific Claim:</w:t>
      </w:r>
      <w:r w:rsidR="00D075B1" w:rsidRPr="00784940">
        <w:rPr>
          <w:color w:val="000000"/>
        </w:rPr>
        <w:t>*</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17"/>
        <w:gridCol w:w="810"/>
        <w:gridCol w:w="293"/>
        <w:gridCol w:w="427"/>
        <w:gridCol w:w="900"/>
        <w:gridCol w:w="1260"/>
        <w:gridCol w:w="1080"/>
        <w:gridCol w:w="900"/>
        <w:gridCol w:w="900"/>
        <w:gridCol w:w="1350"/>
      </w:tblGrid>
      <w:tr w:rsidR="00A92D0B" w:rsidRPr="007F620E" w:rsidTr="00FD1C37">
        <w:tc>
          <w:tcPr>
            <w:tcW w:w="5755" w:type="dxa"/>
            <w:gridSpan w:val="8"/>
            <w:tcBorders>
              <w:bottom w:val="single" w:sz="4" w:space="0" w:color="auto"/>
              <w:right w:val="single" w:sz="24" w:space="0" w:color="auto"/>
            </w:tcBorders>
            <w:shd w:val="clear" w:color="auto" w:fill="auto"/>
          </w:tcPr>
          <w:p w:rsidR="00A92D0B" w:rsidRPr="00784940" w:rsidRDefault="00A92D0B" w:rsidP="00DE3A5D">
            <w:pPr>
              <w:keepNext/>
              <w:keepLines/>
              <w:spacing w:before="60" w:after="60"/>
              <w:jc w:val="center"/>
              <w:rPr>
                <w:smallCaps/>
                <w:color w:val="000000"/>
              </w:rPr>
            </w:pPr>
            <w:r w:rsidRPr="00784940">
              <w:rPr>
                <w:smallCaps/>
                <w:color w:val="000000"/>
              </w:rPr>
              <w:t>Claimed</w:t>
            </w:r>
          </w:p>
        </w:tc>
        <w:tc>
          <w:tcPr>
            <w:tcW w:w="3150" w:type="dxa"/>
            <w:gridSpan w:val="3"/>
            <w:tcBorders>
              <w:left w:val="single" w:sz="24" w:space="0" w:color="auto"/>
              <w:bottom w:val="single" w:sz="4" w:space="0" w:color="auto"/>
            </w:tcBorders>
            <w:shd w:val="clear" w:color="auto" w:fill="auto"/>
          </w:tcPr>
          <w:p w:rsidR="00A92D0B" w:rsidRPr="00784940" w:rsidRDefault="00A92D0B" w:rsidP="00DE3A5D">
            <w:pPr>
              <w:keepNext/>
              <w:keepLines/>
              <w:spacing w:before="60" w:after="60"/>
              <w:jc w:val="center"/>
              <w:rPr>
                <w:smallCaps/>
                <w:color w:val="000000"/>
              </w:rPr>
            </w:pPr>
            <w:r w:rsidRPr="00784940">
              <w:rPr>
                <w:smallCaps/>
                <w:color w:val="000000"/>
              </w:rPr>
              <w:t>CPUC Award</w:t>
            </w:r>
          </w:p>
        </w:tc>
      </w:tr>
      <w:tr w:rsidR="00A92D0B" w:rsidRPr="007F620E" w:rsidTr="00D70E8E">
        <w:tc>
          <w:tcPr>
            <w:tcW w:w="8905" w:type="dxa"/>
            <w:gridSpan w:val="11"/>
            <w:tcBorders>
              <w:top w:val="single" w:sz="4" w:space="0" w:color="auto"/>
              <w:left w:val="single" w:sz="4" w:space="0" w:color="auto"/>
              <w:bottom w:val="single" w:sz="4" w:space="0" w:color="auto"/>
              <w:right w:val="single" w:sz="4" w:space="0" w:color="auto"/>
            </w:tcBorders>
            <w:shd w:val="clear" w:color="auto" w:fill="E6E6E6"/>
          </w:tcPr>
          <w:p w:rsidR="00A92D0B" w:rsidRPr="00784940" w:rsidRDefault="00A92D0B" w:rsidP="00DE3A5D">
            <w:pPr>
              <w:keepNext/>
              <w:keepLines/>
              <w:spacing w:before="60" w:after="60"/>
              <w:jc w:val="center"/>
            </w:pPr>
            <w:r w:rsidRPr="00784940">
              <w:t>ATTORNEY, EXPERT, AND ADVOCATE FEES</w:t>
            </w:r>
          </w:p>
        </w:tc>
      </w:tr>
      <w:tr w:rsidR="00A92D0B" w:rsidRPr="00784940" w:rsidTr="00FD1C37">
        <w:tc>
          <w:tcPr>
            <w:tcW w:w="985" w:type="dxa"/>
            <w:gridSpan w:val="2"/>
            <w:tcBorders>
              <w:top w:val="single" w:sz="4" w:space="0" w:color="auto"/>
              <w:bottom w:val="single" w:sz="4" w:space="0" w:color="auto"/>
            </w:tcBorders>
            <w:shd w:val="clear" w:color="auto" w:fill="auto"/>
            <w:vAlign w:val="bottom"/>
          </w:tcPr>
          <w:p w:rsidR="00A92D0B" w:rsidRPr="00D70E8E" w:rsidRDefault="00A92D0B" w:rsidP="00DE3A5D">
            <w:pPr>
              <w:keepNext/>
              <w:keepLines/>
              <w:spacing w:before="60" w:after="60"/>
              <w:jc w:val="center"/>
              <w:rPr>
                <w:color w:val="000000"/>
                <w:sz w:val="20"/>
                <w:szCs w:val="20"/>
              </w:rPr>
            </w:pPr>
            <w:r w:rsidRPr="00D70E8E">
              <w:rPr>
                <w:color w:val="000000"/>
                <w:sz w:val="20"/>
                <w:szCs w:val="20"/>
              </w:rPr>
              <w:t>Item</w:t>
            </w:r>
          </w:p>
        </w:tc>
        <w:tc>
          <w:tcPr>
            <w:tcW w:w="810" w:type="dxa"/>
            <w:tcBorders>
              <w:top w:val="single" w:sz="4" w:space="0" w:color="auto"/>
              <w:bottom w:val="single" w:sz="4" w:space="0" w:color="auto"/>
            </w:tcBorders>
            <w:shd w:val="clear" w:color="auto" w:fill="auto"/>
            <w:vAlign w:val="bottom"/>
          </w:tcPr>
          <w:p w:rsidR="00A92D0B" w:rsidRPr="00D70E8E" w:rsidRDefault="00A92D0B" w:rsidP="00DE3A5D">
            <w:pPr>
              <w:keepNext/>
              <w:keepLines/>
              <w:spacing w:before="60" w:after="60"/>
              <w:jc w:val="center"/>
              <w:rPr>
                <w:color w:val="000000"/>
                <w:sz w:val="20"/>
                <w:szCs w:val="20"/>
              </w:rPr>
            </w:pPr>
            <w:r w:rsidRPr="00D70E8E">
              <w:rPr>
                <w:color w:val="000000"/>
                <w:sz w:val="20"/>
                <w:szCs w:val="20"/>
              </w:rPr>
              <w:t>Year</w:t>
            </w:r>
          </w:p>
        </w:tc>
        <w:tc>
          <w:tcPr>
            <w:tcW w:w="720" w:type="dxa"/>
            <w:gridSpan w:val="2"/>
            <w:tcBorders>
              <w:top w:val="single" w:sz="4" w:space="0" w:color="auto"/>
              <w:bottom w:val="single" w:sz="4" w:space="0" w:color="auto"/>
            </w:tcBorders>
            <w:shd w:val="clear" w:color="auto" w:fill="auto"/>
            <w:vAlign w:val="bottom"/>
          </w:tcPr>
          <w:p w:rsidR="00A92D0B" w:rsidRPr="00D70E8E" w:rsidRDefault="00A92D0B" w:rsidP="00DE3A5D">
            <w:pPr>
              <w:keepNext/>
              <w:keepLines/>
              <w:spacing w:before="60" w:after="60"/>
              <w:jc w:val="center"/>
              <w:rPr>
                <w:color w:val="000000"/>
                <w:sz w:val="20"/>
                <w:szCs w:val="20"/>
              </w:rPr>
            </w:pPr>
            <w:r w:rsidRPr="00D70E8E">
              <w:rPr>
                <w:color w:val="000000"/>
                <w:sz w:val="20"/>
                <w:szCs w:val="20"/>
              </w:rPr>
              <w:t>Hours</w:t>
            </w:r>
          </w:p>
        </w:tc>
        <w:tc>
          <w:tcPr>
            <w:tcW w:w="900" w:type="dxa"/>
            <w:tcBorders>
              <w:top w:val="single" w:sz="4" w:space="0" w:color="auto"/>
              <w:bottom w:val="single" w:sz="4" w:space="0" w:color="auto"/>
            </w:tcBorders>
            <w:shd w:val="clear" w:color="auto" w:fill="auto"/>
            <w:vAlign w:val="bottom"/>
          </w:tcPr>
          <w:p w:rsidR="00A92D0B" w:rsidRPr="00D70E8E" w:rsidRDefault="00A92D0B" w:rsidP="00DE3A5D">
            <w:pPr>
              <w:keepNext/>
              <w:keepLines/>
              <w:spacing w:before="60" w:after="60"/>
              <w:jc w:val="center"/>
              <w:rPr>
                <w:color w:val="000000"/>
                <w:sz w:val="20"/>
                <w:szCs w:val="20"/>
              </w:rPr>
            </w:pPr>
            <w:r w:rsidRPr="00D70E8E">
              <w:rPr>
                <w:color w:val="000000"/>
                <w:sz w:val="20"/>
                <w:szCs w:val="20"/>
              </w:rPr>
              <w:t>Rate</w:t>
            </w:r>
            <w:r w:rsidR="00E3786F" w:rsidRPr="00D70E8E">
              <w:rPr>
                <w:color w:val="000000"/>
                <w:sz w:val="20"/>
                <w:szCs w:val="20"/>
              </w:rPr>
              <w:t xml:space="preserve"> $</w:t>
            </w:r>
          </w:p>
        </w:tc>
        <w:tc>
          <w:tcPr>
            <w:tcW w:w="1260" w:type="dxa"/>
            <w:tcBorders>
              <w:top w:val="single" w:sz="4" w:space="0" w:color="auto"/>
              <w:bottom w:val="single" w:sz="4" w:space="0" w:color="auto"/>
              <w:right w:val="single" w:sz="4" w:space="0" w:color="auto"/>
            </w:tcBorders>
            <w:shd w:val="clear" w:color="auto" w:fill="auto"/>
            <w:vAlign w:val="bottom"/>
          </w:tcPr>
          <w:p w:rsidR="00A92D0B" w:rsidRPr="00D70E8E" w:rsidRDefault="00A92D0B" w:rsidP="00DE3A5D">
            <w:pPr>
              <w:keepNext/>
              <w:keepLines/>
              <w:spacing w:before="60" w:after="60"/>
              <w:jc w:val="center"/>
              <w:rPr>
                <w:color w:val="000000"/>
                <w:sz w:val="20"/>
                <w:szCs w:val="20"/>
              </w:rPr>
            </w:pPr>
            <w:r w:rsidRPr="00D70E8E">
              <w:rPr>
                <w:color w:val="000000"/>
                <w:sz w:val="20"/>
                <w:szCs w:val="20"/>
              </w:rPr>
              <w:t>Basis for Rate*</w:t>
            </w:r>
          </w:p>
        </w:tc>
        <w:tc>
          <w:tcPr>
            <w:tcW w:w="1080" w:type="dxa"/>
            <w:tcBorders>
              <w:top w:val="single" w:sz="4" w:space="0" w:color="auto"/>
              <w:left w:val="single" w:sz="4" w:space="0" w:color="auto"/>
              <w:bottom w:val="single" w:sz="4" w:space="0" w:color="auto"/>
              <w:right w:val="single" w:sz="24" w:space="0" w:color="auto"/>
            </w:tcBorders>
            <w:shd w:val="clear" w:color="auto" w:fill="auto"/>
            <w:vAlign w:val="bottom"/>
          </w:tcPr>
          <w:p w:rsidR="00A92D0B" w:rsidRPr="00D70E8E" w:rsidRDefault="00A92D0B" w:rsidP="00DE3A5D">
            <w:pPr>
              <w:keepNext/>
              <w:keepLines/>
              <w:spacing w:before="60" w:after="60"/>
              <w:jc w:val="center"/>
              <w:rPr>
                <w:color w:val="000000"/>
                <w:sz w:val="20"/>
                <w:szCs w:val="20"/>
              </w:rPr>
            </w:pPr>
            <w:r w:rsidRPr="00D70E8E">
              <w:rPr>
                <w:color w:val="000000"/>
                <w:sz w:val="20"/>
                <w:szCs w:val="20"/>
              </w:rPr>
              <w:t>Total $</w:t>
            </w:r>
          </w:p>
        </w:tc>
        <w:tc>
          <w:tcPr>
            <w:tcW w:w="900" w:type="dxa"/>
            <w:tcBorders>
              <w:top w:val="single" w:sz="4" w:space="0" w:color="auto"/>
              <w:left w:val="single" w:sz="4" w:space="0" w:color="auto"/>
            </w:tcBorders>
            <w:shd w:val="clear" w:color="auto" w:fill="auto"/>
            <w:vAlign w:val="bottom"/>
          </w:tcPr>
          <w:p w:rsidR="00A92D0B" w:rsidRPr="00D70E8E" w:rsidRDefault="00A92D0B" w:rsidP="00DE3A5D">
            <w:pPr>
              <w:keepNext/>
              <w:keepLines/>
              <w:spacing w:before="60" w:after="60"/>
              <w:jc w:val="center"/>
              <w:rPr>
                <w:color w:val="000000"/>
                <w:sz w:val="20"/>
                <w:szCs w:val="20"/>
              </w:rPr>
            </w:pPr>
            <w:r w:rsidRPr="00D70E8E">
              <w:rPr>
                <w:color w:val="000000"/>
                <w:sz w:val="20"/>
                <w:szCs w:val="20"/>
              </w:rPr>
              <w:t>Hours</w:t>
            </w:r>
          </w:p>
        </w:tc>
        <w:tc>
          <w:tcPr>
            <w:tcW w:w="900" w:type="dxa"/>
            <w:tcBorders>
              <w:top w:val="single" w:sz="4" w:space="0" w:color="auto"/>
            </w:tcBorders>
            <w:shd w:val="clear" w:color="auto" w:fill="auto"/>
            <w:vAlign w:val="bottom"/>
          </w:tcPr>
          <w:p w:rsidR="00A92D0B" w:rsidRPr="00D70E8E" w:rsidRDefault="00A92D0B" w:rsidP="00DE3A5D">
            <w:pPr>
              <w:keepNext/>
              <w:keepLines/>
              <w:spacing w:before="60" w:after="60"/>
              <w:jc w:val="center"/>
              <w:rPr>
                <w:color w:val="000000"/>
                <w:sz w:val="20"/>
                <w:szCs w:val="20"/>
              </w:rPr>
            </w:pPr>
            <w:r w:rsidRPr="00D70E8E">
              <w:rPr>
                <w:color w:val="000000"/>
                <w:sz w:val="20"/>
                <w:szCs w:val="20"/>
              </w:rPr>
              <w:t>Rate</w:t>
            </w:r>
            <w:r w:rsidR="00E3786F" w:rsidRPr="00D70E8E">
              <w:rPr>
                <w:color w:val="000000"/>
                <w:sz w:val="20"/>
                <w:szCs w:val="20"/>
              </w:rPr>
              <w:t xml:space="preserve"> $</w:t>
            </w:r>
          </w:p>
        </w:tc>
        <w:tc>
          <w:tcPr>
            <w:tcW w:w="1350" w:type="dxa"/>
            <w:tcBorders>
              <w:top w:val="single" w:sz="4" w:space="0" w:color="auto"/>
            </w:tcBorders>
            <w:shd w:val="clear" w:color="auto" w:fill="auto"/>
            <w:vAlign w:val="bottom"/>
          </w:tcPr>
          <w:p w:rsidR="00A92D0B" w:rsidRPr="00D70E8E" w:rsidRDefault="00A92D0B" w:rsidP="00DE3A5D">
            <w:pPr>
              <w:keepNext/>
              <w:keepLines/>
              <w:spacing w:before="60" w:after="60"/>
              <w:jc w:val="center"/>
              <w:rPr>
                <w:color w:val="000000"/>
                <w:sz w:val="20"/>
                <w:szCs w:val="20"/>
              </w:rPr>
            </w:pPr>
            <w:r w:rsidRPr="00D70E8E">
              <w:rPr>
                <w:color w:val="000000"/>
                <w:sz w:val="20"/>
                <w:szCs w:val="20"/>
              </w:rPr>
              <w:t>Total $</w:t>
            </w:r>
          </w:p>
        </w:tc>
      </w:tr>
      <w:tr w:rsidR="00A92D0B" w:rsidRPr="00784940" w:rsidTr="00FD1C37">
        <w:tc>
          <w:tcPr>
            <w:tcW w:w="985" w:type="dxa"/>
            <w:gridSpan w:val="2"/>
            <w:shd w:val="clear" w:color="auto" w:fill="auto"/>
          </w:tcPr>
          <w:p w:rsidR="00A92D0B" w:rsidRPr="00D70E8E" w:rsidRDefault="00DE463B" w:rsidP="00A92D0B">
            <w:pPr>
              <w:spacing w:before="60" w:after="60"/>
              <w:rPr>
                <w:color w:val="000000"/>
                <w:sz w:val="20"/>
                <w:szCs w:val="20"/>
              </w:rPr>
            </w:pPr>
            <w:r w:rsidRPr="00D70E8E">
              <w:rPr>
                <w:color w:val="000000"/>
                <w:sz w:val="20"/>
                <w:szCs w:val="20"/>
              </w:rPr>
              <w:t>Lisa McGhee</w:t>
            </w:r>
            <w:r w:rsidR="00A92D0B" w:rsidRPr="00D70E8E">
              <w:rPr>
                <w:color w:val="000000"/>
                <w:sz w:val="20"/>
                <w:szCs w:val="20"/>
              </w:rPr>
              <w:t xml:space="preserve">   </w:t>
            </w:r>
          </w:p>
        </w:tc>
        <w:tc>
          <w:tcPr>
            <w:tcW w:w="810" w:type="dxa"/>
            <w:shd w:val="clear" w:color="auto" w:fill="auto"/>
          </w:tcPr>
          <w:p w:rsidR="00A92D0B" w:rsidRPr="00D70E8E" w:rsidRDefault="00DE463B" w:rsidP="00380703">
            <w:pPr>
              <w:spacing w:before="60" w:after="60"/>
              <w:jc w:val="center"/>
              <w:rPr>
                <w:color w:val="000000"/>
                <w:sz w:val="20"/>
                <w:szCs w:val="20"/>
              </w:rPr>
            </w:pPr>
            <w:r w:rsidRPr="00D70E8E">
              <w:rPr>
                <w:color w:val="000000"/>
                <w:sz w:val="20"/>
                <w:szCs w:val="20"/>
              </w:rPr>
              <w:t>2016</w:t>
            </w:r>
          </w:p>
        </w:tc>
        <w:tc>
          <w:tcPr>
            <w:tcW w:w="720" w:type="dxa"/>
            <w:gridSpan w:val="2"/>
            <w:shd w:val="clear" w:color="auto" w:fill="auto"/>
          </w:tcPr>
          <w:p w:rsidR="00A92D0B" w:rsidRPr="00D70E8E" w:rsidRDefault="00B07000" w:rsidP="00380703">
            <w:pPr>
              <w:spacing w:before="60" w:after="60"/>
              <w:jc w:val="right"/>
              <w:rPr>
                <w:color w:val="000000"/>
                <w:sz w:val="20"/>
                <w:szCs w:val="20"/>
              </w:rPr>
            </w:pPr>
            <w:r w:rsidRPr="00D70E8E">
              <w:rPr>
                <w:color w:val="000000"/>
                <w:sz w:val="20"/>
                <w:szCs w:val="20"/>
              </w:rPr>
              <w:t>83</w:t>
            </w:r>
          </w:p>
        </w:tc>
        <w:tc>
          <w:tcPr>
            <w:tcW w:w="900" w:type="dxa"/>
            <w:shd w:val="clear" w:color="auto" w:fill="auto"/>
          </w:tcPr>
          <w:p w:rsidR="00A92D0B" w:rsidRPr="00D70E8E" w:rsidRDefault="00DE463B" w:rsidP="00380703">
            <w:pPr>
              <w:spacing w:before="60" w:after="60"/>
              <w:jc w:val="center"/>
              <w:rPr>
                <w:color w:val="000000"/>
                <w:sz w:val="20"/>
                <w:szCs w:val="20"/>
              </w:rPr>
            </w:pPr>
            <w:r w:rsidRPr="00D70E8E">
              <w:rPr>
                <w:color w:val="000000"/>
                <w:sz w:val="20"/>
                <w:szCs w:val="20"/>
              </w:rPr>
              <w:t>$100</w:t>
            </w:r>
          </w:p>
        </w:tc>
        <w:tc>
          <w:tcPr>
            <w:tcW w:w="1260" w:type="dxa"/>
            <w:tcBorders>
              <w:right w:val="single" w:sz="4" w:space="0" w:color="auto"/>
            </w:tcBorders>
            <w:shd w:val="clear" w:color="auto" w:fill="auto"/>
          </w:tcPr>
          <w:p w:rsidR="00A92D0B" w:rsidRPr="00D70E8E" w:rsidRDefault="00DE463B" w:rsidP="00380703">
            <w:pPr>
              <w:spacing w:before="60" w:after="60"/>
              <w:jc w:val="right"/>
              <w:rPr>
                <w:color w:val="000000"/>
                <w:sz w:val="20"/>
                <w:szCs w:val="20"/>
              </w:rPr>
            </w:pPr>
            <w:r w:rsidRPr="00D70E8E">
              <w:rPr>
                <w:color w:val="000000"/>
                <w:sz w:val="20"/>
                <w:szCs w:val="20"/>
              </w:rPr>
              <w:t>See attached Rate Justification</w:t>
            </w:r>
          </w:p>
        </w:tc>
        <w:tc>
          <w:tcPr>
            <w:tcW w:w="1080" w:type="dxa"/>
            <w:tcBorders>
              <w:top w:val="single" w:sz="4" w:space="0" w:color="auto"/>
              <w:left w:val="single" w:sz="4" w:space="0" w:color="auto"/>
              <w:bottom w:val="single" w:sz="4" w:space="0" w:color="auto"/>
              <w:right w:val="single" w:sz="24" w:space="0" w:color="auto"/>
            </w:tcBorders>
            <w:shd w:val="clear" w:color="auto" w:fill="auto"/>
          </w:tcPr>
          <w:p w:rsidR="00A92D0B" w:rsidRPr="00D70E8E" w:rsidRDefault="00B07000" w:rsidP="00380703">
            <w:pPr>
              <w:spacing w:before="60" w:after="60"/>
              <w:jc w:val="right"/>
              <w:rPr>
                <w:color w:val="000000"/>
                <w:sz w:val="20"/>
                <w:szCs w:val="20"/>
              </w:rPr>
            </w:pPr>
            <w:r w:rsidRPr="00D70E8E">
              <w:rPr>
                <w:color w:val="000000"/>
                <w:sz w:val="20"/>
                <w:szCs w:val="20"/>
              </w:rPr>
              <w:t>$8,300</w:t>
            </w:r>
          </w:p>
        </w:tc>
        <w:tc>
          <w:tcPr>
            <w:tcW w:w="900" w:type="dxa"/>
            <w:tcBorders>
              <w:left w:val="single" w:sz="4" w:space="0" w:color="auto"/>
            </w:tcBorders>
            <w:shd w:val="clear" w:color="auto" w:fill="auto"/>
          </w:tcPr>
          <w:p w:rsidR="00A92D0B" w:rsidRPr="00D70E8E" w:rsidRDefault="00FD1C37" w:rsidP="00FD1C37">
            <w:pPr>
              <w:spacing w:before="60" w:after="60"/>
              <w:jc w:val="center"/>
              <w:rPr>
                <w:color w:val="000000"/>
                <w:sz w:val="20"/>
                <w:szCs w:val="20"/>
              </w:rPr>
            </w:pPr>
            <w:r>
              <w:rPr>
                <w:color w:val="000000"/>
                <w:sz w:val="20"/>
                <w:szCs w:val="20"/>
              </w:rPr>
              <w:t>78.00 [B]</w:t>
            </w:r>
          </w:p>
        </w:tc>
        <w:tc>
          <w:tcPr>
            <w:tcW w:w="900" w:type="dxa"/>
            <w:shd w:val="clear" w:color="auto" w:fill="auto"/>
          </w:tcPr>
          <w:p w:rsidR="00A92D0B" w:rsidRPr="00D70E8E" w:rsidRDefault="0011124F" w:rsidP="00380703">
            <w:pPr>
              <w:spacing w:before="60" w:after="60"/>
              <w:jc w:val="center"/>
              <w:rPr>
                <w:color w:val="000000"/>
                <w:sz w:val="20"/>
                <w:szCs w:val="20"/>
              </w:rPr>
            </w:pPr>
            <w:r>
              <w:rPr>
                <w:color w:val="000000"/>
                <w:sz w:val="20"/>
                <w:szCs w:val="20"/>
              </w:rPr>
              <w:t>$100.00 [A]</w:t>
            </w:r>
          </w:p>
        </w:tc>
        <w:tc>
          <w:tcPr>
            <w:tcW w:w="1350" w:type="dxa"/>
            <w:shd w:val="clear" w:color="auto" w:fill="auto"/>
          </w:tcPr>
          <w:p w:rsidR="00A92D0B" w:rsidRPr="00D70E8E" w:rsidRDefault="00FD1C37" w:rsidP="00380703">
            <w:pPr>
              <w:spacing w:before="60" w:after="60"/>
              <w:jc w:val="right"/>
              <w:rPr>
                <w:color w:val="000000"/>
                <w:sz w:val="20"/>
                <w:szCs w:val="20"/>
              </w:rPr>
            </w:pPr>
            <w:r>
              <w:rPr>
                <w:color w:val="000000"/>
                <w:sz w:val="20"/>
                <w:szCs w:val="20"/>
              </w:rPr>
              <w:t>$7,800.00</w:t>
            </w:r>
          </w:p>
        </w:tc>
      </w:tr>
      <w:tr w:rsidR="00DE463B" w:rsidRPr="00784940" w:rsidTr="00FD1C37">
        <w:tc>
          <w:tcPr>
            <w:tcW w:w="985" w:type="dxa"/>
            <w:gridSpan w:val="2"/>
            <w:shd w:val="clear" w:color="auto" w:fill="auto"/>
          </w:tcPr>
          <w:p w:rsidR="00DE463B" w:rsidRPr="00D70E8E" w:rsidRDefault="00DE463B" w:rsidP="00DE463B">
            <w:pPr>
              <w:spacing w:before="60" w:after="60"/>
              <w:rPr>
                <w:color w:val="000000"/>
                <w:sz w:val="20"/>
                <w:szCs w:val="20"/>
              </w:rPr>
            </w:pPr>
            <w:r w:rsidRPr="00D70E8E">
              <w:rPr>
                <w:color w:val="000000"/>
                <w:sz w:val="20"/>
                <w:szCs w:val="20"/>
              </w:rPr>
              <w:t>Lisa McGhee</w:t>
            </w:r>
          </w:p>
        </w:tc>
        <w:tc>
          <w:tcPr>
            <w:tcW w:w="810" w:type="dxa"/>
            <w:shd w:val="clear" w:color="auto" w:fill="auto"/>
          </w:tcPr>
          <w:p w:rsidR="00DE463B" w:rsidRPr="00D70E8E" w:rsidRDefault="00DE463B" w:rsidP="00DE463B">
            <w:pPr>
              <w:spacing w:before="60" w:after="60"/>
              <w:jc w:val="center"/>
              <w:rPr>
                <w:color w:val="000000"/>
                <w:sz w:val="20"/>
                <w:szCs w:val="20"/>
              </w:rPr>
            </w:pPr>
            <w:r w:rsidRPr="00D70E8E">
              <w:rPr>
                <w:color w:val="000000"/>
                <w:sz w:val="20"/>
                <w:szCs w:val="20"/>
              </w:rPr>
              <w:t>2017</w:t>
            </w:r>
          </w:p>
        </w:tc>
        <w:tc>
          <w:tcPr>
            <w:tcW w:w="720" w:type="dxa"/>
            <w:gridSpan w:val="2"/>
            <w:shd w:val="clear" w:color="auto" w:fill="auto"/>
          </w:tcPr>
          <w:p w:rsidR="00DE463B" w:rsidRPr="00D70E8E" w:rsidRDefault="00724FBD" w:rsidP="00DE463B">
            <w:pPr>
              <w:spacing w:before="60" w:after="60"/>
              <w:jc w:val="right"/>
              <w:rPr>
                <w:color w:val="000000"/>
                <w:sz w:val="20"/>
                <w:szCs w:val="20"/>
              </w:rPr>
            </w:pPr>
            <w:r w:rsidRPr="00D70E8E">
              <w:rPr>
                <w:color w:val="000000"/>
                <w:sz w:val="20"/>
                <w:szCs w:val="20"/>
              </w:rPr>
              <w:t>102</w:t>
            </w:r>
          </w:p>
        </w:tc>
        <w:tc>
          <w:tcPr>
            <w:tcW w:w="900" w:type="dxa"/>
            <w:shd w:val="clear" w:color="auto" w:fill="auto"/>
          </w:tcPr>
          <w:p w:rsidR="00DE463B" w:rsidRPr="00D70E8E" w:rsidRDefault="00DE463B" w:rsidP="00DE463B">
            <w:pPr>
              <w:spacing w:before="60" w:after="60"/>
              <w:jc w:val="center"/>
              <w:rPr>
                <w:color w:val="000000"/>
                <w:sz w:val="20"/>
                <w:szCs w:val="20"/>
              </w:rPr>
            </w:pPr>
            <w:r w:rsidRPr="00D70E8E">
              <w:rPr>
                <w:color w:val="000000"/>
                <w:sz w:val="20"/>
                <w:szCs w:val="20"/>
              </w:rPr>
              <w:t>$100</w:t>
            </w:r>
          </w:p>
        </w:tc>
        <w:tc>
          <w:tcPr>
            <w:tcW w:w="1260" w:type="dxa"/>
            <w:tcBorders>
              <w:right w:val="single" w:sz="4" w:space="0" w:color="auto"/>
            </w:tcBorders>
            <w:shd w:val="clear" w:color="auto" w:fill="auto"/>
          </w:tcPr>
          <w:p w:rsidR="00DE463B" w:rsidRPr="00D70E8E" w:rsidRDefault="00DE463B" w:rsidP="00DE463B">
            <w:pPr>
              <w:spacing w:before="60" w:after="60"/>
              <w:jc w:val="right"/>
              <w:rPr>
                <w:color w:val="000000"/>
                <w:sz w:val="20"/>
                <w:szCs w:val="20"/>
              </w:rPr>
            </w:pPr>
            <w:r w:rsidRPr="00D70E8E">
              <w:rPr>
                <w:color w:val="000000"/>
                <w:sz w:val="20"/>
                <w:szCs w:val="20"/>
              </w:rPr>
              <w:t>See attached Rate Justification</w:t>
            </w:r>
          </w:p>
        </w:tc>
        <w:tc>
          <w:tcPr>
            <w:tcW w:w="1080" w:type="dxa"/>
            <w:tcBorders>
              <w:top w:val="single" w:sz="4" w:space="0" w:color="auto"/>
              <w:left w:val="single" w:sz="4" w:space="0" w:color="auto"/>
              <w:bottom w:val="single" w:sz="4" w:space="0" w:color="auto"/>
              <w:right w:val="single" w:sz="24" w:space="0" w:color="auto"/>
            </w:tcBorders>
            <w:shd w:val="clear" w:color="auto" w:fill="auto"/>
          </w:tcPr>
          <w:p w:rsidR="00DE463B" w:rsidRPr="00D70E8E" w:rsidRDefault="00B07000" w:rsidP="00DE463B">
            <w:pPr>
              <w:spacing w:before="60" w:after="60"/>
              <w:jc w:val="right"/>
              <w:rPr>
                <w:color w:val="000000"/>
                <w:sz w:val="20"/>
                <w:szCs w:val="20"/>
              </w:rPr>
            </w:pPr>
            <w:r w:rsidRPr="00D70E8E">
              <w:rPr>
                <w:color w:val="000000"/>
                <w:sz w:val="20"/>
                <w:szCs w:val="20"/>
              </w:rPr>
              <w:t>$</w:t>
            </w:r>
            <w:r w:rsidR="00724FBD" w:rsidRPr="00D70E8E">
              <w:rPr>
                <w:color w:val="000000"/>
                <w:sz w:val="20"/>
                <w:szCs w:val="20"/>
              </w:rPr>
              <w:t>10,2</w:t>
            </w:r>
            <w:r w:rsidRPr="00D70E8E">
              <w:rPr>
                <w:color w:val="000000"/>
                <w:sz w:val="20"/>
                <w:szCs w:val="20"/>
              </w:rPr>
              <w:t>00</w:t>
            </w:r>
          </w:p>
        </w:tc>
        <w:tc>
          <w:tcPr>
            <w:tcW w:w="900" w:type="dxa"/>
            <w:tcBorders>
              <w:left w:val="single" w:sz="4" w:space="0" w:color="auto"/>
            </w:tcBorders>
            <w:shd w:val="clear" w:color="auto" w:fill="auto"/>
          </w:tcPr>
          <w:p w:rsidR="00DE463B" w:rsidRPr="00D70E8E" w:rsidRDefault="00FD1C37" w:rsidP="00FD1C37">
            <w:pPr>
              <w:spacing w:before="60" w:after="60"/>
              <w:jc w:val="center"/>
              <w:rPr>
                <w:color w:val="000000"/>
                <w:sz w:val="20"/>
                <w:szCs w:val="20"/>
              </w:rPr>
            </w:pPr>
            <w:r>
              <w:rPr>
                <w:color w:val="000000"/>
                <w:sz w:val="20"/>
                <w:szCs w:val="20"/>
              </w:rPr>
              <w:t>81.90 [C]</w:t>
            </w:r>
          </w:p>
        </w:tc>
        <w:tc>
          <w:tcPr>
            <w:tcW w:w="900" w:type="dxa"/>
            <w:shd w:val="clear" w:color="auto" w:fill="auto"/>
          </w:tcPr>
          <w:p w:rsidR="00DE463B" w:rsidRPr="00D70E8E" w:rsidRDefault="0011124F" w:rsidP="00DE463B">
            <w:pPr>
              <w:spacing w:before="60" w:after="60"/>
              <w:jc w:val="center"/>
              <w:rPr>
                <w:color w:val="000000"/>
                <w:sz w:val="20"/>
                <w:szCs w:val="20"/>
              </w:rPr>
            </w:pPr>
            <w:r>
              <w:rPr>
                <w:color w:val="000000"/>
                <w:sz w:val="20"/>
                <w:szCs w:val="20"/>
              </w:rPr>
              <w:t>$100.00 [A]</w:t>
            </w:r>
          </w:p>
        </w:tc>
        <w:tc>
          <w:tcPr>
            <w:tcW w:w="1350" w:type="dxa"/>
            <w:shd w:val="clear" w:color="auto" w:fill="auto"/>
          </w:tcPr>
          <w:p w:rsidR="00DE463B" w:rsidRPr="00D70E8E" w:rsidRDefault="00FD1C37" w:rsidP="00DE463B">
            <w:pPr>
              <w:spacing w:before="60" w:after="60"/>
              <w:jc w:val="right"/>
              <w:rPr>
                <w:color w:val="000000"/>
                <w:sz w:val="20"/>
                <w:szCs w:val="20"/>
              </w:rPr>
            </w:pPr>
            <w:r>
              <w:rPr>
                <w:color w:val="000000"/>
                <w:sz w:val="20"/>
                <w:szCs w:val="20"/>
              </w:rPr>
              <w:t>$8,190.00</w:t>
            </w:r>
          </w:p>
        </w:tc>
      </w:tr>
      <w:tr w:rsidR="00DE463B" w:rsidRPr="00784940" w:rsidTr="00FD1C37">
        <w:tc>
          <w:tcPr>
            <w:tcW w:w="985" w:type="dxa"/>
            <w:gridSpan w:val="2"/>
            <w:shd w:val="clear" w:color="auto" w:fill="auto"/>
          </w:tcPr>
          <w:p w:rsidR="00DE463B" w:rsidRPr="00D70E8E" w:rsidRDefault="00DE463B" w:rsidP="00DE463B">
            <w:pPr>
              <w:spacing w:before="60" w:after="60"/>
              <w:rPr>
                <w:color w:val="000000"/>
                <w:sz w:val="20"/>
                <w:szCs w:val="20"/>
              </w:rPr>
            </w:pPr>
            <w:r w:rsidRPr="00D70E8E">
              <w:rPr>
                <w:color w:val="000000"/>
                <w:sz w:val="20"/>
                <w:szCs w:val="20"/>
              </w:rPr>
              <w:t>Lisa McGhee</w:t>
            </w:r>
          </w:p>
        </w:tc>
        <w:tc>
          <w:tcPr>
            <w:tcW w:w="810" w:type="dxa"/>
            <w:shd w:val="clear" w:color="auto" w:fill="auto"/>
          </w:tcPr>
          <w:p w:rsidR="00DE463B" w:rsidRPr="00D70E8E" w:rsidRDefault="00DE463B" w:rsidP="00DE463B">
            <w:pPr>
              <w:spacing w:before="60" w:after="60"/>
              <w:jc w:val="center"/>
              <w:rPr>
                <w:color w:val="000000"/>
                <w:sz w:val="20"/>
                <w:szCs w:val="20"/>
              </w:rPr>
            </w:pPr>
            <w:r w:rsidRPr="00D70E8E">
              <w:rPr>
                <w:color w:val="000000"/>
                <w:sz w:val="20"/>
                <w:szCs w:val="20"/>
              </w:rPr>
              <w:t>2018</w:t>
            </w:r>
          </w:p>
        </w:tc>
        <w:tc>
          <w:tcPr>
            <w:tcW w:w="720" w:type="dxa"/>
            <w:gridSpan w:val="2"/>
            <w:shd w:val="clear" w:color="auto" w:fill="auto"/>
          </w:tcPr>
          <w:p w:rsidR="00DE463B" w:rsidRPr="00D70E8E" w:rsidRDefault="0091689E" w:rsidP="00DE463B">
            <w:pPr>
              <w:spacing w:before="60" w:after="60"/>
              <w:jc w:val="right"/>
              <w:rPr>
                <w:color w:val="000000"/>
                <w:sz w:val="20"/>
                <w:szCs w:val="20"/>
              </w:rPr>
            </w:pPr>
            <w:r w:rsidRPr="00D70E8E">
              <w:rPr>
                <w:color w:val="000000"/>
                <w:sz w:val="20"/>
                <w:szCs w:val="20"/>
              </w:rPr>
              <w:t>6</w:t>
            </w:r>
          </w:p>
        </w:tc>
        <w:tc>
          <w:tcPr>
            <w:tcW w:w="900" w:type="dxa"/>
            <w:shd w:val="clear" w:color="auto" w:fill="auto"/>
          </w:tcPr>
          <w:p w:rsidR="00DE463B" w:rsidRPr="00D70E8E" w:rsidRDefault="00DE463B" w:rsidP="00DE463B">
            <w:pPr>
              <w:spacing w:before="60" w:after="60"/>
              <w:jc w:val="center"/>
              <w:rPr>
                <w:color w:val="000000"/>
                <w:sz w:val="20"/>
                <w:szCs w:val="20"/>
              </w:rPr>
            </w:pPr>
            <w:r w:rsidRPr="00D70E8E">
              <w:rPr>
                <w:color w:val="000000"/>
                <w:sz w:val="20"/>
                <w:szCs w:val="20"/>
              </w:rPr>
              <w:t>$100</w:t>
            </w:r>
          </w:p>
        </w:tc>
        <w:tc>
          <w:tcPr>
            <w:tcW w:w="1260" w:type="dxa"/>
            <w:tcBorders>
              <w:right w:val="single" w:sz="4" w:space="0" w:color="auto"/>
            </w:tcBorders>
            <w:shd w:val="clear" w:color="auto" w:fill="auto"/>
          </w:tcPr>
          <w:p w:rsidR="00DE463B" w:rsidRPr="00D70E8E" w:rsidRDefault="00DE463B" w:rsidP="00DE463B">
            <w:pPr>
              <w:spacing w:before="60" w:after="60"/>
              <w:jc w:val="right"/>
              <w:rPr>
                <w:color w:val="000000"/>
                <w:sz w:val="20"/>
                <w:szCs w:val="20"/>
              </w:rPr>
            </w:pPr>
            <w:r w:rsidRPr="00D70E8E">
              <w:rPr>
                <w:color w:val="000000"/>
                <w:sz w:val="20"/>
                <w:szCs w:val="20"/>
              </w:rPr>
              <w:t>See attached Rate Justification</w:t>
            </w:r>
          </w:p>
        </w:tc>
        <w:tc>
          <w:tcPr>
            <w:tcW w:w="1080" w:type="dxa"/>
            <w:tcBorders>
              <w:top w:val="single" w:sz="4" w:space="0" w:color="auto"/>
              <w:left w:val="single" w:sz="4" w:space="0" w:color="auto"/>
              <w:bottom w:val="single" w:sz="4" w:space="0" w:color="auto"/>
              <w:right w:val="single" w:sz="24" w:space="0" w:color="auto"/>
            </w:tcBorders>
            <w:shd w:val="clear" w:color="auto" w:fill="auto"/>
          </w:tcPr>
          <w:p w:rsidR="00DE463B" w:rsidRPr="00D70E8E" w:rsidRDefault="00B07000" w:rsidP="00DE463B">
            <w:pPr>
              <w:spacing w:before="60" w:after="60"/>
              <w:jc w:val="right"/>
              <w:rPr>
                <w:color w:val="000000"/>
                <w:sz w:val="20"/>
                <w:szCs w:val="20"/>
              </w:rPr>
            </w:pPr>
            <w:r w:rsidRPr="00D70E8E">
              <w:rPr>
                <w:color w:val="000000"/>
                <w:sz w:val="20"/>
                <w:szCs w:val="20"/>
              </w:rPr>
              <w:t>$</w:t>
            </w:r>
            <w:r w:rsidR="0091689E" w:rsidRPr="00D70E8E">
              <w:rPr>
                <w:color w:val="000000"/>
                <w:sz w:val="20"/>
                <w:szCs w:val="20"/>
              </w:rPr>
              <w:t>6</w:t>
            </w:r>
            <w:r w:rsidRPr="00D70E8E">
              <w:rPr>
                <w:color w:val="000000"/>
                <w:sz w:val="20"/>
                <w:szCs w:val="20"/>
              </w:rPr>
              <w:t>00</w:t>
            </w:r>
          </w:p>
        </w:tc>
        <w:tc>
          <w:tcPr>
            <w:tcW w:w="900" w:type="dxa"/>
            <w:tcBorders>
              <w:left w:val="single" w:sz="4" w:space="0" w:color="auto"/>
            </w:tcBorders>
            <w:shd w:val="clear" w:color="auto" w:fill="auto"/>
          </w:tcPr>
          <w:p w:rsidR="00DE463B" w:rsidRPr="00D70E8E" w:rsidRDefault="00FD1C37" w:rsidP="00FD1C37">
            <w:pPr>
              <w:spacing w:before="60" w:after="60"/>
              <w:jc w:val="center"/>
              <w:rPr>
                <w:color w:val="000000"/>
                <w:sz w:val="20"/>
                <w:szCs w:val="20"/>
              </w:rPr>
            </w:pPr>
            <w:r>
              <w:rPr>
                <w:color w:val="000000"/>
                <w:sz w:val="20"/>
                <w:szCs w:val="20"/>
              </w:rPr>
              <w:t>5.00 [D]</w:t>
            </w:r>
          </w:p>
        </w:tc>
        <w:tc>
          <w:tcPr>
            <w:tcW w:w="900" w:type="dxa"/>
            <w:shd w:val="clear" w:color="auto" w:fill="auto"/>
          </w:tcPr>
          <w:p w:rsidR="00DE463B" w:rsidRPr="00D70E8E" w:rsidRDefault="0011124F" w:rsidP="00DE463B">
            <w:pPr>
              <w:spacing w:before="60" w:after="60"/>
              <w:jc w:val="center"/>
              <w:rPr>
                <w:color w:val="000000"/>
                <w:sz w:val="20"/>
                <w:szCs w:val="20"/>
              </w:rPr>
            </w:pPr>
            <w:r>
              <w:rPr>
                <w:color w:val="000000"/>
                <w:sz w:val="20"/>
                <w:szCs w:val="20"/>
              </w:rPr>
              <w:t>$100.00 [A]</w:t>
            </w:r>
          </w:p>
        </w:tc>
        <w:tc>
          <w:tcPr>
            <w:tcW w:w="1350" w:type="dxa"/>
            <w:shd w:val="clear" w:color="auto" w:fill="auto"/>
          </w:tcPr>
          <w:p w:rsidR="00DE463B" w:rsidRPr="00D70E8E" w:rsidRDefault="00FD1C37" w:rsidP="00DE463B">
            <w:pPr>
              <w:spacing w:before="60" w:after="60"/>
              <w:jc w:val="right"/>
              <w:rPr>
                <w:color w:val="000000"/>
                <w:sz w:val="20"/>
                <w:szCs w:val="20"/>
              </w:rPr>
            </w:pPr>
            <w:r>
              <w:rPr>
                <w:color w:val="000000"/>
                <w:sz w:val="20"/>
                <w:szCs w:val="20"/>
              </w:rPr>
              <w:t>$500.00</w:t>
            </w:r>
          </w:p>
        </w:tc>
      </w:tr>
      <w:tr w:rsidR="00DE463B" w:rsidRPr="0063384A" w:rsidTr="00FD1C37">
        <w:tc>
          <w:tcPr>
            <w:tcW w:w="5755" w:type="dxa"/>
            <w:gridSpan w:val="8"/>
            <w:tcBorders>
              <w:bottom w:val="single" w:sz="4" w:space="0" w:color="auto"/>
              <w:right w:val="single" w:sz="24" w:space="0" w:color="auto"/>
            </w:tcBorders>
            <w:shd w:val="clear" w:color="auto" w:fill="auto"/>
            <w:vAlign w:val="bottom"/>
          </w:tcPr>
          <w:p w:rsidR="00DE463B" w:rsidRPr="0063384A" w:rsidRDefault="00DE463B" w:rsidP="008506C0">
            <w:pPr>
              <w:tabs>
                <w:tab w:val="left" w:pos="957"/>
              </w:tabs>
              <w:jc w:val="right"/>
              <w:rPr>
                <w:b/>
                <w:i/>
                <w:color w:val="000000"/>
                <w:sz w:val="20"/>
                <w:szCs w:val="20"/>
              </w:rPr>
            </w:pPr>
            <w:r w:rsidRPr="0063384A">
              <w:rPr>
                <w:b/>
                <w:i/>
                <w:color w:val="000000"/>
                <w:sz w:val="20"/>
                <w:szCs w:val="20"/>
              </w:rPr>
              <w:t xml:space="preserve">Subtotal: </w:t>
            </w:r>
            <w:r w:rsidR="00B07000" w:rsidRPr="0063384A">
              <w:rPr>
                <w:b/>
                <w:i/>
                <w:color w:val="000000"/>
                <w:sz w:val="20"/>
                <w:szCs w:val="20"/>
              </w:rPr>
              <w:t xml:space="preserve">  </w:t>
            </w:r>
            <w:r w:rsidRPr="0063384A">
              <w:rPr>
                <w:b/>
                <w:i/>
                <w:color w:val="000000"/>
                <w:sz w:val="20"/>
                <w:szCs w:val="20"/>
              </w:rPr>
              <w:t xml:space="preserve">$ </w:t>
            </w:r>
            <w:r w:rsidR="00B07000" w:rsidRPr="0063384A">
              <w:rPr>
                <w:b/>
                <w:i/>
                <w:color w:val="000000"/>
                <w:sz w:val="20"/>
                <w:szCs w:val="20"/>
              </w:rPr>
              <w:t>1</w:t>
            </w:r>
            <w:r w:rsidR="0091689E" w:rsidRPr="0063384A">
              <w:rPr>
                <w:b/>
                <w:i/>
                <w:color w:val="000000"/>
                <w:sz w:val="20"/>
                <w:szCs w:val="20"/>
              </w:rPr>
              <w:t>9,1</w:t>
            </w:r>
            <w:r w:rsidR="00B07000" w:rsidRPr="0063384A">
              <w:rPr>
                <w:b/>
                <w:i/>
                <w:color w:val="000000"/>
                <w:sz w:val="20"/>
                <w:szCs w:val="20"/>
              </w:rPr>
              <w:t>00.00</w:t>
            </w:r>
          </w:p>
        </w:tc>
        <w:tc>
          <w:tcPr>
            <w:tcW w:w="3150" w:type="dxa"/>
            <w:gridSpan w:val="3"/>
            <w:tcBorders>
              <w:left w:val="single" w:sz="24" w:space="0" w:color="auto"/>
              <w:bottom w:val="single" w:sz="4" w:space="0" w:color="auto"/>
            </w:tcBorders>
            <w:shd w:val="clear" w:color="auto" w:fill="auto"/>
            <w:vAlign w:val="bottom"/>
          </w:tcPr>
          <w:p w:rsidR="00DE463B" w:rsidRPr="0063384A" w:rsidRDefault="008506C0" w:rsidP="008506C0">
            <w:pPr>
              <w:tabs>
                <w:tab w:val="left" w:pos="957"/>
              </w:tabs>
              <w:jc w:val="right"/>
              <w:rPr>
                <w:b/>
                <w:i/>
                <w:color w:val="000000"/>
                <w:sz w:val="20"/>
                <w:szCs w:val="20"/>
              </w:rPr>
            </w:pPr>
            <w:r w:rsidRPr="0063384A">
              <w:rPr>
                <w:b/>
                <w:i/>
                <w:color w:val="000000"/>
                <w:sz w:val="20"/>
                <w:szCs w:val="20"/>
              </w:rPr>
              <w:t>Subtotal: $</w:t>
            </w:r>
            <w:r w:rsidR="00FD1C37" w:rsidRPr="0063384A">
              <w:rPr>
                <w:b/>
                <w:i/>
                <w:color w:val="000000"/>
                <w:sz w:val="20"/>
                <w:szCs w:val="20"/>
              </w:rPr>
              <w:t>16,490.00</w:t>
            </w:r>
          </w:p>
        </w:tc>
      </w:tr>
      <w:tr w:rsidR="00DE463B" w:rsidRPr="00784940" w:rsidTr="00D70E8E">
        <w:tc>
          <w:tcPr>
            <w:tcW w:w="8905" w:type="dxa"/>
            <w:gridSpan w:val="11"/>
            <w:tcBorders>
              <w:top w:val="single" w:sz="4" w:space="0" w:color="auto"/>
              <w:left w:val="single" w:sz="4" w:space="0" w:color="auto"/>
              <w:bottom w:val="single" w:sz="4" w:space="0" w:color="auto"/>
              <w:right w:val="single" w:sz="4" w:space="0" w:color="auto"/>
            </w:tcBorders>
            <w:shd w:val="clear" w:color="auto" w:fill="E6E6E6"/>
          </w:tcPr>
          <w:p w:rsidR="00DE463B" w:rsidRPr="00784940" w:rsidRDefault="00DE463B" w:rsidP="00DE463B">
            <w:pPr>
              <w:spacing w:before="60" w:after="60"/>
              <w:jc w:val="center"/>
              <w:rPr>
                <w:color w:val="000000"/>
                <w:sz w:val="20"/>
                <w:szCs w:val="20"/>
              </w:rPr>
            </w:pPr>
            <w:r w:rsidRPr="00784940">
              <w:rPr>
                <w:color w:val="000000"/>
                <w:sz w:val="20"/>
                <w:szCs w:val="20"/>
              </w:rPr>
              <w:t>OTHER FEES</w:t>
            </w:r>
          </w:p>
          <w:p w:rsidR="00DE463B" w:rsidRPr="00784940" w:rsidRDefault="00DE463B" w:rsidP="00DE463B">
            <w:pPr>
              <w:spacing w:before="60" w:after="60"/>
              <w:jc w:val="center"/>
              <w:rPr>
                <w:color w:val="000000"/>
                <w:sz w:val="20"/>
                <w:szCs w:val="20"/>
              </w:rPr>
            </w:pPr>
            <w:r w:rsidRPr="00784940">
              <w:rPr>
                <w:color w:val="000000"/>
                <w:sz w:val="20"/>
                <w:szCs w:val="20"/>
              </w:rPr>
              <w:t>Describe here what OTHER HOURLY FEES you are Claiming (paralegal, travel **, etc.):</w:t>
            </w:r>
          </w:p>
        </w:tc>
      </w:tr>
      <w:tr w:rsidR="00DE463B" w:rsidRPr="00784940" w:rsidTr="00FD1C37">
        <w:tc>
          <w:tcPr>
            <w:tcW w:w="985" w:type="dxa"/>
            <w:gridSpan w:val="2"/>
            <w:tcBorders>
              <w:top w:val="single" w:sz="4" w:space="0" w:color="auto"/>
              <w:bottom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Item</w:t>
            </w:r>
          </w:p>
        </w:tc>
        <w:tc>
          <w:tcPr>
            <w:tcW w:w="810" w:type="dxa"/>
            <w:tcBorders>
              <w:top w:val="single" w:sz="4" w:space="0" w:color="auto"/>
              <w:bottom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Year</w:t>
            </w:r>
          </w:p>
        </w:tc>
        <w:tc>
          <w:tcPr>
            <w:tcW w:w="720" w:type="dxa"/>
            <w:gridSpan w:val="2"/>
            <w:tcBorders>
              <w:top w:val="single" w:sz="4" w:space="0" w:color="auto"/>
              <w:bottom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Hours</w:t>
            </w:r>
          </w:p>
        </w:tc>
        <w:tc>
          <w:tcPr>
            <w:tcW w:w="900" w:type="dxa"/>
            <w:tcBorders>
              <w:top w:val="single" w:sz="4" w:space="0" w:color="auto"/>
              <w:bottom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 xml:space="preserve">Rate $ </w:t>
            </w:r>
          </w:p>
        </w:tc>
        <w:tc>
          <w:tcPr>
            <w:tcW w:w="1260" w:type="dxa"/>
            <w:tcBorders>
              <w:top w:val="single" w:sz="4" w:space="0" w:color="auto"/>
              <w:bottom w:val="single" w:sz="4" w:space="0" w:color="auto"/>
              <w:right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Basis for Rate*</w:t>
            </w:r>
          </w:p>
        </w:tc>
        <w:tc>
          <w:tcPr>
            <w:tcW w:w="1080" w:type="dxa"/>
            <w:tcBorders>
              <w:top w:val="single" w:sz="4" w:space="0" w:color="auto"/>
              <w:left w:val="single" w:sz="4" w:space="0" w:color="auto"/>
              <w:bottom w:val="single" w:sz="4" w:space="0" w:color="auto"/>
              <w:right w:val="single" w:sz="2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Total $</w:t>
            </w:r>
          </w:p>
        </w:tc>
        <w:tc>
          <w:tcPr>
            <w:tcW w:w="900" w:type="dxa"/>
            <w:tcBorders>
              <w:top w:val="single" w:sz="4" w:space="0" w:color="auto"/>
              <w:left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Hours</w:t>
            </w:r>
          </w:p>
        </w:tc>
        <w:tc>
          <w:tcPr>
            <w:tcW w:w="900" w:type="dxa"/>
            <w:tcBorders>
              <w:top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 xml:space="preserve">Rate </w:t>
            </w:r>
          </w:p>
        </w:tc>
        <w:tc>
          <w:tcPr>
            <w:tcW w:w="1350" w:type="dxa"/>
            <w:tcBorders>
              <w:top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Total $</w:t>
            </w:r>
          </w:p>
        </w:tc>
      </w:tr>
      <w:tr w:rsidR="00DE463B" w:rsidRPr="00784940" w:rsidTr="00FD1C37">
        <w:tc>
          <w:tcPr>
            <w:tcW w:w="985" w:type="dxa"/>
            <w:gridSpan w:val="2"/>
            <w:shd w:val="clear" w:color="auto" w:fill="auto"/>
          </w:tcPr>
          <w:p w:rsidR="00DE463B" w:rsidRPr="00784940" w:rsidRDefault="00A45747" w:rsidP="00DE463B">
            <w:pPr>
              <w:spacing w:before="60" w:after="60"/>
              <w:rPr>
                <w:color w:val="000000"/>
                <w:sz w:val="20"/>
                <w:szCs w:val="20"/>
              </w:rPr>
            </w:pPr>
            <w:r w:rsidRPr="00784940">
              <w:rPr>
                <w:color w:val="000000"/>
                <w:sz w:val="20"/>
                <w:szCs w:val="20"/>
              </w:rPr>
              <w:t>Travel</w:t>
            </w:r>
            <w:r w:rsidR="00DE463B" w:rsidRPr="00784940">
              <w:rPr>
                <w:color w:val="000000"/>
                <w:sz w:val="20"/>
                <w:szCs w:val="20"/>
              </w:rPr>
              <w:t xml:space="preserve"> </w:t>
            </w:r>
            <w:r w:rsidR="008769E7" w:rsidRPr="00784940">
              <w:rPr>
                <w:color w:val="000000"/>
                <w:sz w:val="20"/>
                <w:szCs w:val="20"/>
              </w:rPr>
              <w:t>Time</w:t>
            </w:r>
            <w:r w:rsidR="00DE463B" w:rsidRPr="00784940">
              <w:rPr>
                <w:color w:val="000000"/>
                <w:sz w:val="20"/>
                <w:szCs w:val="20"/>
              </w:rPr>
              <w:t xml:space="preserve"> </w:t>
            </w:r>
          </w:p>
        </w:tc>
        <w:tc>
          <w:tcPr>
            <w:tcW w:w="810" w:type="dxa"/>
            <w:shd w:val="clear" w:color="auto" w:fill="auto"/>
          </w:tcPr>
          <w:p w:rsidR="00DE463B" w:rsidRPr="00784940" w:rsidRDefault="00A45747" w:rsidP="00DE463B">
            <w:pPr>
              <w:spacing w:before="60" w:after="60"/>
              <w:jc w:val="center"/>
              <w:rPr>
                <w:color w:val="000000"/>
                <w:sz w:val="20"/>
                <w:szCs w:val="20"/>
              </w:rPr>
            </w:pPr>
            <w:r w:rsidRPr="00784940">
              <w:rPr>
                <w:color w:val="000000"/>
                <w:sz w:val="20"/>
                <w:szCs w:val="20"/>
              </w:rPr>
              <w:t>2016</w:t>
            </w:r>
          </w:p>
        </w:tc>
        <w:tc>
          <w:tcPr>
            <w:tcW w:w="720" w:type="dxa"/>
            <w:gridSpan w:val="2"/>
            <w:shd w:val="clear" w:color="auto" w:fill="auto"/>
          </w:tcPr>
          <w:p w:rsidR="00DE463B" w:rsidRPr="00784940" w:rsidRDefault="00A45747" w:rsidP="00DE463B">
            <w:pPr>
              <w:spacing w:before="60" w:after="60"/>
              <w:jc w:val="right"/>
              <w:rPr>
                <w:color w:val="000000"/>
                <w:sz w:val="20"/>
                <w:szCs w:val="20"/>
              </w:rPr>
            </w:pPr>
            <w:r w:rsidRPr="00784940">
              <w:rPr>
                <w:color w:val="000000"/>
                <w:sz w:val="20"/>
                <w:szCs w:val="20"/>
              </w:rPr>
              <w:t>56.5</w:t>
            </w:r>
          </w:p>
        </w:tc>
        <w:tc>
          <w:tcPr>
            <w:tcW w:w="900" w:type="dxa"/>
            <w:shd w:val="clear" w:color="auto" w:fill="auto"/>
          </w:tcPr>
          <w:p w:rsidR="00DE463B" w:rsidRPr="00784940" w:rsidRDefault="00A45747" w:rsidP="00DE463B">
            <w:pPr>
              <w:spacing w:before="60" w:after="60"/>
              <w:jc w:val="center"/>
              <w:rPr>
                <w:color w:val="000000"/>
                <w:sz w:val="20"/>
                <w:szCs w:val="20"/>
              </w:rPr>
            </w:pPr>
            <w:r w:rsidRPr="00784940">
              <w:rPr>
                <w:color w:val="000000"/>
                <w:sz w:val="20"/>
                <w:szCs w:val="20"/>
              </w:rPr>
              <w:t>$50</w:t>
            </w:r>
          </w:p>
        </w:tc>
        <w:tc>
          <w:tcPr>
            <w:tcW w:w="1260" w:type="dxa"/>
            <w:tcBorders>
              <w:right w:val="single" w:sz="4" w:space="0" w:color="auto"/>
            </w:tcBorders>
            <w:shd w:val="clear" w:color="auto" w:fill="auto"/>
          </w:tcPr>
          <w:p w:rsidR="00DE463B" w:rsidRPr="00784940" w:rsidRDefault="00A45747" w:rsidP="00DE463B">
            <w:pPr>
              <w:spacing w:before="60" w:after="60"/>
              <w:jc w:val="right"/>
              <w:rPr>
                <w:color w:val="000000"/>
                <w:sz w:val="20"/>
                <w:szCs w:val="20"/>
              </w:rPr>
            </w:pPr>
            <w:r w:rsidRPr="00784940">
              <w:rPr>
                <w:color w:val="000000"/>
                <w:sz w:val="20"/>
                <w:szCs w:val="20"/>
              </w:rPr>
              <w:t>See attached Rate Justification</w:t>
            </w:r>
          </w:p>
        </w:tc>
        <w:tc>
          <w:tcPr>
            <w:tcW w:w="1080" w:type="dxa"/>
            <w:tcBorders>
              <w:top w:val="single" w:sz="4" w:space="0" w:color="auto"/>
              <w:left w:val="single" w:sz="4" w:space="0" w:color="auto"/>
              <w:bottom w:val="single" w:sz="4" w:space="0" w:color="auto"/>
              <w:right w:val="single" w:sz="24" w:space="0" w:color="auto"/>
            </w:tcBorders>
            <w:shd w:val="clear" w:color="auto" w:fill="auto"/>
          </w:tcPr>
          <w:p w:rsidR="00DE463B" w:rsidRPr="00784940" w:rsidRDefault="00B07000" w:rsidP="00DE463B">
            <w:pPr>
              <w:spacing w:before="60" w:after="60"/>
              <w:jc w:val="right"/>
              <w:rPr>
                <w:color w:val="000000"/>
                <w:sz w:val="20"/>
                <w:szCs w:val="20"/>
              </w:rPr>
            </w:pPr>
            <w:r w:rsidRPr="00784940">
              <w:rPr>
                <w:color w:val="000000"/>
                <w:sz w:val="20"/>
                <w:szCs w:val="20"/>
              </w:rPr>
              <w:t>$2,825</w:t>
            </w:r>
          </w:p>
        </w:tc>
        <w:tc>
          <w:tcPr>
            <w:tcW w:w="900" w:type="dxa"/>
            <w:tcBorders>
              <w:left w:val="single" w:sz="4" w:space="0" w:color="auto"/>
              <w:right w:val="single" w:sz="4" w:space="0" w:color="auto"/>
            </w:tcBorders>
            <w:shd w:val="clear" w:color="auto" w:fill="auto"/>
          </w:tcPr>
          <w:p w:rsidR="00DE463B" w:rsidRPr="00784940" w:rsidRDefault="00FD1C37" w:rsidP="00FD1C37">
            <w:pPr>
              <w:spacing w:before="60" w:after="60"/>
              <w:jc w:val="center"/>
              <w:rPr>
                <w:color w:val="000000"/>
                <w:sz w:val="20"/>
                <w:szCs w:val="20"/>
              </w:rPr>
            </w:pPr>
            <w:r>
              <w:rPr>
                <w:color w:val="000000"/>
                <w:sz w:val="20"/>
                <w:szCs w:val="20"/>
              </w:rPr>
              <w:t>56.50</w:t>
            </w:r>
          </w:p>
        </w:tc>
        <w:tc>
          <w:tcPr>
            <w:tcW w:w="900" w:type="dxa"/>
            <w:tcBorders>
              <w:left w:val="single" w:sz="4" w:space="0" w:color="auto"/>
            </w:tcBorders>
            <w:shd w:val="clear" w:color="auto" w:fill="auto"/>
          </w:tcPr>
          <w:p w:rsidR="00DE463B" w:rsidRPr="00784940" w:rsidRDefault="00FD1C37" w:rsidP="00FD1C37">
            <w:pPr>
              <w:spacing w:before="60" w:after="60"/>
              <w:jc w:val="center"/>
              <w:rPr>
                <w:color w:val="000000"/>
                <w:sz w:val="20"/>
                <w:szCs w:val="20"/>
              </w:rPr>
            </w:pPr>
            <w:r>
              <w:rPr>
                <w:color w:val="000000"/>
                <w:sz w:val="20"/>
                <w:szCs w:val="20"/>
              </w:rPr>
              <w:t>$50.00</w:t>
            </w:r>
          </w:p>
        </w:tc>
        <w:tc>
          <w:tcPr>
            <w:tcW w:w="1350" w:type="dxa"/>
            <w:shd w:val="clear" w:color="auto" w:fill="auto"/>
          </w:tcPr>
          <w:p w:rsidR="00DE463B" w:rsidRPr="00784940" w:rsidRDefault="00FD1C37" w:rsidP="00DE463B">
            <w:pPr>
              <w:spacing w:before="60" w:after="60"/>
              <w:jc w:val="right"/>
              <w:rPr>
                <w:color w:val="000000"/>
                <w:sz w:val="20"/>
                <w:szCs w:val="20"/>
              </w:rPr>
            </w:pPr>
            <w:r>
              <w:rPr>
                <w:color w:val="000000"/>
                <w:sz w:val="20"/>
                <w:szCs w:val="20"/>
              </w:rPr>
              <w:t>$2,825.00</w:t>
            </w:r>
          </w:p>
        </w:tc>
      </w:tr>
      <w:tr w:rsidR="00B07000" w:rsidRPr="00784940" w:rsidTr="00FD1C37">
        <w:tc>
          <w:tcPr>
            <w:tcW w:w="985" w:type="dxa"/>
            <w:gridSpan w:val="2"/>
            <w:shd w:val="clear" w:color="auto" w:fill="auto"/>
          </w:tcPr>
          <w:p w:rsidR="00B07000" w:rsidRPr="00784940" w:rsidRDefault="008769E7" w:rsidP="00DE463B">
            <w:pPr>
              <w:spacing w:before="60" w:after="60"/>
              <w:rPr>
                <w:color w:val="000000"/>
                <w:sz w:val="20"/>
                <w:szCs w:val="20"/>
              </w:rPr>
            </w:pPr>
            <w:r w:rsidRPr="00784940">
              <w:rPr>
                <w:color w:val="000000"/>
                <w:sz w:val="20"/>
                <w:szCs w:val="20"/>
              </w:rPr>
              <w:t xml:space="preserve">Air, </w:t>
            </w:r>
            <w:r w:rsidR="00B07000" w:rsidRPr="00784940">
              <w:rPr>
                <w:color w:val="000000"/>
                <w:sz w:val="20"/>
                <w:szCs w:val="20"/>
              </w:rPr>
              <w:t>Hotel and Uber</w:t>
            </w:r>
          </w:p>
        </w:tc>
        <w:tc>
          <w:tcPr>
            <w:tcW w:w="810" w:type="dxa"/>
            <w:shd w:val="clear" w:color="auto" w:fill="auto"/>
          </w:tcPr>
          <w:p w:rsidR="00B07000" w:rsidRPr="00784940" w:rsidRDefault="00B07000" w:rsidP="00DE463B">
            <w:pPr>
              <w:spacing w:before="60" w:after="60"/>
              <w:jc w:val="center"/>
              <w:rPr>
                <w:color w:val="000000"/>
                <w:sz w:val="20"/>
                <w:szCs w:val="20"/>
              </w:rPr>
            </w:pPr>
            <w:r w:rsidRPr="00784940">
              <w:rPr>
                <w:color w:val="000000"/>
                <w:sz w:val="20"/>
                <w:szCs w:val="20"/>
              </w:rPr>
              <w:t>2016</w:t>
            </w:r>
          </w:p>
        </w:tc>
        <w:tc>
          <w:tcPr>
            <w:tcW w:w="720" w:type="dxa"/>
            <w:gridSpan w:val="2"/>
            <w:shd w:val="clear" w:color="auto" w:fill="auto"/>
          </w:tcPr>
          <w:p w:rsidR="00B07000" w:rsidRPr="00784940" w:rsidRDefault="00B07000" w:rsidP="00DE463B">
            <w:pPr>
              <w:spacing w:before="60" w:after="60"/>
              <w:jc w:val="right"/>
              <w:rPr>
                <w:color w:val="000000"/>
                <w:sz w:val="20"/>
                <w:szCs w:val="20"/>
              </w:rPr>
            </w:pPr>
          </w:p>
        </w:tc>
        <w:tc>
          <w:tcPr>
            <w:tcW w:w="900" w:type="dxa"/>
            <w:shd w:val="clear" w:color="auto" w:fill="auto"/>
          </w:tcPr>
          <w:p w:rsidR="00B07000" w:rsidRPr="00784940" w:rsidRDefault="00B07000" w:rsidP="00DE463B">
            <w:pPr>
              <w:spacing w:before="60" w:after="60"/>
              <w:jc w:val="center"/>
              <w:rPr>
                <w:color w:val="000000"/>
                <w:sz w:val="20"/>
                <w:szCs w:val="20"/>
              </w:rPr>
            </w:pPr>
          </w:p>
        </w:tc>
        <w:tc>
          <w:tcPr>
            <w:tcW w:w="1260" w:type="dxa"/>
            <w:tcBorders>
              <w:right w:val="single" w:sz="4" w:space="0" w:color="auto"/>
            </w:tcBorders>
            <w:shd w:val="clear" w:color="auto" w:fill="auto"/>
          </w:tcPr>
          <w:p w:rsidR="00B07000" w:rsidRPr="00784940" w:rsidRDefault="00B07000" w:rsidP="00DE463B">
            <w:pPr>
              <w:spacing w:before="60" w:after="60"/>
              <w:jc w:val="right"/>
              <w:rPr>
                <w:color w:val="000000"/>
                <w:sz w:val="20"/>
                <w:szCs w:val="20"/>
              </w:rPr>
            </w:pPr>
          </w:p>
        </w:tc>
        <w:tc>
          <w:tcPr>
            <w:tcW w:w="1080" w:type="dxa"/>
            <w:tcBorders>
              <w:top w:val="single" w:sz="4" w:space="0" w:color="auto"/>
              <w:left w:val="single" w:sz="4" w:space="0" w:color="auto"/>
              <w:bottom w:val="single" w:sz="4" w:space="0" w:color="auto"/>
              <w:right w:val="single" w:sz="24" w:space="0" w:color="auto"/>
            </w:tcBorders>
            <w:shd w:val="clear" w:color="auto" w:fill="auto"/>
          </w:tcPr>
          <w:p w:rsidR="00B07000" w:rsidRPr="00784940" w:rsidRDefault="008769E7" w:rsidP="00DE463B">
            <w:pPr>
              <w:spacing w:before="60" w:after="60"/>
              <w:jc w:val="right"/>
              <w:rPr>
                <w:color w:val="000000"/>
                <w:sz w:val="20"/>
                <w:szCs w:val="20"/>
              </w:rPr>
            </w:pPr>
            <w:r w:rsidRPr="00784940">
              <w:rPr>
                <w:color w:val="000000"/>
                <w:sz w:val="20"/>
                <w:szCs w:val="20"/>
              </w:rPr>
              <w:t>$5,914</w:t>
            </w:r>
          </w:p>
        </w:tc>
        <w:tc>
          <w:tcPr>
            <w:tcW w:w="900" w:type="dxa"/>
            <w:tcBorders>
              <w:left w:val="single" w:sz="4" w:space="0" w:color="auto"/>
              <w:right w:val="single" w:sz="4" w:space="0" w:color="auto"/>
            </w:tcBorders>
            <w:shd w:val="clear" w:color="auto" w:fill="auto"/>
          </w:tcPr>
          <w:p w:rsidR="00B07000" w:rsidRPr="00784940" w:rsidRDefault="00B07000" w:rsidP="00FD1C37">
            <w:pPr>
              <w:spacing w:before="60" w:after="60"/>
              <w:jc w:val="center"/>
              <w:rPr>
                <w:color w:val="000000"/>
                <w:sz w:val="20"/>
                <w:szCs w:val="20"/>
              </w:rPr>
            </w:pPr>
          </w:p>
        </w:tc>
        <w:tc>
          <w:tcPr>
            <w:tcW w:w="900" w:type="dxa"/>
            <w:tcBorders>
              <w:left w:val="single" w:sz="4" w:space="0" w:color="auto"/>
            </w:tcBorders>
            <w:shd w:val="clear" w:color="auto" w:fill="auto"/>
          </w:tcPr>
          <w:p w:rsidR="00B07000" w:rsidRPr="00784940" w:rsidRDefault="00B07000" w:rsidP="00FD1C37">
            <w:pPr>
              <w:spacing w:before="60" w:after="60"/>
              <w:jc w:val="center"/>
              <w:rPr>
                <w:color w:val="000000"/>
                <w:sz w:val="20"/>
                <w:szCs w:val="20"/>
              </w:rPr>
            </w:pPr>
          </w:p>
        </w:tc>
        <w:tc>
          <w:tcPr>
            <w:tcW w:w="1350" w:type="dxa"/>
            <w:shd w:val="clear" w:color="auto" w:fill="auto"/>
          </w:tcPr>
          <w:p w:rsidR="00B07000" w:rsidRPr="00784940" w:rsidRDefault="00FD1C37" w:rsidP="00DE463B">
            <w:pPr>
              <w:spacing w:before="60" w:after="60"/>
              <w:jc w:val="right"/>
              <w:rPr>
                <w:color w:val="000000"/>
                <w:sz w:val="20"/>
                <w:szCs w:val="20"/>
              </w:rPr>
            </w:pPr>
            <w:r>
              <w:rPr>
                <w:color w:val="000000"/>
                <w:sz w:val="20"/>
                <w:szCs w:val="20"/>
              </w:rPr>
              <w:t>$5,914.00</w:t>
            </w:r>
          </w:p>
        </w:tc>
      </w:tr>
      <w:tr w:rsidR="00DE463B" w:rsidRPr="00784940" w:rsidTr="00FD1C37">
        <w:tc>
          <w:tcPr>
            <w:tcW w:w="985" w:type="dxa"/>
            <w:gridSpan w:val="2"/>
            <w:shd w:val="clear" w:color="auto" w:fill="auto"/>
          </w:tcPr>
          <w:p w:rsidR="00DE463B" w:rsidRPr="00784940" w:rsidRDefault="00A45747" w:rsidP="00DE463B">
            <w:pPr>
              <w:spacing w:before="60" w:after="60"/>
              <w:rPr>
                <w:color w:val="000000"/>
                <w:sz w:val="20"/>
                <w:szCs w:val="20"/>
              </w:rPr>
            </w:pPr>
            <w:r w:rsidRPr="00784940">
              <w:rPr>
                <w:color w:val="000000"/>
                <w:sz w:val="20"/>
                <w:szCs w:val="20"/>
              </w:rPr>
              <w:t xml:space="preserve">Travel </w:t>
            </w:r>
            <w:r w:rsidR="008769E7" w:rsidRPr="00784940">
              <w:rPr>
                <w:color w:val="000000"/>
                <w:sz w:val="20"/>
                <w:szCs w:val="20"/>
              </w:rPr>
              <w:t>Time</w:t>
            </w:r>
          </w:p>
        </w:tc>
        <w:tc>
          <w:tcPr>
            <w:tcW w:w="810" w:type="dxa"/>
            <w:shd w:val="clear" w:color="auto" w:fill="auto"/>
          </w:tcPr>
          <w:p w:rsidR="00DE463B" w:rsidRPr="00784940" w:rsidRDefault="00A45747" w:rsidP="00DE463B">
            <w:pPr>
              <w:spacing w:before="60" w:after="60"/>
              <w:jc w:val="center"/>
              <w:rPr>
                <w:color w:val="000000"/>
                <w:sz w:val="20"/>
                <w:szCs w:val="20"/>
              </w:rPr>
            </w:pPr>
            <w:r w:rsidRPr="00784940">
              <w:rPr>
                <w:color w:val="000000"/>
                <w:sz w:val="20"/>
                <w:szCs w:val="20"/>
              </w:rPr>
              <w:t>2017</w:t>
            </w:r>
          </w:p>
        </w:tc>
        <w:tc>
          <w:tcPr>
            <w:tcW w:w="720" w:type="dxa"/>
            <w:gridSpan w:val="2"/>
            <w:shd w:val="clear" w:color="auto" w:fill="auto"/>
          </w:tcPr>
          <w:p w:rsidR="00DE463B" w:rsidRPr="00784940" w:rsidRDefault="00A45747" w:rsidP="00DE463B">
            <w:pPr>
              <w:spacing w:before="60" w:after="60"/>
              <w:jc w:val="right"/>
              <w:rPr>
                <w:color w:val="000000"/>
                <w:sz w:val="20"/>
                <w:szCs w:val="20"/>
              </w:rPr>
            </w:pPr>
            <w:r w:rsidRPr="00784940">
              <w:rPr>
                <w:color w:val="000000"/>
                <w:sz w:val="20"/>
                <w:szCs w:val="20"/>
              </w:rPr>
              <w:t>46.50</w:t>
            </w:r>
          </w:p>
        </w:tc>
        <w:tc>
          <w:tcPr>
            <w:tcW w:w="900" w:type="dxa"/>
            <w:shd w:val="clear" w:color="auto" w:fill="auto"/>
          </w:tcPr>
          <w:p w:rsidR="00DE463B" w:rsidRPr="00784940" w:rsidRDefault="00A45747" w:rsidP="00DE463B">
            <w:pPr>
              <w:spacing w:before="60" w:after="60"/>
              <w:jc w:val="center"/>
              <w:rPr>
                <w:color w:val="000000"/>
                <w:sz w:val="20"/>
                <w:szCs w:val="20"/>
              </w:rPr>
            </w:pPr>
            <w:r w:rsidRPr="00784940">
              <w:rPr>
                <w:color w:val="000000"/>
                <w:sz w:val="20"/>
                <w:szCs w:val="20"/>
              </w:rPr>
              <w:t>$50</w:t>
            </w:r>
          </w:p>
        </w:tc>
        <w:tc>
          <w:tcPr>
            <w:tcW w:w="1260" w:type="dxa"/>
            <w:tcBorders>
              <w:right w:val="single" w:sz="4" w:space="0" w:color="auto"/>
            </w:tcBorders>
            <w:shd w:val="clear" w:color="auto" w:fill="auto"/>
          </w:tcPr>
          <w:p w:rsidR="00DE463B" w:rsidRPr="00784940" w:rsidRDefault="00A45747" w:rsidP="00DE463B">
            <w:pPr>
              <w:spacing w:before="60" w:after="60"/>
              <w:jc w:val="right"/>
              <w:rPr>
                <w:color w:val="000000"/>
                <w:sz w:val="20"/>
                <w:szCs w:val="20"/>
              </w:rPr>
            </w:pPr>
            <w:r w:rsidRPr="00784940">
              <w:rPr>
                <w:color w:val="000000"/>
                <w:sz w:val="20"/>
                <w:szCs w:val="20"/>
              </w:rPr>
              <w:t>See attached Rate Justification</w:t>
            </w:r>
          </w:p>
        </w:tc>
        <w:tc>
          <w:tcPr>
            <w:tcW w:w="1080" w:type="dxa"/>
            <w:tcBorders>
              <w:top w:val="single" w:sz="4" w:space="0" w:color="auto"/>
              <w:left w:val="single" w:sz="4" w:space="0" w:color="auto"/>
              <w:bottom w:val="single" w:sz="4" w:space="0" w:color="auto"/>
              <w:right w:val="single" w:sz="24" w:space="0" w:color="auto"/>
            </w:tcBorders>
            <w:shd w:val="clear" w:color="auto" w:fill="auto"/>
          </w:tcPr>
          <w:p w:rsidR="00DE463B" w:rsidRPr="00784940" w:rsidRDefault="00A45747" w:rsidP="00DE463B">
            <w:pPr>
              <w:spacing w:before="60" w:after="60"/>
              <w:jc w:val="right"/>
              <w:rPr>
                <w:color w:val="000000"/>
                <w:sz w:val="20"/>
                <w:szCs w:val="20"/>
              </w:rPr>
            </w:pPr>
            <w:r w:rsidRPr="00784940">
              <w:rPr>
                <w:color w:val="000000"/>
                <w:sz w:val="20"/>
                <w:szCs w:val="20"/>
              </w:rPr>
              <w:t>$2,325</w:t>
            </w:r>
          </w:p>
        </w:tc>
        <w:tc>
          <w:tcPr>
            <w:tcW w:w="900" w:type="dxa"/>
            <w:tcBorders>
              <w:left w:val="single" w:sz="4" w:space="0" w:color="auto"/>
              <w:right w:val="single" w:sz="4" w:space="0" w:color="auto"/>
            </w:tcBorders>
            <w:shd w:val="clear" w:color="auto" w:fill="auto"/>
          </w:tcPr>
          <w:p w:rsidR="00DE463B" w:rsidRPr="00784940" w:rsidRDefault="00FD1C37" w:rsidP="00FD1C37">
            <w:pPr>
              <w:spacing w:before="60" w:after="60"/>
              <w:jc w:val="center"/>
              <w:rPr>
                <w:color w:val="000000"/>
                <w:sz w:val="20"/>
                <w:szCs w:val="20"/>
              </w:rPr>
            </w:pPr>
            <w:r>
              <w:rPr>
                <w:color w:val="000000"/>
                <w:sz w:val="20"/>
                <w:szCs w:val="20"/>
              </w:rPr>
              <w:t>46.50</w:t>
            </w:r>
          </w:p>
        </w:tc>
        <w:tc>
          <w:tcPr>
            <w:tcW w:w="900" w:type="dxa"/>
            <w:tcBorders>
              <w:left w:val="single" w:sz="4" w:space="0" w:color="auto"/>
            </w:tcBorders>
            <w:shd w:val="clear" w:color="auto" w:fill="auto"/>
          </w:tcPr>
          <w:p w:rsidR="00DE463B" w:rsidRPr="00784940" w:rsidRDefault="00FD1C37" w:rsidP="00FD1C37">
            <w:pPr>
              <w:spacing w:before="60" w:after="60"/>
              <w:jc w:val="center"/>
              <w:rPr>
                <w:color w:val="000000"/>
                <w:sz w:val="20"/>
                <w:szCs w:val="20"/>
              </w:rPr>
            </w:pPr>
            <w:r>
              <w:rPr>
                <w:color w:val="000000"/>
                <w:sz w:val="20"/>
                <w:szCs w:val="20"/>
              </w:rPr>
              <w:t>$50.00</w:t>
            </w:r>
          </w:p>
        </w:tc>
        <w:tc>
          <w:tcPr>
            <w:tcW w:w="1350" w:type="dxa"/>
            <w:shd w:val="clear" w:color="auto" w:fill="auto"/>
          </w:tcPr>
          <w:p w:rsidR="00DE463B" w:rsidRPr="00784940" w:rsidRDefault="00FD1C37" w:rsidP="00DE463B">
            <w:pPr>
              <w:spacing w:before="60" w:after="60"/>
              <w:jc w:val="right"/>
              <w:rPr>
                <w:color w:val="000000"/>
                <w:sz w:val="20"/>
                <w:szCs w:val="20"/>
              </w:rPr>
            </w:pPr>
            <w:r>
              <w:rPr>
                <w:color w:val="000000"/>
                <w:sz w:val="20"/>
                <w:szCs w:val="20"/>
              </w:rPr>
              <w:t>$2,325.00</w:t>
            </w:r>
          </w:p>
        </w:tc>
      </w:tr>
      <w:tr w:rsidR="00B07000" w:rsidRPr="00784940" w:rsidTr="00FD1C37">
        <w:tc>
          <w:tcPr>
            <w:tcW w:w="985" w:type="dxa"/>
            <w:gridSpan w:val="2"/>
            <w:shd w:val="clear" w:color="auto" w:fill="auto"/>
          </w:tcPr>
          <w:p w:rsidR="00B07000" w:rsidRPr="00784940" w:rsidRDefault="008769E7" w:rsidP="00DE463B">
            <w:pPr>
              <w:spacing w:before="60" w:after="60"/>
              <w:rPr>
                <w:color w:val="000000"/>
                <w:sz w:val="20"/>
                <w:szCs w:val="20"/>
              </w:rPr>
            </w:pPr>
            <w:r w:rsidRPr="00784940">
              <w:rPr>
                <w:color w:val="000000"/>
                <w:sz w:val="20"/>
                <w:szCs w:val="20"/>
              </w:rPr>
              <w:t>Air, Hotel and Uber</w:t>
            </w:r>
          </w:p>
        </w:tc>
        <w:tc>
          <w:tcPr>
            <w:tcW w:w="810" w:type="dxa"/>
            <w:shd w:val="clear" w:color="auto" w:fill="auto"/>
          </w:tcPr>
          <w:p w:rsidR="00B07000" w:rsidRPr="00784940" w:rsidRDefault="00B07000" w:rsidP="00DE463B">
            <w:pPr>
              <w:spacing w:before="60" w:after="60"/>
              <w:jc w:val="center"/>
              <w:rPr>
                <w:color w:val="000000"/>
                <w:sz w:val="20"/>
                <w:szCs w:val="20"/>
              </w:rPr>
            </w:pPr>
            <w:r w:rsidRPr="00784940">
              <w:rPr>
                <w:color w:val="000000"/>
                <w:sz w:val="20"/>
                <w:szCs w:val="20"/>
              </w:rPr>
              <w:t>2017</w:t>
            </w:r>
          </w:p>
        </w:tc>
        <w:tc>
          <w:tcPr>
            <w:tcW w:w="720" w:type="dxa"/>
            <w:gridSpan w:val="2"/>
            <w:shd w:val="clear" w:color="auto" w:fill="auto"/>
          </w:tcPr>
          <w:p w:rsidR="00B07000" w:rsidRPr="00784940" w:rsidRDefault="00B07000" w:rsidP="00DE463B">
            <w:pPr>
              <w:spacing w:before="60" w:after="60"/>
              <w:jc w:val="right"/>
              <w:rPr>
                <w:color w:val="000000"/>
                <w:sz w:val="20"/>
                <w:szCs w:val="20"/>
              </w:rPr>
            </w:pPr>
          </w:p>
        </w:tc>
        <w:tc>
          <w:tcPr>
            <w:tcW w:w="900" w:type="dxa"/>
            <w:shd w:val="clear" w:color="auto" w:fill="auto"/>
          </w:tcPr>
          <w:p w:rsidR="00B07000" w:rsidRPr="00784940" w:rsidRDefault="00B07000" w:rsidP="00DE463B">
            <w:pPr>
              <w:spacing w:before="60" w:after="60"/>
              <w:jc w:val="center"/>
              <w:rPr>
                <w:color w:val="000000"/>
                <w:sz w:val="20"/>
                <w:szCs w:val="20"/>
              </w:rPr>
            </w:pPr>
          </w:p>
        </w:tc>
        <w:tc>
          <w:tcPr>
            <w:tcW w:w="1260" w:type="dxa"/>
            <w:tcBorders>
              <w:right w:val="single" w:sz="4" w:space="0" w:color="auto"/>
            </w:tcBorders>
            <w:shd w:val="clear" w:color="auto" w:fill="auto"/>
          </w:tcPr>
          <w:p w:rsidR="00B07000" w:rsidRPr="00784940" w:rsidRDefault="00B07000" w:rsidP="00DE463B">
            <w:pPr>
              <w:spacing w:before="60" w:after="60"/>
              <w:jc w:val="right"/>
              <w:rPr>
                <w:color w:val="000000"/>
                <w:sz w:val="20"/>
                <w:szCs w:val="20"/>
              </w:rPr>
            </w:pPr>
          </w:p>
        </w:tc>
        <w:tc>
          <w:tcPr>
            <w:tcW w:w="1080" w:type="dxa"/>
            <w:tcBorders>
              <w:top w:val="single" w:sz="4" w:space="0" w:color="auto"/>
              <w:left w:val="single" w:sz="4" w:space="0" w:color="auto"/>
              <w:bottom w:val="single" w:sz="4" w:space="0" w:color="auto"/>
              <w:right w:val="single" w:sz="24" w:space="0" w:color="auto"/>
            </w:tcBorders>
            <w:shd w:val="clear" w:color="auto" w:fill="auto"/>
          </w:tcPr>
          <w:p w:rsidR="00B07000" w:rsidRPr="00784940" w:rsidRDefault="00FE59B2" w:rsidP="00DE463B">
            <w:pPr>
              <w:spacing w:before="60" w:after="60"/>
              <w:jc w:val="right"/>
              <w:rPr>
                <w:color w:val="000000"/>
                <w:sz w:val="20"/>
                <w:szCs w:val="20"/>
              </w:rPr>
            </w:pPr>
            <w:r w:rsidRPr="00784940">
              <w:rPr>
                <w:color w:val="000000"/>
                <w:sz w:val="20"/>
                <w:szCs w:val="20"/>
              </w:rPr>
              <w:t>$</w:t>
            </w:r>
            <w:r w:rsidR="008769E7" w:rsidRPr="00784940">
              <w:rPr>
                <w:color w:val="000000"/>
                <w:sz w:val="20"/>
                <w:szCs w:val="20"/>
              </w:rPr>
              <w:t>4,</w:t>
            </w:r>
            <w:r w:rsidR="00435071" w:rsidRPr="00784940">
              <w:rPr>
                <w:color w:val="000000"/>
                <w:sz w:val="20"/>
                <w:szCs w:val="20"/>
              </w:rPr>
              <w:t>6</w:t>
            </w:r>
            <w:r w:rsidR="008769E7" w:rsidRPr="00784940">
              <w:rPr>
                <w:color w:val="000000"/>
                <w:sz w:val="20"/>
                <w:szCs w:val="20"/>
              </w:rPr>
              <w:t>78</w:t>
            </w:r>
          </w:p>
        </w:tc>
        <w:tc>
          <w:tcPr>
            <w:tcW w:w="900" w:type="dxa"/>
            <w:tcBorders>
              <w:left w:val="single" w:sz="4" w:space="0" w:color="auto"/>
              <w:right w:val="single" w:sz="4" w:space="0" w:color="auto"/>
            </w:tcBorders>
            <w:shd w:val="clear" w:color="auto" w:fill="auto"/>
          </w:tcPr>
          <w:p w:rsidR="00B07000" w:rsidRPr="00784940" w:rsidRDefault="00B07000" w:rsidP="00FD1C37">
            <w:pPr>
              <w:spacing w:before="60" w:after="60"/>
              <w:jc w:val="center"/>
              <w:rPr>
                <w:color w:val="000000"/>
                <w:sz w:val="20"/>
                <w:szCs w:val="20"/>
              </w:rPr>
            </w:pPr>
          </w:p>
        </w:tc>
        <w:tc>
          <w:tcPr>
            <w:tcW w:w="900" w:type="dxa"/>
            <w:tcBorders>
              <w:left w:val="single" w:sz="4" w:space="0" w:color="auto"/>
            </w:tcBorders>
            <w:shd w:val="clear" w:color="auto" w:fill="auto"/>
          </w:tcPr>
          <w:p w:rsidR="00B07000" w:rsidRPr="00784940" w:rsidRDefault="00B07000" w:rsidP="00FD1C37">
            <w:pPr>
              <w:spacing w:before="60" w:after="60"/>
              <w:jc w:val="center"/>
              <w:rPr>
                <w:color w:val="000000"/>
                <w:sz w:val="20"/>
                <w:szCs w:val="20"/>
              </w:rPr>
            </w:pPr>
          </w:p>
        </w:tc>
        <w:tc>
          <w:tcPr>
            <w:tcW w:w="1350" w:type="dxa"/>
            <w:shd w:val="clear" w:color="auto" w:fill="auto"/>
          </w:tcPr>
          <w:p w:rsidR="00B07000" w:rsidRPr="00784940" w:rsidRDefault="00FD1C37" w:rsidP="00DE463B">
            <w:pPr>
              <w:spacing w:before="60" w:after="60"/>
              <w:jc w:val="right"/>
              <w:rPr>
                <w:color w:val="000000"/>
                <w:sz w:val="20"/>
                <w:szCs w:val="20"/>
              </w:rPr>
            </w:pPr>
            <w:r>
              <w:rPr>
                <w:color w:val="000000"/>
                <w:sz w:val="20"/>
                <w:szCs w:val="20"/>
              </w:rPr>
              <w:t>$4,678.00</w:t>
            </w:r>
          </w:p>
        </w:tc>
      </w:tr>
      <w:tr w:rsidR="00A45747" w:rsidRPr="00784940" w:rsidTr="00FD1C37">
        <w:tc>
          <w:tcPr>
            <w:tcW w:w="985" w:type="dxa"/>
            <w:gridSpan w:val="2"/>
            <w:shd w:val="clear" w:color="auto" w:fill="auto"/>
          </w:tcPr>
          <w:p w:rsidR="00A45747" w:rsidRPr="00784940" w:rsidRDefault="00A45747" w:rsidP="00A45747">
            <w:pPr>
              <w:spacing w:before="60" w:after="60"/>
              <w:rPr>
                <w:color w:val="000000"/>
                <w:sz w:val="20"/>
                <w:szCs w:val="20"/>
              </w:rPr>
            </w:pPr>
            <w:r w:rsidRPr="00784940">
              <w:rPr>
                <w:color w:val="000000"/>
                <w:sz w:val="20"/>
                <w:szCs w:val="20"/>
              </w:rPr>
              <w:t xml:space="preserve">Travel </w:t>
            </w:r>
            <w:r w:rsidR="008769E7" w:rsidRPr="00784940">
              <w:rPr>
                <w:color w:val="000000"/>
                <w:sz w:val="20"/>
                <w:szCs w:val="20"/>
              </w:rPr>
              <w:t>Time</w:t>
            </w:r>
          </w:p>
        </w:tc>
        <w:tc>
          <w:tcPr>
            <w:tcW w:w="810" w:type="dxa"/>
            <w:shd w:val="clear" w:color="auto" w:fill="auto"/>
          </w:tcPr>
          <w:p w:rsidR="00A45747" w:rsidRPr="00784940" w:rsidRDefault="00A45747" w:rsidP="00A45747">
            <w:pPr>
              <w:spacing w:before="60" w:after="60"/>
              <w:jc w:val="center"/>
              <w:rPr>
                <w:color w:val="000000"/>
                <w:sz w:val="20"/>
                <w:szCs w:val="20"/>
              </w:rPr>
            </w:pPr>
            <w:r w:rsidRPr="00784940">
              <w:rPr>
                <w:color w:val="000000"/>
                <w:sz w:val="20"/>
                <w:szCs w:val="20"/>
              </w:rPr>
              <w:t>2018</w:t>
            </w:r>
          </w:p>
        </w:tc>
        <w:tc>
          <w:tcPr>
            <w:tcW w:w="720" w:type="dxa"/>
            <w:gridSpan w:val="2"/>
            <w:shd w:val="clear" w:color="auto" w:fill="auto"/>
          </w:tcPr>
          <w:p w:rsidR="00A45747" w:rsidRPr="00784940" w:rsidRDefault="00A45747" w:rsidP="00A45747">
            <w:pPr>
              <w:spacing w:before="60" w:after="60"/>
              <w:jc w:val="right"/>
              <w:rPr>
                <w:color w:val="000000"/>
                <w:sz w:val="20"/>
                <w:szCs w:val="20"/>
              </w:rPr>
            </w:pPr>
            <w:r w:rsidRPr="00784940">
              <w:rPr>
                <w:color w:val="000000"/>
                <w:sz w:val="20"/>
                <w:szCs w:val="20"/>
              </w:rPr>
              <w:t>0.50</w:t>
            </w:r>
          </w:p>
        </w:tc>
        <w:tc>
          <w:tcPr>
            <w:tcW w:w="900" w:type="dxa"/>
            <w:shd w:val="clear" w:color="auto" w:fill="auto"/>
          </w:tcPr>
          <w:p w:rsidR="00A45747" w:rsidRPr="00784940" w:rsidRDefault="00A45747" w:rsidP="00A45747">
            <w:pPr>
              <w:spacing w:before="60" w:after="60"/>
              <w:jc w:val="center"/>
              <w:rPr>
                <w:color w:val="000000"/>
                <w:sz w:val="20"/>
                <w:szCs w:val="20"/>
              </w:rPr>
            </w:pPr>
            <w:r w:rsidRPr="00784940">
              <w:rPr>
                <w:color w:val="000000"/>
                <w:sz w:val="20"/>
                <w:szCs w:val="20"/>
              </w:rPr>
              <w:t>$50</w:t>
            </w:r>
          </w:p>
        </w:tc>
        <w:tc>
          <w:tcPr>
            <w:tcW w:w="1260" w:type="dxa"/>
            <w:tcBorders>
              <w:right w:val="single" w:sz="4" w:space="0" w:color="auto"/>
            </w:tcBorders>
            <w:shd w:val="clear" w:color="auto" w:fill="auto"/>
          </w:tcPr>
          <w:p w:rsidR="00A45747" w:rsidRPr="00784940" w:rsidRDefault="00A45747" w:rsidP="00A45747">
            <w:pPr>
              <w:spacing w:before="60" w:after="60"/>
              <w:jc w:val="right"/>
              <w:rPr>
                <w:color w:val="000000"/>
                <w:sz w:val="20"/>
                <w:szCs w:val="20"/>
              </w:rPr>
            </w:pPr>
            <w:r w:rsidRPr="00784940">
              <w:rPr>
                <w:color w:val="000000"/>
                <w:sz w:val="20"/>
                <w:szCs w:val="20"/>
              </w:rPr>
              <w:t>See attached Rate Justification</w:t>
            </w:r>
          </w:p>
        </w:tc>
        <w:tc>
          <w:tcPr>
            <w:tcW w:w="1080" w:type="dxa"/>
            <w:tcBorders>
              <w:top w:val="single" w:sz="4" w:space="0" w:color="auto"/>
              <w:left w:val="single" w:sz="4" w:space="0" w:color="auto"/>
              <w:bottom w:val="single" w:sz="4" w:space="0" w:color="auto"/>
              <w:right w:val="single" w:sz="24" w:space="0" w:color="auto"/>
            </w:tcBorders>
            <w:shd w:val="clear" w:color="auto" w:fill="auto"/>
          </w:tcPr>
          <w:p w:rsidR="00A45747" w:rsidRPr="00784940" w:rsidRDefault="00A45747" w:rsidP="00A45747">
            <w:pPr>
              <w:spacing w:before="60" w:after="60"/>
              <w:jc w:val="right"/>
              <w:rPr>
                <w:color w:val="000000"/>
                <w:sz w:val="20"/>
                <w:szCs w:val="20"/>
              </w:rPr>
            </w:pPr>
            <w:r w:rsidRPr="00784940">
              <w:rPr>
                <w:color w:val="000000"/>
                <w:sz w:val="20"/>
                <w:szCs w:val="20"/>
              </w:rPr>
              <w:t>$25</w:t>
            </w:r>
          </w:p>
        </w:tc>
        <w:tc>
          <w:tcPr>
            <w:tcW w:w="900" w:type="dxa"/>
            <w:tcBorders>
              <w:left w:val="single" w:sz="4" w:space="0" w:color="auto"/>
              <w:right w:val="single" w:sz="4" w:space="0" w:color="auto"/>
            </w:tcBorders>
            <w:shd w:val="clear" w:color="auto" w:fill="auto"/>
          </w:tcPr>
          <w:p w:rsidR="00A45747" w:rsidRPr="00784940" w:rsidRDefault="00FD1C37" w:rsidP="00FD1C37">
            <w:pPr>
              <w:spacing w:before="60" w:after="60"/>
              <w:jc w:val="center"/>
              <w:rPr>
                <w:color w:val="000000"/>
                <w:sz w:val="20"/>
                <w:szCs w:val="20"/>
              </w:rPr>
            </w:pPr>
            <w:r>
              <w:rPr>
                <w:color w:val="000000"/>
                <w:sz w:val="20"/>
                <w:szCs w:val="20"/>
              </w:rPr>
              <w:t>0.50</w:t>
            </w:r>
          </w:p>
        </w:tc>
        <w:tc>
          <w:tcPr>
            <w:tcW w:w="900" w:type="dxa"/>
            <w:tcBorders>
              <w:left w:val="single" w:sz="4" w:space="0" w:color="auto"/>
            </w:tcBorders>
            <w:shd w:val="clear" w:color="auto" w:fill="auto"/>
          </w:tcPr>
          <w:p w:rsidR="00A45747" w:rsidRPr="00784940" w:rsidRDefault="00FD1C37" w:rsidP="00FD1C37">
            <w:pPr>
              <w:spacing w:before="60" w:after="60"/>
              <w:jc w:val="center"/>
              <w:rPr>
                <w:color w:val="000000"/>
                <w:sz w:val="20"/>
                <w:szCs w:val="20"/>
              </w:rPr>
            </w:pPr>
            <w:r>
              <w:rPr>
                <w:color w:val="000000"/>
                <w:sz w:val="20"/>
                <w:szCs w:val="20"/>
              </w:rPr>
              <w:t>$50.00</w:t>
            </w:r>
          </w:p>
        </w:tc>
        <w:tc>
          <w:tcPr>
            <w:tcW w:w="1350" w:type="dxa"/>
            <w:shd w:val="clear" w:color="auto" w:fill="auto"/>
          </w:tcPr>
          <w:p w:rsidR="00A45747" w:rsidRPr="00784940" w:rsidRDefault="00FD1C37" w:rsidP="00A45747">
            <w:pPr>
              <w:spacing w:before="60" w:after="60"/>
              <w:jc w:val="right"/>
              <w:rPr>
                <w:color w:val="000000"/>
                <w:sz w:val="20"/>
                <w:szCs w:val="20"/>
              </w:rPr>
            </w:pPr>
            <w:r>
              <w:rPr>
                <w:color w:val="000000"/>
                <w:sz w:val="20"/>
                <w:szCs w:val="20"/>
              </w:rPr>
              <w:t>$25.00</w:t>
            </w:r>
          </w:p>
        </w:tc>
      </w:tr>
      <w:tr w:rsidR="00B07000" w:rsidRPr="00784940" w:rsidTr="00FD1C37">
        <w:tc>
          <w:tcPr>
            <w:tcW w:w="985" w:type="dxa"/>
            <w:gridSpan w:val="2"/>
            <w:shd w:val="clear" w:color="auto" w:fill="auto"/>
          </w:tcPr>
          <w:p w:rsidR="00B07000" w:rsidRPr="00784940" w:rsidRDefault="00B07000" w:rsidP="00A45747">
            <w:pPr>
              <w:spacing w:before="60" w:after="60"/>
              <w:rPr>
                <w:color w:val="000000"/>
                <w:sz w:val="20"/>
                <w:szCs w:val="20"/>
              </w:rPr>
            </w:pPr>
          </w:p>
        </w:tc>
        <w:tc>
          <w:tcPr>
            <w:tcW w:w="810" w:type="dxa"/>
            <w:shd w:val="clear" w:color="auto" w:fill="auto"/>
          </w:tcPr>
          <w:p w:rsidR="00B07000" w:rsidRPr="00784940" w:rsidRDefault="00B07000" w:rsidP="008769E7">
            <w:pPr>
              <w:spacing w:before="60" w:after="60"/>
              <w:rPr>
                <w:color w:val="000000"/>
                <w:sz w:val="20"/>
                <w:szCs w:val="20"/>
              </w:rPr>
            </w:pPr>
          </w:p>
        </w:tc>
        <w:tc>
          <w:tcPr>
            <w:tcW w:w="720" w:type="dxa"/>
            <w:gridSpan w:val="2"/>
            <w:shd w:val="clear" w:color="auto" w:fill="auto"/>
          </w:tcPr>
          <w:p w:rsidR="00B07000" w:rsidRPr="00784940" w:rsidRDefault="00B07000" w:rsidP="00A45747">
            <w:pPr>
              <w:spacing w:before="60" w:after="60"/>
              <w:jc w:val="right"/>
              <w:rPr>
                <w:color w:val="000000"/>
                <w:sz w:val="20"/>
                <w:szCs w:val="20"/>
              </w:rPr>
            </w:pPr>
          </w:p>
        </w:tc>
        <w:tc>
          <w:tcPr>
            <w:tcW w:w="900" w:type="dxa"/>
            <w:shd w:val="clear" w:color="auto" w:fill="auto"/>
          </w:tcPr>
          <w:p w:rsidR="00B07000" w:rsidRPr="00784940" w:rsidRDefault="00B07000" w:rsidP="00A45747">
            <w:pPr>
              <w:spacing w:before="60" w:after="60"/>
              <w:jc w:val="center"/>
              <w:rPr>
                <w:color w:val="000000"/>
                <w:sz w:val="20"/>
                <w:szCs w:val="20"/>
              </w:rPr>
            </w:pPr>
          </w:p>
        </w:tc>
        <w:tc>
          <w:tcPr>
            <w:tcW w:w="1260" w:type="dxa"/>
            <w:tcBorders>
              <w:right w:val="single" w:sz="4" w:space="0" w:color="auto"/>
            </w:tcBorders>
            <w:shd w:val="clear" w:color="auto" w:fill="auto"/>
          </w:tcPr>
          <w:p w:rsidR="00B07000" w:rsidRPr="00784940" w:rsidRDefault="00B07000" w:rsidP="00A45747">
            <w:pPr>
              <w:spacing w:before="60" w:after="60"/>
              <w:jc w:val="right"/>
              <w:rPr>
                <w:color w:val="000000"/>
                <w:sz w:val="20"/>
                <w:szCs w:val="20"/>
              </w:rPr>
            </w:pPr>
          </w:p>
        </w:tc>
        <w:tc>
          <w:tcPr>
            <w:tcW w:w="1080" w:type="dxa"/>
            <w:tcBorders>
              <w:top w:val="single" w:sz="4" w:space="0" w:color="auto"/>
              <w:left w:val="single" w:sz="4" w:space="0" w:color="auto"/>
              <w:bottom w:val="single" w:sz="4" w:space="0" w:color="auto"/>
              <w:right w:val="single" w:sz="24" w:space="0" w:color="auto"/>
            </w:tcBorders>
            <w:shd w:val="clear" w:color="auto" w:fill="auto"/>
          </w:tcPr>
          <w:p w:rsidR="00B07000" w:rsidRPr="00784940" w:rsidRDefault="00B07000" w:rsidP="00A45747">
            <w:pPr>
              <w:spacing w:before="60" w:after="60"/>
              <w:jc w:val="right"/>
              <w:rPr>
                <w:color w:val="000000"/>
                <w:sz w:val="20"/>
                <w:szCs w:val="20"/>
              </w:rPr>
            </w:pPr>
          </w:p>
        </w:tc>
        <w:tc>
          <w:tcPr>
            <w:tcW w:w="900" w:type="dxa"/>
            <w:tcBorders>
              <w:left w:val="single" w:sz="4" w:space="0" w:color="auto"/>
              <w:right w:val="single" w:sz="4" w:space="0" w:color="auto"/>
            </w:tcBorders>
            <w:shd w:val="clear" w:color="auto" w:fill="auto"/>
          </w:tcPr>
          <w:p w:rsidR="00B07000" w:rsidRPr="00784940" w:rsidRDefault="00B07000" w:rsidP="00A45747">
            <w:pPr>
              <w:spacing w:before="60" w:after="60"/>
              <w:jc w:val="right"/>
              <w:rPr>
                <w:color w:val="000000"/>
                <w:sz w:val="20"/>
                <w:szCs w:val="20"/>
              </w:rPr>
            </w:pPr>
          </w:p>
        </w:tc>
        <w:tc>
          <w:tcPr>
            <w:tcW w:w="900" w:type="dxa"/>
            <w:tcBorders>
              <w:left w:val="single" w:sz="4" w:space="0" w:color="auto"/>
            </w:tcBorders>
            <w:shd w:val="clear" w:color="auto" w:fill="auto"/>
          </w:tcPr>
          <w:p w:rsidR="00B07000" w:rsidRPr="00784940" w:rsidRDefault="00B07000" w:rsidP="00A45747">
            <w:pPr>
              <w:spacing w:before="60" w:after="60"/>
              <w:jc w:val="center"/>
              <w:rPr>
                <w:color w:val="000000"/>
                <w:sz w:val="20"/>
                <w:szCs w:val="20"/>
              </w:rPr>
            </w:pPr>
          </w:p>
        </w:tc>
        <w:tc>
          <w:tcPr>
            <w:tcW w:w="1350" w:type="dxa"/>
            <w:shd w:val="clear" w:color="auto" w:fill="auto"/>
          </w:tcPr>
          <w:p w:rsidR="00B07000" w:rsidRPr="00784940" w:rsidRDefault="00B07000" w:rsidP="00A45747">
            <w:pPr>
              <w:spacing w:before="60" w:after="60"/>
              <w:jc w:val="right"/>
              <w:rPr>
                <w:color w:val="000000"/>
                <w:sz w:val="20"/>
                <w:szCs w:val="20"/>
              </w:rPr>
            </w:pPr>
          </w:p>
        </w:tc>
      </w:tr>
      <w:tr w:rsidR="00DE463B" w:rsidRPr="0063384A" w:rsidTr="00FD1C37">
        <w:tc>
          <w:tcPr>
            <w:tcW w:w="5755" w:type="dxa"/>
            <w:gridSpan w:val="8"/>
            <w:tcBorders>
              <w:bottom w:val="single" w:sz="4" w:space="0" w:color="auto"/>
              <w:right w:val="single" w:sz="24" w:space="0" w:color="auto"/>
            </w:tcBorders>
            <w:shd w:val="clear" w:color="auto" w:fill="auto"/>
            <w:vAlign w:val="bottom"/>
          </w:tcPr>
          <w:p w:rsidR="00DE463B" w:rsidRPr="0063384A" w:rsidRDefault="00DE463B" w:rsidP="008506C0">
            <w:pPr>
              <w:tabs>
                <w:tab w:val="left" w:pos="957"/>
              </w:tabs>
              <w:jc w:val="right"/>
              <w:rPr>
                <w:b/>
                <w:i/>
                <w:color w:val="000000"/>
                <w:sz w:val="20"/>
                <w:szCs w:val="20"/>
              </w:rPr>
            </w:pPr>
            <w:r w:rsidRPr="0063384A">
              <w:rPr>
                <w:b/>
                <w:i/>
                <w:color w:val="000000"/>
                <w:sz w:val="20"/>
                <w:szCs w:val="20"/>
              </w:rPr>
              <w:t xml:space="preserve">Subtotal: </w:t>
            </w:r>
            <w:r w:rsidR="00A45747" w:rsidRPr="0063384A">
              <w:rPr>
                <w:b/>
                <w:i/>
                <w:color w:val="000000"/>
                <w:sz w:val="20"/>
                <w:szCs w:val="20"/>
              </w:rPr>
              <w:t xml:space="preserve">   $</w:t>
            </w:r>
            <w:r w:rsidR="008769E7" w:rsidRPr="0063384A">
              <w:rPr>
                <w:b/>
                <w:i/>
                <w:color w:val="000000"/>
                <w:sz w:val="20"/>
                <w:szCs w:val="20"/>
              </w:rPr>
              <w:t>15,</w:t>
            </w:r>
            <w:r w:rsidR="00435071" w:rsidRPr="0063384A">
              <w:rPr>
                <w:b/>
                <w:i/>
                <w:color w:val="000000"/>
                <w:sz w:val="20"/>
                <w:szCs w:val="20"/>
              </w:rPr>
              <w:t>7</w:t>
            </w:r>
            <w:r w:rsidR="008769E7" w:rsidRPr="0063384A">
              <w:rPr>
                <w:b/>
                <w:i/>
                <w:color w:val="000000"/>
                <w:sz w:val="20"/>
                <w:szCs w:val="20"/>
              </w:rPr>
              <w:t>67.00</w:t>
            </w:r>
          </w:p>
        </w:tc>
        <w:tc>
          <w:tcPr>
            <w:tcW w:w="3150" w:type="dxa"/>
            <w:gridSpan w:val="3"/>
            <w:tcBorders>
              <w:left w:val="single" w:sz="24" w:space="0" w:color="auto"/>
              <w:bottom w:val="single" w:sz="4" w:space="0" w:color="auto"/>
            </w:tcBorders>
            <w:shd w:val="clear" w:color="auto" w:fill="auto"/>
            <w:vAlign w:val="bottom"/>
          </w:tcPr>
          <w:p w:rsidR="00DE463B" w:rsidRPr="0063384A" w:rsidRDefault="00DE463B" w:rsidP="008506C0">
            <w:pPr>
              <w:tabs>
                <w:tab w:val="left" w:pos="957"/>
              </w:tabs>
              <w:jc w:val="right"/>
              <w:rPr>
                <w:b/>
                <w:i/>
                <w:color w:val="000000"/>
                <w:sz w:val="20"/>
                <w:szCs w:val="20"/>
              </w:rPr>
            </w:pPr>
            <w:r w:rsidRPr="0063384A">
              <w:rPr>
                <w:b/>
                <w:i/>
                <w:color w:val="000000"/>
                <w:sz w:val="20"/>
                <w:szCs w:val="20"/>
              </w:rPr>
              <w:t>Subtotal:  $</w:t>
            </w:r>
            <w:r w:rsidR="00FD1C37" w:rsidRPr="0063384A">
              <w:rPr>
                <w:b/>
                <w:i/>
                <w:color w:val="000000"/>
                <w:sz w:val="20"/>
                <w:szCs w:val="20"/>
              </w:rPr>
              <w:t>15,767.00</w:t>
            </w:r>
          </w:p>
        </w:tc>
      </w:tr>
      <w:tr w:rsidR="00DE463B" w:rsidRPr="007F620E" w:rsidTr="00D70E8E">
        <w:tc>
          <w:tcPr>
            <w:tcW w:w="8905" w:type="dxa"/>
            <w:gridSpan w:val="11"/>
            <w:tcBorders>
              <w:top w:val="single" w:sz="4" w:space="0" w:color="auto"/>
              <w:left w:val="single" w:sz="4" w:space="0" w:color="auto"/>
              <w:bottom w:val="single" w:sz="4" w:space="0" w:color="auto"/>
              <w:right w:val="single" w:sz="4" w:space="0" w:color="auto"/>
            </w:tcBorders>
            <w:shd w:val="clear" w:color="auto" w:fill="E6E6E6"/>
          </w:tcPr>
          <w:p w:rsidR="00DE463B" w:rsidRPr="00784940" w:rsidRDefault="00DE463B" w:rsidP="00DE463B">
            <w:pPr>
              <w:spacing w:before="60" w:after="60"/>
              <w:jc w:val="center"/>
              <w:rPr>
                <w:color w:val="000000"/>
              </w:rPr>
            </w:pPr>
            <w:r w:rsidRPr="00784940">
              <w:rPr>
                <w:color w:val="000000"/>
              </w:rPr>
              <w:t xml:space="preserve">INTERVENOR COMPENSATION CLAIM </w:t>
            </w:r>
            <w:proofErr w:type="gramStart"/>
            <w:r w:rsidRPr="00784940">
              <w:rPr>
                <w:color w:val="000000"/>
              </w:rPr>
              <w:t xml:space="preserve">PREPARATION </w:t>
            </w:r>
            <w:r w:rsidRPr="00784940">
              <w:rPr>
                <w:smallCaps/>
                <w:color w:val="000000"/>
              </w:rPr>
              <w:t xml:space="preserve"> *</w:t>
            </w:r>
            <w:proofErr w:type="gramEnd"/>
            <w:r w:rsidRPr="00784940">
              <w:rPr>
                <w:smallCaps/>
                <w:color w:val="000000"/>
              </w:rPr>
              <w:t>*</w:t>
            </w:r>
          </w:p>
        </w:tc>
      </w:tr>
      <w:tr w:rsidR="00DE463B" w:rsidRPr="00260518" w:rsidTr="00FD1C37">
        <w:tc>
          <w:tcPr>
            <w:tcW w:w="985" w:type="dxa"/>
            <w:gridSpan w:val="2"/>
            <w:tcBorders>
              <w:top w:val="single" w:sz="4" w:space="0" w:color="auto"/>
              <w:bottom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Item</w:t>
            </w:r>
          </w:p>
        </w:tc>
        <w:tc>
          <w:tcPr>
            <w:tcW w:w="810" w:type="dxa"/>
            <w:tcBorders>
              <w:top w:val="single" w:sz="4" w:space="0" w:color="auto"/>
              <w:bottom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Year</w:t>
            </w:r>
          </w:p>
        </w:tc>
        <w:tc>
          <w:tcPr>
            <w:tcW w:w="720" w:type="dxa"/>
            <w:gridSpan w:val="2"/>
            <w:tcBorders>
              <w:top w:val="single" w:sz="4" w:space="0" w:color="auto"/>
              <w:bottom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Hours</w:t>
            </w:r>
          </w:p>
        </w:tc>
        <w:tc>
          <w:tcPr>
            <w:tcW w:w="900" w:type="dxa"/>
            <w:tcBorders>
              <w:top w:val="single" w:sz="4" w:space="0" w:color="auto"/>
              <w:bottom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 xml:space="preserve">Rate $ </w:t>
            </w:r>
          </w:p>
        </w:tc>
        <w:tc>
          <w:tcPr>
            <w:tcW w:w="1260" w:type="dxa"/>
            <w:tcBorders>
              <w:top w:val="single" w:sz="4" w:space="0" w:color="auto"/>
              <w:bottom w:val="single" w:sz="4" w:space="0" w:color="auto"/>
              <w:right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Basis for Rate*</w:t>
            </w:r>
          </w:p>
        </w:tc>
        <w:tc>
          <w:tcPr>
            <w:tcW w:w="1080" w:type="dxa"/>
            <w:tcBorders>
              <w:top w:val="single" w:sz="4" w:space="0" w:color="auto"/>
              <w:left w:val="single" w:sz="4" w:space="0" w:color="auto"/>
              <w:bottom w:val="single" w:sz="4" w:space="0" w:color="auto"/>
              <w:right w:val="single" w:sz="2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Total $</w:t>
            </w:r>
          </w:p>
        </w:tc>
        <w:tc>
          <w:tcPr>
            <w:tcW w:w="900" w:type="dxa"/>
            <w:tcBorders>
              <w:top w:val="single" w:sz="4" w:space="0" w:color="auto"/>
              <w:left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Hours</w:t>
            </w:r>
          </w:p>
        </w:tc>
        <w:tc>
          <w:tcPr>
            <w:tcW w:w="900" w:type="dxa"/>
            <w:tcBorders>
              <w:top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 xml:space="preserve">Rate </w:t>
            </w:r>
          </w:p>
        </w:tc>
        <w:tc>
          <w:tcPr>
            <w:tcW w:w="1350" w:type="dxa"/>
            <w:tcBorders>
              <w:top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Total $</w:t>
            </w:r>
          </w:p>
        </w:tc>
      </w:tr>
      <w:tr w:rsidR="00D70E8E" w:rsidRPr="007F620E" w:rsidTr="00FD1C37">
        <w:tc>
          <w:tcPr>
            <w:tcW w:w="985" w:type="dxa"/>
            <w:gridSpan w:val="2"/>
            <w:shd w:val="clear" w:color="auto" w:fill="auto"/>
          </w:tcPr>
          <w:p w:rsidR="00DE463B" w:rsidRPr="00784940" w:rsidRDefault="00A45747" w:rsidP="00DE463B">
            <w:pPr>
              <w:spacing w:before="60" w:after="60"/>
              <w:rPr>
                <w:color w:val="000000"/>
                <w:sz w:val="20"/>
                <w:szCs w:val="20"/>
              </w:rPr>
            </w:pPr>
            <w:r w:rsidRPr="00784940">
              <w:rPr>
                <w:color w:val="000000"/>
                <w:sz w:val="20"/>
                <w:szCs w:val="20"/>
              </w:rPr>
              <w:t>Lisa McGhee</w:t>
            </w:r>
            <w:r w:rsidR="00DE463B" w:rsidRPr="00784940">
              <w:rPr>
                <w:color w:val="000000"/>
                <w:sz w:val="20"/>
                <w:szCs w:val="20"/>
              </w:rPr>
              <w:t xml:space="preserve">  </w:t>
            </w:r>
          </w:p>
        </w:tc>
        <w:tc>
          <w:tcPr>
            <w:tcW w:w="810" w:type="dxa"/>
            <w:shd w:val="clear" w:color="auto" w:fill="auto"/>
          </w:tcPr>
          <w:p w:rsidR="00DE463B" w:rsidRPr="00784940" w:rsidRDefault="00A45747" w:rsidP="00DE463B">
            <w:pPr>
              <w:spacing w:before="60" w:after="60"/>
              <w:jc w:val="center"/>
              <w:rPr>
                <w:color w:val="000000"/>
                <w:sz w:val="20"/>
                <w:szCs w:val="20"/>
              </w:rPr>
            </w:pPr>
            <w:r w:rsidRPr="00784940">
              <w:rPr>
                <w:color w:val="000000"/>
                <w:sz w:val="20"/>
                <w:szCs w:val="20"/>
              </w:rPr>
              <w:t>2017</w:t>
            </w:r>
          </w:p>
        </w:tc>
        <w:tc>
          <w:tcPr>
            <w:tcW w:w="720" w:type="dxa"/>
            <w:gridSpan w:val="2"/>
            <w:shd w:val="clear" w:color="auto" w:fill="auto"/>
          </w:tcPr>
          <w:p w:rsidR="00DE463B" w:rsidRPr="00784940" w:rsidRDefault="00A45747" w:rsidP="00DE463B">
            <w:pPr>
              <w:spacing w:before="60" w:after="60"/>
              <w:jc w:val="right"/>
              <w:rPr>
                <w:color w:val="000000"/>
                <w:sz w:val="20"/>
                <w:szCs w:val="20"/>
              </w:rPr>
            </w:pPr>
            <w:r w:rsidRPr="00784940">
              <w:rPr>
                <w:color w:val="000000"/>
                <w:sz w:val="20"/>
                <w:szCs w:val="20"/>
              </w:rPr>
              <w:t>2</w:t>
            </w:r>
          </w:p>
        </w:tc>
        <w:tc>
          <w:tcPr>
            <w:tcW w:w="900" w:type="dxa"/>
            <w:shd w:val="clear" w:color="auto" w:fill="auto"/>
          </w:tcPr>
          <w:p w:rsidR="00DE463B" w:rsidRPr="00784940" w:rsidRDefault="00A45747" w:rsidP="00DE463B">
            <w:pPr>
              <w:spacing w:before="60" w:after="60"/>
              <w:jc w:val="center"/>
              <w:rPr>
                <w:color w:val="000000"/>
                <w:sz w:val="20"/>
                <w:szCs w:val="20"/>
              </w:rPr>
            </w:pPr>
            <w:r w:rsidRPr="00784940">
              <w:rPr>
                <w:color w:val="000000"/>
                <w:sz w:val="20"/>
                <w:szCs w:val="20"/>
              </w:rPr>
              <w:t>$50</w:t>
            </w:r>
          </w:p>
        </w:tc>
        <w:tc>
          <w:tcPr>
            <w:tcW w:w="1260" w:type="dxa"/>
            <w:tcBorders>
              <w:right w:val="single" w:sz="4" w:space="0" w:color="auto"/>
            </w:tcBorders>
            <w:shd w:val="clear" w:color="auto" w:fill="auto"/>
          </w:tcPr>
          <w:p w:rsidR="00DE463B" w:rsidRPr="00784940" w:rsidRDefault="00A45747" w:rsidP="00DE463B">
            <w:pPr>
              <w:spacing w:before="60" w:after="60"/>
              <w:jc w:val="right"/>
              <w:rPr>
                <w:color w:val="000000"/>
                <w:sz w:val="20"/>
                <w:szCs w:val="20"/>
              </w:rPr>
            </w:pPr>
            <w:r w:rsidRPr="00784940">
              <w:rPr>
                <w:color w:val="000000"/>
                <w:sz w:val="20"/>
                <w:szCs w:val="20"/>
              </w:rPr>
              <w:t>See attached Rate Justification</w:t>
            </w:r>
          </w:p>
        </w:tc>
        <w:tc>
          <w:tcPr>
            <w:tcW w:w="1080" w:type="dxa"/>
            <w:tcBorders>
              <w:top w:val="single" w:sz="4" w:space="0" w:color="auto"/>
              <w:left w:val="single" w:sz="4" w:space="0" w:color="auto"/>
              <w:bottom w:val="single" w:sz="4" w:space="0" w:color="auto"/>
              <w:right w:val="single" w:sz="24" w:space="0" w:color="auto"/>
            </w:tcBorders>
            <w:shd w:val="clear" w:color="auto" w:fill="auto"/>
          </w:tcPr>
          <w:p w:rsidR="00DE463B" w:rsidRPr="00784940" w:rsidRDefault="00A45747" w:rsidP="00DE463B">
            <w:pPr>
              <w:spacing w:before="60" w:after="60"/>
              <w:jc w:val="right"/>
              <w:rPr>
                <w:color w:val="000000"/>
                <w:sz w:val="20"/>
                <w:szCs w:val="20"/>
              </w:rPr>
            </w:pPr>
            <w:r w:rsidRPr="00784940">
              <w:rPr>
                <w:color w:val="000000"/>
                <w:sz w:val="20"/>
                <w:szCs w:val="20"/>
              </w:rPr>
              <w:t>$100</w:t>
            </w:r>
          </w:p>
        </w:tc>
        <w:tc>
          <w:tcPr>
            <w:tcW w:w="900" w:type="dxa"/>
            <w:tcBorders>
              <w:left w:val="single" w:sz="4" w:space="0" w:color="auto"/>
              <w:right w:val="single" w:sz="4" w:space="0" w:color="auto"/>
            </w:tcBorders>
            <w:shd w:val="clear" w:color="auto" w:fill="auto"/>
          </w:tcPr>
          <w:p w:rsidR="00DE463B" w:rsidRPr="00784940" w:rsidRDefault="00FD1C37" w:rsidP="00FD1C37">
            <w:pPr>
              <w:spacing w:before="60" w:after="60"/>
              <w:jc w:val="center"/>
              <w:rPr>
                <w:color w:val="000000"/>
                <w:sz w:val="20"/>
                <w:szCs w:val="20"/>
              </w:rPr>
            </w:pPr>
            <w:r>
              <w:rPr>
                <w:color w:val="000000"/>
                <w:sz w:val="20"/>
                <w:szCs w:val="20"/>
              </w:rPr>
              <w:t>2.00</w:t>
            </w:r>
          </w:p>
        </w:tc>
        <w:tc>
          <w:tcPr>
            <w:tcW w:w="900" w:type="dxa"/>
            <w:tcBorders>
              <w:left w:val="single" w:sz="4" w:space="0" w:color="auto"/>
            </w:tcBorders>
            <w:shd w:val="clear" w:color="auto" w:fill="auto"/>
          </w:tcPr>
          <w:p w:rsidR="00DE463B" w:rsidRPr="00784940" w:rsidRDefault="00FD1C37" w:rsidP="00FD1C37">
            <w:pPr>
              <w:spacing w:before="60" w:after="60"/>
              <w:jc w:val="center"/>
              <w:rPr>
                <w:color w:val="000000"/>
                <w:sz w:val="20"/>
                <w:szCs w:val="20"/>
              </w:rPr>
            </w:pPr>
            <w:r>
              <w:rPr>
                <w:color w:val="000000"/>
                <w:sz w:val="20"/>
                <w:szCs w:val="20"/>
              </w:rPr>
              <w:t>$50.00</w:t>
            </w:r>
          </w:p>
        </w:tc>
        <w:tc>
          <w:tcPr>
            <w:tcW w:w="1350" w:type="dxa"/>
            <w:shd w:val="clear" w:color="auto" w:fill="auto"/>
          </w:tcPr>
          <w:p w:rsidR="00DE463B" w:rsidRPr="00784940" w:rsidRDefault="00FD1C37" w:rsidP="00DE463B">
            <w:pPr>
              <w:spacing w:before="60" w:after="60"/>
              <w:jc w:val="right"/>
              <w:rPr>
                <w:color w:val="000000"/>
                <w:sz w:val="20"/>
                <w:szCs w:val="20"/>
              </w:rPr>
            </w:pPr>
            <w:r>
              <w:rPr>
                <w:color w:val="000000"/>
                <w:sz w:val="20"/>
                <w:szCs w:val="20"/>
              </w:rPr>
              <w:t>$100.00</w:t>
            </w:r>
          </w:p>
        </w:tc>
      </w:tr>
      <w:tr w:rsidR="00D70E8E" w:rsidRPr="007F620E" w:rsidTr="00FD1C37">
        <w:tc>
          <w:tcPr>
            <w:tcW w:w="985" w:type="dxa"/>
            <w:gridSpan w:val="2"/>
            <w:shd w:val="clear" w:color="auto" w:fill="auto"/>
          </w:tcPr>
          <w:p w:rsidR="00DE463B" w:rsidRPr="00784940" w:rsidRDefault="00A45747" w:rsidP="00DE463B">
            <w:pPr>
              <w:spacing w:before="60" w:after="60"/>
              <w:rPr>
                <w:color w:val="000000"/>
                <w:sz w:val="20"/>
                <w:szCs w:val="20"/>
              </w:rPr>
            </w:pPr>
            <w:r w:rsidRPr="00784940">
              <w:rPr>
                <w:color w:val="000000"/>
                <w:sz w:val="20"/>
                <w:szCs w:val="20"/>
              </w:rPr>
              <w:t xml:space="preserve">Lisa </w:t>
            </w:r>
            <w:r w:rsidRPr="00784940">
              <w:rPr>
                <w:color w:val="000000"/>
                <w:sz w:val="20"/>
                <w:szCs w:val="20"/>
              </w:rPr>
              <w:lastRenderedPageBreak/>
              <w:t>McGhee</w:t>
            </w:r>
          </w:p>
        </w:tc>
        <w:tc>
          <w:tcPr>
            <w:tcW w:w="810" w:type="dxa"/>
            <w:shd w:val="clear" w:color="auto" w:fill="auto"/>
          </w:tcPr>
          <w:p w:rsidR="00DE463B" w:rsidRPr="00784940" w:rsidRDefault="00A45747" w:rsidP="00DE463B">
            <w:pPr>
              <w:spacing w:before="60" w:after="60"/>
              <w:jc w:val="center"/>
              <w:rPr>
                <w:color w:val="000000"/>
                <w:sz w:val="20"/>
                <w:szCs w:val="20"/>
              </w:rPr>
            </w:pPr>
            <w:r w:rsidRPr="00784940">
              <w:rPr>
                <w:color w:val="000000"/>
                <w:sz w:val="20"/>
                <w:szCs w:val="20"/>
              </w:rPr>
              <w:lastRenderedPageBreak/>
              <w:t>2018</w:t>
            </w:r>
          </w:p>
        </w:tc>
        <w:tc>
          <w:tcPr>
            <w:tcW w:w="720" w:type="dxa"/>
            <w:gridSpan w:val="2"/>
            <w:shd w:val="clear" w:color="auto" w:fill="auto"/>
          </w:tcPr>
          <w:p w:rsidR="00DE463B" w:rsidRPr="00784940" w:rsidRDefault="00A45747" w:rsidP="00DE463B">
            <w:pPr>
              <w:spacing w:before="60" w:after="60"/>
              <w:jc w:val="right"/>
              <w:rPr>
                <w:color w:val="000000"/>
                <w:sz w:val="20"/>
                <w:szCs w:val="20"/>
              </w:rPr>
            </w:pPr>
            <w:r w:rsidRPr="00784940">
              <w:rPr>
                <w:color w:val="000000"/>
                <w:sz w:val="20"/>
                <w:szCs w:val="20"/>
              </w:rPr>
              <w:t>4</w:t>
            </w:r>
          </w:p>
        </w:tc>
        <w:tc>
          <w:tcPr>
            <w:tcW w:w="900" w:type="dxa"/>
            <w:shd w:val="clear" w:color="auto" w:fill="auto"/>
          </w:tcPr>
          <w:p w:rsidR="00DE463B" w:rsidRPr="00784940" w:rsidRDefault="00A45747" w:rsidP="00DE463B">
            <w:pPr>
              <w:spacing w:before="60" w:after="60"/>
              <w:jc w:val="center"/>
              <w:rPr>
                <w:color w:val="000000"/>
                <w:sz w:val="20"/>
                <w:szCs w:val="20"/>
              </w:rPr>
            </w:pPr>
            <w:r w:rsidRPr="00784940">
              <w:rPr>
                <w:color w:val="000000"/>
                <w:sz w:val="20"/>
                <w:szCs w:val="20"/>
              </w:rPr>
              <w:t>$50</w:t>
            </w:r>
          </w:p>
        </w:tc>
        <w:tc>
          <w:tcPr>
            <w:tcW w:w="1260" w:type="dxa"/>
            <w:tcBorders>
              <w:right w:val="single" w:sz="4" w:space="0" w:color="auto"/>
            </w:tcBorders>
            <w:shd w:val="clear" w:color="auto" w:fill="auto"/>
          </w:tcPr>
          <w:p w:rsidR="00DE463B" w:rsidRPr="00784940" w:rsidRDefault="00A45747" w:rsidP="00DE463B">
            <w:pPr>
              <w:spacing w:before="60" w:after="60"/>
              <w:jc w:val="right"/>
              <w:rPr>
                <w:color w:val="000000"/>
                <w:sz w:val="20"/>
                <w:szCs w:val="20"/>
              </w:rPr>
            </w:pPr>
            <w:r w:rsidRPr="00784940">
              <w:rPr>
                <w:color w:val="000000"/>
                <w:sz w:val="20"/>
                <w:szCs w:val="20"/>
              </w:rPr>
              <w:t xml:space="preserve">See attached </w:t>
            </w:r>
            <w:r w:rsidRPr="00784940">
              <w:rPr>
                <w:color w:val="000000"/>
                <w:sz w:val="20"/>
                <w:szCs w:val="20"/>
              </w:rPr>
              <w:lastRenderedPageBreak/>
              <w:t>Rate Justification</w:t>
            </w:r>
          </w:p>
        </w:tc>
        <w:tc>
          <w:tcPr>
            <w:tcW w:w="1080" w:type="dxa"/>
            <w:tcBorders>
              <w:top w:val="single" w:sz="4" w:space="0" w:color="auto"/>
              <w:left w:val="single" w:sz="4" w:space="0" w:color="auto"/>
              <w:bottom w:val="single" w:sz="4" w:space="0" w:color="auto"/>
              <w:right w:val="single" w:sz="24" w:space="0" w:color="auto"/>
            </w:tcBorders>
            <w:shd w:val="clear" w:color="auto" w:fill="auto"/>
          </w:tcPr>
          <w:p w:rsidR="00DE463B" w:rsidRPr="00784940" w:rsidRDefault="00A45747" w:rsidP="00DE463B">
            <w:pPr>
              <w:spacing w:before="60" w:after="60"/>
              <w:jc w:val="right"/>
              <w:rPr>
                <w:color w:val="000000"/>
                <w:sz w:val="20"/>
                <w:szCs w:val="20"/>
              </w:rPr>
            </w:pPr>
            <w:r w:rsidRPr="00784940">
              <w:rPr>
                <w:color w:val="000000"/>
                <w:sz w:val="20"/>
                <w:szCs w:val="20"/>
              </w:rPr>
              <w:lastRenderedPageBreak/>
              <w:t>$200</w:t>
            </w:r>
          </w:p>
        </w:tc>
        <w:tc>
          <w:tcPr>
            <w:tcW w:w="900" w:type="dxa"/>
            <w:tcBorders>
              <w:left w:val="single" w:sz="4" w:space="0" w:color="auto"/>
              <w:right w:val="single" w:sz="4" w:space="0" w:color="auto"/>
            </w:tcBorders>
            <w:shd w:val="clear" w:color="auto" w:fill="auto"/>
          </w:tcPr>
          <w:p w:rsidR="00DE463B" w:rsidRPr="00784940" w:rsidRDefault="00FD1C37" w:rsidP="00FD1C37">
            <w:pPr>
              <w:spacing w:before="60" w:after="60"/>
              <w:jc w:val="center"/>
              <w:rPr>
                <w:color w:val="000000"/>
                <w:sz w:val="20"/>
                <w:szCs w:val="20"/>
              </w:rPr>
            </w:pPr>
            <w:r>
              <w:rPr>
                <w:color w:val="000000"/>
                <w:sz w:val="20"/>
                <w:szCs w:val="20"/>
              </w:rPr>
              <w:t>4.00</w:t>
            </w:r>
          </w:p>
        </w:tc>
        <w:tc>
          <w:tcPr>
            <w:tcW w:w="900" w:type="dxa"/>
            <w:tcBorders>
              <w:left w:val="single" w:sz="4" w:space="0" w:color="auto"/>
            </w:tcBorders>
            <w:shd w:val="clear" w:color="auto" w:fill="auto"/>
          </w:tcPr>
          <w:p w:rsidR="00DE463B" w:rsidRPr="00784940" w:rsidRDefault="00FD1C37" w:rsidP="00FD1C37">
            <w:pPr>
              <w:spacing w:before="60" w:after="60"/>
              <w:jc w:val="center"/>
              <w:rPr>
                <w:color w:val="000000"/>
                <w:sz w:val="20"/>
                <w:szCs w:val="20"/>
              </w:rPr>
            </w:pPr>
            <w:r>
              <w:rPr>
                <w:color w:val="000000"/>
                <w:sz w:val="20"/>
                <w:szCs w:val="20"/>
              </w:rPr>
              <w:t>$50.00</w:t>
            </w:r>
          </w:p>
        </w:tc>
        <w:tc>
          <w:tcPr>
            <w:tcW w:w="1350" w:type="dxa"/>
            <w:shd w:val="clear" w:color="auto" w:fill="auto"/>
          </w:tcPr>
          <w:p w:rsidR="00DE463B" w:rsidRPr="00784940" w:rsidRDefault="00FD1C37" w:rsidP="00DE463B">
            <w:pPr>
              <w:spacing w:before="60" w:after="60"/>
              <w:jc w:val="right"/>
              <w:rPr>
                <w:color w:val="000000"/>
                <w:sz w:val="20"/>
                <w:szCs w:val="20"/>
              </w:rPr>
            </w:pPr>
            <w:r>
              <w:rPr>
                <w:color w:val="000000"/>
                <w:sz w:val="20"/>
                <w:szCs w:val="20"/>
              </w:rPr>
              <w:t>$200.00</w:t>
            </w:r>
          </w:p>
        </w:tc>
      </w:tr>
      <w:tr w:rsidR="00DE463B" w:rsidRPr="006872E1" w:rsidTr="00FD1C37">
        <w:tc>
          <w:tcPr>
            <w:tcW w:w="5755" w:type="dxa"/>
            <w:gridSpan w:val="8"/>
            <w:tcBorders>
              <w:bottom w:val="single" w:sz="4" w:space="0" w:color="auto"/>
              <w:right w:val="single" w:sz="24" w:space="0" w:color="auto"/>
            </w:tcBorders>
            <w:shd w:val="clear" w:color="auto" w:fill="auto"/>
            <w:vAlign w:val="bottom"/>
          </w:tcPr>
          <w:p w:rsidR="00DE463B" w:rsidRPr="006872E1" w:rsidRDefault="00DE463B" w:rsidP="008506C0">
            <w:pPr>
              <w:tabs>
                <w:tab w:val="left" w:pos="957"/>
              </w:tabs>
              <w:jc w:val="right"/>
              <w:rPr>
                <w:b/>
                <w:i/>
                <w:color w:val="000000"/>
                <w:sz w:val="20"/>
                <w:szCs w:val="20"/>
              </w:rPr>
            </w:pPr>
            <w:r w:rsidRPr="006872E1">
              <w:rPr>
                <w:b/>
                <w:i/>
                <w:color w:val="000000"/>
                <w:sz w:val="20"/>
                <w:szCs w:val="20"/>
              </w:rPr>
              <w:t xml:space="preserve">Subtotal: </w:t>
            </w:r>
            <w:r w:rsidR="00846917" w:rsidRPr="006872E1">
              <w:rPr>
                <w:b/>
                <w:i/>
                <w:color w:val="000000"/>
                <w:sz w:val="20"/>
                <w:szCs w:val="20"/>
              </w:rPr>
              <w:t xml:space="preserve">     $300.00</w:t>
            </w:r>
          </w:p>
        </w:tc>
        <w:tc>
          <w:tcPr>
            <w:tcW w:w="3150" w:type="dxa"/>
            <w:gridSpan w:val="3"/>
            <w:tcBorders>
              <w:left w:val="single" w:sz="24" w:space="0" w:color="auto"/>
              <w:bottom w:val="single" w:sz="4" w:space="0" w:color="auto"/>
            </w:tcBorders>
            <w:shd w:val="clear" w:color="auto" w:fill="auto"/>
            <w:vAlign w:val="bottom"/>
          </w:tcPr>
          <w:p w:rsidR="00DE463B" w:rsidRPr="006872E1" w:rsidRDefault="00DE463B" w:rsidP="008506C0">
            <w:pPr>
              <w:tabs>
                <w:tab w:val="left" w:pos="957"/>
              </w:tabs>
              <w:jc w:val="right"/>
              <w:rPr>
                <w:b/>
                <w:i/>
                <w:color w:val="000000"/>
                <w:sz w:val="20"/>
                <w:szCs w:val="20"/>
              </w:rPr>
            </w:pPr>
            <w:r w:rsidRPr="006872E1">
              <w:rPr>
                <w:b/>
                <w:i/>
                <w:color w:val="000000"/>
                <w:sz w:val="20"/>
                <w:szCs w:val="20"/>
              </w:rPr>
              <w:t>Subtotal: $</w:t>
            </w:r>
            <w:r w:rsidR="00FD1C37" w:rsidRPr="006872E1">
              <w:rPr>
                <w:b/>
                <w:i/>
                <w:color w:val="000000"/>
                <w:sz w:val="20"/>
                <w:szCs w:val="20"/>
              </w:rPr>
              <w:t>300.00</w:t>
            </w:r>
          </w:p>
        </w:tc>
      </w:tr>
      <w:tr w:rsidR="00DE463B" w:rsidRPr="007F620E" w:rsidTr="00D70E8E">
        <w:tc>
          <w:tcPr>
            <w:tcW w:w="8905" w:type="dxa"/>
            <w:gridSpan w:val="11"/>
            <w:tcBorders>
              <w:top w:val="single" w:sz="4" w:space="0" w:color="auto"/>
              <w:left w:val="single" w:sz="4" w:space="0" w:color="auto"/>
              <w:bottom w:val="single" w:sz="4" w:space="0" w:color="auto"/>
              <w:right w:val="single" w:sz="4" w:space="0" w:color="auto"/>
            </w:tcBorders>
            <w:shd w:val="clear" w:color="auto" w:fill="E6E6E6"/>
          </w:tcPr>
          <w:p w:rsidR="00DE463B" w:rsidRPr="00784940" w:rsidRDefault="00DE463B" w:rsidP="00DE463B">
            <w:pPr>
              <w:spacing w:before="60" w:after="60"/>
              <w:jc w:val="center"/>
              <w:rPr>
                <w:smallCaps/>
                <w:color w:val="000000"/>
              </w:rPr>
            </w:pPr>
            <w:r w:rsidRPr="00784940">
              <w:rPr>
                <w:smallCaps/>
                <w:color w:val="000000"/>
              </w:rPr>
              <w:t>COSTS</w:t>
            </w:r>
          </w:p>
        </w:tc>
      </w:tr>
      <w:tr w:rsidR="00DE463B" w:rsidRPr="007F620E" w:rsidTr="00FD1C37">
        <w:tc>
          <w:tcPr>
            <w:tcW w:w="468" w:type="dxa"/>
            <w:tcBorders>
              <w:top w:val="single" w:sz="4" w:space="0" w:color="auto"/>
              <w:bottom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w:t>
            </w:r>
          </w:p>
        </w:tc>
        <w:tc>
          <w:tcPr>
            <w:tcW w:w="1620" w:type="dxa"/>
            <w:gridSpan w:val="3"/>
            <w:tcBorders>
              <w:top w:val="single" w:sz="4" w:space="0" w:color="auto"/>
              <w:bottom w:val="single" w:sz="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Item</w:t>
            </w:r>
          </w:p>
        </w:tc>
        <w:tc>
          <w:tcPr>
            <w:tcW w:w="2587" w:type="dxa"/>
            <w:gridSpan w:val="3"/>
            <w:tcBorders>
              <w:top w:val="single" w:sz="4" w:space="0" w:color="auto"/>
              <w:left w:val="single" w:sz="4" w:space="0" w:color="auto"/>
              <w:bottom w:val="single" w:sz="4" w:space="0" w:color="auto"/>
              <w:right w:val="single" w:sz="4" w:space="0" w:color="auto"/>
            </w:tcBorders>
            <w:shd w:val="clear" w:color="auto" w:fill="FFFFFF"/>
          </w:tcPr>
          <w:p w:rsidR="00DE463B" w:rsidRPr="00784940" w:rsidRDefault="00DE463B" w:rsidP="00DE463B">
            <w:pPr>
              <w:spacing w:before="60" w:after="60"/>
              <w:jc w:val="center"/>
              <w:rPr>
                <w:color w:val="000000"/>
                <w:sz w:val="20"/>
                <w:szCs w:val="20"/>
              </w:rPr>
            </w:pPr>
            <w:r w:rsidRPr="00784940">
              <w:rPr>
                <w:color w:val="000000"/>
                <w:sz w:val="20"/>
                <w:szCs w:val="20"/>
              </w:rPr>
              <w:t>Detail</w:t>
            </w:r>
          </w:p>
        </w:tc>
        <w:tc>
          <w:tcPr>
            <w:tcW w:w="1080" w:type="dxa"/>
            <w:tcBorders>
              <w:top w:val="single" w:sz="4" w:space="0" w:color="auto"/>
              <w:left w:val="single" w:sz="4" w:space="0" w:color="auto"/>
              <w:bottom w:val="single" w:sz="4" w:space="0" w:color="auto"/>
              <w:right w:val="single" w:sz="2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Amount</w:t>
            </w:r>
          </w:p>
        </w:tc>
        <w:tc>
          <w:tcPr>
            <w:tcW w:w="3150" w:type="dxa"/>
            <w:gridSpan w:val="3"/>
            <w:tcBorders>
              <w:top w:val="single" w:sz="4" w:space="0" w:color="auto"/>
              <w:left w:val="single" w:sz="24" w:space="0" w:color="auto"/>
            </w:tcBorders>
            <w:shd w:val="clear" w:color="auto" w:fill="auto"/>
          </w:tcPr>
          <w:p w:rsidR="00DE463B" w:rsidRPr="00784940" w:rsidRDefault="00DE463B" w:rsidP="00DE463B">
            <w:pPr>
              <w:spacing w:before="60" w:after="60"/>
              <w:jc w:val="center"/>
              <w:rPr>
                <w:color w:val="000000"/>
                <w:sz w:val="20"/>
                <w:szCs w:val="20"/>
              </w:rPr>
            </w:pPr>
            <w:r w:rsidRPr="00784940">
              <w:rPr>
                <w:color w:val="000000"/>
                <w:sz w:val="20"/>
                <w:szCs w:val="20"/>
              </w:rPr>
              <w:t>Amount</w:t>
            </w:r>
          </w:p>
        </w:tc>
      </w:tr>
      <w:tr w:rsidR="00DE463B" w:rsidRPr="007F620E" w:rsidTr="00FD1C37">
        <w:tc>
          <w:tcPr>
            <w:tcW w:w="468" w:type="dxa"/>
            <w:tcBorders>
              <w:bottom w:val="single" w:sz="4" w:space="0" w:color="auto"/>
            </w:tcBorders>
            <w:shd w:val="clear" w:color="auto" w:fill="auto"/>
          </w:tcPr>
          <w:p w:rsidR="00DE463B" w:rsidRPr="00784940" w:rsidRDefault="00DE463B" w:rsidP="00DE463B">
            <w:pPr>
              <w:spacing w:before="60" w:after="60"/>
              <w:jc w:val="center"/>
              <w:rPr>
                <w:color w:val="000000"/>
                <w:sz w:val="20"/>
                <w:szCs w:val="20"/>
              </w:rPr>
            </w:pPr>
          </w:p>
        </w:tc>
        <w:tc>
          <w:tcPr>
            <w:tcW w:w="1620" w:type="dxa"/>
            <w:gridSpan w:val="3"/>
            <w:tcBorders>
              <w:bottom w:val="single" w:sz="4" w:space="0" w:color="auto"/>
            </w:tcBorders>
            <w:shd w:val="clear" w:color="auto" w:fill="auto"/>
          </w:tcPr>
          <w:p w:rsidR="00DE463B" w:rsidRPr="00784940" w:rsidRDefault="00A45747" w:rsidP="00DE463B">
            <w:pPr>
              <w:spacing w:before="60" w:after="60"/>
              <w:rPr>
                <w:color w:val="000000"/>
                <w:sz w:val="20"/>
                <w:szCs w:val="20"/>
              </w:rPr>
            </w:pPr>
            <w:r w:rsidRPr="00784940">
              <w:rPr>
                <w:color w:val="000000"/>
                <w:sz w:val="20"/>
                <w:szCs w:val="20"/>
              </w:rPr>
              <w:t>Copies/Postal</w:t>
            </w:r>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rsidR="00DE463B" w:rsidRPr="00784940" w:rsidRDefault="00A45747" w:rsidP="00DE463B">
            <w:pPr>
              <w:spacing w:before="60" w:after="60"/>
              <w:rPr>
                <w:color w:val="000000"/>
                <w:sz w:val="20"/>
                <w:szCs w:val="20"/>
              </w:rPr>
            </w:pPr>
            <w:r w:rsidRPr="00784940">
              <w:rPr>
                <w:color w:val="000000"/>
                <w:sz w:val="20"/>
                <w:szCs w:val="20"/>
              </w:rPr>
              <w:t xml:space="preserve"> Printing, Copies, Priority Mailings and </w:t>
            </w:r>
            <w:proofErr w:type="spellStart"/>
            <w:r w:rsidRPr="00784940">
              <w:rPr>
                <w:color w:val="000000"/>
                <w:sz w:val="20"/>
                <w:szCs w:val="20"/>
              </w:rPr>
              <w:t>CalStart</w:t>
            </w:r>
            <w:proofErr w:type="spellEnd"/>
            <w:r w:rsidRPr="00784940">
              <w:rPr>
                <w:color w:val="000000"/>
                <w:sz w:val="20"/>
                <w:szCs w:val="20"/>
              </w:rPr>
              <w:t xml:space="preserve"> EV Working Group Fee</w:t>
            </w:r>
          </w:p>
        </w:tc>
        <w:tc>
          <w:tcPr>
            <w:tcW w:w="1080" w:type="dxa"/>
            <w:tcBorders>
              <w:top w:val="single" w:sz="4" w:space="0" w:color="auto"/>
              <w:left w:val="single" w:sz="4" w:space="0" w:color="auto"/>
              <w:bottom w:val="single" w:sz="4" w:space="0" w:color="auto"/>
              <w:right w:val="single" w:sz="24" w:space="0" w:color="auto"/>
            </w:tcBorders>
            <w:shd w:val="clear" w:color="auto" w:fill="auto"/>
          </w:tcPr>
          <w:p w:rsidR="00DE463B" w:rsidRPr="00784940" w:rsidRDefault="00A45747" w:rsidP="00DE463B">
            <w:pPr>
              <w:spacing w:before="60" w:after="60"/>
              <w:jc w:val="right"/>
              <w:rPr>
                <w:color w:val="000000"/>
                <w:sz w:val="20"/>
                <w:szCs w:val="20"/>
              </w:rPr>
            </w:pPr>
            <w:r w:rsidRPr="00784940">
              <w:rPr>
                <w:color w:val="000000"/>
                <w:sz w:val="20"/>
                <w:szCs w:val="20"/>
              </w:rPr>
              <w:t>$3,</w:t>
            </w:r>
            <w:r w:rsidR="00C2216A" w:rsidRPr="00784940">
              <w:rPr>
                <w:color w:val="000000"/>
                <w:sz w:val="20"/>
                <w:szCs w:val="20"/>
              </w:rPr>
              <w:t>2</w:t>
            </w:r>
            <w:r w:rsidRPr="00784940">
              <w:rPr>
                <w:color w:val="000000"/>
                <w:sz w:val="20"/>
                <w:szCs w:val="20"/>
              </w:rPr>
              <w:t>30</w:t>
            </w:r>
          </w:p>
        </w:tc>
        <w:tc>
          <w:tcPr>
            <w:tcW w:w="3150" w:type="dxa"/>
            <w:gridSpan w:val="3"/>
            <w:tcBorders>
              <w:left w:val="single" w:sz="24" w:space="0" w:color="auto"/>
            </w:tcBorders>
            <w:shd w:val="clear" w:color="auto" w:fill="auto"/>
          </w:tcPr>
          <w:p w:rsidR="00DE463B" w:rsidRPr="007F620E" w:rsidRDefault="00FD1C37" w:rsidP="00FD1C37">
            <w:pPr>
              <w:spacing w:before="60" w:after="60"/>
              <w:jc w:val="right"/>
              <w:rPr>
                <w:color w:val="000000"/>
              </w:rPr>
            </w:pPr>
            <w:r w:rsidRPr="002E1FA5">
              <w:rPr>
                <w:color w:val="000000"/>
                <w:sz w:val="22"/>
              </w:rPr>
              <w:t>$1,843.60 [E]</w:t>
            </w:r>
          </w:p>
        </w:tc>
      </w:tr>
      <w:tr w:rsidR="00784940" w:rsidRPr="007F620E" w:rsidTr="00FD1C37">
        <w:tc>
          <w:tcPr>
            <w:tcW w:w="5755" w:type="dxa"/>
            <w:gridSpan w:val="8"/>
            <w:tcBorders>
              <w:top w:val="single" w:sz="4" w:space="0" w:color="auto"/>
              <w:bottom w:val="single" w:sz="4" w:space="0" w:color="auto"/>
              <w:right w:val="single" w:sz="24" w:space="0" w:color="auto"/>
            </w:tcBorders>
            <w:shd w:val="clear" w:color="auto" w:fill="auto"/>
            <w:vAlign w:val="bottom"/>
          </w:tcPr>
          <w:p w:rsidR="00784940" w:rsidRPr="00784940" w:rsidRDefault="00784940" w:rsidP="008506C0">
            <w:pPr>
              <w:tabs>
                <w:tab w:val="left" w:pos="957"/>
              </w:tabs>
              <w:jc w:val="right"/>
              <w:rPr>
                <w:i/>
                <w:color w:val="000000"/>
                <w:sz w:val="20"/>
                <w:szCs w:val="20"/>
              </w:rPr>
            </w:pPr>
            <w:r>
              <w:rPr>
                <w:i/>
                <w:color w:val="000000"/>
                <w:sz w:val="20"/>
                <w:szCs w:val="20"/>
              </w:rPr>
              <w:t>Subtotal: $3,230.00</w:t>
            </w:r>
          </w:p>
        </w:tc>
        <w:tc>
          <w:tcPr>
            <w:tcW w:w="3150" w:type="dxa"/>
            <w:gridSpan w:val="3"/>
            <w:tcBorders>
              <w:left w:val="single" w:sz="24" w:space="0" w:color="auto"/>
            </w:tcBorders>
            <w:shd w:val="clear" w:color="auto" w:fill="auto"/>
            <w:vAlign w:val="bottom"/>
          </w:tcPr>
          <w:p w:rsidR="00784940" w:rsidRPr="00784940" w:rsidRDefault="00784940" w:rsidP="008506C0">
            <w:pPr>
              <w:tabs>
                <w:tab w:val="left" w:pos="957"/>
              </w:tabs>
              <w:jc w:val="right"/>
              <w:rPr>
                <w:i/>
                <w:color w:val="000000"/>
                <w:sz w:val="20"/>
                <w:szCs w:val="20"/>
              </w:rPr>
            </w:pPr>
            <w:r w:rsidRPr="00784940">
              <w:rPr>
                <w:i/>
                <w:color w:val="000000"/>
                <w:sz w:val="20"/>
                <w:szCs w:val="20"/>
              </w:rPr>
              <w:t>Subtotal: $</w:t>
            </w:r>
            <w:r w:rsidR="00FD1C37">
              <w:rPr>
                <w:i/>
                <w:color w:val="000000"/>
                <w:sz w:val="20"/>
                <w:szCs w:val="20"/>
              </w:rPr>
              <w:t>1,843.60</w:t>
            </w:r>
          </w:p>
        </w:tc>
      </w:tr>
      <w:tr w:rsidR="00DE463B" w:rsidRPr="007F620E" w:rsidTr="00FD1C37">
        <w:tc>
          <w:tcPr>
            <w:tcW w:w="5755" w:type="dxa"/>
            <w:gridSpan w:val="8"/>
            <w:tcBorders>
              <w:top w:val="single" w:sz="4" w:space="0" w:color="auto"/>
              <w:bottom w:val="single" w:sz="4" w:space="0" w:color="auto"/>
              <w:right w:val="single" w:sz="24" w:space="0" w:color="auto"/>
            </w:tcBorders>
            <w:shd w:val="clear" w:color="auto" w:fill="E6E6E6"/>
            <w:vAlign w:val="bottom"/>
          </w:tcPr>
          <w:p w:rsidR="00DE463B" w:rsidRPr="00374FD1" w:rsidRDefault="00DE463B" w:rsidP="00FD1C37">
            <w:pPr>
              <w:tabs>
                <w:tab w:val="left" w:pos="957"/>
              </w:tabs>
              <w:jc w:val="right"/>
              <w:rPr>
                <w:b/>
                <w:i/>
                <w:color w:val="000000"/>
              </w:rPr>
            </w:pPr>
            <w:r w:rsidRPr="00374FD1">
              <w:rPr>
                <w:b/>
                <w:i/>
                <w:color w:val="000000"/>
              </w:rPr>
              <w:t xml:space="preserve">TOTAL REQUEST: </w:t>
            </w:r>
            <w:r w:rsidR="00F545FD">
              <w:rPr>
                <w:b/>
                <w:i/>
                <w:color w:val="000000"/>
              </w:rPr>
              <w:t xml:space="preserve">  </w:t>
            </w:r>
            <w:r w:rsidRPr="00374FD1">
              <w:rPr>
                <w:b/>
                <w:i/>
                <w:color w:val="000000"/>
              </w:rPr>
              <w:t>$</w:t>
            </w:r>
            <w:r w:rsidR="00F545FD" w:rsidRPr="00F545FD">
              <w:rPr>
                <w:b/>
                <w:color w:val="000000"/>
              </w:rPr>
              <w:t>3</w:t>
            </w:r>
            <w:r w:rsidR="00C2216A">
              <w:rPr>
                <w:b/>
                <w:color w:val="000000"/>
              </w:rPr>
              <w:t>8,397</w:t>
            </w:r>
            <w:r w:rsidR="00FD1C37">
              <w:rPr>
                <w:b/>
                <w:color w:val="000000"/>
              </w:rPr>
              <w:t>.00</w:t>
            </w:r>
          </w:p>
        </w:tc>
        <w:tc>
          <w:tcPr>
            <w:tcW w:w="3150" w:type="dxa"/>
            <w:gridSpan w:val="3"/>
            <w:tcBorders>
              <w:left w:val="single" w:sz="24" w:space="0" w:color="auto"/>
            </w:tcBorders>
            <w:shd w:val="clear" w:color="auto" w:fill="E6E6E6"/>
            <w:vAlign w:val="bottom"/>
          </w:tcPr>
          <w:p w:rsidR="00DE463B" w:rsidRPr="00374FD1" w:rsidRDefault="00DE463B" w:rsidP="00FD1C37">
            <w:pPr>
              <w:tabs>
                <w:tab w:val="left" w:pos="957"/>
              </w:tabs>
              <w:jc w:val="right"/>
              <w:rPr>
                <w:b/>
                <w:i/>
                <w:color w:val="000000"/>
              </w:rPr>
            </w:pPr>
            <w:r w:rsidRPr="00374FD1">
              <w:rPr>
                <w:b/>
                <w:i/>
                <w:color w:val="000000"/>
              </w:rPr>
              <w:t>TOTAL AWARD: $</w:t>
            </w:r>
            <w:r w:rsidR="00FD1C37">
              <w:rPr>
                <w:b/>
                <w:i/>
                <w:color w:val="000000"/>
              </w:rPr>
              <w:t>34,400.60</w:t>
            </w:r>
          </w:p>
        </w:tc>
      </w:tr>
      <w:tr w:rsidR="00DE463B" w:rsidRPr="007F620E" w:rsidTr="00D70E8E">
        <w:tc>
          <w:tcPr>
            <w:tcW w:w="8905" w:type="dxa"/>
            <w:gridSpan w:val="11"/>
            <w:tcBorders>
              <w:top w:val="single" w:sz="4" w:space="0" w:color="auto"/>
              <w:bottom w:val="single" w:sz="4" w:space="0" w:color="auto"/>
            </w:tcBorders>
            <w:shd w:val="clear" w:color="auto" w:fill="auto"/>
          </w:tcPr>
          <w:p w:rsidR="00DE463B" w:rsidRPr="007F620E" w:rsidRDefault="00DE463B" w:rsidP="00DE463B">
            <w:pPr>
              <w:spacing w:before="60" w:after="60"/>
              <w:rPr>
                <w:color w:val="000000"/>
              </w:rPr>
            </w:pPr>
            <w:r w:rsidRPr="007F620E">
              <w:rPr>
                <w:color w:val="000000"/>
              </w:rPr>
              <w:t xml:space="preserve">  *We remind all intervenors that Commission staff may audit </w:t>
            </w:r>
            <w:r>
              <w:t>the records and books of the intervenors to the extent necessary to verify the basis for the award (§1804(d)).  I</w:t>
            </w:r>
            <w:r w:rsidRPr="007F620E">
              <w:rPr>
                <w:color w:val="000000"/>
              </w:rPr>
              <w:t xml:space="preserve">ntervenors must make and retain 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making the award. </w:t>
            </w:r>
          </w:p>
          <w:p w:rsidR="00DE463B" w:rsidRPr="007F620E" w:rsidRDefault="00DE463B" w:rsidP="00DE463B">
            <w:pPr>
              <w:spacing w:before="60" w:after="60"/>
              <w:rPr>
                <w:color w:val="000000"/>
              </w:rPr>
            </w:pPr>
            <w:r w:rsidRPr="007F620E">
              <w:rPr>
                <w:color w:val="000000"/>
              </w:rPr>
              <w:t xml:space="preserve">**Travel and Reasonable Claim preparation time </w:t>
            </w:r>
            <w:r>
              <w:rPr>
                <w:color w:val="000000"/>
              </w:rPr>
              <w:t xml:space="preserve">are </w:t>
            </w:r>
            <w:r w:rsidRPr="007F620E">
              <w:rPr>
                <w:color w:val="000000"/>
              </w:rPr>
              <w:t>typically compensated at ½ of preparer’s normal hourly rate</w:t>
            </w:r>
            <w:r w:rsidRPr="007F620E" w:rsidDel="00D075B1">
              <w:rPr>
                <w:color w:val="000000"/>
              </w:rPr>
              <w:t xml:space="preserve"> </w:t>
            </w:r>
          </w:p>
        </w:tc>
      </w:tr>
    </w:tbl>
    <w:p w:rsidR="00A92D0B" w:rsidRPr="00784940" w:rsidRDefault="00A92D0B">
      <w:pPr>
        <w:numPr>
          <w:ilvl w:val="0"/>
          <w:numId w:val="2"/>
        </w:numPr>
        <w:tabs>
          <w:tab w:val="clear" w:pos="900"/>
          <w:tab w:val="num" w:pos="360"/>
        </w:tabs>
        <w:spacing w:before="240" w:after="240"/>
        <w:ind w:left="360"/>
        <w:rPr>
          <w:color w:val="000000"/>
        </w:rPr>
      </w:pPr>
      <w:r w:rsidRPr="00784940">
        <w:t>Attachments Documenting Specific Claim and Comments on Part III</w:t>
      </w:r>
      <w:r w:rsidR="00784940" w:rsidRPr="00784940">
        <w:rPr>
          <w:color w:val="000000"/>
        </w:rPr>
        <w:t>:</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57"/>
      </w:tblGrid>
      <w:tr w:rsidR="00A92D0B" w:rsidRPr="007F620E" w:rsidTr="008506C0">
        <w:tc>
          <w:tcPr>
            <w:tcW w:w="1548" w:type="dxa"/>
            <w:shd w:val="clear" w:color="auto" w:fill="auto"/>
          </w:tcPr>
          <w:p w:rsidR="00A92D0B" w:rsidRPr="00784940" w:rsidRDefault="00A92D0B" w:rsidP="00A92D0B">
            <w:pPr>
              <w:tabs>
                <w:tab w:val="left" w:pos="1260"/>
              </w:tabs>
              <w:spacing w:before="120"/>
              <w:jc w:val="center"/>
              <w:rPr>
                <w:color w:val="000000"/>
              </w:rPr>
            </w:pPr>
            <w:r w:rsidRPr="00784940">
              <w:rPr>
                <w:color w:val="000000"/>
              </w:rPr>
              <w:t>Attachment or Comment  #</w:t>
            </w:r>
          </w:p>
        </w:tc>
        <w:tc>
          <w:tcPr>
            <w:tcW w:w="7357" w:type="dxa"/>
            <w:tcBorders>
              <w:bottom w:val="single" w:sz="4" w:space="0" w:color="auto"/>
            </w:tcBorders>
            <w:shd w:val="clear" w:color="auto" w:fill="auto"/>
          </w:tcPr>
          <w:p w:rsidR="00A92D0B" w:rsidRPr="00784940" w:rsidRDefault="00A92D0B" w:rsidP="00A92D0B">
            <w:pPr>
              <w:tabs>
                <w:tab w:val="left" w:pos="1260"/>
              </w:tabs>
              <w:spacing w:before="120"/>
              <w:jc w:val="center"/>
              <w:rPr>
                <w:color w:val="000000"/>
              </w:rPr>
            </w:pPr>
            <w:r w:rsidRPr="00784940">
              <w:rPr>
                <w:color w:val="000000"/>
              </w:rPr>
              <w:t>Description/Comment</w:t>
            </w:r>
          </w:p>
        </w:tc>
      </w:tr>
      <w:tr w:rsidR="00A92D0B" w:rsidRPr="007F620E" w:rsidTr="008506C0">
        <w:tc>
          <w:tcPr>
            <w:tcW w:w="1548" w:type="dxa"/>
            <w:tcBorders>
              <w:bottom w:val="single" w:sz="4" w:space="0" w:color="auto"/>
            </w:tcBorders>
            <w:shd w:val="clear" w:color="auto" w:fill="auto"/>
          </w:tcPr>
          <w:p w:rsidR="00A92D0B" w:rsidRPr="00784940" w:rsidRDefault="00A92D0B" w:rsidP="008506C0">
            <w:pPr>
              <w:tabs>
                <w:tab w:val="left" w:pos="1260"/>
              </w:tabs>
              <w:spacing w:before="120"/>
              <w:jc w:val="center"/>
              <w:rPr>
                <w:color w:val="000000"/>
              </w:rPr>
            </w:pPr>
            <w:r w:rsidRPr="00784940">
              <w:rPr>
                <w:color w:val="000000"/>
              </w:rPr>
              <w:t>1</w:t>
            </w:r>
          </w:p>
        </w:tc>
        <w:tc>
          <w:tcPr>
            <w:tcW w:w="7357" w:type="dxa"/>
            <w:tcBorders>
              <w:bottom w:val="single" w:sz="4" w:space="0" w:color="auto"/>
            </w:tcBorders>
            <w:shd w:val="clear" w:color="auto" w:fill="auto"/>
          </w:tcPr>
          <w:p w:rsidR="00A92D0B" w:rsidRPr="00784940" w:rsidRDefault="00A92D0B" w:rsidP="00A92D0B">
            <w:pPr>
              <w:tabs>
                <w:tab w:val="left" w:pos="1260"/>
              </w:tabs>
              <w:spacing w:before="120"/>
              <w:rPr>
                <w:color w:val="000000"/>
              </w:rPr>
            </w:pPr>
            <w:r w:rsidRPr="00784940">
              <w:rPr>
                <w:color w:val="000000"/>
              </w:rPr>
              <w:t>Certificate of Service</w:t>
            </w:r>
          </w:p>
        </w:tc>
      </w:tr>
      <w:tr w:rsidR="00A92D0B" w:rsidRPr="007F620E" w:rsidTr="008506C0">
        <w:tc>
          <w:tcPr>
            <w:tcW w:w="1548" w:type="dxa"/>
            <w:shd w:val="clear" w:color="auto" w:fill="auto"/>
          </w:tcPr>
          <w:p w:rsidR="00A92D0B" w:rsidRPr="007F620E" w:rsidRDefault="00A92D0B" w:rsidP="00A92D0B">
            <w:pPr>
              <w:tabs>
                <w:tab w:val="left" w:pos="1260"/>
              </w:tabs>
              <w:spacing w:before="120"/>
              <w:rPr>
                <w:color w:val="000000"/>
              </w:rPr>
            </w:pPr>
          </w:p>
        </w:tc>
        <w:tc>
          <w:tcPr>
            <w:tcW w:w="7357" w:type="dxa"/>
            <w:shd w:val="clear" w:color="auto" w:fill="auto"/>
          </w:tcPr>
          <w:p w:rsidR="00D81201" w:rsidRDefault="00D81201" w:rsidP="00D81201">
            <w:pPr>
              <w:autoSpaceDE w:val="0"/>
              <w:autoSpaceDN w:val="0"/>
              <w:adjustRightInd w:val="0"/>
            </w:pPr>
            <w:r>
              <w:t xml:space="preserve">SDAP is also seeking a Commission approved rate for </w:t>
            </w:r>
            <w:r w:rsidR="000F3247">
              <w:t>Lisa McGhee</w:t>
            </w:r>
            <w:r>
              <w:t xml:space="preserve"> of </w:t>
            </w:r>
            <w:r w:rsidR="000F3247">
              <w:t>$10</w:t>
            </w:r>
            <w:r>
              <w:t>0.00</w:t>
            </w:r>
            <w:r w:rsidR="00576928">
              <w:t xml:space="preserve"> </w:t>
            </w:r>
            <w:r>
              <w:t xml:space="preserve">an hour. Ms. </w:t>
            </w:r>
            <w:r w:rsidR="000F3247">
              <w:t>McGhee</w:t>
            </w:r>
            <w:r>
              <w:t xml:space="preserve"> is </w:t>
            </w:r>
            <w:r w:rsidR="000F3247">
              <w:t>SDAP’</w:t>
            </w:r>
            <w:r>
              <w:t xml:space="preserve">s </w:t>
            </w:r>
            <w:r w:rsidR="000F3247">
              <w:t>Policy and Operations Manager</w:t>
            </w:r>
            <w:r>
              <w:t xml:space="preserve">. Ms. </w:t>
            </w:r>
            <w:r w:rsidR="000F3247">
              <w:t xml:space="preserve">McGhee has been conducting </w:t>
            </w:r>
            <w:r>
              <w:t>research</w:t>
            </w:r>
            <w:r w:rsidR="000F3247">
              <w:t xml:space="preserve"> for proceedings relating to industry policies and</w:t>
            </w:r>
            <w:r w:rsidR="004B0235">
              <w:t xml:space="preserve"> Transportation and Energy</w:t>
            </w:r>
            <w:r w:rsidR="000F3247">
              <w:t xml:space="preserve"> regulations and has participated </w:t>
            </w:r>
            <w:r w:rsidR="00E1205A">
              <w:t>in evidentiary</w:t>
            </w:r>
            <w:r w:rsidR="000F3247">
              <w:t xml:space="preserve"> hearings before the CPUC previously.  She has provided and drafted </w:t>
            </w:r>
            <w:r>
              <w:t>testimony and prepare</w:t>
            </w:r>
            <w:r w:rsidR="000F3247">
              <w:t>d</w:t>
            </w:r>
            <w:r>
              <w:t xml:space="preserve"> the ICOMP form and timesheet.</w:t>
            </w:r>
          </w:p>
          <w:p w:rsidR="007C1767" w:rsidRDefault="000F3247" w:rsidP="007C1767">
            <w:pPr>
              <w:autoSpaceDE w:val="0"/>
              <w:autoSpaceDN w:val="0"/>
              <w:adjustRightInd w:val="0"/>
            </w:pPr>
            <w:r>
              <w:t xml:space="preserve">Lisa McGhee has over 10 years’ experience in Transportation Policies and obtained her Commercial Class A </w:t>
            </w:r>
            <w:r w:rsidR="004B0235">
              <w:t>driver’s</w:t>
            </w:r>
            <w:r>
              <w:t xml:space="preserve"> license in 1995 and her Commercial Passenger Carrier </w:t>
            </w:r>
            <w:r w:rsidR="004B0235">
              <w:t xml:space="preserve">Bus </w:t>
            </w:r>
            <w:r>
              <w:t xml:space="preserve">Drivers License in 2012.  </w:t>
            </w:r>
            <w:r w:rsidR="00D81201">
              <w:t xml:space="preserve"> Ms. </w:t>
            </w:r>
            <w:r>
              <w:t>McGhee</w:t>
            </w:r>
            <w:r w:rsidR="00D81201">
              <w:t xml:space="preserve"> has over 10 years of </w:t>
            </w:r>
            <w:r>
              <w:t>fleet</w:t>
            </w:r>
            <w:r w:rsidR="004B0235">
              <w:t xml:space="preserve"> management</w:t>
            </w:r>
            <w:r w:rsidR="00D81201">
              <w:t xml:space="preserve"> experience</w:t>
            </w:r>
            <w:r>
              <w:t xml:space="preserve"> and over </w:t>
            </w:r>
            <w:r w:rsidR="004B0235">
              <w:t>20</w:t>
            </w:r>
            <w:r>
              <w:t xml:space="preserve"> years’ experience in management</w:t>
            </w:r>
            <w:r w:rsidR="00D81201">
              <w:t xml:space="preserve">. Ms. </w:t>
            </w:r>
            <w:r>
              <w:t xml:space="preserve">McGhee has provided advocacy work for alternative fuels operations on both the fleet and fuel side and is active in many of the agency working groups with ARB, CEC, </w:t>
            </w:r>
            <w:proofErr w:type="spellStart"/>
            <w:r w:rsidR="00F75BB0">
              <w:t>Calstart</w:t>
            </w:r>
            <w:proofErr w:type="spellEnd"/>
            <w:r>
              <w:t xml:space="preserve"> and CPUC as it relates to Transportation Electrification and she </w:t>
            </w:r>
            <w:r w:rsidR="004B0235">
              <w:t xml:space="preserve">is active with the Airport </w:t>
            </w:r>
            <w:r w:rsidR="00F75BB0">
              <w:t>associations</w:t>
            </w:r>
            <w:r w:rsidR="004B0235">
              <w:t xml:space="preserve"> and parking industry association</w:t>
            </w:r>
            <w:r w:rsidR="00A12EE1">
              <w:t>s</w:t>
            </w:r>
            <w:r w:rsidR="004B0235">
              <w:t xml:space="preserve"> to support </w:t>
            </w:r>
            <w:r w:rsidR="004B0235">
              <w:lastRenderedPageBreak/>
              <w:t>transportation at airports and at parking lots.</w:t>
            </w:r>
            <w:r w:rsidR="00E1205A">
              <w:t xml:space="preserve">  She has produced editorials that have been published in National industry magazines and has been invited by California Biodiesel Alliance, UC Davis STEPs and the National Parking Association to speak and participant at annual conferences and to be on the panel of educators.  </w:t>
            </w:r>
            <w:r>
              <w:t xml:space="preserve"> </w:t>
            </w:r>
            <w:r w:rsidR="00D81201">
              <w:t xml:space="preserve">She also </w:t>
            </w:r>
            <w:r>
              <w:t xml:space="preserve">has provided consulting services for transportation fleets </w:t>
            </w:r>
            <w:r w:rsidR="00D81201">
              <w:t>by doing legal research, filling</w:t>
            </w:r>
            <w:r>
              <w:t xml:space="preserve"> </w:t>
            </w:r>
            <w:r w:rsidR="00D81201">
              <w:t xml:space="preserve">out forms, managing </w:t>
            </w:r>
            <w:r>
              <w:t>operational efficiency</w:t>
            </w:r>
            <w:r w:rsidR="00D81201">
              <w:t xml:space="preserve"> and </w:t>
            </w:r>
            <w:r>
              <w:t xml:space="preserve">maintaining </w:t>
            </w:r>
            <w:r w:rsidR="00405975">
              <w:t xml:space="preserve">communication and support </w:t>
            </w:r>
            <w:r w:rsidR="00D81201">
              <w:t xml:space="preserve">to </w:t>
            </w:r>
            <w:r w:rsidR="00405975">
              <w:t xml:space="preserve">management, </w:t>
            </w:r>
            <w:r w:rsidR="00924B31">
              <w:t>ownership, executive</w:t>
            </w:r>
            <w:r w:rsidR="00405975">
              <w:t xml:space="preserve"> staff</w:t>
            </w:r>
            <w:r w:rsidR="00E1205A">
              <w:t xml:space="preserve"> or fleet departments.  </w:t>
            </w:r>
          </w:p>
          <w:p w:rsidR="00405975" w:rsidRPr="00576928" w:rsidRDefault="00405975" w:rsidP="0014278E">
            <w:pPr>
              <w:autoSpaceDE w:val="0"/>
              <w:autoSpaceDN w:val="0"/>
              <w:adjustRightInd w:val="0"/>
            </w:pPr>
            <w:r>
              <w:t>Ms. McGhee</w:t>
            </w:r>
            <w:r w:rsidR="00D81201">
              <w:t xml:space="preserve"> has been with</w:t>
            </w:r>
            <w:r>
              <w:t xml:space="preserve"> SDAP</w:t>
            </w:r>
            <w:r w:rsidR="00D81201">
              <w:t xml:space="preserve"> since </w:t>
            </w:r>
            <w:r>
              <w:t xml:space="preserve">April </w:t>
            </w:r>
            <w:r w:rsidR="00D81201">
              <w:t>201</w:t>
            </w:r>
            <w:r>
              <w:t>0</w:t>
            </w:r>
            <w:r w:rsidR="00D81201">
              <w:t>. She started</w:t>
            </w:r>
            <w:r>
              <w:t xml:space="preserve"> as consultant assisting in research to support the environmental changes and mandates in Transportation to protect the air quality.  SDAP has been the first operation to procure Electric Buses in the San Diego County and has been active to support the CPUC Rules and Regulations for SB350.  She has provided Testimony and </w:t>
            </w:r>
            <w:r w:rsidR="000558DB">
              <w:t xml:space="preserve">Drafted </w:t>
            </w:r>
            <w:r>
              <w:t>Data Re</w:t>
            </w:r>
            <w:r w:rsidR="000558DB">
              <w:t>quest</w:t>
            </w:r>
            <w:r>
              <w:t xml:space="preserve">. Ms. McGhee also helps </w:t>
            </w:r>
            <w:r w:rsidR="00F43182">
              <w:t xml:space="preserve">to </w:t>
            </w:r>
            <w:r>
              <w:t>continue to advocate locally and at the State level to support accelerated and reliable adoption of TE and works with other fleets and OEM</w:t>
            </w:r>
            <w:r w:rsidR="000558DB">
              <w:t xml:space="preserve">’s to help educate, </w:t>
            </w:r>
            <w:r>
              <w:t xml:space="preserve">resolve barriers and to support procurement planning for ZEV’s. </w:t>
            </w:r>
            <w:r w:rsidR="00F43182">
              <w:t xml:space="preserve"> </w:t>
            </w:r>
            <w:r>
              <w:t xml:space="preserve">SDAP is attaching Ms. McGhee’s </w:t>
            </w:r>
            <w:r w:rsidR="00F43182">
              <w:t>r</w:t>
            </w:r>
            <w:r>
              <w:t xml:space="preserve">esume.  </w:t>
            </w:r>
          </w:p>
        </w:tc>
      </w:tr>
    </w:tbl>
    <w:p w:rsidR="00A92D0B" w:rsidRPr="00784940" w:rsidRDefault="00F81778" w:rsidP="00F81778">
      <w:pPr>
        <w:spacing w:before="240" w:after="240"/>
        <w:ind w:left="540" w:hanging="540"/>
        <w:rPr>
          <w:color w:val="000000"/>
        </w:rPr>
      </w:pPr>
      <w:r w:rsidRPr="00784940">
        <w:rPr>
          <w:color w:val="000000"/>
        </w:rPr>
        <w:lastRenderedPageBreak/>
        <w:t xml:space="preserve">D.  </w:t>
      </w:r>
      <w:r w:rsidR="00A92D0B" w:rsidRPr="00784940">
        <w:rPr>
          <w:color w:val="000000"/>
        </w:rPr>
        <w:t>CPUC Disallowances</w:t>
      </w:r>
      <w:r w:rsidR="00D075B1" w:rsidRPr="00784940">
        <w:rPr>
          <w:color w:val="000000"/>
        </w:rPr>
        <w:t xml:space="preserve"> </w:t>
      </w:r>
      <w:r w:rsidR="00A319DE" w:rsidRPr="00784940">
        <w:rPr>
          <w:color w:val="000000"/>
        </w:rPr>
        <w:t>and</w:t>
      </w:r>
      <w:r w:rsidR="00D075B1" w:rsidRPr="00784940">
        <w:rPr>
          <w:color w:val="000000"/>
        </w:rPr>
        <w:t xml:space="preserve"> </w:t>
      </w:r>
      <w:r w:rsidR="00784940">
        <w:rPr>
          <w:color w:val="000000"/>
        </w:rPr>
        <w:t>Adjustments</w:t>
      </w:r>
      <w:r w:rsidR="00A92D0B" w:rsidRPr="00784940">
        <w:rPr>
          <w:color w:val="000000"/>
        </w:rPr>
        <w:t>:</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57"/>
      </w:tblGrid>
      <w:tr w:rsidR="00A92D0B" w:rsidRPr="007F620E" w:rsidTr="008506C0">
        <w:tc>
          <w:tcPr>
            <w:tcW w:w="1548" w:type="dxa"/>
            <w:shd w:val="pct12" w:color="auto" w:fill="auto"/>
          </w:tcPr>
          <w:p w:rsidR="00A92D0B" w:rsidRPr="00784940" w:rsidRDefault="00072C81" w:rsidP="00A92D0B">
            <w:pPr>
              <w:tabs>
                <w:tab w:val="left" w:pos="1440"/>
              </w:tabs>
              <w:spacing w:before="120"/>
              <w:jc w:val="center"/>
              <w:rPr>
                <w:color w:val="000000"/>
              </w:rPr>
            </w:pPr>
            <w:r w:rsidRPr="00784940">
              <w:rPr>
                <w:color w:val="000000"/>
              </w:rPr>
              <w:t>Item</w:t>
            </w:r>
          </w:p>
        </w:tc>
        <w:tc>
          <w:tcPr>
            <w:tcW w:w="7357" w:type="dxa"/>
            <w:shd w:val="pct12" w:color="auto" w:fill="auto"/>
          </w:tcPr>
          <w:p w:rsidR="00A92D0B" w:rsidRPr="00784940" w:rsidRDefault="00A92D0B" w:rsidP="00A92D0B">
            <w:pPr>
              <w:tabs>
                <w:tab w:val="left" w:pos="1440"/>
              </w:tabs>
              <w:spacing w:before="120"/>
              <w:jc w:val="center"/>
              <w:rPr>
                <w:color w:val="000000"/>
              </w:rPr>
            </w:pPr>
            <w:r w:rsidRPr="00784940">
              <w:rPr>
                <w:color w:val="000000"/>
              </w:rPr>
              <w:t>Reason</w:t>
            </w:r>
          </w:p>
        </w:tc>
      </w:tr>
      <w:tr w:rsidR="00A92D0B" w:rsidRPr="007F620E" w:rsidTr="008506C0">
        <w:tc>
          <w:tcPr>
            <w:tcW w:w="1548" w:type="dxa"/>
            <w:shd w:val="clear" w:color="auto" w:fill="auto"/>
          </w:tcPr>
          <w:p w:rsidR="00A92D0B" w:rsidRPr="007F620E" w:rsidRDefault="0011124F" w:rsidP="002D3642">
            <w:pPr>
              <w:widowControl w:val="0"/>
              <w:tabs>
                <w:tab w:val="left" w:pos="1440"/>
              </w:tabs>
              <w:spacing w:before="120"/>
              <w:jc w:val="center"/>
              <w:rPr>
                <w:color w:val="000000"/>
              </w:rPr>
            </w:pPr>
            <w:r>
              <w:rPr>
                <w:color w:val="000000"/>
              </w:rPr>
              <w:t>[A]</w:t>
            </w:r>
          </w:p>
        </w:tc>
        <w:tc>
          <w:tcPr>
            <w:tcW w:w="7357" w:type="dxa"/>
            <w:shd w:val="clear" w:color="auto" w:fill="auto"/>
          </w:tcPr>
          <w:p w:rsidR="00A92D0B" w:rsidRPr="007F620E" w:rsidRDefault="0011124F" w:rsidP="0011124F">
            <w:pPr>
              <w:tabs>
                <w:tab w:val="left" w:pos="1440"/>
              </w:tabs>
              <w:rPr>
                <w:color w:val="000000"/>
              </w:rPr>
            </w:pPr>
            <w:r>
              <w:rPr>
                <w:color w:val="000000"/>
              </w:rPr>
              <w:t>Commission finds reasonable a rate of $100.00 per hour for McGhee in 2016, 2017, and 2018.</w:t>
            </w:r>
          </w:p>
        </w:tc>
      </w:tr>
      <w:tr w:rsidR="00A92D0B" w:rsidRPr="007F620E" w:rsidTr="008506C0">
        <w:tc>
          <w:tcPr>
            <w:tcW w:w="1548" w:type="dxa"/>
            <w:shd w:val="clear" w:color="auto" w:fill="auto"/>
          </w:tcPr>
          <w:p w:rsidR="00A92D0B" w:rsidRPr="007F620E" w:rsidRDefault="0014278E" w:rsidP="0014278E">
            <w:pPr>
              <w:tabs>
                <w:tab w:val="left" w:pos="1440"/>
              </w:tabs>
              <w:jc w:val="center"/>
              <w:rPr>
                <w:color w:val="000000"/>
              </w:rPr>
            </w:pPr>
            <w:r>
              <w:rPr>
                <w:color w:val="000000"/>
              </w:rPr>
              <w:t>[B]</w:t>
            </w:r>
          </w:p>
        </w:tc>
        <w:tc>
          <w:tcPr>
            <w:tcW w:w="7357" w:type="dxa"/>
            <w:shd w:val="clear" w:color="auto" w:fill="auto"/>
          </w:tcPr>
          <w:p w:rsidR="00A92D0B" w:rsidRPr="007F620E" w:rsidRDefault="0014278E" w:rsidP="0011124F">
            <w:pPr>
              <w:tabs>
                <w:tab w:val="left" w:pos="1440"/>
              </w:tabs>
              <w:rPr>
                <w:color w:val="000000"/>
              </w:rPr>
            </w:pPr>
            <w:r>
              <w:rPr>
                <w:color w:val="000000"/>
              </w:rPr>
              <w:t>78.00 hours in 2016 reported for McGhee.</w:t>
            </w:r>
          </w:p>
        </w:tc>
      </w:tr>
      <w:tr w:rsidR="0014278E" w:rsidRPr="007F620E" w:rsidTr="008506C0">
        <w:tc>
          <w:tcPr>
            <w:tcW w:w="1548" w:type="dxa"/>
            <w:shd w:val="clear" w:color="auto" w:fill="auto"/>
          </w:tcPr>
          <w:p w:rsidR="0014278E" w:rsidRPr="007F620E" w:rsidRDefault="0014278E" w:rsidP="0014278E">
            <w:pPr>
              <w:tabs>
                <w:tab w:val="left" w:pos="1440"/>
              </w:tabs>
              <w:jc w:val="center"/>
              <w:rPr>
                <w:color w:val="000000"/>
              </w:rPr>
            </w:pPr>
            <w:r>
              <w:rPr>
                <w:color w:val="000000"/>
              </w:rPr>
              <w:t>[C]</w:t>
            </w:r>
          </w:p>
        </w:tc>
        <w:tc>
          <w:tcPr>
            <w:tcW w:w="7357" w:type="dxa"/>
            <w:shd w:val="clear" w:color="auto" w:fill="auto"/>
          </w:tcPr>
          <w:p w:rsidR="0014278E" w:rsidRPr="007F620E" w:rsidRDefault="0014278E" w:rsidP="0011124F">
            <w:pPr>
              <w:tabs>
                <w:tab w:val="left" w:pos="1440"/>
              </w:tabs>
              <w:rPr>
                <w:color w:val="000000"/>
              </w:rPr>
            </w:pPr>
            <w:r>
              <w:rPr>
                <w:color w:val="000000"/>
              </w:rPr>
              <w:t>81.90 hours in 2017 reported for McGhee.</w:t>
            </w:r>
          </w:p>
        </w:tc>
      </w:tr>
      <w:tr w:rsidR="0014278E" w:rsidRPr="007F620E" w:rsidTr="008506C0">
        <w:tc>
          <w:tcPr>
            <w:tcW w:w="1548" w:type="dxa"/>
            <w:shd w:val="clear" w:color="auto" w:fill="auto"/>
          </w:tcPr>
          <w:p w:rsidR="0014278E" w:rsidRPr="007F620E" w:rsidRDefault="0014278E" w:rsidP="0014278E">
            <w:pPr>
              <w:tabs>
                <w:tab w:val="left" w:pos="1440"/>
              </w:tabs>
              <w:jc w:val="center"/>
              <w:rPr>
                <w:color w:val="000000"/>
              </w:rPr>
            </w:pPr>
            <w:r>
              <w:rPr>
                <w:color w:val="000000"/>
              </w:rPr>
              <w:t>[D]</w:t>
            </w:r>
          </w:p>
        </w:tc>
        <w:tc>
          <w:tcPr>
            <w:tcW w:w="7357" w:type="dxa"/>
            <w:shd w:val="clear" w:color="auto" w:fill="auto"/>
          </w:tcPr>
          <w:p w:rsidR="0014278E" w:rsidRPr="007F620E" w:rsidRDefault="0014278E" w:rsidP="0011124F">
            <w:pPr>
              <w:tabs>
                <w:tab w:val="left" w:pos="1440"/>
              </w:tabs>
              <w:rPr>
                <w:color w:val="000000"/>
              </w:rPr>
            </w:pPr>
            <w:r>
              <w:rPr>
                <w:color w:val="000000"/>
              </w:rPr>
              <w:t>5.00 hours in 2018 reported for McGhee.</w:t>
            </w:r>
          </w:p>
        </w:tc>
      </w:tr>
      <w:tr w:rsidR="0014278E" w:rsidRPr="007F620E" w:rsidTr="008506C0">
        <w:tc>
          <w:tcPr>
            <w:tcW w:w="1548" w:type="dxa"/>
            <w:shd w:val="clear" w:color="auto" w:fill="auto"/>
          </w:tcPr>
          <w:p w:rsidR="0014278E" w:rsidRPr="007F620E" w:rsidRDefault="0014278E" w:rsidP="0014278E">
            <w:pPr>
              <w:tabs>
                <w:tab w:val="left" w:pos="1440"/>
              </w:tabs>
              <w:jc w:val="center"/>
              <w:rPr>
                <w:color w:val="000000"/>
              </w:rPr>
            </w:pPr>
            <w:r>
              <w:rPr>
                <w:color w:val="000000"/>
              </w:rPr>
              <w:t>[E]</w:t>
            </w:r>
          </w:p>
        </w:tc>
        <w:tc>
          <w:tcPr>
            <w:tcW w:w="7357" w:type="dxa"/>
            <w:shd w:val="clear" w:color="auto" w:fill="auto"/>
          </w:tcPr>
          <w:p w:rsidR="0014278E" w:rsidRPr="007F620E" w:rsidRDefault="0014278E" w:rsidP="0011124F">
            <w:pPr>
              <w:tabs>
                <w:tab w:val="left" w:pos="1440"/>
              </w:tabs>
              <w:rPr>
                <w:color w:val="000000"/>
              </w:rPr>
            </w:pPr>
            <w:r>
              <w:rPr>
                <w:color w:val="000000"/>
              </w:rPr>
              <w:t>$1,843.60 reported as additional costs (Copies/Postal).</w:t>
            </w:r>
          </w:p>
        </w:tc>
      </w:tr>
    </w:tbl>
    <w:p w:rsidR="00A92D0B" w:rsidRPr="007F620E" w:rsidRDefault="00A92D0B" w:rsidP="002E1FA5">
      <w:pPr>
        <w:tabs>
          <w:tab w:val="left" w:pos="1260"/>
        </w:tabs>
        <w:spacing w:before="240"/>
        <w:jc w:val="center"/>
        <w:rPr>
          <w:b/>
          <w:color w:val="000000"/>
        </w:rPr>
      </w:pPr>
      <w:r w:rsidRPr="007F620E">
        <w:rPr>
          <w:b/>
          <w:color w:val="000000"/>
        </w:rPr>
        <w:t>PART IV:</w:t>
      </w:r>
      <w:r w:rsidRPr="007F620E">
        <w:rPr>
          <w:b/>
          <w:color w:val="000000"/>
        </w:rPr>
        <w:tab/>
        <w:t>OPPOSITIONS AND COMMENTS</w:t>
      </w:r>
      <w:r w:rsidR="00784940">
        <w:rPr>
          <w:b/>
          <w:color w:val="000000"/>
        </w:rPr>
        <w:t>:</w:t>
      </w:r>
    </w:p>
    <w:p w:rsidR="00A92D0B" w:rsidRPr="00784940" w:rsidRDefault="00784940">
      <w:pPr>
        <w:tabs>
          <w:tab w:val="left" w:pos="1260"/>
        </w:tabs>
        <w:ind w:left="1267" w:hanging="1267"/>
        <w:jc w:val="center"/>
        <w:rPr>
          <w:color w:val="000000"/>
        </w:rPr>
      </w:pPr>
      <w:r w:rsidRPr="00784940">
        <w:rPr>
          <w:color w:val="000000"/>
        </w:rPr>
        <w:t>(</w:t>
      </w:r>
      <w:r w:rsidR="00A92D0B" w:rsidRPr="00784940">
        <w:rPr>
          <w:color w:val="000000"/>
        </w:rPr>
        <w:t>Within 30 days after service of this Claim, Commission Staff</w:t>
      </w:r>
      <w:r w:rsidR="00F20061" w:rsidRPr="00784940">
        <w:rPr>
          <w:color w:val="000000"/>
        </w:rPr>
        <w:t xml:space="preserve"> </w:t>
      </w:r>
      <w:r w:rsidR="00A92D0B" w:rsidRPr="00784940">
        <w:rPr>
          <w:color w:val="000000"/>
        </w:rPr>
        <w:t>or any other party may file a response to the Claim (</w:t>
      </w:r>
      <w:r w:rsidR="00A92D0B" w:rsidRPr="00784940">
        <w:rPr>
          <w:i/>
          <w:color w:val="000000"/>
        </w:rPr>
        <w:t>see</w:t>
      </w:r>
      <w:r w:rsidR="00A92D0B" w:rsidRPr="00784940">
        <w:rPr>
          <w:color w:val="000000"/>
        </w:rPr>
        <w:t xml:space="preserve"> § 1804(c))</w:t>
      </w:r>
      <w:r w:rsidRPr="00784940">
        <w:rPr>
          <w:color w:val="000000"/>
        </w:rPr>
        <w:t>)</w:t>
      </w:r>
    </w:p>
    <w:p w:rsidR="00A92D0B" w:rsidRPr="00784940" w:rsidRDefault="00A92D0B">
      <w:pPr>
        <w:tabs>
          <w:tab w:val="left" w:pos="1260"/>
        </w:tabs>
        <w:spacing w:before="60"/>
        <w:ind w:left="1267" w:hanging="1267"/>
        <w:jc w:val="center"/>
        <w:rPr>
          <w:color w:val="00000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417"/>
      </w:tblGrid>
      <w:tr w:rsidR="00A92D0B" w:rsidRPr="00784940" w:rsidTr="008506C0">
        <w:tc>
          <w:tcPr>
            <w:tcW w:w="7488" w:type="dxa"/>
            <w:shd w:val="clear" w:color="auto" w:fill="auto"/>
          </w:tcPr>
          <w:p w:rsidR="00A92D0B" w:rsidRPr="00784940" w:rsidRDefault="00A92D0B" w:rsidP="0011124F">
            <w:pPr>
              <w:rPr>
                <w:color w:val="000000"/>
              </w:rPr>
            </w:pPr>
            <w:r w:rsidRPr="00784940">
              <w:rPr>
                <w:color w:val="000000"/>
              </w:rPr>
              <w:t>A.  Opposition:  Did any party oppose the Claim?</w:t>
            </w:r>
          </w:p>
        </w:tc>
        <w:tc>
          <w:tcPr>
            <w:tcW w:w="1417" w:type="dxa"/>
            <w:shd w:val="clear" w:color="auto" w:fill="auto"/>
          </w:tcPr>
          <w:p w:rsidR="00A92D0B" w:rsidRPr="00784940" w:rsidRDefault="00784940" w:rsidP="0011124F">
            <w:pPr>
              <w:rPr>
                <w:color w:val="000000"/>
              </w:rPr>
            </w:pPr>
            <w:r>
              <w:rPr>
                <w:color w:val="000000"/>
              </w:rPr>
              <w:t>No</w:t>
            </w:r>
          </w:p>
        </w:tc>
      </w:tr>
    </w:tbl>
    <w:p w:rsidR="00A92D0B" w:rsidRPr="007F620E" w:rsidRDefault="00A92D0B">
      <w:pPr>
        <w:tabs>
          <w:tab w:val="left" w:pos="1260"/>
        </w:tabs>
        <w:spacing w:before="60"/>
        <w:ind w:left="1267" w:hanging="1267"/>
        <w:jc w:val="center"/>
        <w:rPr>
          <w:color w:val="00000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417"/>
      </w:tblGrid>
      <w:tr w:rsidR="00A92D0B" w:rsidRPr="007F620E" w:rsidTr="008506C0">
        <w:tc>
          <w:tcPr>
            <w:tcW w:w="7488" w:type="dxa"/>
            <w:shd w:val="clear" w:color="auto" w:fill="auto"/>
          </w:tcPr>
          <w:p w:rsidR="00A92D0B" w:rsidRPr="00784940" w:rsidRDefault="00A92D0B" w:rsidP="0011124F">
            <w:pPr>
              <w:keepNext/>
              <w:keepLines/>
              <w:rPr>
                <w:color w:val="000000"/>
              </w:rPr>
            </w:pPr>
            <w:r w:rsidRPr="00784940">
              <w:rPr>
                <w:color w:val="000000"/>
              </w:rPr>
              <w:t>B.  Comment Period:  Was the 30-day comment period waived (</w:t>
            </w:r>
            <w:r w:rsidRPr="00784940">
              <w:rPr>
                <w:i/>
                <w:color w:val="000000"/>
              </w:rPr>
              <w:t>see</w:t>
            </w:r>
            <w:r w:rsidRPr="00784940">
              <w:rPr>
                <w:color w:val="000000"/>
              </w:rPr>
              <w:t xml:space="preserve"> Rule</w:t>
            </w:r>
            <w:r w:rsidR="00294107">
              <w:rPr>
                <w:color w:val="000000"/>
              </w:rPr>
              <w:t> </w:t>
            </w:r>
            <w:r w:rsidRPr="00784940">
              <w:rPr>
                <w:color w:val="000000"/>
              </w:rPr>
              <w:t>14.6(</w:t>
            </w:r>
            <w:r w:rsidR="00963EEF" w:rsidRPr="00784940">
              <w:rPr>
                <w:color w:val="000000"/>
              </w:rPr>
              <w:t>c</w:t>
            </w:r>
            <w:r w:rsidRPr="00784940">
              <w:rPr>
                <w:color w:val="000000"/>
              </w:rPr>
              <w:t>)(6))?</w:t>
            </w:r>
          </w:p>
        </w:tc>
        <w:tc>
          <w:tcPr>
            <w:tcW w:w="1417" w:type="dxa"/>
            <w:shd w:val="clear" w:color="auto" w:fill="auto"/>
          </w:tcPr>
          <w:p w:rsidR="00A92D0B" w:rsidRPr="007F620E" w:rsidRDefault="00784940" w:rsidP="0011124F">
            <w:pPr>
              <w:keepNext/>
              <w:keepLines/>
              <w:rPr>
                <w:color w:val="000000"/>
              </w:rPr>
            </w:pPr>
            <w:r>
              <w:rPr>
                <w:color w:val="000000"/>
              </w:rPr>
              <w:t>Yes</w:t>
            </w:r>
          </w:p>
        </w:tc>
      </w:tr>
    </w:tbl>
    <w:p w:rsidR="00090235" w:rsidRDefault="00090235">
      <w:pPr>
        <w:jc w:val="center"/>
        <w:rPr>
          <w:b/>
          <w:color w:val="000000"/>
          <w:u w:val="single"/>
        </w:rPr>
      </w:pPr>
    </w:p>
    <w:p w:rsidR="00090235" w:rsidRDefault="00090235">
      <w:pPr>
        <w:rPr>
          <w:b/>
          <w:color w:val="000000"/>
          <w:u w:val="single"/>
        </w:rPr>
      </w:pPr>
      <w:r>
        <w:rPr>
          <w:b/>
          <w:color w:val="000000"/>
          <w:u w:val="single"/>
        </w:rPr>
        <w:br w:type="page"/>
      </w:r>
    </w:p>
    <w:p w:rsidR="00A92D0B" w:rsidRPr="007F620E" w:rsidRDefault="00A92D0B">
      <w:pPr>
        <w:jc w:val="center"/>
        <w:rPr>
          <w:b/>
          <w:color w:val="000000"/>
          <w:u w:val="single"/>
        </w:rPr>
      </w:pPr>
      <w:r w:rsidRPr="007F620E">
        <w:rPr>
          <w:b/>
          <w:color w:val="000000"/>
          <w:u w:val="single"/>
        </w:rPr>
        <w:lastRenderedPageBreak/>
        <w:t>FINDINGS OF FACT</w:t>
      </w:r>
    </w:p>
    <w:p w:rsidR="00A92D0B" w:rsidRPr="007F620E" w:rsidRDefault="00A92D0B">
      <w:pPr>
        <w:rPr>
          <w:color w:val="000000"/>
        </w:rPr>
      </w:pPr>
    </w:p>
    <w:p w:rsidR="003B447C" w:rsidRPr="0054164A" w:rsidRDefault="00DB4DB8" w:rsidP="003B447C">
      <w:pPr>
        <w:numPr>
          <w:ilvl w:val="0"/>
          <w:numId w:val="3"/>
        </w:numPr>
        <w:tabs>
          <w:tab w:val="clear" w:pos="900"/>
          <w:tab w:val="num" w:pos="540"/>
        </w:tabs>
        <w:spacing w:after="240"/>
        <w:ind w:left="540" w:hanging="540"/>
      </w:pPr>
      <w:r w:rsidRPr="0054164A">
        <w:t xml:space="preserve">San Diego Airport Parking Company </w:t>
      </w:r>
      <w:r w:rsidR="003B447C" w:rsidRPr="0054164A">
        <w:t xml:space="preserve">is eligible to claim intervenor compensation in this proceeding. </w:t>
      </w:r>
    </w:p>
    <w:p w:rsidR="00A92D0B" w:rsidRPr="007F620E" w:rsidRDefault="00784940">
      <w:pPr>
        <w:numPr>
          <w:ilvl w:val="0"/>
          <w:numId w:val="3"/>
        </w:numPr>
        <w:tabs>
          <w:tab w:val="clear" w:pos="900"/>
          <w:tab w:val="num" w:pos="540"/>
        </w:tabs>
        <w:ind w:left="540" w:hanging="540"/>
      </w:pPr>
      <w:r>
        <w:t>San Diego Airport Parking Company has</w:t>
      </w:r>
      <w:r w:rsidR="00A92D0B" w:rsidRPr="007F620E">
        <w:t xml:space="preserve"> made a substantia</w:t>
      </w:r>
      <w:r w:rsidR="00DE3A5D" w:rsidRPr="007F620E">
        <w:t>l contribution to D.</w:t>
      </w:r>
      <w:r>
        <w:t>18-01-024.</w:t>
      </w:r>
    </w:p>
    <w:p w:rsidR="00A92D0B" w:rsidRPr="007F620E" w:rsidRDefault="00A92D0B">
      <w:pPr>
        <w:numPr>
          <w:ilvl w:val="0"/>
          <w:numId w:val="3"/>
        </w:numPr>
        <w:tabs>
          <w:tab w:val="clear" w:pos="900"/>
          <w:tab w:val="num" w:pos="540"/>
        </w:tabs>
        <w:spacing w:before="240"/>
        <w:ind w:left="547" w:hanging="547"/>
      </w:pPr>
      <w:r w:rsidRPr="007F620E">
        <w:t xml:space="preserve">The requested hourly rates for </w:t>
      </w:r>
      <w:r w:rsidR="00784940">
        <w:t>San Diego Airport Parking Company</w:t>
      </w:r>
      <w:r w:rsidR="005A63D4" w:rsidRPr="007F620E">
        <w:t xml:space="preserve">’s </w:t>
      </w:r>
      <w:r w:rsidR="00784940">
        <w:t>representatives</w:t>
      </w:r>
      <w:r w:rsidRPr="007F620E">
        <w:t>,</w:t>
      </w:r>
      <w:r w:rsidR="00784940">
        <w:t xml:space="preserve"> </w:t>
      </w:r>
      <w:r w:rsidRPr="007F620E">
        <w:t xml:space="preserve">as adjusted </w:t>
      </w:r>
      <w:r w:rsidR="00784940">
        <w:t>herein,</w:t>
      </w:r>
      <w:r w:rsidRPr="007F620E">
        <w:t xml:space="preserve"> are comparable to market rates paid to experts and advocates having comparable training and experience and offering similar services.</w:t>
      </w:r>
    </w:p>
    <w:p w:rsidR="00A92D0B" w:rsidRPr="007F620E" w:rsidRDefault="00784940">
      <w:pPr>
        <w:numPr>
          <w:ilvl w:val="0"/>
          <w:numId w:val="3"/>
        </w:numPr>
        <w:tabs>
          <w:tab w:val="clear" w:pos="900"/>
          <w:tab w:val="num" w:pos="540"/>
        </w:tabs>
        <w:spacing w:before="240"/>
        <w:ind w:left="547" w:hanging="547"/>
      </w:pPr>
      <w:r>
        <w:t>The claimed costs and expenses</w:t>
      </w:r>
      <w:r w:rsidR="00A92D0B" w:rsidRPr="007F620E">
        <w:t>,</w:t>
      </w:r>
      <w:r>
        <w:t xml:space="preserve"> as adjusted herein,</w:t>
      </w:r>
      <w:r w:rsidR="00A92D0B" w:rsidRPr="007F620E">
        <w:t xml:space="preserve"> are reasonable and commen</w:t>
      </w:r>
      <w:r>
        <w:t>surate with the work performed.</w:t>
      </w:r>
    </w:p>
    <w:p w:rsidR="00A92D0B" w:rsidRPr="007F620E" w:rsidRDefault="00A92D0B" w:rsidP="00A65A2C">
      <w:pPr>
        <w:numPr>
          <w:ilvl w:val="0"/>
          <w:numId w:val="3"/>
        </w:numPr>
        <w:tabs>
          <w:tab w:val="clear" w:pos="900"/>
          <w:tab w:val="num" w:pos="540"/>
        </w:tabs>
        <w:spacing w:before="240" w:after="240"/>
        <w:ind w:left="547" w:hanging="547"/>
      </w:pPr>
      <w:r w:rsidRPr="007F620E">
        <w:t xml:space="preserve">The total of reasonable </w:t>
      </w:r>
      <w:r w:rsidR="003C608A" w:rsidRPr="007F620E">
        <w:t xml:space="preserve">compensation </w:t>
      </w:r>
      <w:r w:rsidRPr="007F620E">
        <w:t>is $</w:t>
      </w:r>
      <w:r w:rsidR="00FD1C37">
        <w:t>34,400.60</w:t>
      </w:r>
      <w:r w:rsidRPr="007F620E">
        <w:t>.</w:t>
      </w:r>
    </w:p>
    <w:p w:rsidR="00A65A2C" w:rsidRPr="0054164A" w:rsidRDefault="00EC6A2A" w:rsidP="00A65A2C">
      <w:pPr>
        <w:numPr>
          <w:ilvl w:val="0"/>
          <w:numId w:val="3"/>
        </w:numPr>
        <w:tabs>
          <w:tab w:val="clear" w:pos="900"/>
          <w:tab w:val="num" w:pos="540"/>
        </w:tabs>
        <w:spacing w:after="240"/>
        <w:ind w:left="540" w:hanging="540"/>
      </w:pPr>
      <w:r>
        <w:t xml:space="preserve">The </w:t>
      </w:r>
      <w:r w:rsidR="00686DA7">
        <w:t xml:space="preserve">financial documentation contained in SDAP’s March 19, 2018 </w:t>
      </w:r>
      <w:r w:rsidR="00241E6C">
        <w:t>is appropriately marked as confidential and should remain under seal</w:t>
      </w:r>
      <w:r w:rsidR="00686DA7">
        <w:t xml:space="preserve">. </w:t>
      </w:r>
    </w:p>
    <w:p w:rsidR="00A92D0B" w:rsidRPr="007F620E" w:rsidRDefault="00A92D0B" w:rsidP="00194ECF">
      <w:pPr>
        <w:spacing w:after="240"/>
        <w:jc w:val="center"/>
        <w:rPr>
          <w:b/>
          <w:color w:val="000000"/>
          <w:u w:val="single"/>
        </w:rPr>
      </w:pPr>
      <w:r w:rsidRPr="007F620E">
        <w:rPr>
          <w:b/>
          <w:color w:val="000000"/>
          <w:u w:val="single"/>
        </w:rPr>
        <w:t>CONCLUSION OF LAW</w:t>
      </w:r>
    </w:p>
    <w:p w:rsidR="00A92D0B" w:rsidRDefault="00A92D0B" w:rsidP="00F73FA3">
      <w:pPr>
        <w:numPr>
          <w:ilvl w:val="0"/>
          <w:numId w:val="6"/>
        </w:numPr>
        <w:tabs>
          <w:tab w:val="clear" w:pos="360"/>
        </w:tabs>
        <w:spacing w:before="240" w:after="240"/>
        <w:ind w:left="540" w:hanging="540"/>
        <w:rPr>
          <w:color w:val="000000"/>
        </w:rPr>
      </w:pPr>
      <w:r w:rsidRPr="007F620E">
        <w:rPr>
          <w:color w:val="000000"/>
        </w:rPr>
        <w:t>The Claim, with a</w:t>
      </w:r>
      <w:r w:rsidR="00776740">
        <w:rPr>
          <w:color w:val="000000"/>
        </w:rPr>
        <w:t xml:space="preserve">ny adjustment set forth above, satisfies </w:t>
      </w:r>
      <w:r w:rsidR="00DE3A5D" w:rsidRPr="007F620E">
        <w:rPr>
          <w:color w:val="000000"/>
        </w:rPr>
        <w:t>all requirements of Pub. Util.</w:t>
      </w:r>
      <w:r w:rsidRPr="007F620E">
        <w:rPr>
          <w:color w:val="000000"/>
        </w:rPr>
        <w:t xml:space="preserve"> Code §§ 1801-1812.</w:t>
      </w:r>
    </w:p>
    <w:p w:rsidR="0054164A" w:rsidRPr="0054164A" w:rsidRDefault="00EC6A2A" w:rsidP="00F73FA3">
      <w:pPr>
        <w:numPr>
          <w:ilvl w:val="0"/>
          <w:numId w:val="6"/>
        </w:numPr>
        <w:tabs>
          <w:tab w:val="clear" w:pos="360"/>
        </w:tabs>
        <w:spacing w:after="240"/>
        <w:ind w:left="540" w:hanging="540"/>
      </w:pPr>
      <w:r>
        <w:t xml:space="preserve">Pursuant to Rule 11.4., </w:t>
      </w:r>
      <w:r w:rsidR="0054164A" w:rsidRPr="0054164A">
        <w:t>San Diego Airport Parking Company’s financial information filed on March 19, 201</w:t>
      </w:r>
      <w:r w:rsidR="0054164A">
        <w:t>8</w:t>
      </w:r>
      <w:r w:rsidR="0054164A" w:rsidRPr="0054164A">
        <w:t xml:space="preserve"> </w:t>
      </w:r>
      <w:r w:rsidR="00CD0893">
        <w:t>is confidential and</w:t>
      </w:r>
      <w:r>
        <w:t xml:space="preserve"> should</w:t>
      </w:r>
      <w:r w:rsidRPr="0054164A">
        <w:t xml:space="preserve"> </w:t>
      </w:r>
      <w:r w:rsidR="0054164A" w:rsidRPr="0054164A">
        <w:t>remain under seal.</w:t>
      </w:r>
    </w:p>
    <w:p w:rsidR="00A92D0B" w:rsidRPr="007F620E" w:rsidRDefault="00A92D0B">
      <w:pPr>
        <w:jc w:val="center"/>
        <w:rPr>
          <w:b/>
          <w:color w:val="000000"/>
          <w:u w:val="single"/>
        </w:rPr>
      </w:pPr>
      <w:bookmarkStart w:id="0" w:name="_GoBack"/>
      <w:bookmarkEnd w:id="0"/>
      <w:r w:rsidRPr="007F620E">
        <w:rPr>
          <w:b/>
          <w:color w:val="000000"/>
          <w:u w:val="single"/>
        </w:rPr>
        <w:t>ORDER</w:t>
      </w:r>
    </w:p>
    <w:p w:rsidR="00A92D0B" w:rsidRPr="007F620E" w:rsidRDefault="00A92D0B">
      <w:pPr>
        <w:jc w:val="center"/>
        <w:rPr>
          <w:b/>
          <w:color w:val="000000"/>
          <w:u w:val="single"/>
        </w:rPr>
      </w:pPr>
    </w:p>
    <w:p w:rsidR="00A92D0B" w:rsidRPr="007F620E" w:rsidRDefault="00776740">
      <w:pPr>
        <w:numPr>
          <w:ilvl w:val="0"/>
          <w:numId w:val="4"/>
        </w:numPr>
        <w:tabs>
          <w:tab w:val="clear" w:pos="900"/>
          <w:tab w:val="num" w:pos="540"/>
        </w:tabs>
        <w:ind w:left="540" w:hanging="540"/>
        <w:rPr>
          <w:color w:val="000000"/>
        </w:rPr>
      </w:pPr>
      <w:r>
        <w:rPr>
          <w:color w:val="000000"/>
        </w:rPr>
        <w:t>San Diego Airport Parking Company</w:t>
      </w:r>
      <w:r w:rsidR="005A63D4" w:rsidRPr="007F620E">
        <w:rPr>
          <w:color w:val="000000"/>
        </w:rPr>
        <w:t xml:space="preserve"> </w:t>
      </w:r>
      <w:r w:rsidR="00090235">
        <w:rPr>
          <w:color w:val="000000"/>
        </w:rPr>
        <w:t>shall be</w:t>
      </w:r>
      <w:r w:rsidR="00A92D0B" w:rsidRPr="007F620E">
        <w:rPr>
          <w:color w:val="000000"/>
        </w:rPr>
        <w:t xml:space="preserve"> awarded $</w:t>
      </w:r>
      <w:r w:rsidR="00FD1C37">
        <w:t>34,400.60</w:t>
      </w:r>
      <w:r w:rsidR="00A92D0B" w:rsidRPr="007F620E">
        <w:rPr>
          <w:color w:val="000000"/>
        </w:rPr>
        <w:t>.</w:t>
      </w:r>
    </w:p>
    <w:p w:rsidR="00A92D0B" w:rsidRDefault="0011124F">
      <w:pPr>
        <w:numPr>
          <w:ilvl w:val="0"/>
          <w:numId w:val="4"/>
        </w:numPr>
        <w:tabs>
          <w:tab w:val="clear" w:pos="900"/>
          <w:tab w:val="num" w:pos="540"/>
        </w:tabs>
        <w:spacing w:before="240"/>
        <w:ind w:left="547" w:hanging="547"/>
      </w:pPr>
      <w:r w:rsidRPr="007F620E">
        <w:t>Within 30 days of the ef</w:t>
      </w:r>
      <w:r>
        <w:t xml:space="preserve">fective date of this decision, Pacific Gas and Electric Company ratepayers, Southern California Edison Company ratepayers, and San Diego Gas &amp; Electric Company ratepayers </w:t>
      </w:r>
      <w:r w:rsidRPr="007F620E">
        <w:t xml:space="preserve">shall pay </w:t>
      </w:r>
      <w:r>
        <w:t>San Diego Airport Parking Company</w:t>
      </w:r>
      <w:r w:rsidR="005A63D4" w:rsidRPr="007F620E">
        <w:t xml:space="preserve"> </w:t>
      </w:r>
      <w:r w:rsidR="00A92D0B" w:rsidRPr="007F620E">
        <w:t>their respective shares of the award, based on their Cali</w:t>
      </w:r>
      <w:r>
        <w:t>fornia-jurisdictional electric revenues for the 2017</w:t>
      </w:r>
      <w:r w:rsidR="00A92D0B" w:rsidRPr="007F620E">
        <w:t xml:space="preserve"> calendar year, to reflect the year in which the proce</w:t>
      </w:r>
      <w:r>
        <w:t xml:space="preserve">eding was primarily litigated. </w:t>
      </w:r>
      <w:r w:rsidR="00A92D0B" w:rsidRPr="007F620E">
        <w:t>Payment of the award shall include</w:t>
      </w:r>
      <w:r w:rsidR="004E3939" w:rsidRPr="007F620E">
        <w:t xml:space="preserve"> compound </w:t>
      </w:r>
      <w:r w:rsidR="00A92D0B" w:rsidRPr="007F620E">
        <w:t xml:space="preserve">interest at the rate earned on prime, three-month </w:t>
      </w:r>
      <w:r w:rsidR="00214B22" w:rsidRPr="007F620E">
        <w:t xml:space="preserve">non-financial </w:t>
      </w:r>
      <w:r w:rsidR="00A92D0B" w:rsidRPr="007F620E">
        <w:t>commercial paper as reported in Federal Reserve Statistical Release H.15, beginning</w:t>
      </w:r>
      <w:r>
        <w:t xml:space="preserve"> June 3, 2018</w:t>
      </w:r>
      <w:r w:rsidR="00357F1A" w:rsidRPr="007F620E">
        <w:t xml:space="preserve">, </w:t>
      </w:r>
      <w:r w:rsidR="00A92D0B" w:rsidRPr="007F620E">
        <w:t>the 75</w:t>
      </w:r>
      <w:r w:rsidR="00A92D0B" w:rsidRPr="007F620E">
        <w:rPr>
          <w:vertAlign w:val="superscript"/>
        </w:rPr>
        <w:t>th</w:t>
      </w:r>
      <w:r w:rsidR="00A92D0B" w:rsidRPr="007F620E">
        <w:t xml:space="preserve"> day after the filing of </w:t>
      </w:r>
      <w:r>
        <w:t>San Diego Airport Parking Company’s</w:t>
      </w:r>
      <w:r w:rsidR="005A63D4" w:rsidRPr="007F620E">
        <w:t xml:space="preserve"> </w:t>
      </w:r>
      <w:r w:rsidR="00A92D0B" w:rsidRPr="007F620E">
        <w:t>request, and continuing until full payment is made.</w:t>
      </w:r>
    </w:p>
    <w:p w:rsidR="00A65A2C" w:rsidRPr="0054164A" w:rsidRDefault="00686DA7">
      <w:pPr>
        <w:numPr>
          <w:ilvl w:val="0"/>
          <w:numId w:val="4"/>
        </w:numPr>
        <w:tabs>
          <w:tab w:val="clear" w:pos="900"/>
          <w:tab w:val="num" w:pos="540"/>
        </w:tabs>
        <w:spacing w:before="240"/>
        <w:ind w:left="547" w:hanging="547"/>
      </w:pPr>
      <w:r>
        <w:t xml:space="preserve">San Diego Airport Parking Company’s (SDAP) motion to file under seal its financial information contained in its motion dated March 19, 2018 is granted for a period of three years from the effective date of this decision.  During this three-year period, this information shall not be publicly disclosed except on further </w:t>
      </w:r>
      <w:r>
        <w:lastRenderedPageBreak/>
        <w:t xml:space="preserve">Commission order or Administrative Law Judge ruling.  If SDAP believes that it is necessary for this information to remain under seal for longer than three years, SDAP may file a new motion showing good cause for extending this order by no later than 30 days before the expiration of this order. </w:t>
      </w:r>
    </w:p>
    <w:p w:rsidR="00A92D0B" w:rsidRPr="007F620E" w:rsidRDefault="00A92D0B" w:rsidP="00DE3A5D">
      <w:pPr>
        <w:keepNext/>
        <w:keepLines/>
        <w:numPr>
          <w:ilvl w:val="0"/>
          <w:numId w:val="4"/>
        </w:numPr>
        <w:tabs>
          <w:tab w:val="clear" w:pos="900"/>
          <w:tab w:val="num" w:pos="540"/>
        </w:tabs>
        <w:spacing w:before="240"/>
        <w:ind w:left="547" w:hanging="547"/>
      </w:pPr>
      <w:r w:rsidRPr="007F620E">
        <w:t>The comme</w:t>
      </w:r>
      <w:r w:rsidR="0011124F">
        <w:t>nt period for today’s decision is</w:t>
      </w:r>
      <w:r w:rsidRPr="007F620E">
        <w:t xml:space="preserve"> waived.</w:t>
      </w:r>
    </w:p>
    <w:p w:rsidR="00A92D0B" w:rsidRPr="007F620E" w:rsidRDefault="00A92D0B" w:rsidP="001F645E">
      <w:pPr>
        <w:keepNext/>
        <w:keepLines/>
        <w:spacing w:before="240"/>
        <w:ind w:firstLine="630"/>
        <w:rPr>
          <w:color w:val="000000"/>
        </w:rPr>
      </w:pPr>
      <w:r w:rsidRPr="007F620E">
        <w:rPr>
          <w:color w:val="000000"/>
        </w:rPr>
        <w:t>This decision is effective today.</w:t>
      </w:r>
    </w:p>
    <w:p w:rsidR="00A92D0B" w:rsidRPr="007F620E" w:rsidRDefault="00A92D0B" w:rsidP="001F645E">
      <w:pPr>
        <w:keepNext/>
        <w:keepLines/>
        <w:spacing w:before="240"/>
        <w:ind w:firstLine="720"/>
        <w:rPr>
          <w:color w:val="000000"/>
        </w:rPr>
      </w:pPr>
      <w:r w:rsidRPr="007F620E">
        <w:rPr>
          <w:color w:val="000000"/>
        </w:rPr>
        <w:t>Dated _____________, at San Francisco, California.</w:t>
      </w:r>
    </w:p>
    <w:p w:rsidR="00A92D0B" w:rsidRPr="007F620E" w:rsidRDefault="00A92D0B"/>
    <w:p w:rsidR="001F645E" w:rsidRDefault="001F645E">
      <w:pPr>
        <w:sectPr w:rsidR="001F645E" w:rsidSect="009A0E60">
          <w:headerReference w:type="default" r:id="rId8"/>
          <w:footerReference w:type="default" r:id="rId9"/>
          <w:footerReference w:type="first" r:id="rId10"/>
          <w:pgSz w:w="12240" w:h="15840"/>
          <w:pgMar w:top="1440" w:right="1800" w:bottom="1440" w:left="1800" w:header="720" w:footer="720" w:gutter="0"/>
          <w:pgNumType w:fmt="numberInDash"/>
          <w:cols w:space="720"/>
          <w:titlePg/>
          <w:docGrid w:linePitch="360"/>
        </w:sectPr>
      </w:pPr>
    </w:p>
    <w:p w:rsidR="008506C0" w:rsidRDefault="008506C0" w:rsidP="008506C0">
      <w:pPr>
        <w:pStyle w:val="standard"/>
        <w:ind w:firstLine="0"/>
        <w:jc w:val="center"/>
        <w:rPr>
          <w:rFonts w:ascii="Helvetica" w:hAnsi="Helvetica"/>
          <w:b/>
          <w:szCs w:val="26"/>
        </w:rPr>
      </w:pPr>
      <w:r>
        <w:rPr>
          <w:rFonts w:ascii="Helvetica" w:hAnsi="Helvetica"/>
          <w:b/>
          <w:szCs w:val="26"/>
        </w:rPr>
        <w:lastRenderedPageBreak/>
        <w:t>APPENDIX</w:t>
      </w:r>
    </w:p>
    <w:p w:rsidR="008506C0" w:rsidRPr="002572E2" w:rsidRDefault="008506C0" w:rsidP="008506C0">
      <w:pPr>
        <w:pStyle w:val="standard"/>
        <w:jc w:val="center"/>
      </w:pPr>
      <w:r w:rsidRPr="002572E2">
        <w:rPr>
          <w:sz w:val="28"/>
          <w:szCs w:val="28"/>
        </w:rPr>
        <w:t>Compensation Decision Summary Information</w:t>
      </w:r>
    </w:p>
    <w:tbl>
      <w:tblPr>
        <w:tblW w:w="94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735"/>
        <w:gridCol w:w="2272"/>
        <w:gridCol w:w="540"/>
      </w:tblGrid>
      <w:tr w:rsidR="008506C0" w:rsidTr="008506C0">
        <w:trPr>
          <w:trHeight w:val="288"/>
        </w:trPr>
        <w:tc>
          <w:tcPr>
            <w:tcW w:w="2880" w:type="dxa"/>
          </w:tcPr>
          <w:p w:rsidR="008506C0" w:rsidRPr="00174261" w:rsidRDefault="008506C0" w:rsidP="008506C0">
            <w:r w:rsidRPr="00174261">
              <w:t>Compensation Decision:</w:t>
            </w:r>
          </w:p>
        </w:tc>
        <w:tc>
          <w:tcPr>
            <w:tcW w:w="3735" w:type="dxa"/>
          </w:tcPr>
          <w:p w:rsidR="008506C0" w:rsidRDefault="008506C0" w:rsidP="008506C0"/>
        </w:tc>
        <w:tc>
          <w:tcPr>
            <w:tcW w:w="2272" w:type="dxa"/>
          </w:tcPr>
          <w:p w:rsidR="008506C0" w:rsidRPr="00174261" w:rsidRDefault="008506C0" w:rsidP="008506C0">
            <w:r w:rsidRPr="00174261">
              <w:t xml:space="preserve">Modifies Decision? </w:t>
            </w:r>
          </w:p>
        </w:tc>
        <w:tc>
          <w:tcPr>
            <w:tcW w:w="540" w:type="dxa"/>
          </w:tcPr>
          <w:p w:rsidR="008506C0" w:rsidRPr="00B73BCF" w:rsidRDefault="008506C0" w:rsidP="008506C0">
            <w:pPr>
              <w:jc w:val="center"/>
            </w:pPr>
          </w:p>
        </w:tc>
      </w:tr>
      <w:tr w:rsidR="008506C0" w:rsidTr="008506C0">
        <w:trPr>
          <w:trHeight w:val="288"/>
        </w:trPr>
        <w:tc>
          <w:tcPr>
            <w:tcW w:w="2880" w:type="dxa"/>
          </w:tcPr>
          <w:p w:rsidR="008506C0" w:rsidRPr="00174261" w:rsidRDefault="008506C0" w:rsidP="008506C0">
            <w:r w:rsidRPr="00174261">
              <w:t>Contribution Decision(s):</w:t>
            </w:r>
          </w:p>
        </w:tc>
        <w:tc>
          <w:tcPr>
            <w:tcW w:w="6547" w:type="dxa"/>
            <w:gridSpan w:val="3"/>
          </w:tcPr>
          <w:p w:rsidR="008506C0" w:rsidRPr="009951CA" w:rsidRDefault="008506C0" w:rsidP="008506C0">
            <w:r>
              <w:t>D1801024</w:t>
            </w:r>
          </w:p>
        </w:tc>
      </w:tr>
      <w:tr w:rsidR="008506C0" w:rsidTr="008506C0">
        <w:trPr>
          <w:trHeight w:val="288"/>
        </w:trPr>
        <w:tc>
          <w:tcPr>
            <w:tcW w:w="2880" w:type="dxa"/>
          </w:tcPr>
          <w:p w:rsidR="008506C0" w:rsidRPr="00174261" w:rsidRDefault="008506C0" w:rsidP="008506C0">
            <w:r w:rsidRPr="00174261">
              <w:t>Proceeding(s):</w:t>
            </w:r>
          </w:p>
        </w:tc>
        <w:tc>
          <w:tcPr>
            <w:tcW w:w="6547" w:type="dxa"/>
            <w:gridSpan w:val="3"/>
          </w:tcPr>
          <w:p w:rsidR="008506C0" w:rsidRDefault="008506C0" w:rsidP="008506C0">
            <w:r>
              <w:t>A1701020, A1701021, 1701022</w:t>
            </w:r>
          </w:p>
        </w:tc>
      </w:tr>
      <w:tr w:rsidR="008506C0" w:rsidTr="008506C0">
        <w:trPr>
          <w:trHeight w:val="288"/>
        </w:trPr>
        <w:tc>
          <w:tcPr>
            <w:tcW w:w="2880" w:type="dxa"/>
          </w:tcPr>
          <w:p w:rsidR="008506C0" w:rsidRPr="00174261" w:rsidRDefault="008506C0" w:rsidP="008506C0">
            <w:r w:rsidRPr="00174261">
              <w:t>Author:</w:t>
            </w:r>
          </w:p>
        </w:tc>
        <w:tc>
          <w:tcPr>
            <w:tcW w:w="6547" w:type="dxa"/>
            <w:gridSpan w:val="3"/>
          </w:tcPr>
          <w:p w:rsidR="008506C0" w:rsidRDefault="008506C0" w:rsidP="008506C0">
            <w:r>
              <w:t>Cooke, Goldberg</w:t>
            </w:r>
          </w:p>
        </w:tc>
      </w:tr>
      <w:tr w:rsidR="008506C0" w:rsidTr="008506C0">
        <w:trPr>
          <w:trHeight w:val="278"/>
        </w:trPr>
        <w:tc>
          <w:tcPr>
            <w:tcW w:w="2880" w:type="dxa"/>
          </w:tcPr>
          <w:p w:rsidR="008506C0" w:rsidRPr="00174261" w:rsidRDefault="008506C0" w:rsidP="008506C0">
            <w:r w:rsidRPr="00174261">
              <w:t>Payer(s):</w:t>
            </w:r>
          </w:p>
        </w:tc>
        <w:tc>
          <w:tcPr>
            <w:tcW w:w="6547" w:type="dxa"/>
            <w:gridSpan w:val="3"/>
          </w:tcPr>
          <w:p w:rsidR="008506C0" w:rsidRDefault="008506C0" w:rsidP="008506C0">
            <w:r>
              <w:t>Pacific Gas and Electric Company ratepayers, Southern California Edison Company ratepayers, and San Diego Gas &amp; Electric Company ratepayers.</w:t>
            </w:r>
          </w:p>
        </w:tc>
      </w:tr>
    </w:tbl>
    <w:p w:rsidR="008506C0" w:rsidRDefault="008506C0" w:rsidP="008506C0"/>
    <w:p w:rsidR="008506C0" w:rsidRPr="002572E2" w:rsidRDefault="008506C0" w:rsidP="008506C0">
      <w:pPr>
        <w:jc w:val="center"/>
        <w:rPr>
          <w:sz w:val="28"/>
          <w:szCs w:val="28"/>
        </w:rPr>
      </w:pPr>
      <w:r w:rsidRPr="002572E2">
        <w:rPr>
          <w:sz w:val="28"/>
          <w:szCs w:val="28"/>
        </w:rPr>
        <w:t>Intervenor Information</w:t>
      </w:r>
    </w:p>
    <w:p w:rsidR="008506C0" w:rsidRDefault="008506C0" w:rsidP="008506C0"/>
    <w:tbl>
      <w:tblPr>
        <w:tblW w:w="969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310"/>
        <w:gridCol w:w="1521"/>
        <w:gridCol w:w="1418"/>
        <w:gridCol w:w="1387"/>
        <w:gridCol w:w="2322"/>
      </w:tblGrid>
      <w:tr w:rsidR="008506C0" w:rsidTr="008506C0">
        <w:tc>
          <w:tcPr>
            <w:tcW w:w="2092" w:type="dxa"/>
          </w:tcPr>
          <w:p w:rsidR="008506C0" w:rsidRPr="00174261" w:rsidRDefault="008506C0" w:rsidP="008506C0">
            <w:pPr>
              <w:jc w:val="center"/>
            </w:pPr>
            <w:r w:rsidRPr="00174261">
              <w:t>Intervenor</w:t>
            </w:r>
          </w:p>
        </w:tc>
        <w:tc>
          <w:tcPr>
            <w:tcW w:w="1292" w:type="dxa"/>
          </w:tcPr>
          <w:p w:rsidR="008506C0" w:rsidRPr="00174261" w:rsidRDefault="008506C0" w:rsidP="008506C0">
            <w:pPr>
              <w:jc w:val="center"/>
            </w:pPr>
            <w:r w:rsidRPr="00174261">
              <w:t>Claim Date</w:t>
            </w:r>
          </w:p>
        </w:tc>
        <w:tc>
          <w:tcPr>
            <w:tcW w:w="1672" w:type="dxa"/>
          </w:tcPr>
          <w:p w:rsidR="008506C0" w:rsidRPr="00174261" w:rsidRDefault="008506C0" w:rsidP="008506C0">
            <w:pPr>
              <w:jc w:val="center"/>
            </w:pPr>
            <w:r w:rsidRPr="00174261">
              <w:t>Amount Requested</w:t>
            </w:r>
          </w:p>
        </w:tc>
        <w:tc>
          <w:tcPr>
            <w:tcW w:w="1500" w:type="dxa"/>
          </w:tcPr>
          <w:p w:rsidR="008506C0" w:rsidRPr="00174261" w:rsidRDefault="008506C0" w:rsidP="008506C0">
            <w:pPr>
              <w:jc w:val="center"/>
            </w:pPr>
            <w:r w:rsidRPr="00174261">
              <w:t>Amount Awarded</w:t>
            </w:r>
          </w:p>
        </w:tc>
        <w:tc>
          <w:tcPr>
            <w:tcW w:w="1449" w:type="dxa"/>
          </w:tcPr>
          <w:p w:rsidR="008506C0" w:rsidRPr="00174261" w:rsidRDefault="008506C0" w:rsidP="008506C0">
            <w:pPr>
              <w:jc w:val="center"/>
            </w:pPr>
            <w:r w:rsidRPr="00174261">
              <w:t>Multiplier?</w:t>
            </w:r>
          </w:p>
        </w:tc>
        <w:tc>
          <w:tcPr>
            <w:tcW w:w="1692" w:type="dxa"/>
          </w:tcPr>
          <w:p w:rsidR="008506C0" w:rsidRPr="00174261" w:rsidRDefault="008506C0" w:rsidP="008506C0">
            <w:pPr>
              <w:jc w:val="center"/>
            </w:pPr>
            <w:r w:rsidRPr="00174261">
              <w:t>Reason Change/Disallowance</w:t>
            </w:r>
          </w:p>
        </w:tc>
      </w:tr>
      <w:tr w:rsidR="008506C0" w:rsidTr="008506C0">
        <w:trPr>
          <w:trHeight w:val="395"/>
        </w:trPr>
        <w:tc>
          <w:tcPr>
            <w:tcW w:w="2092" w:type="dxa"/>
          </w:tcPr>
          <w:p w:rsidR="008506C0" w:rsidRPr="009951CA" w:rsidRDefault="008506C0" w:rsidP="008506C0">
            <w:pPr>
              <w:jc w:val="center"/>
            </w:pPr>
            <w:r>
              <w:t>San Diego Airport Parking Company</w:t>
            </w:r>
          </w:p>
        </w:tc>
        <w:tc>
          <w:tcPr>
            <w:tcW w:w="1292" w:type="dxa"/>
          </w:tcPr>
          <w:p w:rsidR="008506C0" w:rsidRDefault="008506C0" w:rsidP="008506C0">
            <w:pPr>
              <w:jc w:val="center"/>
            </w:pPr>
            <w:r>
              <w:t>03/19/2018</w:t>
            </w:r>
          </w:p>
        </w:tc>
        <w:tc>
          <w:tcPr>
            <w:tcW w:w="1672" w:type="dxa"/>
          </w:tcPr>
          <w:p w:rsidR="008506C0" w:rsidRPr="009951CA" w:rsidRDefault="008506C0" w:rsidP="008506C0">
            <w:pPr>
              <w:jc w:val="center"/>
            </w:pPr>
            <w:r>
              <w:t>$38,397.00</w:t>
            </w:r>
          </w:p>
        </w:tc>
        <w:tc>
          <w:tcPr>
            <w:tcW w:w="1500" w:type="dxa"/>
          </w:tcPr>
          <w:p w:rsidR="008506C0" w:rsidRDefault="008506C0" w:rsidP="008506C0">
            <w:pPr>
              <w:jc w:val="center"/>
            </w:pPr>
            <w:r w:rsidRPr="004A76AB">
              <w:t>$</w:t>
            </w:r>
            <w:r w:rsidR="00FD1C37">
              <w:t>34,400.60</w:t>
            </w:r>
          </w:p>
        </w:tc>
        <w:tc>
          <w:tcPr>
            <w:tcW w:w="1449" w:type="dxa"/>
          </w:tcPr>
          <w:p w:rsidR="008506C0" w:rsidRDefault="008506C0" w:rsidP="008506C0">
            <w:pPr>
              <w:jc w:val="center"/>
            </w:pPr>
            <w:r>
              <w:t>N/A</w:t>
            </w:r>
          </w:p>
        </w:tc>
        <w:tc>
          <w:tcPr>
            <w:tcW w:w="1692" w:type="dxa"/>
          </w:tcPr>
          <w:p w:rsidR="008506C0" w:rsidRDefault="0014278E" w:rsidP="00FD1C37">
            <w:r>
              <w:t xml:space="preserve">Receipt and </w:t>
            </w:r>
            <w:r w:rsidR="00FD1C37">
              <w:t xml:space="preserve">Timesheet </w:t>
            </w:r>
            <w:r>
              <w:t xml:space="preserve">reporting </w:t>
            </w:r>
            <w:r w:rsidR="00FD1C37">
              <w:t>errors</w:t>
            </w:r>
          </w:p>
        </w:tc>
      </w:tr>
    </w:tbl>
    <w:p w:rsidR="008506C0" w:rsidRDefault="008506C0" w:rsidP="008506C0"/>
    <w:p w:rsidR="008506C0" w:rsidRPr="002572E2" w:rsidRDefault="008506C0" w:rsidP="008506C0">
      <w:pPr>
        <w:jc w:val="center"/>
        <w:rPr>
          <w:sz w:val="28"/>
          <w:szCs w:val="28"/>
        </w:rPr>
      </w:pPr>
      <w:r w:rsidRPr="002572E2">
        <w:rPr>
          <w:sz w:val="28"/>
          <w:szCs w:val="28"/>
        </w:rPr>
        <w:t>Advocate Information</w:t>
      </w:r>
    </w:p>
    <w:p w:rsidR="008506C0" w:rsidRPr="00D91DCA" w:rsidRDefault="008506C0" w:rsidP="008506C0">
      <w:pPr>
        <w:rPr>
          <w:color w:val="008000"/>
        </w:rPr>
      </w:pPr>
    </w:p>
    <w:tbl>
      <w:tblPr>
        <w:tblW w:w="969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283"/>
        <w:gridCol w:w="1327"/>
        <w:gridCol w:w="1620"/>
        <w:gridCol w:w="1440"/>
        <w:gridCol w:w="1350"/>
        <w:gridCol w:w="1440"/>
      </w:tblGrid>
      <w:tr w:rsidR="008506C0" w:rsidRPr="00CB285B" w:rsidTr="008506C0">
        <w:trPr>
          <w:trHeight w:val="288"/>
        </w:trPr>
        <w:tc>
          <w:tcPr>
            <w:tcW w:w="1237" w:type="dxa"/>
          </w:tcPr>
          <w:p w:rsidR="008506C0" w:rsidRPr="00174261" w:rsidRDefault="008506C0" w:rsidP="008506C0">
            <w:pPr>
              <w:jc w:val="center"/>
              <w:rPr>
                <w:sz w:val="20"/>
              </w:rPr>
            </w:pPr>
            <w:r w:rsidRPr="00174261">
              <w:rPr>
                <w:sz w:val="20"/>
              </w:rPr>
              <w:t>First Name</w:t>
            </w:r>
          </w:p>
        </w:tc>
        <w:tc>
          <w:tcPr>
            <w:tcW w:w="1283" w:type="dxa"/>
          </w:tcPr>
          <w:p w:rsidR="008506C0" w:rsidRPr="00174261" w:rsidRDefault="008506C0" w:rsidP="008506C0">
            <w:pPr>
              <w:jc w:val="center"/>
              <w:rPr>
                <w:sz w:val="20"/>
              </w:rPr>
            </w:pPr>
            <w:r w:rsidRPr="00174261">
              <w:rPr>
                <w:sz w:val="20"/>
              </w:rPr>
              <w:t>Last Name</w:t>
            </w:r>
          </w:p>
        </w:tc>
        <w:tc>
          <w:tcPr>
            <w:tcW w:w="1327" w:type="dxa"/>
          </w:tcPr>
          <w:p w:rsidR="008506C0" w:rsidRPr="00174261" w:rsidRDefault="008506C0" w:rsidP="008506C0">
            <w:pPr>
              <w:jc w:val="center"/>
              <w:rPr>
                <w:sz w:val="20"/>
              </w:rPr>
            </w:pPr>
            <w:r w:rsidRPr="00174261">
              <w:rPr>
                <w:sz w:val="20"/>
              </w:rPr>
              <w:t>Type</w:t>
            </w:r>
          </w:p>
        </w:tc>
        <w:tc>
          <w:tcPr>
            <w:tcW w:w="1620" w:type="dxa"/>
          </w:tcPr>
          <w:p w:rsidR="008506C0" w:rsidRPr="00174261" w:rsidRDefault="008506C0" w:rsidP="008506C0">
            <w:pPr>
              <w:jc w:val="center"/>
              <w:rPr>
                <w:sz w:val="20"/>
              </w:rPr>
            </w:pPr>
            <w:r w:rsidRPr="00174261">
              <w:rPr>
                <w:sz w:val="20"/>
              </w:rPr>
              <w:t>Intervenor</w:t>
            </w:r>
          </w:p>
        </w:tc>
        <w:tc>
          <w:tcPr>
            <w:tcW w:w="1440" w:type="dxa"/>
          </w:tcPr>
          <w:p w:rsidR="008506C0" w:rsidRPr="00174261" w:rsidRDefault="008506C0" w:rsidP="008506C0">
            <w:pPr>
              <w:jc w:val="center"/>
              <w:rPr>
                <w:sz w:val="20"/>
              </w:rPr>
            </w:pPr>
            <w:r w:rsidRPr="00174261">
              <w:rPr>
                <w:sz w:val="20"/>
              </w:rPr>
              <w:t>Hourly Fee Requested</w:t>
            </w:r>
          </w:p>
        </w:tc>
        <w:tc>
          <w:tcPr>
            <w:tcW w:w="1350" w:type="dxa"/>
          </w:tcPr>
          <w:p w:rsidR="008506C0" w:rsidRPr="00174261" w:rsidRDefault="008506C0" w:rsidP="008506C0">
            <w:pPr>
              <w:jc w:val="center"/>
              <w:rPr>
                <w:sz w:val="20"/>
              </w:rPr>
            </w:pPr>
            <w:r w:rsidRPr="00174261">
              <w:rPr>
                <w:sz w:val="20"/>
              </w:rPr>
              <w:t>Year Hourly Fee Requested</w:t>
            </w:r>
          </w:p>
        </w:tc>
        <w:tc>
          <w:tcPr>
            <w:tcW w:w="1440" w:type="dxa"/>
          </w:tcPr>
          <w:p w:rsidR="008506C0" w:rsidRPr="00174261" w:rsidRDefault="008506C0" w:rsidP="008506C0">
            <w:pPr>
              <w:jc w:val="center"/>
              <w:rPr>
                <w:sz w:val="20"/>
              </w:rPr>
            </w:pPr>
            <w:r w:rsidRPr="00174261">
              <w:rPr>
                <w:sz w:val="20"/>
              </w:rPr>
              <w:t>Hourly Fee Adopted</w:t>
            </w:r>
          </w:p>
        </w:tc>
      </w:tr>
      <w:tr w:rsidR="008506C0" w:rsidRPr="00E763BC" w:rsidTr="008506C0">
        <w:trPr>
          <w:trHeight w:val="288"/>
        </w:trPr>
        <w:tc>
          <w:tcPr>
            <w:tcW w:w="1237" w:type="dxa"/>
          </w:tcPr>
          <w:p w:rsidR="008506C0" w:rsidRPr="00E763BC" w:rsidRDefault="008506C0" w:rsidP="008506C0">
            <w:pPr>
              <w:jc w:val="center"/>
            </w:pPr>
            <w:r>
              <w:t>Lisa</w:t>
            </w:r>
          </w:p>
        </w:tc>
        <w:tc>
          <w:tcPr>
            <w:tcW w:w="1283" w:type="dxa"/>
          </w:tcPr>
          <w:p w:rsidR="008506C0" w:rsidRPr="00E763BC" w:rsidRDefault="008506C0" w:rsidP="008506C0">
            <w:pPr>
              <w:jc w:val="center"/>
            </w:pPr>
            <w:r>
              <w:t>McGhee</w:t>
            </w:r>
          </w:p>
        </w:tc>
        <w:tc>
          <w:tcPr>
            <w:tcW w:w="1327" w:type="dxa"/>
          </w:tcPr>
          <w:p w:rsidR="008506C0" w:rsidRPr="00DA42C0" w:rsidRDefault="008506C0" w:rsidP="008506C0">
            <w:pPr>
              <w:jc w:val="center"/>
              <w:rPr>
                <w:szCs w:val="26"/>
              </w:rPr>
            </w:pPr>
            <w:r>
              <w:rPr>
                <w:szCs w:val="26"/>
              </w:rPr>
              <w:t>Expert</w:t>
            </w:r>
          </w:p>
        </w:tc>
        <w:tc>
          <w:tcPr>
            <w:tcW w:w="1620" w:type="dxa"/>
          </w:tcPr>
          <w:p w:rsidR="008506C0" w:rsidRPr="009951CA" w:rsidRDefault="008506C0" w:rsidP="008506C0">
            <w:pPr>
              <w:jc w:val="center"/>
            </w:pPr>
            <w:r>
              <w:t>SDAP</w:t>
            </w:r>
          </w:p>
        </w:tc>
        <w:tc>
          <w:tcPr>
            <w:tcW w:w="1440" w:type="dxa"/>
          </w:tcPr>
          <w:p w:rsidR="008506C0" w:rsidRPr="00945E2A" w:rsidRDefault="008506C0" w:rsidP="008506C0">
            <w:pPr>
              <w:jc w:val="center"/>
            </w:pPr>
            <w:r>
              <w:t>$100.00</w:t>
            </w:r>
          </w:p>
        </w:tc>
        <w:tc>
          <w:tcPr>
            <w:tcW w:w="1350" w:type="dxa"/>
          </w:tcPr>
          <w:p w:rsidR="008506C0" w:rsidRPr="00E763BC" w:rsidRDefault="008506C0" w:rsidP="008506C0">
            <w:pPr>
              <w:jc w:val="center"/>
            </w:pPr>
            <w:r>
              <w:t>2016</w:t>
            </w:r>
          </w:p>
        </w:tc>
        <w:tc>
          <w:tcPr>
            <w:tcW w:w="1440" w:type="dxa"/>
          </w:tcPr>
          <w:p w:rsidR="008506C0" w:rsidRPr="00E763BC" w:rsidRDefault="008506C0" w:rsidP="008506C0">
            <w:pPr>
              <w:jc w:val="center"/>
            </w:pPr>
            <w:r>
              <w:t>$100.00</w:t>
            </w:r>
          </w:p>
        </w:tc>
      </w:tr>
      <w:tr w:rsidR="008506C0" w:rsidRPr="00E763BC" w:rsidTr="008506C0">
        <w:trPr>
          <w:trHeight w:val="288"/>
        </w:trPr>
        <w:tc>
          <w:tcPr>
            <w:tcW w:w="1237" w:type="dxa"/>
          </w:tcPr>
          <w:p w:rsidR="008506C0" w:rsidRPr="00E763BC" w:rsidRDefault="008506C0" w:rsidP="008506C0">
            <w:pPr>
              <w:jc w:val="center"/>
            </w:pPr>
            <w:r>
              <w:t>Lisa</w:t>
            </w:r>
          </w:p>
        </w:tc>
        <w:tc>
          <w:tcPr>
            <w:tcW w:w="1283" w:type="dxa"/>
          </w:tcPr>
          <w:p w:rsidR="008506C0" w:rsidRPr="00E763BC" w:rsidRDefault="008506C0" w:rsidP="008506C0">
            <w:pPr>
              <w:jc w:val="center"/>
            </w:pPr>
            <w:r>
              <w:t>McGhee</w:t>
            </w:r>
          </w:p>
        </w:tc>
        <w:tc>
          <w:tcPr>
            <w:tcW w:w="1327" w:type="dxa"/>
          </w:tcPr>
          <w:p w:rsidR="008506C0" w:rsidRPr="00DA42C0" w:rsidRDefault="008506C0" w:rsidP="008506C0">
            <w:pPr>
              <w:jc w:val="center"/>
              <w:rPr>
                <w:szCs w:val="26"/>
              </w:rPr>
            </w:pPr>
            <w:r>
              <w:rPr>
                <w:szCs w:val="26"/>
              </w:rPr>
              <w:t>Expert</w:t>
            </w:r>
          </w:p>
        </w:tc>
        <w:tc>
          <w:tcPr>
            <w:tcW w:w="1620" w:type="dxa"/>
          </w:tcPr>
          <w:p w:rsidR="008506C0" w:rsidRPr="009951CA" w:rsidRDefault="008506C0" w:rsidP="008506C0">
            <w:pPr>
              <w:jc w:val="center"/>
            </w:pPr>
            <w:r>
              <w:t>SDAP</w:t>
            </w:r>
          </w:p>
        </w:tc>
        <w:tc>
          <w:tcPr>
            <w:tcW w:w="1440" w:type="dxa"/>
          </w:tcPr>
          <w:p w:rsidR="008506C0" w:rsidRPr="00945E2A" w:rsidRDefault="008506C0" w:rsidP="008506C0">
            <w:pPr>
              <w:jc w:val="center"/>
            </w:pPr>
            <w:r>
              <w:t>$100.00</w:t>
            </w:r>
          </w:p>
        </w:tc>
        <w:tc>
          <w:tcPr>
            <w:tcW w:w="1350" w:type="dxa"/>
          </w:tcPr>
          <w:p w:rsidR="008506C0" w:rsidRPr="00E763BC" w:rsidRDefault="008506C0" w:rsidP="008506C0">
            <w:pPr>
              <w:jc w:val="center"/>
            </w:pPr>
            <w:r>
              <w:t>2017</w:t>
            </w:r>
          </w:p>
        </w:tc>
        <w:tc>
          <w:tcPr>
            <w:tcW w:w="1440" w:type="dxa"/>
          </w:tcPr>
          <w:p w:rsidR="008506C0" w:rsidRPr="00E763BC" w:rsidRDefault="008506C0" w:rsidP="008506C0">
            <w:pPr>
              <w:jc w:val="center"/>
            </w:pPr>
            <w:r>
              <w:t>$100.00</w:t>
            </w:r>
          </w:p>
        </w:tc>
      </w:tr>
      <w:tr w:rsidR="008506C0" w:rsidRPr="00E763BC" w:rsidTr="008506C0">
        <w:trPr>
          <w:trHeight w:val="288"/>
        </w:trPr>
        <w:tc>
          <w:tcPr>
            <w:tcW w:w="1237" w:type="dxa"/>
          </w:tcPr>
          <w:p w:rsidR="008506C0" w:rsidRPr="00E763BC" w:rsidRDefault="008506C0" w:rsidP="008506C0">
            <w:pPr>
              <w:jc w:val="center"/>
            </w:pPr>
            <w:r>
              <w:t>Lisa</w:t>
            </w:r>
          </w:p>
        </w:tc>
        <w:tc>
          <w:tcPr>
            <w:tcW w:w="1283" w:type="dxa"/>
          </w:tcPr>
          <w:p w:rsidR="008506C0" w:rsidRPr="00E763BC" w:rsidRDefault="008506C0" w:rsidP="008506C0">
            <w:pPr>
              <w:jc w:val="center"/>
            </w:pPr>
            <w:r>
              <w:t>McGhee</w:t>
            </w:r>
          </w:p>
        </w:tc>
        <w:tc>
          <w:tcPr>
            <w:tcW w:w="1327" w:type="dxa"/>
          </w:tcPr>
          <w:p w:rsidR="008506C0" w:rsidRPr="00DA42C0" w:rsidRDefault="008506C0" w:rsidP="008506C0">
            <w:pPr>
              <w:jc w:val="center"/>
              <w:rPr>
                <w:szCs w:val="26"/>
              </w:rPr>
            </w:pPr>
            <w:r>
              <w:rPr>
                <w:szCs w:val="26"/>
              </w:rPr>
              <w:t>Expert</w:t>
            </w:r>
          </w:p>
        </w:tc>
        <w:tc>
          <w:tcPr>
            <w:tcW w:w="1620" w:type="dxa"/>
          </w:tcPr>
          <w:p w:rsidR="008506C0" w:rsidRPr="009951CA" w:rsidRDefault="008506C0" w:rsidP="008506C0">
            <w:pPr>
              <w:jc w:val="center"/>
            </w:pPr>
            <w:r>
              <w:t>SDAP</w:t>
            </w:r>
          </w:p>
        </w:tc>
        <w:tc>
          <w:tcPr>
            <w:tcW w:w="1440" w:type="dxa"/>
          </w:tcPr>
          <w:p w:rsidR="008506C0" w:rsidRPr="00945E2A" w:rsidRDefault="008506C0" w:rsidP="008506C0">
            <w:pPr>
              <w:jc w:val="center"/>
            </w:pPr>
            <w:r>
              <w:t>$100.00</w:t>
            </w:r>
          </w:p>
        </w:tc>
        <w:tc>
          <w:tcPr>
            <w:tcW w:w="1350" w:type="dxa"/>
          </w:tcPr>
          <w:p w:rsidR="008506C0" w:rsidRPr="00E763BC" w:rsidRDefault="008506C0" w:rsidP="008506C0">
            <w:pPr>
              <w:jc w:val="center"/>
            </w:pPr>
            <w:r>
              <w:t>2018</w:t>
            </w:r>
          </w:p>
        </w:tc>
        <w:tc>
          <w:tcPr>
            <w:tcW w:w="1440" w:type="dxa"/>
          </w:tcPr>
          <w:p w:rsidR="008506C0" w:rsidRPr="00E763BC" w:rsidRDefault="008506C0" w:rsidP="008506C0">
            <w:pPr>
              <w:jc w:val="center"/>
            </w:pPr>
            <w:r>
              <w:t>$100.00</w:t>
            </w:r>
          </w:p>
        </w:tc>
      </w:tr>
    </w:tbl>
    <w:p w:rsidR="008506C0" w:rsidRPr="001F121D" w:rsidRDefault="008506C0" w:rsidP="008506C0">
      <w:pPr>
        <w:spacing w:line="360" w:lineRule="auto"/>
        <w:rPr>
          <w:b/>
        </w:rPr>
      </w:pPr>
    </w:p>
    <w:p w:rsidR="008506C0" w:rsidRDefault="008506C0" w:rsidP="008506C0">
      <w:pPr>
        <w:jc w:val="center"/>
      </w:pPr>
      <w:r>
        <w:rPr>
          <w:rFonts w:ascii="Helvetica" w:hAnsi="Helvetica"/>
          <w:b/>
        </w:rPr>
        <w:t xml:space="preserve">(END OF </w:t>
      </w:r>
      <w:r>
        <w:rPr>
          <w:rFonts w:ascii="Helvetica" w:hAnsi="Helvetica"/>
          <w:b/>
          <w:szCs w:val="26"/>
        </w:rPr>
        <w:t>APPENDIX</w:t>
      </w:r>
      <w:r>
        <w:rPr>
          <w:rFonts w:ascii="Helvetica" w:hAnsi="Helvetica"/>
          <w:b/>
        </w:rPr>
        <w:t>)</w:t>
      </w:r>
    </w:p>
    <w:p w:rsidR="008506C0" w:rsidRDefault="008506C0" w:rsidP="008506C0"/>
    <w:p w:rsidR="008506C0" w:rsidRDefault="008506C0"/>
    <w:p w:rsidR="008506C0" w:rsidRPr="007F620E" w:rsidRDefault="008506C0"/>
    <w:sectPr w:rsidR="008506C0" w:rsidRPr="007F620E" w:rsidSect="001F645E">
      <w:headerReference w:type="default" r:id="rId11"/>
      <w:footerReference w:type="default" r:id="rId12"/>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E35" w:rsidRDefault="00024E35" w:rsidP="00885956">
      <w:r>
        <w:separator/>
      </w:r>
    </w:p>
  </w:endnote>
  <w:endnote w:type="continuationSeparator" w:id="0">
    <w:p w:rsidR="00024E35" w:rsidRDefault="00024E35" w:rsidP="008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40502050505030304"/>
    <w:charset w:val="00"/>
    <w:family w:val="roman"/>
    <w:notTrueType/>
    <w:pitch w:val="variable"/>
    <w:sig w:usb0="00000003" w:usb1="00000000" w:usb2="00000000" w:usb3="00000000" w:csb0="00000001" w:csb1="00000000"/>
  </w:font>
  <w:font w:name="BookAntiqua">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84A" w:rsidRDefault="0063384A" w:rsidP="009A0E60">
    <w:pPr>
      <w:pStyle w:val="Footer"/>
    </w:pPr>
  </w:p>
  <w:p w:rsidR="0063384A" w:rsidRDefault="0063384A" w:rsidP="009A0E60">
    <w:pPr>
      <w:pStyle w:val="Footer"/>
    </w:pPr>
    <w:r>
      <w:rPr>
        <w:rFonts w:ascii="Tahoma" w:hAnsi="Tahoma" w:cs="Tahoma"/>
        <w:sz w:val="17"/>
        <w:szCs w:val="17"/>
      </w:rPr>
      <w:tab/>
    </w:r>
    <w:sdt>
      <w:sdtPr>
        <w:id w:val="14703991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- 18 -</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84A" w:rsidRDefault="0063384A" w:rsidP="009A0E60">
    <w:pPr>
      <w:pStyle w:val="Footer"/>
    </w:pPr>
    <w:r>
      <w:rPr>
        <w:rFonts w:ascii="Tahoma" w:hAnsi="Tahoma" w:cs="Tahoma"/>
        <w:sz w:val="17"/>
        <w:szCs w:val="17"/>
      </w:rPr>
      <w:t>217473554</w:t>
    </w:r>
    <w:r>
      <w:rPr>
        <w:rFonts w:ascii="Tahoma" w:hAnsi="Tahoma" w:cs="Tahoma"/>
        <w:sz w:val="17"/>
        <w:szCs w:val="17"/>
      </w:rPr>
      <w:tab/>
    </w:r>
    <w:sdt>
      <w:sdtPr>
        <w:id w:val="665493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- 1 -</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84A" w:rsidRDefault="0063384A" w:rsidP="009A0E60">
    <w:pPr>
      <w:pStyle w:val="Footer"/>
    </w:pPr>
  </w:p>
  <w:p w:rsidR="0063384A" w:rsidRDefault="0063384A" w:rsidP="009A0E60">
    <w:pPr>
      <w:pStyle w:val="Footer"/>
    </w:pPr>
    <w:r>
      <w:rPr>
        <w:rFonts w:ascii="Tahoma" w:hAnsi="Tahoma" w:cs="Tahoma"/>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E35" w:rsidRDefault="00024E35" w:rsidP="00885956">
      <w:r>
        <w:separator/>
      </w:r>
    </w:p>
  </w:footnote>
  <w:footnote w:type="continuationSeparator" w:id="0">
    <w:p w:rsidR="00024E35" w:rsidRDefault="00024E35" w:rsidP="00885956">
      <w:r>
        <w:continuationSeparator/>
      </w:r>
    </w:p>
  </w:footnote>
  <w:footnote w:id="1">
    <w:p w:rsidR="0063384A" w:rsidRDefault="0063384A" w:rsidP="00007E58">
      <w:pPr>
        <w:pStyle w:val="FootnoteText"/>
        <w:spacing w:after="120"/>
      </w:pPr>
      <w:r>
        <w:rPr>
          <w:rStyle w:val="FootnoteReference"/>
        </w:rPr>
        <w:footnoteRef/>
      </w:r>
      <w:r>
        <w:t xml:space="preserve">  D.98-04-059 at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84A" w:rsidRPr="001F645E" w:rsidRDefault="0063384A" w:rsidP="001F645E">
    <w:pPr>
      <w:pStyle w:val="Header"/>
      <w:tabs>
        <w:tab w:val="clear" w:pos="9360"/>
        <w:tab w:val="right" w:pos="8640"/>
      </w:tabs>
      <w:rPr>
        <w:b/>
      </w:rPr>
    </w:pPr>
    <w:r>
      <w:t>A.17-01-020 et al.  ALJ/SL5/MLC/ek4/</w:t>
    </w:r>
    <w:proofErr w:type="spellStart"/>
    <w:r>
      <w:t>avs</w:t>
    </w:r>
    <w:proofErr w:type="spellEnd"/>
    <w:r>
      <w:tab/>
    </w:r>
    <w:r>
      <w:tab/>
    </w:r>
    <w:r>
      <w:rPr>
        <w:b/>
      </w:rPr>
      <w:t>PROPOSED DECISION</w:t>
    </w:r>
  </w:p>
  <w:p w:rsidR="0063384A" w:rsidRDefault="0063384A">
    <w:pPr>
      <w:pStyle w:val="Header"/>
    </w:pPr>
  </w:p>
  <w:p w:rsidR="0063384A" w:rsidRDefault="00633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84A" w:rsidRPr="001F645E" w:rsidRDefault="0063384A" w:rsidP="001F645E">
    <w:pPr>
      <w:pStyle w:val="Header"/>
      <w:tabs>
        <w:tab w:val="clear" w:pos="9360"/>
        <w:tab w:val="right" w:pos="8640"/>
      </w:tabs>
      <w:rPr>
        <w:b/>
      </w:rPr>
    </w:pPr>
    <w:r>
      <w:t>A.17-01-020 et al.  ALJ/SL5/MLC/ek4/</w:t>
    </w:r>
    <w:proofErr w:type="spellStart"/>
    <w:r>
      <w:t>avs</w:t>
    </w:r>
    <w:proofErr w:type="spellEnd"/>
    <w:r>
      <w:tab/>
    </w:r>
    <w:r>
      <w:tab/>
    </w:r>
  </w:p>
  <w:p w:rsidR="0063384A" w:rsidRDefault="0063384A">
    <w:pPr>
      <w:pStyle w:val="Header"/>
    </w:pPr>
  </w:p>
  <w:p w:rsidR="0063384A" w:rsidRDefault="00633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A25"/>
    <w:multiLevelType w:val="hybridMultilevel"/>
    <w:tmpl w:val="14AA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830E2A"/>
    <w:multiLevelType w:val="hybridMultilevel"/>
    <w:tmpl w:val="819A7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64E01"/>
    <w:multiLevelType w:val="hybridMultilevel"/>
    <w:tmpl w:val="FA3A1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D0054"/>
    <w:multiLevelType w:val="hybridMultilevel"/>
    <w:tmpl w:val="6EBC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4212B"/>
    <w:multiLevelType w:val="hybridMultilevel"/>
    <w:tmpl w:val="2FAE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E60CD"/>
    <w:multiLevelType w:val="hybridMultilevel"/>
    <w:tmpl w:val="C36C830E"/>
    <w:lvl w:ilvl="0" w:tplc="2F5059FA">
      <w:start w:val="2"/>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B2598A"/>
    <w:multiLevelType w:val="hybridMultilevel"/>
    <w:tmpl w:val="D202444A"/>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5764675E"/>
    <w:multiLevelType w:val="hybridMultilevel"/>
    <w:tmpl w:val="73167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E0BC7"/>
    <w:multiLevelType w:val="hybridMultilevel"/>
    <w:tmpl w:val="17C8B27A"/>
    <w:lvl w:ilvl="0" w:tplc="0409000F">
      <w:start w:val="1"/>
      <w:numFmt w:val="decimal"/>
      <w:lvlText w:val="%1."/>
      <w:lvlJc w:val="left"/>
      <w:pPr>
        <w:tabs>
          <w:tab w:val="num" w:pos="360"/>
        </w:tabs>
        <w:ind w:left="360" w:hanging="360"/>
      </w:pPr>
    </w:lvl>
    <w:lvl w:ilvl="1" w:tplc="A2982BDA">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E135894"/>
    <w:multiLevelType w:val="hybridMultilevel"/>
    <w:tmpl w:val="CB64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517B5"/>
    <w:multiLevelType w:val="hybridMultilevel"/>
    <w:tmpl w:val="819A7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D0F4A"/>
    <w:multiLevelType w:val="hybridMultilevel"/>
    <w:tmpl w:val="002A865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8737B1"/>
    <w:multiLevelType w:val="hybridMultilevel"/>
    <w:tmpl w:val="E55236BA"/>
    <w:lvl w:ilvl="0" w:tplc="7B3657A2">
      <w:start w:val="1"/>
      <w:numFmt w:val="upperLetter"/>
      <w:lvlText w:val="%1."/>
      <w:lvlJc w:val="left"/>
      <w:pPr>
        <w:tabs>
          <w:tab w:val="num" w:pos="900"/>
        </w:tabs>
        <w:ind w:left="900" w:hanging="360"/>
      </w:pPr>
      <w:rPr>
        <w:rFonts w:hint="default"/>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8179A5"/>
    <w:multiLevelType w:val="hybridMultilevel"/>
    <w:tmpl w:val="26C0DFD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5"/>
  </w:num>
  <w:num w:numId="4">
    <w:abstractNumId w:val="8"/>
  </w:num>
  <w:num w:numId="5">
    <w:abstractNumId w:val="6"/>
  </w:num>
  <w:num w:numId="6">
    <w:abstractNumId w:val="10"/>
  </w:num>
  <w:num w:numId="7">
    <w:abstractNumId w:val="9"/>
  </w:num>
  <w:num w:numId="8">
    <w:abstractNumId w:val="7"/>
  </w:num>
  <w:num w:numId="9">
    <w:abstractNumId w:val="12"/>
  </w:num>
  <w:num w:numId="10">
    <w:abstractNumId w:val="2"/>
  </w:num>
  <w:num w:numId="11">
    <w:abstractNumId w:val="13"/>
  </w:num>
  <w:num w:numId="12">
    <w:abstractNumId w:val="3"/>
  </w:num>
  <w:num w:numId="13">
    <w:abstractNumId w:val="4"/>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F83"/>
    <w:rsid w:val="00003A49"/>
    <w:rsid w:val="00007E58"/>
    <w:rsid w:val="00024E35"/>
    <w:rsid w:val="000268B9"/>
    <w:rsid w:val="00026A15"/>
    <w:rsid w:val="00030E4C"/>
    <w:rsid w:val="00034492"/>
    <w:rsid w:val="00036E1C"/>
    <w:rsid w:val="00036F54"/>
    <w:rsid w:val="00040B32"/>
    <w:rsid w:val="0004745F"/>
    <w:rsid w:val="000558DB"/>
    <w:rsid w:val="000600C9"/>
    <w:rsid w:val="00062881"/>
    <w:rsid w:val="0006688C"/>
    <w:rsid w:val="00072C81"/>
    <w:rsid w:val="00085EBE"/>
    <w:rsid w:val="00090235"/>
    <w:rsid w:val="00093B68"/>
    <w:rsid w:val="000A514D"/>
    <w:rsid w:val="000C3D35"/>
    <w:rsid w:val="000C592C"/>
    <w:rsid w:val="000D6CA0"/>
    <w:rsid w:val="000D6DF8"/>
    <w:rsid w:val="000E6ABD"/>
    <w:rsid w:val="000F3247"/>
    <w:rsid w:val="000F405B"/>
    <w:rsid w:val="000F595C"/>
    <w:rsid w:val="000F7670"/>
    <w:rsid w:val="00105767"/>
    <w:rsid w:val="00110D89"/>
    <w:rsid w:val="0011124F"/>
    <w:rsid w:val="00122070"/>
    <w:rsid w:val="001226C5"/>
    <w:rsid w:val="00123103"/>
    <w:rsid w:val="00125492"/>
    <w:rsid w:val="00126C59"/>
    <w:rsid w:val="00140E24"/>
    <w:rsid w:val="00141A4E"/>
    <w:rsid w:val="0014278E"/>
    <w:rsid w:val="001477B3"/>
    <w:rsid w:val="00151AA8"/>
    <w:rsid w:val="00152F94"/>
    <w:rsid w:val="001657C4"/>
    <w:rsid w:val="00175865"/>
    <w:rsid w:val="00180353"/>
    <w:rsid w:val="00194C2C"/>
    <w:rsid w:val="00194ECF"/>
    <w:rsid w:val="001962EB"/>
    <w:rsid w:val="00197A40"/>
    <w:rsid w:val="001A554C"/>
    <w:rsid w:val="001A62B7"/>
    <w:rsid w:val="001C1FFD"/>
    <w:rsid w:val="001C21AE"/>
    <w:rsid w:val="001D3ED2"/>
    <w:rsid w:val="001E77CF"/>
    <w:rsid w:val="001F238E"/>
    <w:rsid w:val="001F645E"/>
    <w:rsid w:val="00204E3A"/>
    <w:rsid w:val="002076BD"/>
    <w:rsid w:val="00210EC0"/>
    <w:rsid w:val="00212E10"/>
    <w:rsid w:val="00214B22"/>
    <w:rsid w:val="00217224"/>
    <w:rsid w:val="002415DC"/>
    <w:rsid w:val="00241E6C"/>
    <w:rsid w:val="002466F8"/>
    <w:rsid w:val="00257491"/>
    <w:rsid w:val="00260518"/>
    <w:rsid w:val="00264333"/>
    <w:rsid w:val="00270E2E"/>
    <w:rsid w:val="00273208"/>
    <w:rsid w:val="00275F64"/>
    <w:rsid w:val="002764AF"/>
    <w:rsid w:val="00294107"/>
    <w:rsid w:val="002A0088"/>
    <w:rsid w:val="002A241E"/>
    <w:rsid w:val="002A406C"/>
    <w:rsid w:val="002A57E5"/>
    <w:rsid w:val="002A6C07"/>
    <w:rsid w:val="002B2D05"/>
    <w:rsid w:val="002C424D"/>
    <w:rsid w:val="002C686E"/>
    <w:rsid w:val="002D3642"/>
    <w:rsid w:val="002E1FA5"/>
    <w:rsid w:val="002E5F83"/>
    <w:rsid w:val="002E6E8B"/>
    <w:rsid w:val="00303C2B"/>
    <w:rsid w:val="00326F66"/>
    <w:rsid w:val="0033795F"/>
    <w:rsid w:val="003446F4"/>
    <w:rsid w:val="003469C6"/>
    <w:rsid w:val="003501DD"/>
    <w:rsid w:val="003568AB"/>
    <w:rsid w:val="00357F1A"/>
    <w:rsid w:val="00364B60"/>
    <w:rsid w:val="00374FD1"/>
    <w:rsid w:val="0037509F"/>
    <w:rsid w:val="00377884"/>
    <w:rsid w:val="00380703"/>
    <w:rsid w:val="00390F90"/>
    <w:rsid w:val="00394EC0"/>
    <w:rsid w:val="003A0C83"/>
    <w:rsid w:val="003A18C2"/>
    <w:rsid w:val="003B1782"/>
    <w:rsid w:val="003B447C"/>
    <w:rsid w:val="003C15C5"/>
    <w:rsid w:val="003C205A"/>
    <w:rsid w:val="003C608A"/>
    <w:rsid w:val="003E01BA"/>
    <w:rsid w:val="003E100D"/>
    <w:rsid w:val="003E34FD"/>
    <w:rsid w:val="00405975"/>
    <w:rsid w:val="00407292"/>
    <w:rsid w:val="00417E49"/>
    <w:rsid w:val="004200AE"/>
    <w:rsid w:val="00423330"/>
    <w:rsid w:val="00435071"/>
    <w:rsid w:val="0043674D"/>
    <w:rsid w:val="00443958"/>
    <w:rsid w:val="004534E7"/>
    <w:rsid w:val="00472DEE"/>
    <w:rsid w:val="00473686"/>
    <w:rsid w:val="004738F6"/>
    <w:rsid w:val="00477715"/>
    <w:rsid w:val="00480FEA"/>
    <w:rsid w:val="00496012"/>
    <w:rsid w:val="004B0235"/>
    <w:rsid w:val="004B7F0C"/>
    <w:rsid w:val="004C0961"/>
    <w:rsid w:val="004C39A1"/>
    <w:rsid w:val="004D6B6D"/>
    <w:rsid w:val="004E0395"/>
    <w:rsid w:val="004E3939"/>
    <w:rsid w:val="004E3D93"/>
    <w:rsid w:val="004F4A5F"/>
    <w:rsid w:val="004F59AD"/>
    <w:rsid w:val="00504F82"/>
    <w:rsid w:val="0051151E"/>
    <w:rsid w:val="00516CE7"/>
    <w:rsid w:val="005215EF"/>
    <w:rsid w:val="00521B86"/>
    <w:rsid w:val="0054164A"/>
    <w:rsid w:val="00547145"/>
    <w:rsid w:val="00551967"/>
    <w:rsid w:val="0055522E"/>
    <w:rsid w:val="0055623E"/>
    <w:rsid w:val="00562A7B"/>
    <w:rsid w:val="00573AEA"/>
    <w:rsid w:val="00573C28"/>
    <w:rsid w:val="00576928"/>
    <w:rsid w:val="00583E7F"/>
    <w:rsid w:val="005870FA"/>
    <w:rsid w:val="005912FA"/>
    <w:rsid w:val="005A53F1"/>
    <w:rsid w:val="005A63D4"/>
    <w:rsid w:val="005A65C2"/>
    <w:rsid w:val="005C327F"/>
    <w:rsid w:val="005F4D82"/>
    <w:rsid w:val="0060273F"/>
    <w:rsid w:val="006151E1"/>
    <w:rsid w:val="006262E9"/>
    <w:rsid w:val="006279DB"/>
    <w:rsid w:val="0063384A"/>
    <w:rsid w:val="0064682C"/>
    <w:rsid w:val="0065087E"/>
    <w:rsid w:val="00655B2C"/>
    <w:rsid w:val="00660D7E"/>
    <w:rsid w:val="006637D2"/>
    <w:rsid w:val="00672C7F"/>
    <w:rsid w:val="00673595"/>
    <w:rsid w:val="00673EB1"/>
    <w:rsid w:val="00674BC4"/>
    <w:rsid w:val="0068251F"/>
    <w:rsid w:val="00686DA7"/>
    <w:rsid w:val="006872E1"/>
    <w:rsid w:val="00692738"/>
    <w:rsid w:val="006A4018"/>
    <w:rsid w:val="006A5955"/>
    <w:rsid w:val="006A7272"/>
    <w:rsid w:val="006B2FB8"/>
    <w:rsid w:val="006B7375"/>
    <w:rsid w:val="006D1BE0"/>
    <w:rsid w:val="006D4B0E"/>
    <w:rsid w:val="006E377C"/>
    <w:rsid w:val="006F3199"/>
    <w:rsid w:val="006F38BE"/>
    <w:rsid w:val="00703D5A"/>
    <w:rsid w:val="00704EC6"/>
    <w:rsid w:val="0071428D"/>
    <w:rsid w:val="00714351"/>
    <w:rsid w:val="00724FBD"/>
    <w:rsid w:val="007339AF"/>
    <w:rsid w:val="0074620B"/>
    <w:rsid w:val="0075361E"/>
    <w:rsid w:val="00770877"/>
    <w:rsid w:val="00776740"/>
    <w:rsid w:val="00784940"/>
    <w:rsid w:val="00794A6C"/>
    <w:rsid w:val="007B3CA9"/>
    <w:rsid w:val="007B6532"/>
    <w:rsid w:val="007C1767"/>
    <w:rsid w:val="007C1B69"/>
    <w:rsid w:val="007E71C3"/>
    <w:rsid w:val="007F2B7D"/>
    <w:rsid w:val="007F620E"/>
    <w:rsid w:val="00802101"/>
    <w:rsid w:val="00802701"/>
    <w:rsid w:val="0080363D"/>
    <w:rsid w:val="008071C4"/>
    <w:rsid w:val="00815F1F"/>
    <w:rsid w:val="0083350A"/>
    <w:rsid w:val="00846917"/>
    <w:rsid w:val="008506C0"/>
    <w:rsid w:val="00854997"/>
    <w:rsid w:val="00871762"/>
    <w:rsid w:val="008769E7"/>
    <w:rsid w:val="00876E21"/>
    <w:rsid w:val="008844B6"/>
    <w:rsid w:val="00885956"/>
    <w:rsid w:val="008867DD"/>
    <w:rsid w:val="00887175"/>
    <w:rsid w:val="0089225D"/>
    <w:rsid w:val="00894EAB"/>
    <w:rsid w:val="008953FD"/>
    <w:rsid w:val="008B005A"/>
    <w:rsid w:val="008B5E55"/>
    <w:rsid w:val="008B67E2"/>
    <w:rsid w:val="008C086A"/>
    <w:rsid w:val="008C2208"/>
    <w:rsid w:val="008E26F7"/>
    <w:rsid w:val="008E3450"/>
    <w:rsid w:val="008F1AAF"/>
    <w:rsid w:val="00900D52"/>
    <w:rsid w:val="00915118"/>
    <w:rsid w:val="0091689E"/>
    <w:rsid w:val="00924B31"/>
    <w:rsid w:val="00925FAB"/>
    <w:rsid w:val="0096036A"/>
    <w:rsid w:val="00963EEF"/>
    <w:rsid w:val="00965ECA"/>
    <w:rsid w:val="0097323F"/>
    <w:rsid w:val="00975FA5"/>
    <w:rsid w:val="0099203B"/>
    <w:rsid w:val="00994A98"/>
    <w:rsid w:val="009A0E60"/>
    <w:rsid w:val="009B1A31"/>
    <w:rsid w:val="009F0E57"/>
    <w:rsid w:val="009F2A3B"/>
    <w:rsid w:val="009F4922"/>
    <w:rsid w:val="00A06C61"/>
    <w:rsid w:val="00A0797D"/>
    <w:rsid w:val="00A07A96"/>
    <w:rsid w:val="00A12EE1"/>
    <w:rsid w:val="00A23CA8"/>
    <w:rsid w:val="00A26CBB"/>
    <w:rsid w:val="00A27667"/>
    <w:rsid w:val="00A319DE"/>
    <w:rsid w:val="00A32DCA"/>
    <w:rsid w:val="00A35242"/>
    <w:rsid w:val="00A3688D"/>
    <w:rsid w:val="00A45747"/>
    <w:rsid w:val="00A53789"/>
    <w:rsid w:val="00A53D98"/>
    <w:rsid w:val="00A63BDF"/>
    <w:rsid w:val="00A63E60"/>
    <w:rsid w:val="00A65A2C"/>
    <w:rsid w:val="00A670CF"/>
    <w:rsid w:val="00A67E89"/>
    <w:rsid w:val="00A72BFD"/>
    <w:rsid w:val="00A73146"/>
    <w:rsid w:val="00A75D2D"/>
    <w:rsid w:val="00A851ED"/>
    <w:rsid w:val="00A861CD"/>
    <w:rsid w:val="00A86988"/>
    <w:rsid w:val="00A910F1"/>
    <w:rsid w:val="00A92D0B"/>
    <w:rsid w:val="00AA1740"/>
    <w:rsid w:val="00AA5C5E"/>
    <w:rsid w:val="00AB2F7F"/>
    <w:rsid w:val="00AC4BBF"/>
    <w:rsid w:val="00AC5A4B"/>
    <w:rsid w:val="00AC72EF"/>
    <w:rsid w:val="00AD02C4"/>
    <w:rsid w:val="00AD742A"/>
    <w:rsid w:val="00AE429F"/>
    <w:rsid w:val="00B00BCD"/>
    <w:rsid w:val="00B07000"/>
    <w:rsid w:val="00B1593B"/>
    <w:rsid w:val="00B2102F"/>
    <w:rsid w:val="00B216EB"/>
    <w:rsid w:val="00B26832"/>
    <w:rsid w:val="00B312DA"/>
    <w:rsid w:val="00B31565"/>
    <w:rsid w:val="00B51C2B"/>
    <w:rsid w:val="00B54991"/>
    <w:rsid w:val="00B55CCD"/>
    <w:rsid w:val="00B62AC0"/>
    <w:rsid w:val="00B66CF5"/>
    <w:rsid w:val="00B734DC"/>
    <w:rsid w:val="00B82939"/>
    <w:rsid w:val="00BA04DB"/>
    <w:rsid w:val="00BA548C"/>
    <w:rsid w:val="00BB00E2"/>
    <w:rsid w:val="00BB49BB"/>
    <w:rsid w:val="00BE45D0"/>
    <w:rsid w:val="00BF2F45"/>
    <w:rsid w:val="00C01C4B"/>
    <w:rsid w:val="00C0471D"/>
    <w:rsid w:val="00C16981"/>
    <w:rsid w:val="00C21C75"/>
    <w:rsid w:val="00C2216A"/>
    <w:rsid w:val="00C30EED"/>
    <w:rsid w:val="00C372E0"/>
    <w:rsid w:val="00C42F9B"/>
    <w:rsid w:val="00C5254F"/>
    <w:rsid w:val="00C73E8E"/>
    <w:rsid w:val="00C742D7"/>
    <w:rsid w:val="00C765A2"/>
    <w:rsid w:val="00C80771"/>
    <w:rsid w:val="00C83306"/>
    <w:rsid w:val="00C90211"/>
    <w:rsid w:val="00CA0649"/>
    <w:rsid w:val="00CB0301"/>
    <w:rsid w:val="00CB3E28"/>
    <w:rsid w:val="00CB54CD"/>
    <w:rsid w:val="00CC26D7"/>
    <w:rsid w:val="00CC4B40"/>
    <w:rsid w:val="00CD0893"/>
    <w:rsid w:val="00CD6886"/>
    <w:rsid w:val="00CD7D17"/>
    <w:rsid w:val="00CF1129"/>
    <w:rsid w:val="00CF51E9"/>
    <w:rsid w:val="00D075B1"/>
    <w:rsid w:val="00D10372"/>
    <w:rsid w:val="00D168DD"/>
    <w:rsid w:val="00D260D6"/>
    <w:rsid w:val="00D27D5F"/>
    <w:rsid w:val="00D30C4F"/>
    <w:rsid w:val="00D36884"/>
    <w:rsid w:val="00D36927"/>
    <w:rsid w:val="00D40966"/>
    <w:rsid w:val="00D409E4"/>
    <w:rsid w:val="00D45BD2"/>
    <w:rsid w:val="00D5231D"/>
    <w:rsid w:val="00D5470D"/>
    <w:rsid w:val="00D56BCA"/>
    <w:rsid w:val="00D61006"/>
    <w:rsid w:val="00D70E8E"/>
    <w:rsid w:val="00D74F4E"/>
    <w:rsid w:val="00D81201"/>
    <w:rsid w:val="00D84168"/>
    <w:rsid w:val="00D84F94"/>
    <w:rsid w:val="00D864E5"/>
    <w:rsid w:val="00D8769E"/>
    <w:rsid w:val="00D93625"/>
    <w:rsid w:val="00DA3AEE"/>
    <w:rsid w:val="00DA4918"/>
    <w:rsid w:val="00DA7A2E"/>
    <w:rsid w:val="00DB4DB8"/>
    <w:rsid w:val="00DC1910"/>
    <w:rsid w:val="00DD4411"/>
    <w:rsid w:val="00DD52BB"/>
    <w:rsid w:val="00DE316B"/>
    <w:rsid w:val="00DE3A5D"/>
    <w:rsid w:val="00DE463B"/>
    <w:rsid w:val="00DE6FFB"/>
    <w:rsid w:val="00E00990"/>
    <w:rsid w:val="00E00FCE"/>
    <w:rsid w:val="00E1205A"/>
    <w:rsid w:val="00E15DC3"/>
    <w:rsid w:val="00E21EA5"/>
    <w:rsid w:val="00E24048"/>
    <w:rsid w:val="00E24283"/>
    <w:rsid w:val="00E253C0"/>
    <w:rsid w:val="00E330C0"/>
    <w:rsid w:val="00E338E8"/>
    <w:rsid w:val="00E36111"/>
    <w:rsid w:val="00E3786F"/>
    <w:rsid w:val="00E40140"/>
    <w:rsid w:val="00E46F4F"/>
    <w:rsid w:val="00E5245C"/>
    <w:rsid w:val="00E52992"/>
    <w:rsid w:val="00E568B8"/>
    <w:rsid w:val="00E60942"/>
    <w:rsid w:val="00E75E09"/>
    <w:rsid w:val="00E76A9B"/>
    <w:rsid w:val="00E803A1"/>
    <w:rsid w:val="00E82686"/>
    <w:rsid w:val="00E9366A"/>
    <w:rsid w:val="00E9376D"/>
    <w:rsid w:val="00E959A0"/>
    <w:rsid w:val="00E97B1A"/>
    <w:rsid w:val="00EB3D42"/>
    <w:rsid w:val="00EB7200"/>
    <w:rsid w:val="00EC6A2A"/>
    <w:rsid w:val="00ED6B6B"/>
    <w:rsid w:val="00EE1ADE"/>
    <w:rsid w:val="00EE2D77"/>
    <w:rsid w:val="00F04904"/>
    <w:rsid w:val="00F07BD5"/>
    <w:rsid w:val="00F16697"/>
    <w:rsid w:val="00F20061"/>
    <w:rsid w:val="00F26371"/>
    <w:rsid w:val="00F30DA8"/>
    <w:rsid w:val="00F34C1F"/>
    <w:rsid w:val="00F3772B"/>
    <w:rsid w:val="00F43182"/>
    <w:rsid w:val="00F47E87"/>
    <w:rsid w:val="00F545FD"/>
    <w:rsid w:val="00F63C29"/>
    <w:rsid w:val="00F70E0F"/>
    <w:rsid w:val="00F73DEB"/>
    <w:rsid w:val="00F73FA3"/>
    <w:rsid w:val="00F75BB0"/>
    <w:rsid w:val="00F81778"/>
    <w:rsid w:val="00F9118B"/>
    <w:rsid w:val="00FA4732"/>
    <w:rsid w:val="00FC28D8"/>
    <w:rsid w:val="00FC3AF0"/>
    <w:rsid w:val="00FC72B7"/>
    <w:rsid w:val="00FD1C37"/>
    <w:rsid w:val="00FD73CF"/>
    <w:rsid w:val="00FE59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4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885956"/>
    <w:rPr>
      <w:sz w:val="20"/>
      <w:szCs w:val="20"/>
    </w:rPr>
  </w:style>
  <w:style w:type="character" w:customStyle="1" w:styleId="FootnoteTextChar">
    <w:name w:val="Footnote Text Char"/>
    <w:basedOn w:val="DefaultParagraphFont"/>
    <w:link w:val="FootnoteText"/>
    <w:uiPriority w:val="99"/>
    <w:rsid w:val="00885956"/>
  </w:style>
  <w:style w:type="character" w:styleId="FootnoteReference">
    <w:name w:val="footnote reference"/>
    <w:uiPriority w:val="99"/>
    <w:rsid w:val="00885956"/>
    <w:rPr>
      <w:vertAlign w:val="superscript"/>
    </w:rPr>
  </w:style>
  <w:style w:type="paragraph" w:styleId="ListParagraph">
    <w:name w:val="List Paragraph"/>
    <w:basedOn w:val="Normal"/>
    <w:uiPriority w:val="34"/>
    <w:qFormat/>
    <w:rsid w:val="00885956"/>
    <w:pPr>
      <w:ind w:left="720"/>
    </w:pPr>
    <w:rPr>
      <w:rFonts w:ascii="Calibri" w:eastAsia="Calibri" w:hAnsi="Calibri"/>
      <w:sz w:val="22"/>
      <w:szCs w:val="22"/>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paragraph" w:customStyle="1" w:styleId="standard">
    <w:name w:val="standard"/>
    <w:basedOn w:val="Normal"/>
    <w:link w:val="standardChar"/>
    <w:rsid w:val="008506C0"/>
    <w:pPr>
      <w:spacing w:line="360" w:lineRule="auto"/>
      <w:ind w:firstLine="720"/>
    </w:pPr>
    <w:rPr>
      <w:rFonts w:ascii="Palatino" w:hAnsi="Palatino"/>
      <w:sz w:val="26"/>
      <w:szCs w:val="20"/>
    </w:rPr>
  </w:style>
  <w:style w:type="character" w:customStyle="1" w:styleId="standardChar">
    <w:name w:val="standard Char"/>
    <w:link w:val="standard"/>
    <w:rsid w:val="008506C0"/>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4604">
      <w:bodyDiv w:val="1"/>
      <w:marLeft w:val="0"/>
      <w:marRight w:val="0"/>
      <w:marTop w:val="0"/>
      <w:marBottom w:val="0"/>
      <w:divBdr>
        <w:top w:val="none" w:sz="0" w:space="0" w:color="auto"/>
        <w:left w:val="none" w:sz="0" w:space="0" w:color="auto"/>
        <w:bottom w:val="none" w:sz="0" w:space="0" w:color="auto"/>
        <w:right w:val="none" w:sz="0" w:space="0" w:color="auto"/>
      </w:divBdr>
    </w:div>
    <w:div w:id="428742641">
      <w:bodyDiv w:val="1"/>
      <w:marLeft w:val="0"/>
      <w:marRight w:val="0"/>
      <w:marTop w:val="0"/>
      <w:marBottom w:val="0"/>
      <w:divBdr>
        <w:top w:val="none" w:sz="0" w:space="0" w:color="auto"/>
        <w:left w:val="none" w:sz="0" w:space="0" w:color="auto"/>
        <w:bottom w:val="none" w:sz="0" w:space="0" w:color="auto"/>
        <w:right w:val="none" w:sz="0" w:space="0" w:color="auto"/>
      </w:divBdr>
    </w:div>
    <w:div w:id="572079939">
      <w:bodyDiv w:val="1"/>
      <w:marLeft w:val="0"/>
      <w:marRight w:val="0"/>
      <w:marTop w:val="0"/>
      <w:marBottom w:val="0"/>
      <w:divBdr>
        <w:top w:val="none" w:sz="0" w:space="0" w:color="auto"/>
        <w:left w:val="none" w:sz="0" w:space="0" w:color="auto"/>
        <w:bottom w:val="none" w:sz="0" w:space="0" w:color="auto"/>
        <w:right w:val="none" w:sz="0" w:space="0" w:color="auto"/>
      </w:divBdr>
    </w:div>
    <w:div w:id="904725490">
      <w:bodyDiv w:val="1"/>
      <w:marLeft w:val="0"/>
      <w:marRight w:val="0"/>
      <w:marTop w:val="0"/>
      <w:marBottom w:val="0"/>
      <w:divBdr>
        <w:top w:val="none" w:sz="0" w:space="0" w:color="auto"/>
        <w:left w:val="none" w:sz="0" w:space="0" w:color="auto"/>
        <w:bottom w:val="none" w:sz="0" w:space="0" w:color="auto"/>
        <w:right w:val="none" w:sz="0" w:space="0" w:color="auto"/>
      </w:divBdr>
    </w:div>
    <w:div w:id="1096903645">
      <w:bodyDiv w:val="1"/>
      <w:marLeft w:val="0"/>
      <w:marRight w:val="0"/>
      <w:marTop w:val="0"/>
      <w:marBottom w:val="0"/>
      <w:divBdr>
        <w:top w:val="none" w:sz="0" w:space="0" w:color="auto"/>
        <w:left w:val="none" w:sz="0" w:space="0" w:color="auto"/>
        <w:bottom w:val="none" w:sz="0" w:space="0" w:color="auto"/>
        <w:right w:val="none" w:sz="0" w:space="0" w:color="auto"/>
      </w:divBdr>
    </w:div>
    <w:div w:id="1814986348">
      <w:bodyDiv w:val="1"/>
      <w:marLeft w:val="0"/>
      <w:marRight w:val="0"/>
      <w:marTop w:val="0"/>
      <w:marBottom w:val="0"/>
      <w:divBdr>
        <w:top w:val="none" w:sz="0" w:space="0" w:color="auto"/>
        <w:left w:val="none" w:sz="0" w:space="0" w:color="auto"/>
        <w:bottom w:val="none" w:sz="0" w:space="0" w:color="auto"/>
        <w:right w:val="none" w:sz="0" w:space="0" w:color="auto"/>
      </w:divBdr>
    </w:div>
    <w:div w:id="194650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38CB-C374-4691-87C7-90CC7327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5976</Words>
  <Characters>34067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Icomp Claim Form</vt:lpstr>
    </vt:vector>
  </TitlesOfParts>
  <LinksUpToDate>false</LinksUpToDate>
  <CharactersWithSpaces>39964</CharactersWithSpaces>
  <SharedDoc>false</SharedDoc>
  <HyperlinkBase> </HyperlinkBase>
  <HLinks>
    <vt:vector size="12" baseType="variant">
      <vt:variant>
        <vt:i4>2031738</vt:i4>
      </vt:variant>
      <vt:variant>
        <vt:i4>0</vt:i4>
      </vt:variant>
      <vt:variant>
        <vt:i4>0</vt:i4>
      </vt:variant>
      <vt:variant>
        <vt:i4>5</vt:i4>
      </vt:variant>
      <vt:variant>
        <vt:lpwstr>mailto:Icompcoordinator@cpuc.ca.gov</vt:lpwstr>
      </vt:variant>
      <vt:variant>
        <vt:lpwstr/>
      </vt:variant>
      <vt:variant>
        <vt:i4>5963790</vt:i4>
      </vt:variant>
      <vt:variant>
        <vt:i4>0</vt:i4>
      </vt:variant>
      <vt:variant>
        <vt:i4>0</vt:i4>
      </vt:variant>
      <vt:variant>
        <vt:i4>5</vt:i4>
      </vt:variant>
      <vt:variant>
        <vt:lpwstr>http://members.calbar.ca.gov/fal/MemberSearch/QuickSearch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Icomp Claim Form</dc:title>
  <dc:subject>Icomp Claim Form.</dc:subject>
  <dc:creator/>
  <cp:lastModifiedBy/>
  <cp:revision>1</cp:revision>
  <cp:lastPrinted>2013-07-15T17:59:00Z</cp:lastPrinted>
  <dcterms:created xsi:type="dcterms:W3CDTF">2018-07-05T18:01:00Z</dcterms:created>
  <dcterms:modified xsi:type="dcterms:W3CDTF">2018-07-17T21:56:00Z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://www.cpuc.ca.gov/DownloadAsset.aspx?id=2655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Icomp Claim Form.</vt:lpwstr>
  </property>
  <property fmtid="{D5CDD505-2E9C-101B-9397-08002B2CF9AE}" pid="8" name="EktExpiryDate">
    <vt:filetime>2016-02-02T19:55:00Z</vt:filetime>
  </property>
  <property fmtid="{D5CDD505-2E9C-101B-9397-08002B2CF9AE}" pid="9" name="EktExpiryType">
    <vt:i4>3</vt:i4>
  </property>
  <property fmtid="{D5CDD505-2E9C-101B-9397-08002B2CF9AE}" pid="10" name="EktDateCreated">
    <vt:filetime>2015-10-12T16:17:45Z</vt:filetime>
  </property>
  <property fmtid="{D5CDD505-2E9C-101B-9397-08002B2CF9AE}" pid="11" name="EktDateModified">
    <vt:filetime>2015-11-04T19:54:18Z</vt:filetime>
  </property>
  <property fmtid="{D5CDD505-2E9C-101B-9397-08002B2CF9AE}" pid="12" name="EktTaxCategory">
    <vt:lpwstr> #eksep# \Business Units\Administrative Law Judges #eksep# </vt:lpwstr>
  </property>
  <property fmtid="{D5CDD505-2E9C-101B-9397-08002B2CF9AE}" pid="13" name="EktDisabledTaxCategory">
    <vt:lpwstr/>
  </property>
  <property fmtid="{D5CDD505-2E9C-101B-9397-08002B2CF9AE}" pid="14" name="EktCmsSize">
    <vt:i4>139776</vt:i4>
  </property>
  <property fmtid="{D5CDD505-2E9C-101B-9397-08002B2CF9AE}" pid="15" name="EktSearchable">
    <vt:i4>1</vt:i4>
  </property>
  <property fmtid="{D5CDD505-2E9C-101B-9397-08002B2CF9AE}" pid="16" name="EktEDescription">
    <vt:lpwstr>Summary Icomp Claim Form.</vt:lpwstr>
  </property>
  <property fmtid="{D5CDD505-2E9C-101B-9397-08002B2CF9AE}" pid="17" name="ekttaxonomyenabled">
    <vt:i4>1</vt:i4>
  </property>
  <property fmtid="{D5CDD505-2E9C-101B-9397-08002B2CF9AE}" pid="18" name="MAIL_MSG_ID1">
    <vt:lpwstr>oFAAspTNh41gn7DPcgvYdFDfjsl1za8KxhrTF3lsCoOyvTtroDDmqdrfHeiKYCX2XHCcpNwbce/uC7DA
RwY/JNZ9QlyAzUFskf5SJ3zQ5YSWi9KWGqV6AAiiYKeGg9zLkceaDXoHdL8B6kvARwY/JNZ9QlyA
zUFskf5SJ3zQ5YSWi9KWGqV6AAiiYCLcZDW5pCA6mo1hzZhZb+oP6nqV8ESJvIawa/M3R+QyXfiW
TfK7iEbyz7E7B8W3v</vt:lpwstr>
  </property>
  <property fmtid="{D5CDD505-2E9C-101B-9397-08002B2CF9AE}" pid="19" name="MAIL_MSG_ID2">
    <vt:lpwstr>fTvQ3Yo6S5mzBBANt+L8ERJd7e3tNd7YhZ8my6G25qMMN24h/pHd9nT07e0
4kBK9P+SfzCqVgiPO/XIAtHjczgDf7uuaEe8k906pHx/1TR3</vt:lpwstr>
  </property>
  <property fmtid="{D5CDD505-2E9C-101B-9397-08002B2CF9AE}" pid="20" name="RESPONSE_SENDER_NAME">
    <vt:lpwstr>sAAAE9kkUq3pEoIRX2rO1gDtlOJXyaGEsIGLaXTDqurxbcE=</vt:lpwstr>
  </property>
  <property fmtid="{D5CDD505-2E9C-101B-9397-08002B2CF9AE}" pid="21" name="EMAIL_OWNER_ADDRESS">
    <vt:lpwstr>4AAA9DNYQidmug6ZyMifLcTdT+J4q/4Y+1kq4P8yaLq9F6/For0IxUB0Lw==</vt:lpwstr>
  </property>
</Properties>
</file>