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1F" w:rsidRDefault="00D6611F">
      <w:pPr>
        <w:spacing w:before="10" w:line="260" w:lineRule="exact"/>
        <w:rPr>
          <w:sz w:val="26"/>
          <w:szCs w:val="26"/>
        </w:rPr>
      </w:pPr>
    </w:p>
    <w:p w:rsidR="00D6611F" w:rsidRDefault="00490173">
      <w:pPr>
        <w:spacing w:line="300" w:lineRule="exact"/>
        <w:ind w:left="823" w:right="848"/>
        <w:jc w:val="center"/>
        <w:rPr>
          <w:rFonts w:ascii="Palatino Linotype" w:eastAsia="Palatino Linotype" w:hAnsi="Palatino Linotype" w:cs="Palatino Linotype"/>
          <w:sz w:val="24"/>
          <w:szCs w:val="24"/>
        </w:rPr>
      </w:pPr>
      <w:r>
        <w:rPr>
          <w:rFonts w:ascii="Palatino Linotype" w:eastAsia="Palatino Linotype" w:hAnsi="Palatino Linotype" w:cs="Palatino Linotype"/>
          <w:b/>
          <w:position w:val="1"/>
          <w:sz w:val="24"/>
          <w:szCs w:val="24"/>
        </w:rPr>
        <w:t>PUB</w:t>
      </w:r>
      <w:r>
        <w:rPr>
          <w:rFonts w:ascii="Palatino Linotype" w:eastAsia="Palatino Linotype" w:hAnsi="Palatino Linotype" w:cs="Palatino Linotype"/>
          <w:b/>
          <w:spacing w:val="1"/>
          <w:position w:val="1"/>
          <w:sz w:val="24"/>
          <w:szCs w:val="24"/>
        </w:rPr>
        <w:t>L</w:t>
      </w:r>
      <w:r>
        <w:rPr>
          <w:rFonts w:ascii="Palatino Linotype" w:eastAsia="Palatino Linotype" w:hAnsi="Palatino Linotype" w:cs="Palatino Linotype"/>
          <w:b/>
          <w:position w:val="1"/>
          <w:sz w:val="24"/>
          <w:szCs w:val="24"/>
        </w:rPr>
        <w:t>IC U</w:t>
      </w:r>
      <w:r>
        <w:rPr>
          <w:rFonts w:ascii="Palatino Linotype" w:eastAsia="Palatino Linotype" w:hAnsi="Palatino Linotype" w:cs="Palatino Linotype"/>
          <w:b/>
          <w:spacing w:val="1"/>
          <w:position w:val="1"/>
          <w:sz w:val="24"/>
          <w:szCs w:val="24"/>
        </w:rPr>
        <w:t>T</w:t>
      </w:r>
      <w:r>
        <w:rPr>
          <w:rFonts w:ascii="Palatino Linotype" w:eastAsia="Palatino Linotype" w:hAnsi="Palatino Linotype" w:cs="Palatino Linotype"/>
          <w:b/>
          <w:position w:val="1"/>
          <w:sz w:val="24"/>
          <w:szCs w:val="24"/>
        </w:rPr>
        <w:t>I</w:t>
      </w:r>
      <w:r>
        <w:rPr>
          <w:rFonts w:ascii="Palatino Linotype" w:eastAsia="Palatino Linotype" w:hAnsi="Palatino Linotype" w:cs="Palatino Linotype"/>
          <w:b/>
          <w:spacing w:val="1"/>
          <w:position w:val="1"/>
          <w:sz w:val="24"/>
          <w:szCs w:val="24"/>
        </w:rPr>
        <w:t>L</w:t>
      </w:r>
      <w:r>
        <w:rPr>
          <w:rFonts w:ascii="Palatino Linotype" w:eastAsia="Palatino Linotype" w:hAnsi="Palatino Linotype" w:cs="Palatino Linotype"/>
          <w:b/>
          <w:spacing w:val="-2"/>
          <w:position w:val="1"/>
          <w:sz w:val="24"/>
          <w:szCs w:val="24"/>
        </w:rPr>
        <w:t>I</w:t>
      </w:r>
      <w:r>
        <w:rPr>
          <w:rFonts w:ascii="Palatino Linotype" w:eastAsia="Palatino Linotype" w:hAnsi="Palatino Linotype" w:cs="Palatino Linotype"/>
          <w:b/>
          <w:position w:val="1"/>
          <w:sz w:val="24"/>
          <w:szCs w:val="24"/>
        </w:rPr>
        <w:t>TI</w:t>
      </w:r>
      <w:r>
        <w:rPr>
          <w:rFonts w:ascii="Palatino Linotype" w:eastAsia="Palatino Linotype" w:hAnsi="Palatino Linotype" w:cs="Palatino Linotype"/>
          <w:b/>
          <w:spacing w:val="1"/>
          <w:position w:val="1"/>
          <w:sz w:val="24"/>
          <w:szCs w:val="24"/>
        </w:rPr>
        <w:t>E</w:t>
      </w:r>
      <w:r>
        <w:rPr>
          <w:rFonts w:ascii="Palatino Linotype" w:eastAsia="Palatino Linotype" w:hAnsi="Palatino Linotype" w:cs="Palatino Linotype"/>
          <w:b/>
          <w:position w:val="1"/>
          <w:sz w:val="24"/>
          <w:szCs w:val="24"/>
        </w:rPr>
        <w:t xml:space="preserve">S </w:t>
      </w:r>
      <w:r>
        <w:rPr>
          <w:rFonts w:ascii="Palatino Linotype" w:eastAsia="Palatino Linotype" w:hAnsi="Palatino Linotype" w:cs="Palatino Linotype"/>
          <w:b/>
          <w:spacing w:val="-3"/>
          <w:position w:val="1"/>
          <w:sz w:val="24"/>
          <w:szCs w:val="24"/>
        </w:rPr>
        <w:t>C</w:t>
      </w:r>
      <w:r>
        <w:rPr>
          <w:rFonts w:ascii="Palatino Linotype" w:eastAsia="Palatino Linotype" w:hAnsi="Palatino Linotype" w:cs="Palatino Linotype"/>
          <w:b/>
          <w:spacing w:val="-1"/>
          <w:position w:val="1"/>
          <w:sz w:val="24"/>
          <w:szCs w:val="24"/>
        </w:rPr>
        <w:t>O</w:t>
      </w:r>
      <w:r>
        <w:rPr>
          <w:rFonts w:ascii="Palatino Linotype" w:eastAsia="Palatino Linotype" w:hAnsi="Palatino Linotype" w:cs="Palatino Linotype"/>
          <w:b/>
          <w:position w:val="1"/>
          <w:sz w:val="24"/>
          <w:szCs w:val="24"/>
        </w:rPr>
        <w:t>MMISSI</w:t>
      </w:r>
      <w:r>
        <w:rPr>
          <w:rFonts w:ascii="Palatino Linotype" w:eastAsia="Palatino Linotype" w:hAnsi="Palatino Linotype" w:cs="Palatino Linotype"/>
          <w:b/>
          <w:spacing w:val="-1"/>
          <w:position w:val="1"/>
          <w:sz w:val="24"/>
          <w:szCs w:val="24"/>
        </w:rPr>
        <w:t>O</w:t>
      </w:r>
      <w:r>
        <w:rPr>
          <w:rFonts w:ascii="Palatino Linotype" w:eastAsia="Palatino Linotype" w:hAnsi="Palatino Linotype" w:cs="Palatino Linotype"/>
          <w:b/>
          <w:position w:val="1"/>
          <w:sz w:val="24"/>
          <w:szCs w:val="24"/>
        </w:rPr>
        <w:t>N</w:t>
      </w:r>
      <w:r>
        <w:rPr>
          <w:rFonts w:ascii="Palatino Linotype" w:eastAsia="Palatino Linotype" w:hAnsi="Palatino Linotype" w:cs="Palatino Linotype"/>
          <w:b/>
          <w:spacing w:val="-1"/>
          <w:position w:val="1"/>
          <w:sz w:val="24"/>
          <w:szCs w:val="24"/>
        </w:rPr>
        <w:t xml:space="preserve"> </w:t>
      </w:r>
      <w:r>
        <w:rPr>
          <w:rFonts w:ascii="Palatino Linotype" w:eastAsia="Palatino Linotype" w:hAnsi="Palatino Linotype" w:cs="Palatino Linotype"/>
          <w:b/>
          <w:position w:val="1"/>
          <w:sz w:val="24"/>
          <w:szCs w:val="24"/>
        </w:rPr>
        <w:t>OF T</w:t>
      </w:r>
      <w:r>
        <w:rPr>
          <w:rFonts w:ascii="Palatino Linotype" w:eastAsia="Palatino Linotype" w:hAnsi="Palatino Linotype" w:cs="Palatino Linotype"/>
          <w:b/>
          <w:spacing w:val="2"/>
          <w:position w:val="1"/>
          <w:sz w:val="24"/>
          <w:szCs w:val="24"/>
        </w:rPr>
        <w:t>H</w:t>
      </w:r>
      <w:r>
        <w:rPr>
          <w:rFonts w:ascii="Palatino Linotype" w:eastAsia="Palatino Linotype" w:hAnsi="Palatino Linotype" w:cs="Palatino Linotype"/>
          <w:b/>
          <w:position w:val="1"/>
          <w:sz w:val="24"/>
          <w:szCs w:val="24"/>
        </w:rPr>
        <w:t>E</w:t>
      </w:r>
      <w:r>
        <w:rPr>
          <w:rFonts w:ascii="Palatino Linotype" w:eastAsia="Palatino Linotype" w:hAnsi="Palatino Linotype" w:cs="Palatino Linotype"/>
          <w:b/>
          <w:spacing w:val="1"/>
          <w:position w:val="1"/>
          <w:sz w:val="24"/>
          <w:szCs w:val="24"/>
        </w:rPr>
        <w:t xml:space="preserve"> </w:t>
      </w:r>
      <w:r>
        <w:rPr>
          <w:rFonts w:ascii="Palatino Linotype" w:eastAsia="Palatino Linotype" w:hAnsi="Palatino Linotype" w:cs="Palatino Linotype"/>
          <w:b/>
          <w:position w:val="1"/>
          <w:sz w:val="24"/>
          <w:szCs w:val="24"/>
        </w:rPr>
        <w:t>ST</w:t>
      </w:r>
      <w:r>
        <w:rPr>
          <w:rFonts w:ascii="Palatino Linotype" w:eastAsia="Palatino Linotype" w:hAnsi="Palatino Linotype" w:cs="Palatino Linotype"/>
          <w:b/>
          <w:spacing w:val="1"/>
          <w:position w:val="1"/>
          <w:sz w:val="24"/>
          <w:szCs w:val="24"/>
        </w:rPr>
        <w:t>A</w:t>
      </w:r>
      <w:r>
        <w:rPr>
          <w:rFonts w:ascii="Palatino Linotype" w:eastAsia="Palatino Linotype" w:hAnsi="Palatino Linotype" w:cs="Palatino Linotype"/>
          <w:b/>
          <w:spacing w:val="-2"/>
          <w:position w:val="1"/>
          <w:sz w:val="24"/>
          <w:szCs w:val="24"/>
        </w:rPr>
        <w:t>T</w:t>
      </w:r>
      <w:r>
        <w:rPr>
          <w:rFonts w:ascii="Palatino Linotype" w:eastAsia="Palatino Linotype" w:hAnsi="Palatino Linotype" w:cs="Palatino Linotype"/>
          <w:b/>
          <w:position w:val="1"/>
          <w:sz w:val="24"/>
          <w:szCs w:val="24"/>
        </w:rPr>
        <w:t>E</w:t>
      </w:r>
      <w:r>
        <w:rPr>
          <w:rFonts w:ascii="Palatino Linotype" w:eastAsia="Palatino Linotype" w:hAnsi="Palatino Linotype" w:cs="Palatino Linotype"/>
          <w:b/>
          <w:spacing w:val="1"/>
          <w:position w:val="1"/>
          <w:sz w:val="24"/>
          <w:szCs w:val="24"/>
        </w:rPr>
        <w:t xml:space="preserve"> </w:t>
      </w:r>
      <w:r>
        <w:rPr>
          <w:rFonts w:ascii="Palatino Linotype" w:eastAsia="Palatino Linotype" w:hAnsi="Palatino Linotype" w:cs="Palatino Linotype"/>
          <w:b/>
          <w:position w:val="1"/>
          <w:sz w:val="24"/>
          <w:szCs w:val="24"/>
        </w:rPr>
        <w:t>OF CALIF</w:t>
      </w:r>
      <w:r>
        <w:rPr>
          <w:rFonts w:ascii="Palatino Linotype" w:eastAsia="Palatino Linotype" w:hAnsi="Palatino Linotype" w:cs="Palatino Linotype"/>
          <w:b/>
          <w:spacing w:val="-2"/>
          <w:position w:val="1"/>
          <w:sz w:val="24"/>
          <w:szCs w:val="24"/>
        </w:rPr>
        <w:t>O</w:t>
      </w:r>
      <w:r>
        <w:rPr>
          <w:rFonts w:ascii="Palatino Linotype" w:eastAsia="Palatino Linotype" w:hAnsi="Palatino Linotype" w:cs="Palatino Linotype"/>
          <w:b/>
          <w:spacing w:val="-1"/>
          <w:position w:val="1"/>
          <w:sz w:val="24"/>
          <w:szCs w:val="24"/>
        </w:rPr>
        <w:t>RN</w:t>
      </w:r>
      <w:r>
        <w:rPr>
          <w:rFonts w:ascii="Palatino Linotype" w:eastAsia="Palatino Linotype" w:hAnsi="Palatino Linotype" w:cs="Palatino Linotype"/>
          <w:b/>
          <w:position w:val="1"/>
          <w:sz w:val="24"/>
          <w:szCs w:val="24"/>
        </w:rPr>
        <w:t>IA</w:t>
      </w:r>
    </w:p>
    <w:p w:rsidR="00D6611F" w:rsidRDefault="00D6611F">
      <w:pPr>
        <w:spacing w:before="2" w:line="120" w:lineRule="exact"/>
        <w:rPr>
          <w:sz w:val="12"/>
          <w:szCs w:val="12"/>
        </w:rPr>
      </w:pPr>
    </w:p>
    <w:p w:rsidR="00D6611F" w:rsidRDefault="00D6611F">
      <w:pPr>
        <w:spacing w:line="200" w:lineRule="exact"/>
      </w:pPr>
    </w:p>
    <w:p w:rsidR="00D6611F" w:rsidRDefault="00490173">
      <w:pPr>
        <w:ind w:left="34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Commun</w:t>
      </w:r>
      <w:r>
        <w:rPr>
          <w:rFonts w:ascii="Palatino Linotype" w:eastAsia="Palatino Linotype" w:hAnsi="Palatino Linotype" w:cs="Palatino Linotype"/>
          <w:b/>
          <w:spacing w:val="-1"/>
          <w:sz w:val="24"/>
          <w:szCs w:val="24"/>
        </w:rPr>
        <w:t>ic</w:t>
      </w:r>
      <w:r>
        <w:rPr>
          <w:rFonts w:ascii="Palatino Linotype" w:eastAsia="Palatino Linotype" w:hAnsi="Palatino Linotype" w:cs="Palatino Linotype"/>
          <w:b/>
          <w:sz w:val="24"/>
          <w:szCs w:val="24"/>
        </w:rPr>
        <w:t>a</w:t>
      </w:r>
      <w:r>
        <w:rPr>
          <w:rFonts w:ascii="Palatino Linotype" w:eastAsia="Palatino Linotype" w:hAnsi="Palatino Linotype" w:cs="Palatino Linotype"/>
          <w:b/>
          <w:spacing w:val="-1"/>
          <w:sz w:val="24"/>
          <w:szCs w:val="24"/>
        </w:rPr>
        <w:t>t</w:t>
      </w:r>
      <w:r>
        <w:rPr>
          <w:rFonts w:ascii="Palatino Linotype" w:eastAsia="Palatino Linotype" w:hAnsi="Palatino Linotype" w:cs="Palatino Linotype"/>
          <w:b/>
          <w:sz w:val="24"/>
          <w:szCs w:val="24"/>
        </w:rPr>
        <w:t>ions</w:t>
      </w:r>
      <w:r>
        <w:rPr>
          <w:rFonts w:ascii="Palatino Linotype" w:eastAsia="Palatino Linotype" w:hAnsi="Palatino Linotype" w:cs="Palatino Linotype"/>
          <w:b/>
          <w:spacing w:val="-1"/>
          <w:sz w:val="24"/>
          <w:szCs w:val="24"/>
        </w:rPr>
        <w:t xml:space="preserve"> </w:t>
      </w:r>
      <w:r>
        <w:rPr>
          <w:rFonts w:ascii="Palatino Linotype" w:eastAsia="Palatino Linotype" w:hAnsi="Palatino Linotype" w:cs="Palatino Linotype"/>
          <w:b/>
          <w:spacing w:val="2"/>
          <w:sz w:val="24"/>
          <w:szCs w:val="24"/>
        </w:rPr>
        <w:t>D</w:t>
      </w:r>
      <w:r>
        <w:rPr>
          <w:rFonts w:ascii="Palatino Linotype" w:eastAsia="Palatino Linotype" w:hAnsi="Palatino Linotype" w:cs="Palatino Linotype"/>
          <w:b/>
          <w:sz w:val="24"/>
          <w:szCs w:val="24"/>
        </w:rPr>
        <w:t>ivi</w:t>
      </w:r>
      <w:r>
        <w:rPr>
          <w:rFonts w:ascii="Palatino Linotype" w:eastAsia="Palatino Linotype" w:hAnsi="Palatino Linotype" w:cs="Palatino Linotype"/>
          <w:b/>
          <w:spacing w:val="-1"/>
          <w:sz w:val="24"/>
          <w:szCs w:val="24"/>
        </w:rPr>
        <w:t>s</w:t>
      </w:r>
      <w:r>
        <w:rPr>
          <w:rFonts w:ascii="Palatino Linotype" w:eastAsia="Palatino Linotype" w:hAnsi="Palatino Linotype" w:cs="Palatino Linotype"/>
          <w:b/>
          <w:sz w:val="24"/>
          <w:szCs w:val="24"/>
        </w:rPr>
        <w:t xml:space="preserve">ion                                                            </w:t>
      </w:r>
      <w:r>
        <w:rPr>
          <w:rFonts w:ascii="Palatino Linotype" w:eastAsia="Palatino Linotype" w:hAnsi="Palatino Linotype" w:cs="Palatino Linotype"/>
          <w:b/>
          <w:spacing w:val="-1"/>
          <w:sz w:val="24"/>
          <w:szCs w:val="24"/>
        </w:rPr>
        <w:t>R</w:t>
      </w:r>
      <w:r>
        <w:rPr>
          <w:rFonts w:ascii="Palatino Linotype" w:eastAsia="Palatino Linotype" w:hAnsi="Palatino Linotype" w:cs="Palatino Linotype"/>
          <w:b/>
          <w:spacing w:val="1"/>
          <w:sz w:val="24"/>
          <w:szCs w:val="24"/>
        </w:rPr>
        <w:t>E</w:t>
      </w:r>
      <w:r>
        <w:rPr>
          <w:rFonts w:ascii="Palatino Linotype" w:eastAsia="Palatino Linotype" w:hAnsi="Palatino Linotype" w:cs="Palatino Linotype"/>
          <w:b/>
          <w:sz w:val="24"/>
          <w:szCs w:val="24"/>
        </w:rPr>
        <w:t>S</w:t>
      </w:r>
      <w:r>
        <w:rPr>
          <w:rFonts w:ascii="Palatino Linotype" w:eastAsia="Palatino Linotype" w:hAnsi="Palatino Linotype" w:cs="Palatino Linotype"/>
          <w:b/>
          <w:spacing w:val="-1"/>
          <w:sz w:val="24"/>
          <w:szCs w:val="24"/>
        </w:rPr>
        <w:t>O</w:t>
      </w:r>
      <w:r>
        <w:rPr>
          <w:rFonts w:ascii="Palatino Linotype" w:eastAsia="Palatino Linotype" w:hAnsi="Palatino Linotype" w:cs="Palatino Linotype"/>
          <w:b/>
          <w:spacing w:val="1"/>
          <w:sz w:val="24"/>
          <w:szCs w:val="24"/>
        </w:rPr>
        <w:t>L</w:t>
      </w:r>
      <w:r>
        <w:rPr>
          <w:rFonts w:ascii="Palatino Linotype" w:eastAsia="Palatino Linotype" w:hAnsi="Palatino Linotype" w:cs="Palatino Linotype"/>
          <w:b/>
          <w:sz w:val="24"/>
          <w:szCs w:val="24"/>
        </w:rPr>
        <w:t>U</w:t>
      </w:r>
      <w:r>
        <w:rPr>
          <w:rFonts w:ascii="Palatino Linotype" w:eastAsia="Palatino Linotype" w:hAnsi="Palatino Linotype" w:cs="Palatino Linotype"/>
          <w:b/>
          <w:spacing w:val="1"/>
          <w:sz w:val="24"/>
          <w:szCs w:val="24"/>
        </w:rPr>
        <w:t>T</w:t>
      </w:r>
      <w:r>
        <w:rPr>
          <w:rFonts w:ascii="Palatino Linotype" w:eastAsia="Palatino Linotype" w:hAnsi="Palatino Linotype" w:cs="Palatino Linotype"/>
          <w:b/>
          <w:sz w:val="24"/>
          <w:szCs w:val="24"/>
        </w:rPr>
        <w:t>ION</w:t>
      </w:r>
      <w:r>
        <w:rPr>
          <w:rFonts w:ascii="Palatino Linotype" w:eastAsia="Palatino Linotype" w:hAnsi="Palatino Linotype" w:cs="Palatino Linotype"/>
          <w:b/>
          <w:spacing w:val="-1"/>
          <w:sz w:val="24"/>
          <w:szCs w:val="24"/>
        </w:rPr>
        <w:t xml:space="preserve"> </w:t>
      </w:r>
      <w:r>
        <w:rPr>
          <w:rFonts w:ascii="Palatino Linotype" w:eastAsia="Palatino Linotype" w:hAnsi="Palatino Linotype" w:cs="Palatino Linotype"/>
          <w:b/>
          <w:spacing w:val="2"/>
          <w:sz w:val="24"/>
          <w:szCs w:val="24"/>
        </w:rPr>
        <w:t>T</w:t>
      </w:r>
      <w:r>
        <w:rPr>
          <w:rFonts w:ascii="Palatino Linotype" w:eastAsia="Palatino Linotype" w:hAnsi="Palatino Linotype" w:cs="Palatino Linotype"/>
          <w:b/>
          <w:spacing w:val="-1"/>
          <w:sz w:val="24"/>
          <w:szCs w:val="24"/>
        </w:rPr>
        <w:t>-</w:t>
      </w:r>
      <w:r w:rsidR="00357AF4">
        <w:rPr>
          <w:rFonts w:ascii="Palatino Linotype" w:eastAsia="Palatino Linotype" w:hAnsi="Palatino Linotype" w:cs="Palatino Linotype"/>
          <w:b/>
          <w:spacing w:val="-1"/>
          <w:sz w:val="24"/>
          <w:szCs w:val="24"/>
        </w:rPr>
        <w:t xml:space="preserve"> </w:t>
      </w:r>
      <w:r w:rsidR="00966C1E">
        <w:rPr>
          <w:rFonts w:ascii="Palatino Linotype" w:eastAsia="Palatino Linotype" w:hAnsi="Palatino Linotype" w:cs="Palatino Linotype"/>
          <w:b/>
          <w:spacing w:val="-1"/>
          <w:sz w:val="24"/>
          <w:szCs w:val="24"/>
        </w:rPr>
        <w:t>1761</w:t>
      </w:r>
      <w:r w:rsidR="00A36EDE">
        <w:rPr>
          <w:rFonts w:ascii="Palatino Linotype" w:eastAsia="Palatino Linotype" w:hAnsi="Palatino Linotype" w:cs="Palatino Linotype"/>
          <w:b/>
          <w:spacing w:val="-1"/>
          <w:sz w:val="24"/>
          <w:szCs w:val="24"/>
        </w:rPr>
        <w:t>9</w:t>
      </w:r>
      <w:r w:rsidR="00357AF4">
        <w:rPr>
          <w:rFonts w:ascii="Palatino Linotype" w:eastAsia="Palatino Linotype" w:hAnsi="Palatino Linotype" w:cs="Palatino Linotype"/>
          <w:b/>
          <w:spacing w:val="-1"/>
          <w:sz w:val="24"/>
          <w:szCs w:val="24"/>
        </w:rPr>
        <w:t xml:space="preserve"> </w:t>
      </w:r>
    </w:p>
    <w:p w:rsidR="00D6611F" w:rsidRPr="00695571" w:rsidRDefault="00490173" w:rsidP="00695571">
      <w:pPr>
        <w:tabs>
          <w:tab w:val="left" w:pos="1440"/>
        </w:tabs>
        <w:ind w:left="34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Carr</w:t>
      </w:r>
      <w:r>
        <w:rPr>
          <w:rFonts w:ascii="Palatino Linotype" w:eastAsia="Palatino Linotype" w:hAnsi="Palatino Linotype" w:cs="Palatino Linotype"/>
          <w:b/>
          <w:spacing w:val="-1"/>
          <w:sz w:val="24"/>
          <w:szCs w:val="24"/>
        </w:rPr>
        <w:t>i</w:t>
      </w:r>
      <w:r>
        <w:rPr>
          <w:rFonts w:ascii="Palatino Linotype" w:eastAsia="Palatino Linotype" w:hAnsi="Palatino Linotype" w:cs="Palatino Linotype"/>
          <w:b/>
          <w:sz w:val="24"/>
          <w:szCs w:val="24"/>
        </w:rPr>
        <w:t>er Ove</w:t>
      </w:r>
      <w:r>
        <w:rPr>
          <w:rFonts w:ascii="Palatino Linotype" w:eastAsia="Palatino Linotype" w:hAnsi="Palatino Linotype" w:cs="Palatino Linotype"/>
          <w:b/>
          <w:spacing w:val="1"/>
          <w:sz w:val="24"/>
          <w:szCs w:val="24"/>
        </w:rPr>
        <w:t>r</w:t>
      </w:r>
      <w:r>
        <w:rPr>
          <w:rFonts w:ascii="Palatino Linotype" w:eastAsia="Palatino Linotype" w:hAnsi="Palatino Linotype" w:cs="Palatino Linotype"/>
          <w:b/>
          <w:spacing w:val="-1"/>
          <w:sz w:val="24"/>
          <w:szCs w:val="24"/>
        </w:rPr>
        <w:t>s</w:t>
      </w:r>
      <w:r>
        <w:rPr>
          <w:rFonts w:ascii="Palatino Linotype" w:eastAsia="Palatino Linotype" w:hAnsi="Palatino Linotype" w:cs="Palatino Linotype"/>
          <w:b/>
          <w:sz w:val="24"/>
          <w:szCs w:val="24"/>
        </w:rPr>
        <w:t>ight</w:t>
      </w:r>
      <w:r>
        <w:rPr>
          <w:rFonts w:ascii="Palatino Linotype" w:eastAsia="Palatino Linotype" w:hAnsi="Palatino Linotype" w:cs="Palatino Linotype"/>
          <w:b/>
          <w:spacing w:val="-1"/>
          <w:sz w:val="24"/>
          <w:szCs w:val="24"/>
        </w:rPr>
        <w:t xml:space="preserve"> </w:t>
      </w:r>
      <w:r>
        <w:rPr>
          <w:rFonts w:ascii="Palatino Linotype" w:eastAsia="Palatino Linotype" w:hAnsi="Palatino Linotype" w:cs="Palatino Linotype"/>
          <w:b/>
          <w:spacing w:val="2"/>
          <w:sz w:val="24"/>
          <w:szCs w:val="24"/>
        </w:rPr>
        <w:t>a</w:t>
      </w:r>
      <w:r>
        <w:rPr>
          <w:rFonts w:ascii="Palatino Linotype" w:eastAsia="Palatino Linotype" w:hAnsi="Palatino Linotype" w:cs="Palatino Linotype"/>
          <w:b/>
          <w:sz w:val="24"/>
          <w:szCs w:val="24"/>
        </w:rPr>
        <w:t>nd Pro</w:t>
      </w:r>
      <w:r>
        <w:rPr>
          <w:rFonts w:ascii="Palatino Linotype" w:eastAsia="Palatino Linotype" w:hAnsi="Palatino Linotype" w:cs="Palatino Linotype"/>
          <w:b/>
          <w:spacing w:val="1"/>
          <w:sz w:val="24"/>
          <w:szCs w:val="24"/>
        </w:rPr>
        <w:t>g</w:t>
      </w:r>
      <w:r>
        <w:rPr>
          <w:rFonts w:ascii="Palatino Linotype" w:eastAsia="Palatino Linotype" w:hAnsi="Palatino Linotype" w:cs="Palatino Linotype"/>
          <w:b/>
          <w:sz w:val="24"/>
          <w:szCs w:val="24"/>
        </w:rPr>
        <w:t xml:space="preserve">rams </w:t>
      </w:r>
      <w:r>
        <w:rPr>
          <w:rFonts w:ascii="Palatino Linotype" w:eastAsia="Palatino Linotype" w:hAnsi="Palatino Linotype" w:cs="Palatino Linotype"/>
          <w:b/>
          <w:spacing w:val="-1"/>
          <w:sz w:val="24"/>
          <w:szCs w:val="24"/>
        </w:rPr>
        <w:t>B</w:t>
      </w:r>
      <w:r>
        <w:rPr>
          <w:rFonts w:ascii="Palatino Linotype" w:eastAsia="Palatino Linotype" w:hAnsi="Palatino Linotype" w:cs="Palatino Linotype"/>
          <w:b/>
          <w:sz w:val="24"/>
          <w:szCs w:val="24"/>
        </w:rPr>
        <w:t>ran</w:t>
      </w:r>
      <w:r>
        <w:rPr>
          <w:rFonts w:ascii="Palatino Linotype" w:eastAsia="Palatino Linotype" w:hAnsi="Palatino Linotype" w:cs="Palatino Linotype"/>
          <w:b/>
          <w:spacing w:val="-1"/>
          <w:sz w:val="24"/>
          <w:szCs w:val="24"/>
        </w:rPr>
        <w:t>c</w:t>
      </w:r>
      <w:r>
        <w:rPr>
          <w:rFonts w:ascii="Palatino Linotype" w:eastAsia="Palatino Linotype" w:hAnsi="Palatino Linotype" w:cs="Palatino Linotype"/>
          <w:b/>
          <w:sz w:val="24"/>
          <w:szCs w:val="24"/>
        </w:rPr>
        <w:t xml:space="preserve">h                                    </w:t>
      </w:r>
      <w:r w:rsidR="00984F02">
        <w:rPr>
          <w:rFonts w:ascii="Palatino Linotype" w:eastAsia="Palatino Linotype" w:hAnsi="Palatino Linotype" w:cs="Palatino Linotype"/>
          <w:b/>
          <w:sz w:val="24"/>
          <w:szCs w:val="24"/>
        </w:rPr>
        <w:t>August 9, 2018</w:t>
      </w:r>
    </w:p>
    <w:p w:rsidR="00D6611F" w:rsidRPr="00695571" w:rsidRDefault="00D6611F">
      <w:pPr>
        <w:spacing w:before="5" w:line="180" w:lineRule="exact"/>
        <w:rPr>
          <w:sz w:val="19"/>
          <w:szCs w:val="19"/>
        </w:rPr>
      </w:pPr>
    </w:p>
    <w:p w:rsidR="00D6611F" w:rsidRDefault="00D6611F">
      <w:pPr>
        <w:spacing w:line="200" w:lineRule="exact"/>
      </w:pPr>
    </w:p>
    <w:p w:rsidR="00D6611F" w:rsidRDefault="00D6611F">
      <w:pPr>
        <w:spacing w:line="200" w:lineRule="exact"/>
      </w:pPr>
    </w:p>
    <w:p w:rsidR="00D6611F" w:rsidRPr="00FC3DEC" w:rsidRDefault="00FC3DEC" w:rsidP="00FC3DEC">
      <w:pPr>
        <w:spacing w:line="300" w:lineRule="exact"/>
        <w:ind w:left="2880" w:right="3665"/>
        <w:rPr>
          <w:rFonts w:ascii="Palatino Linotype" w:eastAsia="Palatino Linotype" w:hAnsi="Palatino Linotype" w:cs="Palatino Linotype"/>
          <w:sz w:val="24"/>
          <w:szCs w:val="24"/>
        </w:rPr>
      </w:pPr>
      <w:r w:rsidRPr="00FC3DEC">
        <w:rPr>
          <w:rFonts w:ascii="Palatino Linotype" w:eastAsia="Palatino Linotype" w:hAnsi="Palatino Linotype" w:cs="Palatino Linotype"/>
          <w:b/>
          <w:sz w:val="24"/>
          <w:szCs w:val="24"/>
        </w:rPr>
        <w:t xml:space="preserve">         </w:t>
      </w:r>
      <w:r w:rsidR="00490173" w:rsidRPr="00FC3DEC">
        <w:rPr>
          <w:rFonts w:ascii="Palatino Linotype" w:eastAsia="Palatino Linotype" w:hAnsi="Palatino Linotype" w:cs="Palatino Linotype"/>
          <w:b/>
          <w:sz w:val="24"/>
          <w:szCs w:val="24"/>
        </w:rPr>
        <w:t>R</w:t>
      </w:r>
      <w:r w:rsidR="00490173" w:rsidRPr="00FC3DEC">
        <w:rPr>
          <w:rFonts w:ascii="Palatino Linotype" w:eastAsia="Palatino Linotype" w:hAnsi="Palatino Linotype" w:cs="Palatino Linotype"/>
          <w:b/>
          <w:spacing w:val="-1"/>
          <w:sz w:val="24"/>
          <w:szCs w:val="24"/>
        </w:rPr>
        <w:t xml:space="preserve"> </w:t>
      </w:r>
      <w:r w:rsidR="00490173" w:rsidRPr="00FC3DEC">
        <w:rPr>
          <w:rFonts w:ascii="Palatino Linotype" w:eastAsia="Palatino Linotype" w:hAnsi="Palatino Linotype" w:cs="Palatino Linotype"/>
          <w:b/>
          <w:sz w:val="24"/>
          <w:szCs w:val="24"/>
        </w:rPr>
        <w:t>E</w:t>
      </w:r>
      <w:r w:rsidR="00490173" w:rsidRPr="00FC3DEC">
        <w:rPr>
          <w:rFonts w:ascii="Palatino Linotype" w:eastAsia="Palatino Linotype" w:hAnsi="Palatino Linotype" w:cs="Palatino Linotype"/>
          <w:b/>
          <w:spacing w:val="1"/>
          <w:sz w:val="24"/>
          <w:szCs w:val="24"/>
        </w:rPr>
        <w:t xml:space="preserve"> </w:t>
      </w:r>
      <w:r w:rsidR="00490173" w:rsidRPr="00FC3DEC">
        <w:rPr>
          <w:rFonts w:ascii="Palatino Linotype" w:eastAsia="Palatino Linotype" w:hAnsi="Palatino Linotype" w:cs="Palatino Linotype"/>
          <w:b/>
          <w:sz w:val="24"/>
          <w:szCs w:val="24"/>
        </w:rPr>
        <w:t>S O</w:t>
      </w:r>
      <w:r w:rsidR="00490173" w:rsidRPr="00FC3DEC">
        <w:rPr>
          <w:rFonts w:ascii="Palatino Linotype" w:eastAsia="Palatino Linotype" w:hAnsi="Palatino Linotype" w:cs="Palatino Linotype"/>
          <w:b/>
          <w:spacing w:val="-1"/>
          <w:sz w:val="24"/>
          <w:szCs w:val="24"/>
        </w:rPr>
        <w:t xml:space="preserve"> </w:t>
      </w:r>
      <w:r w:rsidR="00490173" w:rsidRPr="00FC3DEC">
        <w:rPr>
          <w:rFonts w:ascii="Palatino Linotype" w:eastAsia="Palatino Linotype" w:hAnsi="Palatino Linotype" w:cs="Palatino Linotype"/>
          <w:b/>
          <w:sz w:val="24"/>
          <w:szCs w:val="24"/>
        </w:rPr>
        <w:t>L</w:t>
      </w:r>
      <w:r w:rsidR="00490173" w:rsidRPr="00FC3DEC">
        <w:rPr>
          <w:rFonts w:ascii="Palatino Linotype" w:eastAsia="Palatino Linotype" w:hAnsi="Palatino Linotype" w:cs="Palatino Linotype"/>
          <w:b/>
          <w:spacing w:val="1"/>
          <w:sz w:val="24"/>
          <w:szCs w:val="24"/>
        </w:rPr>
        <w:t xml:space="preserve"> </w:t>
      </w:r>
      <w:r w:rsidR="00490173" w:rsidRPr="00FC3DEC">
        <w:rPr>
          <w:rFonts w:ascii="Palatino Linotype" w:eastAsia="Palatino Linotype" w:hAnsi="Palatino Linotype" w:cs="Palatino Linotype"/>
          <w:b/>
          <w:sz w:val="24"/>
          <w:szCs w:val="24"/>
        </w:rPr>
        <w:t>U T</w:t>
      </w:r>
      <w:r w:rsidR="00490173" w:rsidRPr="00FC3DEC">
        <w:rPr>
          <w:rFonts w:ascii="Palatino Linotype" w:eastAsia="Palatino Linotype" w:hAnsi="Palatino Linotype" w:cs="Palatino Linotype"/>
          <w:b/>
          <w:spacing w:val="1"/>
          <w:sz w:val="24"/>
          <w:szCs w:val="24"/>
        </w:rPr>
        <w:t xml:space="preserve"> </w:t>
      </w:r>
      <w:r w:rsidR="00490173" w:rsidRPr="00FC3DEC">
        <w:rPr>
          <w:rFonts w:ascii="Palatino Linotype" w:eastAsia="Palatino Linotype" w:hAnsi="Palatino Linotype" w:cs="Palatino Linotype"/>
          <w:b/>
          <w:sz w:val="24"/>
          <w:szCs w:val="24"/>
        </w:rPr>
        <w:t>I O</w:t>
      </w:r>
      <w:r w:rsidR="00490173" w:rsidRPr="00FC3DEC">
        <w:rPr>
          <w:rFonts w:ascii="Palatino Linotype" w:eastAsia="Palatino Linotype" w:hAnsi="Palatino Linotype" w:cs="Palatino Linotype"/>
          <w:b/>
          <w:spacing w:val="-1"/>
          <w:sz w:val="24"/>
          <w:szCs w:val="24"/>
        </w:rPr>
        <w:t xml:space="preserve"> </w:t>
      </w:r>
      <w:r w:rsidR="00490173" w:rsidRPr="00FC3DEC">
        <w:rPr>
          <w:rFonts w:ascii="Palatino Linotype" w:eastAsia="Palatino Linotype" w:hAnsi="Palatino Linotype" w:cs="Palatino Linotype"/>
          <w:b/>
          <w:sz w:val="24"/>
          <w:szCs w:val="24"/>
        </w:rPr>
        <w:t>N</w:t>
      </w:r>
    </w:p>
    <w:p w:rsidR="00D6611F" w:rsidRDefault="00D6611F">
      <w:pPr>
        <w:spacing w:before="6" w:line="140" w:lineRule="exact"/>
        <w:rPr>
          <w:sz w:val="14"/>
          <w:szCs w:val="14"/>
        </w:rPr>
      </w:pPr>
    </w:p>
    <w:p w:rsidR="00D6611F" w:rsidRDefault="00D6611F">
      <w:pPr>
        <w:spacing w:line="200" w:lineRule="exact"/>
      </w:pPr>
    </w:p>
    <w:p w:rsidR="00D6611F" w:rsidRDefault="00490173" w:rsidP="008D6077">
      <w:pPr>
        <w:pBdr>
          <w:bottom w:val="single" w:sz="4" w:space="1" w:color="auto"/>
        </w:pBdr>
        <w:spacing w:line="300" w:lineRule="exact"/>
        <w:ind w:left="820"/>
        <w:rPr>
          <w:rFonts w:ascii="Palatino Linotype" w:eastAsia="Palatino Linotype" w:hAnsi="Palatino Linotype" w:cs="Palatino Linotype"/>
          <w:sz w:val="24"/>
          <w:szCs w:val="24"/>
        </w:rPr>
      </w:pPr>
      <w:proofErr w:type="gramStart"/>
      <w:r>
        <w:rPr>
          <w:rFonts w:ascii="Palatino Linotype" w:eastAsia="Palatino Linotype" w:hAnsi="Palatino Linotype" w:cs="Palatino Linotype"/>
          <w:b/>
          <w:spacing w:val="-1"/>
          <w:position w:val="1"/>
          <w:sz w:val="24"/>
          <w:szCs w:val="24"/>
        </w:rPr>
        <w:t>R</w:t>
      </w:r>
      <w:r>
        <w:rPr>
          <w:rFonts w:ascii="Palatino Linotype" w:eastAsia="Palatino Linotype" w:hAnsi="Palatino Linotype" w:cs="Palatino Linotype"/>
          <w:b/>
          <w:position w:val="1"/>
          <w:sz w:val="24"/>
          <w:szCs w:val="24"/>
        </w:rPr>
        <w:t>e</w:t>
      </w:r>
      <w:r>
        <w:rPr>
          <w:rFonts w:ascii="Palatino Linotype" w:eastAsia="Palatino Linotype" w:hAnsi="Palatino Linotype" w:cs="Palatino Linotype"/>
          <w:b/>
          <w:spacing w:val="-1"/>
          <w:position w:val="1"/>
          <w:sz w:val="24"/>
          <w:szCs w:val="24"/>
        </w:rPr>
        <w:t>s</w:t>
      </w:r>
      <w:r>
        <w:rPr>
          <w:rFonts w:ascii="Palatino Linotype" w:eastAsia="Palatino Linotype" w:hAnsi="Palatino Linotype" w:cs="Palatino Linotype"/>
          <w:b/>
          <w:spacing w:val="1"/>
          <w:position w:val="1"/>
          <w:sz w:val="24"/>
          <w:szCs w:val="24"/>
        </w:rPr>
        <w:t>o</w:t>
      </w:r>
      <w:r>
        <w:rPr>
          <w:rFonts w:ascii="Palatino Linotype" w:eastAsia="Palatino Linotype" w:hAnsi="Palatino Linotype" w:cs="Palatino Linotype"/>
          <w:b/>
          <w:position w:val="1"/>
          <w:sz w:val="24"/>
          <w:szCs w:val="24"/>
        </w:rPr>
        <w:t>l</w:t>
      </w:r>
      <w:r>
        <w:rPr>
          <w:rFonts w:ascii="Palatino Linotype" w:eastAsia="Palatino Linotype" w:hAnsi="Palatino Linotype" w:cs="Palatino Linotype"/>
          <w:b/>
          <w:spacing w:val="-1"/>
          <w:position w:val="1"/>
          <w:sz w:val="24"/>
          <w:szCs w:val="24"/>
        </w:rPr>
        <w:t>u</w:t>
      </w:r>
      <w:r>
        <w:rPr>
          <w:rFonts w:ascii="Palatino Linotype" w:eastAsia="Palatino Linotype" w:hAnsi="Palatino Linotype" w:cs="Palatino Linotype"/>
          <w:b/>
          <w:position w:val="1"/>
          <w:sz w:val="24"/>
          <w:szCs w:val="24"/>
        </w:rPr>
        <w:t>t</w:t>
      </w:r>
      <w:r>
        <w:rPr>
          <w:rFonts w:ascii="Palatino Linotype" w:eastAsia="Palatino Linotype" w:hAnsi="Palatino Linotype" w:cs="Palatino Linotype"/>
          <w:b/>
          <w:spacing w:val="-1"/>
          <w:position w:val="1"/>
          <w:sz w:val="24"/>
          <w:szCs w:val="24"/>
        </w:rPr>
        <w:t>i</w:t>
      </w:r>
      <w:r>
        <w:rPr>
          <w:rFonts w:ascii="Palatino Linotype" w:eastAsia="Palatino Linotype" w:hAnsi="Palatino Linotype" w:cs="Palatino Linotype"/>
          <w:b/>
          <w:spacing w:val="1"/>
          <w:position w:val="1"/>
          <w:sz w:val="24"/>
          <w:szCs w:val="24"/>
        </w:rPr>
        <w:t>o</w:t>
      </w:r>
      <w:r>
        <w:rPr>
          <w:rFonts w:ascii="Palatino Linotype" w:eastAsia="Palatino Linotype" w:hAnsi="Palatino Linotype" w:cs="Palatino Linotype"/>
          <w:b/>
          <w:position w:val="1"/>
          <w:sz w:val="24"/>
          <w:szCs w:val="24"/>
        </w:rPr>
        <w:t xml:space="preserve">n </w:t>
      </w:r>
      <w:r>
        <w:rPr>
          <w:rFonts w:ascii="Palatino Linotype" w:eastAsia="Palatino Linotype" w:hAnsi="Palatino Linotype" w:cs="Palatino Linotype"/>
          <w:b/>
          <w:spacing w:val="1"/>
          <w:position w:val="1"/>
          <w:sz w:val="24"/>
          <w:szCs w:val="24"/>
        </w:rPr>
        <w:t>T</w:t>
      </w:r>
      <w:r>
        <w:rPr>
          <w:rFonts w:ascii="Palatino Linotype" w:eastAsia="Palatino Linotype" w:hAnsi="Palatino Linotype" w:cs="Palatino Linotype"/>
          <w:b/>
          <w:spacing w:val="-1"/>
          <w:position w:val="1"/>
          <w:sz w:val="24"/>
          <w:szCs w:val="24"/>
        </w:rPr>
        <w:t>-</w:t>
      </w:r>
      <w:r w:rsidR="00966C1E">
        <w:rPr>
          <w:rFonts w:ascii="Palatino Linotype" w:eastAsia="Palatino Linotype" w:hAnsi="Palatino Linotype" w:cs="Palatino Linotype"/>
          <w:b/>
          <w:spacing w:val="-1"/>
          <w:position w:val="1"/>
          <w:sz w:val="24"/>
          <w:szCs w:val="24"/>
        </w:rPr>
        <w:t>1761</w:t>
      </w:r>
      <w:r w:rsidR="0054411B">
        <w:rPr>
          <w:rFonts w:ascii="Palatino Linotype" w:eastAsia="Palatino Linotype" w:hAnsi="Palatino Linotype" w:cs="Palatino Linotype"/>
          <w:b/>
          <w:spacing w:val="-1"/>
          <w:position w:val="1"/>
          <w:sz w:val="24"/>
          <w:szCs w:val="24"/>
        </w:rPr>
        <w:t>9</w:t>
      </w:r>
      <w:r w:rsidR="00C76322">
        <w:rPr>
          <w:rFonts w:ascii="Palatino Linotype" w:eastAsia="Palatino Linotype" w:hAnsi="Palatino Linotype" w:cs="Palatino Linotype"/>
          <w:b/>
          <w:spacing w:val="-1"/>
          <w:position w:val="1"/>
          <w:sz w:val="24"/>
          <w:szCs w:val="24"/>
        </w:rPr>
        <w:t>,</w:t>
      </w:r>
      <w:r>
        <w:rPr>
          <w:rFonts w:ascii="Palatino Linotype" w:eastAsia="Palatino Linotype" w:hAnsi="Palatino Linotype" w:cs="Palatino Linotype"/>
          <w:b/>
          <w:position w:val="1"/>
          <w:sz w:val="24"/>
          <w:szCs w:val="24"/>
        </w:rPr>
        <w:t xml:space="preserve"> </w:t>
      </w:r>
      <w:r w:rsidR="00A36EDE">
        <w:rPr>
          <w:rFonts w:ascii="Palatino Linotype" w:eastAsia="Palatino Linotype" w:hAnsi="Palatino Linotype" w:cs="Palatino Linotype"/>
          <w:b/>
          <w:position w:val="1"/>
          <w:sz w:val="24"/>
          <w:szCs w:val="24"/>
        </w:rPr>
        <w:t xml:space="preserve">Sierra </w:t>
      </w:r>
      <w:r w:rsidR="00D60068">
        <w:rPr>
          <w:rFonts w:ascii="Palatino Linotype" w:eastAsia="Palatino Linotype" w:hAnsi="Palatino Linotype" w:cs="Palatino Linotype"/>
          <w:b/>
          <w:position w:val="1"/>
          <w:sz w:val="24"/>
          <w:szCs w:val="24"/>
        </w:rPr>
        <w:t>Telephone Company.</w:t>
      </w:r>
      <w:proofErr w:type="gramEnd"/>
      <w:r w:rsidR="00D60068">
        <w:rPr>
          <w:rFonts w:ascii="Palatino Linotype" w:eastAsia="Palatino Linotype" w:hAnsi="Palatino Linotype" w:cs="Palatino Linotype"/>
          <w:b/>
          <w:position w:val="1"/>
          <w:sz w:val="24"/>
          <w:szCs w:val="24"/>
        </w:rPr>
        <w:t xml:space="preserve"> </w:t>
      </w:r>
      <w:r w:rsidR="007F0059">
        <w:rPr>
          <w:rFonts w:ascii="Palatino Linotype" w:eastAsia="Palatino Linotype" w:hAnsi="Palatino Linotype" w:cs="Palatino Linotype"/>
          <w:position w:val="1"/>
          <w:sz w:val="24"/>
          <w:szCs w:val="24"/>
        </w:rPr>
        <w:t>Order</w:t>
      </w:r>
      <w:r w:rsidR="00D60068">
        <w:rPr>
          <w:rFonts w:ascii="Palatino Linotype" w:eastAsia="Palatino Linotype" w:hAnsi="Palatino Linotype" w:cs="Palatino Linotype"/>
          <w:position w:val="1"/>
          <w:sz w:val="24"/>
          <w:szCs w:val="24"/>
        </w:rPr>
        <w:t xml:space="preserve"> Authorizing </w:t>
      </w:r>
      <w:r w:rsidR="0019205A">
        <w:rPr>
          <w:rFonts w:ascii="Palatino Linotype" w:eastAsia="Palatino Linotype" w:hAnsi="Palatino Linotype" w:cs="Palatino Linotype"/>
          <w:position w:val="1"/>
          <w:sz w:val="24"/>
          <w:szCs w:val="24"/>
        </w:rPr>
        <w:t xml:space="preserve">a </w:t>
      </w:r>
      <w:r w:rsidR="007F0059">
        <w:rPr>
          <w:rFonts w:ascii="Palatino Linotype" w:eastAsia="Palatino Linotype" w:hAnsi="Palatino Linotype" w:cs="Palatino Linotype"/>
          <w:position w:val="1"/>
          <w:sz w:val="24"/>
          <w:szCs w:val="24"/>
        </w:rPr>
        <w:t xml:space="preserve">Reduction </w:t>
      </w:r>
      <w:r w:rsidR="00C75FA4">
        <w:rPr>
          <w:rFonts w:ascii="Palatino Linotype" w:eastAsia="Palatino Linotype" w:hAnsi="Palatino Linotype" w:cs="Palatino Linotype"/>
          <w:position w:val="1"/>
          <w:sz w:val="24"/>
          <w:szCs w:val="24"/>
        </w:rPr>
        <w:t>of $</w:t>
      </w:r>
      <w:r w:rsidR="001D0E84">
        <w:rPr>
          <w:rFonts w:ascii="Palatino Linotype" w:eastAsia="Palatino Linotype" w:hAnsi="Palatino Linotype" w:cs="Palatino Linotype"/>
          <w:position w:val="1"/>
          <w:sz w:val="24"/>
          <w:szCs w:val="24"/>
        </w:rPr>
        <w:t xml:space="preserve">752,854 </w:t>
      </w:r>
      <w:r w:rsidR="00C75FA4">
        <w:rPr>
          <w:rFonts w:ascii="Palatino Linotype" w:eastAsia="Palatino Linotype" w:hAnsi="Palatino Linotype" w:cs="Palatino Linotype"/>
          <w:position w:val="1"/>
          <w:sz w:val="24"/>
          <w:szCs w:val="24"/>
        </w:rPr>
        <w:t xml:space="preserve">in Adopted Revenue Requirement </w:t>
      </w:r>
      <w:r w:rsidR="00425342">
        <w:rPr>
          <w:rFonts w:ascii="Palatino Linotype" w:eastAsia="Palatino Linotype" w:hAnsi="Palatino Linotype" w:cs="Palatino Linotype"/>
          <w:position w:val="1"/>
          <w:sz w:val="24"/>
          <w:szCs w:val="24"/>
        </w:rPr>
        <w:t xml:space="preserve">for </w:t>
      </w:r>
      <w:r w:rsidR="00425342" w:rsidRPr="00425342">
        <w:rPr>
          <w:rFonts w:ascii="Palatino Linotype" w:eastAsia="Palatino Linotype" w:hAnsi="Palatino Linotype" w:cs="Palatino Linotype"/>
          <w:position w:val="1"/>
          <w:sz w:val="24"/>
          <w:szCs w:val="24"/>
        </w:rPr>
        <w:t xml:space="preserve">Test Year 2018 </w:t>
      </w:r>
      <w:r w:rsidR="00C75FA4">
        <w:rPr>
          <w:rFonts w:ascii="Palatino Linotype" w:eastAsia="Palatino Linotype" w:hAnsi="Palatino Linotype" w:cs="Palatino Linotype"/>
          <w:position w:val="1"/>
          <w:sz w:val="24"/>
          <w:szCs w:val="24"/>
        </w:rPr>
        <w:t xml:space="preserve">and a Corresponding Reduction </w:t>
      </w:r>
      <w:r w:rsidR="007F0059">
        <w:rPr>
          <w:rFonts w:ascii="Palatino Linotype" w:eastAsia="Palatino Linotype" w:hAnsi="Palatino Linotype" w:cs="Palatino Linotype"/>
          <w:position w:val="1"/>
          <w:sz w:val="24"/>
          <w:szCs w:val="24"/>
        </w:rPr>
        <w:t>of $</w:t>
      </w:r>
      <w:r w:rsidR="001D0E84">
        <w:rPr>
          <w:rFonts w:ascii="Palatino Linotype" w:eastAsia="Palatino Linotype" w:hAnsi="Palatino Linotype" w:cs="Palatino Linotype"/>
          <w:position w:val="1"/>
          <w:sz w:val="24"/>
          <w:szCs w:val="24"/>
        </w:rPr>
        <w:t>752,854</w:t>
      </w:r>
      <w:r w:rsidR="00E24DAE">
        <w:rPr>
          <w:rFonts w:ascii="Palatino Linotype" w:eastAsia="Palatino Linotype" w:hAnsi="Palatino Linotype" w:cs="Palatino Linotype"/>
          <w:position w:val="1"/>
          <w:sz w:val="24"/>
          <w:szCs w:val="24"/>
        </w:rPr>
        <w:t xml:space="preserve"> </w:t>
      </w:r>
      <w:r w:rsidR="00B40818">
        <w:rPr>
          <w:rFonts w:ascii="Palatino Linotype" w:eastAsia="Palatino Linotype" w:hAnsi="Palatino Linotype" w:cs="Palatino Linotype"/>
          <w:position w:val="1"/>
          <w:sz w:val="24"/>
          <w:szCs w:val="24"/>
        </w:rPr>
        <w:t>in California High Cost Fund-</w:t>
      </w:r>
      <w:r w:rsidR="007F0059">
        <w:rPr>
          <w:rFonts w:ascii="Palatino Linotype" w:eastAsia="Palatino Linotype" w:hAnsi="Palatino Linotype" w:cs="Palatino Linotype"/>
          <w:position w:val="1"/>
          <w:sz w:val="24"/>
          <w:szCs w:val="24"/>
        </w:rPr>
        <w:t>A S</w:t>
      </w:r>
      <w:r w:rsidR="00E24DAE">
        <w:rPr>
          <w:rFonts w:ascii="Palatino Linotype" w:eastAsia="Palatino Linotype" w:hAnsi="Palatino Linotype" w:cs="Palatino Linotype"/>
          <w:position w:val="1"/>
          <w:sz w:val="24"/>
          <w:szCs w:val="24"/>
        </w:rPr>
        <w:t>upport</w:t>
      </w:r>
      <w:r w:rsidR="00C75FA4">
        <w:rPr>
          <w:rFonts w:ascii="Palatino Linotype" w:eastAsia="Palatino Linotype" w:hAnsi="Palatino Linotype" w:cs="Palatino Linotype"/>
          <w:position w:val="1"/>
          <w:sz w:val="24"/>
          <w:szCs w:val="24"/>
        </w:rPr>
        <w:t xml:space="preserve"> for </w:t>
      </w:r>
      <w:r w:rsidR="00966C1E">
        <w:rPr>
          <w:rFonts w:ascii="Palatino Linotype" w:eastAsia="Palatino Linotype" w:hAnsi="Palatino Linotype" w:cs="Palatino Linotype"/>
          <w:position w:val="1"/>
          <w:sz w:val="24"/>
          <w:szCs w:val="24"/>
        </w:rPr>
        <w:t xml:space="preserve">Test Year </w:t>
      </w:r>
      <w:r w:rsidR="00C75FA4">
        <w:rPr>
          <w:rFonts w:ascii="Palatino Linotype" w:eastAsia="Palatino Linotype" w:hAnsi="Palatino Linotype" w:cs="Palatino Linotype"/>
          <w:position w:val="1"/>
          <w:sz w:val="24"/>
          <w:szCs w:val="24"/>
        </w:rPr>
        <w:t>2018</w:t>
      </w:r>
      <w:r w:rsidR="008F724F">
        <w:rPr>
          <w:rFonts w:ascii="Palatino Linotype" w:eastAsia="Palatino Linotype" w:hAnsi="Palatino Linotype" w:cs="Palatino Linotype"/>
          <w:position w:val="1"/>
          <w:sz w:val="24"/>
          <w:szCs w:val="24"/>
        </w:rPr>
        <w:t xml:space="preserve"> to flow through changes resulting from the Tax Cuts and Jobs Act of 2017</w:t>
      </w:r>
      <w:r w:rsidR="00C75FA4">
        <w:rPr>
          <w:rFonts w:ascii="Palatino Linotype" w:eastAsia="Palatino Linotype" w:hAnsi="Palatino Linotype" w:cs="Palatino Linotype"/>
          <w:position w:val="1"/>
          <w:sz w:val="24"/>
          <w:szCs w:val="24"/>
        </w:rPr>
        <w:t>.</w:t>
      </w:r>
      <w:r w:rsidR="00FE3E43">
        <w:rPr>
          <w:rFonts w:ascii="Palatino Linotype" w:eastAsia="Palatino Linotype" w:hAnsi="Palatino Linotype" w:cs="Palatino Linotype"/>
          <w:position w:val="1"/>
          <w:sz w:val="24"/>
          <w:szCs w:val="24"/>
        </w:rPr>
        <w:t xml:space="preserve">  </w:t>
      </w:r>
      <w:r w:rsidR="007F0059">
        <w:rPr>
          <w:rFonts w:ascii="Palatino Linotype" w:eastAsia="Palatino Linotype" w:hAnsi="Palatino Linotype" w:cs="Palatino Linotype"/>
          <w:position w:val="1"/>
          <w:sz w:val="24"/>
          <w:szCs w:val="24"/>
        </w:rPr>
        <w:t xml:space="preserve"> </w:t>
      </w:r>
    </w:p>
    <w:p w:rsidR="00D6611F" w:rsidRDefault="00D6611F">
      <w:pPr>
        <w:spacing w:line="200" w:lineRule="exact"/>
      </w:pPr>
    </w:p>
    <w:p w:rsidR="00D6611F" w:rsidRPr="00B23A5C" w:rsidRDefault="00490173" w:rsidP="00D24B44">
      <w:pPr>
        <w:spacing w:line="300" w:lineRule="exact"/>
        <w:rPr>
          <w:rFonts w:ascii="Palatino Linotype" w:eastAsia="Palatino Linotype" w:hAnsi="Palatino Linotype" w:cs="Palatino Linotype"/>
          <w:sz w:val="24"/>
          <w:szCs w:val="24"/>
          <w:u w:val="single"/>
        </w:rPr>
      </w:pPr>
      <w:r w:rsidRPr="00B23A5C">
        <w:rPr>
          <w:rFonts w:ascii="Palatino Linotype" w:eastAsia="Palatino Linotype" w:hAnsi="Palatino Linotype" w:cs="Palatino Linotype"/>
          <w:b/>
          <w:position w:val="1"/>
          <w:sz w:val="24"/>
          <w:szCs w:val="24"/>
          <w:u w:val="single"/>
        </w:rPr>
        <w:t>S</w:t>
      </w:r>
      <w:r w:rsidR="00B23A5C" w:rsidRPr="00B23A5C">
        <w:rPr>
          <w:rFonts w:ascii="Palatino Linotype" w:eastAsia="Palatino Linotype" w:hAnsi="Palatino Linotype" w:cs="Palatino Linotype"/>
          <w:b/>
          <w:position w:val="1"/>
          <w:sz w:val="24"/>
          <w:szCs w:val="24"/>
          <w:u w:val="single"/>
        </w:rPr>
        <w:t>UMMARY</w:t>
      </w:r>
    </w:p>
    <w:p w:rsidR="00D6611F" w:rsidRDefault="00D6611F">
      <w:pPr>
        <w:spacing w:before="7" w:line="120" w:lineRule="exact"/>
        <w:rPr>
          <w:sz w:val="12"/>
          <w:szCs w:val="12"/>
        </w:rPr>
      </w:pPr>
    </w:p>
    <w:p w:rsidR="00A155FB" w:rsidRDefault="00A155FB" w:rsidP="00A155FB">
      <w:pPr>
        <w:ind w:right="14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This resolution </w:t>
      </w:r>
      <w:r w:rsidR="008F724F">
        <w:rPr>
          <w:rFonts w:ascii="Palatino Linotype" w:eastAsia="Palatino Linotype" w:hAnsi="Palatino Linotype" w:cs="Palatino Linotype"/>
          <w:sz w:val="24"/>
          <w:szCs w:val="24"/>
        </w:rPr>
        <w:t>flows through revenue requirement and California</w:t>
      </w:r>
      <w:r w:rsidR="008F724F" w:rsidRPr="004B4815">
        <w:rPr>
          <w:rFonts w:ascii="Palatino Linotype" w:eastAsia="Palatino Linotype" w:hAnsi="Palatino Linotype" w:cs="Palatino Linotype"/>
          <w:sz w:val="24"/>
          <w:szCs w:val="24"/>
        </w:rPr>
        <w:t xml:space="preserve"> </w:t>
      </w:r>
      <w:r w:rsidR="008F724F">
        <w:rPr>
          <w:rFonts w:ascii="Palatino Linotype" w:eastAsia="Palatino Linotype" w:hAnsi="Palatino Linotype" w:cs="Palatino Linotype"/>
          <w:sz w:val="24"/>
          <w:szCs w:val="24"/>
        </w:rPr>
        <w:t xml:space="preserve">High Cost Fund-A changes from the Tax Cuts and Jobs Act of 2017, which became effective on January 1, 2018.   Specifically, this resolution </w:t>
      </w:r>
      <w:r>
        <w:rPr>
          <w:rFonts w:ascii="Palatino Linotype" w:eastAsia="Palatino Linotype" w:hAnsi="Palatino Linotype" w:cs="Palatino Linotype"/>
          <w:sz w:val="24"/>
          <w:szCs w:val="24"/>
        </w:rPr>
        <w:t>adopts a revised revenue requirement of $</w:t>
      </w:r>
      <w:r w:rsidR="001D0E84">
        <w:rPr>
          <w:rFonts w:ascii="Palatino Linotype" w:eastAsia="Palatino Linotype" w:hAnsi="Palatino Linotype" w:cs="Palatino Linotype"/>
          <w:sz w:val="24"/>
          <w:szCs w:val="24"/>
        </w:rPr>
        <w:t xml:space="preserve">22,822,565 </w:t>
      </w:r>
      <w:r>
        <w:rPr>
          <w:rFonts w:ascii="Palatino Linotype" w:eastAsia="Palatino Linotype" w:hAnsi="Palatino Linotype" w:cs="Palatino Linotype"/>
          <w:sz w:val="24"/>
          <w:szCs w:val="24"/>
        </w:rPr>
        <w:t xml:space="preserve">for </w:t>
      </w:r>
      <w:r w:rsidR="00B40818">
        <w:rPr>
          <w:rFonts w:ascii="Palatino Linotype" w:eastAsia="Palatino Linotype" w:hAnsi="Palatino Linotype" w:cs="Palatino Linotype"/>
          <w:sz w:val="24"/>
          <w:szCs w:val="24"/>
        </w:rPr>
        <w:t>Sierra Telephone</w:t>
      </w:r>
      <w:r>
        <w:rPr>
          <w:rFonts w:ascii="Palatino Linotype" w:eastAsia="Palatino Linotype" w:hAnsi="Palatino Linotype" w:cs="Palatino Linotype"/>
          <w:sz w:val="24"/>
          <w:szCs w:val="24"/>
        </w:rPr>
        <w:t xml:space="preserve"> Company’s Test Year 2018, and a corresponding revised California High Cost Fund-A support amount of $1</w:t>
      </w:r>
      <w:r w:rsidR="00912AD8">
        <w:rPr>
          <w:rFonts w:ascii="Palatino Linotype" w:eastAsia="Palatino Linotype" w:hAnsi="Palatino Linotype" w:cs="Palatino Linotype"/>
          <w:sz w:val="24"/>
          <w:szCs w:val="24"/>
        </w:rPr>
        <w:t>2,</w:t>
      </w:r>
      <w:r w:rsidR="001D0E84">
        <w:rPr>
          <w:rFonts w:ascii="Palatino Linotype" w:eastAsia="Palatino Linotype" w:hAnsi="Palatino Linotype" w:cs="Palatino Linotype"/>
          <w:sz w:val="24"/>
          <w:szCs w:val="24"/>
        </w:rPr>
        <w:t>221,244</w:t>
      </w:r>
      <w:r>
        <w:rPr>
          <w:rFonts w:ascii="Palatino Linotype" w:eastAsia="Palatino Linotype" w:hAnsi="Palatino Linotype" w:cs="Palatino Linotype"/>
          <w:sz w:val="24"/>
          <w:szCs w:val="24"/>
        </w:rPr>
        <w:t xml:space="preserve"> resulting </w:t>
      </w:r>
      <w:r w:rsidR="00EF1F82">
        <w:rPr>
          <w:rFonts w:ascii="Palatino Linotype" w:eastAsia="Palatino Linotype" w:hAnsi="Palatino Linotype" w:cs="Palatino Linotype"/>
          <w:sz w:val="24"/>
          <w:szCs w:val="24"/>
        </w:rPr>
        <w:t xml:space="preserve">in </w:t>
      </w:r>
      <w:r>
        <w:rPr>
          <w:rFonts w:ascii="Palatino Linotype" w:eastAsia="Palatino Linotype" w:hAnsi="Palatino Linotype" w:cs="Palatino Linotype"/>
          <w:sz w:val="24"/>
          <w:szCs w:val="24"/>
        </w:rPr>
        <w:t>a reduction of $</w:t>
      </w:r>
      <w:r w:rsidR="00B40818">
        <w:rPr>
          <w:rFonts w:ascii="Palatino Linotype" w:eastAsia="Palatino Linotype" w:hAnsi="Palatino Linotype" w:cs="Palatino Linotype"/>
          <w:sz w:val="24"/>
          <w:szCs w:val="24"/>
        </w:rPr>
        <w:t>752,854</w:t>
      </w:r>
      <w:r w:rsidR="008F724F">
        <w:rPr>
          <w:rFonts w:ascii="Palatino Linotype" w:eastAsia="Palatino Linotype" w:hAnsi="Palatino Linotype" w:cs="Palatino Linotype"/>
          <w:sz w:val="24"/>
          <w:szCs w:val="24"/>
        </w:rPr>
        <w:t xml:space="preserve"> in California High Cost Fund-A support for 2018</w:t>
      </w:r>
      <w:r>
        <w:rPr>
          <w:rFonts w:ascii="Palatino Linotype" w:eastAsia="Palatino Linotype" w:hAnsi="Palatino Linotype" w:cs="Palatino Linotype"/>
          <w:sz w:val="24"/>
          <w:szCs w:val="24"/>
        </w:rPr>
        <w:t xml:space="preserve">.  </w:t>
      </w:r>
    </w:p>
    <w:p w:rsidR="004C59CE" w:rsidRDefault="004C59CE" w:rsidP="008D6077">
      <w:pPr>
        <w:ind w:right="140"/>
        <w:rPr>
          <w:rFonts w:ascii="Palatino Linotype" w:eastAsia="Palatino Linotype" w:hAnsi="Palatino Linotype" w:cs="Palatino Linotype"/>
          <w:sz w:val="24"/>
          <w:szCs w:val="24"/>
        </w:rPr>
      </w:pPr>
    </w:p>
    <w:p w:rsidR="00D6611F" w:rsidRPr="00B23A5C" w:rsidRDefault="00490173" w:rsidP="002877B3">
      <w:pPr>
        <w:rPr>
          <w:rFonts w:ascii="Palatino Linotype" w:eastAsia="Palatino Linotype" w:hAnsi="Palatino Linotype" w:cs="Palatino Linotype"/>
          <w:sz w:val="24"/>
          <w:szCs w:val="24"/>
          <w:u w:val="single"/>
        </w:rPr>
      </w:pPr>
      <w:r w:rsidRPr="00B23A5C">
        <w:rPr>
          <w:rFonts w:ascii="Palatino Linotype" w:eastAsia="Palatino Linotype" w:hAnsi="Palatino Linotype" w:cs="Palatino Linotype"/>
          <w:b/>
          <w:sz w:val="24"/>
          <w:szCs w:val="24"/>
          <w:u w:val="single"/>
        </w:rPr>
        <w:t>B</w:t>
      </w:r>
      <w:r w:rsidR="00B23A5C" w:rsidRPr="00B23A5C">
        <w:rPr>
          <w:rFonts w:ascii="Palatino Linotype" w:eastAsia="Palatino Linotype" w:hAnsi="Palatino Linotype" w:cs="Palatino Linotype"/>
          <w:b/>
          <w:sz w:val="24"/>
          <w:szCs w:val="24"/>
          <w:u w:val="single"/>
        </w:rPr>
        <w:t>ACKGROUND</w:t>
      </w:r>
    </w:p>
    <w:p w:rsidR="00D6611F" w:rsidRDefault="00D6611F">
      <w:pPr>
        <w:spacing w:before="7" w:line="120" w:lineRule="exact"/>
        <w:rPr>
          <w:sz w:val="12"/>
          <w:szCs w:val="12"/>
        </w:rPr>
      </w:pPr>
    </w:p>
    <w:p w:rsidR="00B40818" w:rsidRDefault="00B40818" w:rsidP="00721051">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California High Cost Fund-A (CHCF-A) program operates in accordance with </w:t>
      </w:r>
      <w:r>
        <w:rPr>
          <w:rFonts w:ascii="Palatino Linotype" w:eastAsia="Palatino Linotype" w:hAnsi="Palatino Linotype" w:cs="Palatino Linotype"/>
          <w:spacing w:val="-1"/>
          <w:sz w:val="24"/>
          <w:szCs w:val="24"/>
        </w:rPr>
        <w:t>Pu</w:t>
      </w:r>
      <w:r>
        <w:rPr>
          <w:rFonts w:ascii="Palatino Linotype" w:eastAsia="Palatino Linotype" w:hAnsi="Palatino Linotype" w:cs="Palatino Linotype"/>
          <w:sz w:val="24"/>
          <w:szCs w:val="24"/>
        </w:rPr>
        <w:t>b</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ic</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z w:val="24"/>
          <w:szCs w:val="24"/>
        </w:rPr>
        <w:t>.U.)</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de § 275.6.  This statute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equ</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es the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 to</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2"/>
          <w:sz w:val="24"/>
          <w:szCs w:val="24"/>
        </w:rPr>
        <w:t>p</w:t>
      </w:r>
      <w:r>
        <w:rPr>
          <w:rFonts w:ascii="Palatino Linotype" w:eastAsia="Palatino Linotype" w:hAnsi="Palatino Linotype" w:cs="Palatino Linotype"/>
          <w:sz w:val="24"/>
          <w:szCs w:val="24"/>
        </w:rPr>
        <w:t>le</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 xml:space="preserve">ent </w:t>
      </w:r>
      <w:r>
        <w:rPr>
          <w:rFonts w:ascii="Palatino Linotype" w:eastAsia="Palatino Linotype" w:hAnsi="Palatino Linotype" w:cs="Palatino Linotype"/>
          <w:spacing w:val="1"/>
          <w:sz w:val="24"/>
          <w:szCs w:val="24"/>
        </w:rPr>
        <w:t>a</w:t>
      </w:r>
      <w:r>
        <w:rPr>
          <w:rFonts w:ascii="Palatino Linotype" w:eastAsia="Palatino Linotype" w:hAnsi="Palatino Linotype" w:cs="Palatino Linotype"/>
          <w:sz w:val="24"/>
          <w:szCs w:val="24"/>
        </w:rPr>
        <w:t xml:space="preserve"> p</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am</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ed</w:t>
      </w:r>
      <w:r>
        <w:rPr>
          <w:rFonts w:ascii="Palatino Linotype" w:eastAsia="Palatino Linotype" w:hAnsi="Palatino Linotype" w:cs="Palatino Linotype"/>
          <w:spacing w:val="-1"/>
          <w:sz w:val="24"/>
          <w:szCs w:val="24"/>
        </w:rPr>
        <w:t>uc</w:t>
      </w:r>
      <w:r>
        <w:rPr>
          <w:rFonts w:ascii="Palatino Linotype" w:eastAsia="Palatino Linotype" w:hAnsi="Palatino Linotype" w:cs="Palatino Linotype"/>
          <w:sz w:val="24"/>
          <w:szCs w:val="24"/>
        </w:rPr>
        <w:t xml:space="preserve">e any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 d</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pa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3"/>
          <w:sz w:val="24"/>
          <w:szCs w:val="24"/>
        </w:rPr>
        <w:t>between</w:t>
      </w:r>
      <w:r>
        <w:rPr>
          <w:rFonts w:ascii="Palatino Linotype" w:eastAsia="Palatino Linotype" w:hAnsi="Palatino Linotype" w:cs="Palatino Linotype"/>
          <w:sz w:val="24"/>
          <w:szCs w:val="24"/>
        </w:rPr>
        <w:t xml:space="preserve"> r</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al and urban 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eas</w:t>
      </w:r>
      <w:r>
        <w:rPr>
          <w:rFonts w:ascii="Palatino Linotype" w:eastAsia="Palatino Linotype" w:hAnsi="Palatino Linotype" w:cs="Palatino Linotype"/>
          <w:spacing w:val="-1"/>
          <w:sz w:val="24"/>
          <w:szCs w:val="24"/>
        </w:rPr>
        <w:t xml:space="preserve"> c</w:t>
      </w:r>
      <w:r>
        <w:rPr>
          <w:rFonts w:ascii="Palatino Linotype" w:eastAsia="Palatino Linotype" w:hAnsi="Palatino Linotype" w:cs="Palatino Linotype"/>
          <w:sz w:val="24"/>
          <w:szCs w:val="24"/>
        </w:rPr>
        <w:t>har</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xml:space="preserve">ed </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ma</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l Incumbent Local Exchange Carriers (hereafter referred to as Small ILECs)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hat a</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su</w:t>
      </w:r>
      <w:r>
        <w:rPr>
          <w:rFonts w:ascii="Palatino Linotype" w:eastAsia="Palatino Linotype" w:hAnsi="Palatino Linotype" w:cs="Palatino Linotype"/>
          <w:sz w:val="24"/>
          <w:szCs w:val="24"/>
        </w:rPr>
        <w:t xml:space="preserve">bject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o</w:t>
      </w:r>
      <w:r>
        <w:rPr>
          <w:rFonts w:ascii="Palatino Linotype" w:eastAsia="Palatino Linotype" w:hAnsi="Palatino Linotype" w:cs="Palatino Linotype"/>
          <w:spacing w:val="1"/>
          <w:sz w:val="24"/>
          <w:szCs w:val="24"/>
        </w:rPr>
        <w:t xml:space="preserve"> r</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4"/>
          <w:sz w:val="24"/>
          <w:szCs w:val="24"/>
        </w:rPr>
        <w:t>e</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lat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p>
    <w:p w:rsidR="00C145B8" w:rsidRDefault="00C145B8" w:rsidP="00721051">
      <w:pPr>
        <w:rPr>
          <w:rFonts w:ascii="Palatino Linotype" w:eastAsia="Palatino Linotype" w:hAnsi="Palatino Linotype" w:cs="Palatino Linotype"/>
          <w:sz w:val="24"/>
          <w:szCs w:val="24"/>
        </w:rPr>
      </w:pPr>
    </w:p>
    <w:p w:rsidR="00B40818" w:rsidRDefault="00B40818" w:rsidP="00B40818">
      <w:pPr>
        <w:ind w:left="100" w:right="8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Decision (D.) 17-11-016 approved an all-party Settlement Agreement in Sierra Telephone Company’s (Sierra) general rate case (GRC) for rates effective January 1, 2018.  This decision’s Ordering Paragraph (O.P.) 8 required Sierra to submit an advice letter informing the Commission of any income tax change within 30 days of its effective date.</w:t>
      </w:r>
      <w:r w:rsidRPr="00A866FE">
        <w:rPr>
          <w:rStyle w:val="FootnoteReference"/>
          <w:rFonts w:ascii="Palatino Linotype" w:eastAsia="Palatino Linotype" w:hAnsi="Palatino Linotype" w:cs="Palatino Linotype"/>
          <w:sz w:val="24"/>
          <w:szCs w:val="24"/>
        </w:rPr>
        <w:t xml:space="preserve"> </w:t>
      </w:r>
      <w:r>
        <w:rPr>
          <w:rStyle w:val="FootnoteReference"/>
          <w:rFonts w:ascii="Palatino Linotype" w:eastAsia="Palatino Linotype" w:hAnsi="Palatino Linotype" w:cs="Palatino Linotype"/>
          <w:sz w:val="24"/>
          <w:szCs w:val="24"/>
        </w:rPr>
        <w:footnoteReference w:id="1"/>
      </w:r>
      <w:r>
        <w:rPr>
          <w:rFonts w:ascii="Palatino Linotype" w:eastAsia="Palatino Linotype" w:hAnsi="Palatino Linotype" w:cs="Palatino Linotype"/>
          <w:sz w:val="24"/>
          <w:szCs w:val="24"/>
        </w:rPr>
        <w:t xml:space="preserve">   </w:t>
      </w:r>
    </w:p>
    <w:p w:rsidR="00C145B8" w:rsidRDefault="00C145B8" w:rsidP="00766AB8">
      <w:pPr>
        <w:ind w:left="100" w:right="82"/>
        <w:rPr>
          <w:rFonts w:ascii="Palatino Linotype" w:eastAsia="Palatino Linotype" w:hAnsi="Palatino Linotype" w:cs="Palatino Linotype"/>
          <w:sz w:val="24"/>
          <w:szCs w:val="24"/>
        </w:rPr>
      </w:pPr>
    </w:p>
    <w:p w:rsidR="00B40818" w:rsidRDefault="00B40818" w:rsidP="00B40818">
      <w:pPr>
        <w:ind w:left="100" w:right="8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Tax Cut and Jobs Act of 2017 (TCJA) was signed into law on December 22, 2017 and became effective January 1, 2018.  Among other things, the TCJA reduced the top corporate income tax rate from 35% to 21%.</w:t>
      </w:r>
      <w:r>
        <w:rPr>
          <w:rStyle w:val="FootnoteReference"/>
          <w:rFonts w:ascii="Palatino Linotype" w:eastAsia="Palatino Linotype" w:hAnsi="Palatino Linotype" w:cs="Palatino Linotype"/>
          <w:sz w:val="24"/>
          <w:szCs w:val="24"/>
        </w:rPr>
        <w:footnoteReference w:id="2"/>
      </w:r>
      <w:r>
        <w:rPr>
          <w:rFonts w:ascii="Palatino Linotype" w:eastAsia="Palatino Linotype" w:hAnsi="Palatino Linotype" w:cs="Palatino Linotype"/>
          <w:sz w:val="24"/>
          <w:szCs w:val="24"/>
        </w:rPr>
        <w:t xml:space="preserve">  </w:t>
      </w:r>
    </w:p>
    <w:p w:rsidR="00B40818" w:rsidRDefault="00B40818" w:rsidP="00D24B44">
      <w:pPr>
        <w:ind w:right="82"/>
        <w:rPr>
          <w:rFonts w:ascii="Palatino Linotype" w:eastAsia="Palatino Linotype" w:hAnsi="Palatino Linotype" w:cs="Palatino Linotype"/>
          <w:sz w:val="24"/>
          <w:szCs w:val="24"/>
        </w:rPr>
      </w:pPr>
    </w:p>
    <w:p w:rsidR="0004514F" w:rsidRDefault="00502901" w:rsidP="0048381C">
      <w:pPr>
        <w:ind w:right="8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Accordingly, on February 1, 2018, </w:t>
      </w:r>
      <w:r w:rsidR="00912AD8">
        <w:rPr>
          <w:rFonts w:ascii="Palatino Linotype" w:eastAsia="Palatino Linotype" w:hAnsi="Palatino Linotype" w:cs="Palatino Linotype"/>
          <w:sz w:val="24"/>
          <w:szCs w:val="24"/>
        </w:rPr>
        <w:t xml:space="preserve">Sierra </w:t>
      </w:r>
      <w:r w:rsidR="0019205A">
        <w:rPr>
          <w:rFonts w:ascii="Palatino Linotype" w:eastAsia="Palatino Linotype" w:hAnsi="Palatino Linotype" w:cs="Palatino Linotype"/>
          <w:sz w:val="24"/>
          <w:szCs w:val="24"/>
        </w:rPr>
        <w:t>Telephone Company (</w:t>
      </w:r>
      <w:r w:rsidR="0054411B">
        <w:rPr>
          <w:rFonts w:ascii="Palatino Linotype" w:eastAsia="Palatino Linotype" w:hAnsi="Palatino Linotype" w:cs="Palatino Linotype"/>
          <w:sz w:val="24"/>
          <w:szCs w:val="24"/>
        </w:rPr>
        <w:t>Sierra</w:t>
      </w:r>
      <w:r w:rsidR="0019205A">
        <w:rPr>
          <w:rFonts w:ascii="Palatino Linotype" w:eastAsia="Palatino Linotype" w:hAnsi="Palatino Linotype" w:cs="Palatino Linotype"/>
          <w:sz w:val="24"/>
          <w:szCs w:val="24"/>
        </w:rPr>
        <w:t xml:space="preserve">) filed </w:t>
      </w:r>
      <w:r w:rsidR="00460204">
        <w:rPr>
          <w:rFonts w:ascii="Palatino Linotype" w:eastAsia="Palatino Linotype" w:hAnsi="Palatino Linotype" w:cs="Palatino Linotype"/>
          <w:sz w:val="24"/>
          <w:szCs w:val="24"/>
        </w:rPr>
        <w:t xml:space="preserve">a Tier 2 </w:t>
      </w:r>
      <w:r w:rsidR="0019205A">
        <w:rPr>
          <w:rFonts w:ascii="Palatino Linotype" w:eastAsia="Palatino Linotype" w:hAnsi="Palatino Linotype" w:cs="Palatino Linotype"/>
          <w:sz w:val="24"/>
          <w:szCs w:val="24"/>
        </w:rPr>
        <w:t xml:space="preserve">Advice Letter (AL) </w:t>
      </w:r>
      <w:r w:rsidR="00912AD8">
        <w:rPr>
          <w:rFonts w:ascii="Palatino Linotype" w:eastAsia="Palatino Linotype" w:hAnsi="Palatino Linotype" w:cs="Palatino Linotype"/>
          <w:sz w:val="24"/>
          <w:szCs w:val="24"/>
        </w:rPr>
        <w:t>450</w:t>
      </w:r>
      <w:r w:rsidR="0019205A">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proposing an adjustment in</w:t>
      </w:r>
      <w:r w:rsidR="0014339C">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 xml:space="preserve">its revenue requirement applicable to taxable operating revenue to reflect the impact of the TCJA.  Specifically, </w:t>
      </w:r>
      <w:r w:rsidR="00124978">
        <w:rPr>
          <w:rFonts w:ascii="Palatino Linotype" w:eastAsia="Palatino Linotype" w:hAnsi="Palatino Linotype" w:cs="Palatino Linotype"/>
          <w:sz w:val="24"/>
          <w:szCs w:val="24"/>
        </w:rPr>
        <w:t>Sierra</w:t>
      </w:r>
      <w:r w:rsidR="0019205A">
        <w:rPr>
          <w:rFonts w:ascii="Palatino Linotype" w:eastAsia="Palatino Linotype" w:hAnsi="Palatino Linotype" w:cs="Palatino Linotype"/>
          <w:sz w:val="24"/>
          <w:szCs w:val="24"/>
        </w:rPr>
        <w:t xml:space="preserve"> propose</w:t>
      </w:r>
      <w:r w:rsidR="0004514F">
        <w:rPr>
          <w:rFonts w:ascii="Palatino Linotype" w:eastAsia="Palatino Linotype" w:hAnsi="Palatino Linotype" w:cs="Palatino Linotype"/>
          <w:sz w:val="24"/>
          <w:szCs w:val="24"/>
        </w:rPr>
        <w:t>d</w:t>
      </w:r>
      <w:r w:rsidR="0019205A">
        <w:rPr>
          <w:rFonts w:ascii="Palatino Linotype" w:eastAsia="Palatino Linotype" w:hAnsi="Palatino Linotype" w:cs="Palatino Linotype"/>
          <w:sz w:val="24"/>
          <w:szCs w:val="24"/>
        </w:rPr>
        <w:t xml:space="preserve"> $</w:t>
      </w:r>
      <w:r w:rsidR="00124978">
        <w:rPr>
          <w:rFonts w:ascii="Palatino Linotype" w:eastAsia="Palatino Linotype" w:hAnsi="Palatino Linotype" w:cs="Palatino Linotype"/>
          <w:sz w:val="24"/>
          <w:szCs w:val="24"/>
        </w:rPr>
        <w:t>225,735</w:t>
      </w:r>
      <w:r>
        <w:rPr>
          <w:rFonts w:ascii="Palatino Linotype" w:eastAsia="Palatino Linotype" w:hAnsi="Palatino Linotype" w:cs="Palatino Linotype"/>
          <w:sz w:val="24"/>
          <w:szCs w:val="24"/>
        </w:rPr>
        <w:t xml:space="preserve"> decrease from the approved </w:t>
      </w:r>
      <w:r w:rsidR="0019205A">
        <w:rPr>
          <w:rFonts w:ascii="Palatino Linotype" w:eastAsia="Palatino Linotype" w:hAnsi="Palatino Linotype" w:cs="Palatino Linotype"/>
          <w:sz w:val="24"/>
          <w:szCs w:val="24"/>
        </w:rPr>
        <w:t xml:space="preserve">revenue requirement </w:t>
      </w:r>
      <w:r>
        <w:rPr>
          <w:rFonts w:ascii="Palatino Linotype" w:eastAsia="Palatino Linotype" w:hAnsi="Palatino Linotype" w:cs="Palatino Linotype"/>
          <w:sz w:val="24"/>
          <w:szCs w:val="24"/>
        </w:rPr>
        <w:t>of</w:t>
      </w:r>
      <w:r w:rsidR="0004514F">
        <w:rPr>
          <w:rFonts w:ascii="Palatino Linotype" w:eastAsia="Palatino Linotype" w:hAnsi="Palatino Linotype" w:cs="Palatino Linotype"/>
          <w:sz w:val="24"/>
          <w:szCs w:val="24"/>
        </w:rPr>
        <w:t xml:space="preserve"> $</w:t>
      </w:r>
      <w:r w:rsidR="00124978">
        <w:rPr>
          <w:rFonts w:ascii="Palatino Linotype" w:eastAsia="Palatino Linotype" w:hAnsi="Palatino Linotype" w:cs="Palatino Linotype"/>
          <w:sz w:val="24"/>
          <w:szCs w:val="24"/>
        </w:rPr>
        <w:t>23,575,419</w:t>
      </w:r>
      <w:r w:rsidR="0004514F">
        <w:rPr>
          <w:rFonts w:ascii="Palatino Linotype" w:eastAsia="Palatino Linotype" w:hAnsi="Palatino Linotype" w:cs="Palatino Linotype"/>
          <w:sz w:val="24"/>
          <w:szCs w:val="24"/>
        </w:rPr>
        <w:t xml:space="preserve"> and </w:t>
      </w:r>
      <w:r>
        <w:rPr>
          <w:rFonts w:ascii="Palatino Linotype" w:eastAsia="Palatino Linotype" w:hAnsi="Palatino Linotype" w:cs="Palatino Linotype"/>
          <w:sz w:val="24"/>
          <w:szCs w:val="24"/>
        </w:rPr>
        <w:t>an equal</w:t>
      </w:r>
      <w:r w:rsidR="0004514F">
        <w:rPr>
          <w:rFonts w:ascii="Palatino Linotype" w:eastAsia="Palatino Linotype" w:hAnsi="Palatino Linotype" w:cs="Palatino Linotype"/>
          <w:sz w:val="24"/>
          <w:szCs w:val="24"/>
        </w:rPr>
        <w:t xml:space="preserve"> $</w:t>
      </w:r>
      <w:r w:rsidR="00124978">
        <w:rPr>
          <w:rFonts w:ascii="Palatino Linotype" w:eastAsia="Palatino Linotype" w:hAnsi="Palatino Linotype" w:cs="Palatino Linotype"/>
          <w:sz w:val="24"/>
          <w:szCs w:val="24"/>
        </w:rPr>
        <w:t>225,734</w:t>
      </w:r>
      <w:r>
        <w:rPr>
          <w:rFonts w:ascii="Palatino Linotype" w:eastAsia="Palatino Linotype" w:hAnsi="Palatino Linotype" w:cs="Palatino Linotype"/>
          <w:sz w:val="24"/>
          <w:szCs w:val="24"/>
        </w:rPr>
        <w:t xml:space="preserve"> decrease from the </w:t>
      </w:r>
      <w:r w:rsidR="0004514F">
        <w:rPr>
          <w:rFonts w:ascii="Palatino Linotype" w:eastAsia="Palatino Linotype" w:hAnsi="Palatino Linotype" w:cs="Palatino Linotype"/>
          <w:sz w:val="24"/>
          <w:szCs w:val="24"/>
        </w:rPr>
        <w:t>CHCF-A support of $</w:t>
      </w:r>
      <w:r w:rsidR="00124978">
        <w:rPr>
          <w:rFonts w:ascii="Palatino Linotype" w:eastAsia="Palatino Linotype" w:hAnsi="Palatino Linotype" w:cs="Palatino Linotype"/>
          <w:sz w:val="24"/>
          <w:szCs w:val="24"/>
        </w:rPr>
        <w:t>12,</w:t>
      </w:r>
      <w:r w:rsidR="0014339C">
        <w:rPr>
          <w:rFonts w:ascii="Palatino Linotype" w:eastAsia="Palatino Linotype" w:hAnsi="Palatino Linotype" w:cs="Palatino Linotype"/>
          <w:sz w:val="24"/>
          <w:szCs w:val="24"/>
        </w:rPr>
        <w:t>974,098</w:t>
      </w:r>
      <w:r>
        <w:rPr>
          <w:rFonts w:ascii="Palatino Linotype" w:eastAsia="Palatino Linotype" w:hAnsi="Palatino Linotype" w:cs="Palatino Linotype"/>
          <w:sz w:val="24"/>
          <w:szCs w:val="24"/>
        </w:rPr>
        <w:t xml:space="preserve"> approved in D.17-11-016, resulting in a revenue requirement of $23,349,684 and CHCF-A support of $12,748,363.  Sierra did not propose any other adjustments</w:t>
      </w:r>
      <w:r w:rsidR="00460204">
        <w:rPr>
          <w:rFonts w:ascii="Palatino Linotype" w:eastAsia="Palatino Linotype" w:hAnsi="Palatino Linotype" w:cs="Palatino Linotype"/>
          <w:sz w:val="24"/>
          <w:szCs w:val="24"/>
        </w:rPr>
        <w:t>.</w:t>
      </w:r>
    </w:p>
    <w:p w:rsidR="00144861" w:rsidRDefault="00144861" w:rsidP="0019205A">
      <w:pPr>
        <w:ind w:left="100" w:right="140"/>
        <w:rPr>
          <w:rFonts w:ascii="Palatino Linotype" w:eastAsia="Palatino Linotype" w:hAnsi="Palatino Linotype" w:cs="Palatino Linotype"/>
          <w:sz w:val="24"/>
          <w:szCs w:val="24"/>
        </w:rPr>
      </w:pPr>
    </w:p>
    <w:p w:rsidR="00721051" w:rsidRDefault="00721051" w:rsidP="00721051">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In May 2018, the Small ILECs submitted a letter to the Communications Division’s Director, citing a material change in the National Exchange Carrier Association’s (NECA) interpretation of how federal rules are to apply to deferred tax calculations in light of the TCJA.</w:t>
      </w:r>
      <w:r>
        <w:rPr>
          <w:rStyle w:val="FootnoteReference"/>
          <w:rFonts w:ascii="Palatino Linotype" w:eastAsia="Palatino Linotype" w:hAnsi="Palatino Linotype" w:cs="Palatino Linotype"/>
          <w:sz w:val="24"/>
          <w:szCs w:val="24"/>
        </w:rPr>
        <w:footnoteReference w:id="3"/>
      </w:r>
      <w:r>
        <w:rPr>
          <w:rFonts w:ascii="Palatino Linotype" w:eastAsia="Palatino Linotype" w:hAnsi="Palatino Linotype" w:cs="Palatino Linotype"/>
          <w:sz w:val="24"/>
          <w:szCs w:val="24"/>
        </w:rPr>
        <w:t xml:space="preserve">  NECA works with the Federal Communications Commission (FCC) and is responsible for interpreting federal separations and accounting requirements.  The letter revised/updated previous guidance that it provided to carriers in a January 2018 letter.  The new NECA interpretation instead requires regulated utilities to “follow the normalization method of accounting and flow back the excess deferred taxes ratably over the life of the timing difference that gave rise to the excess.” </w:t>
      </w:r>
    </w:p>
    <w:p w:rsidR="005C2BE0" w:rsidRDefault="005C2BE0" w:rsidP="00A269B5">
      <w:pPr>
        <w:ind w:left="100" w:right="62"/>
        <w:rPr>
          <w:rFonts w:ascii="Palatino Linotype" w:eastAsia="Palatino Linotype" w:hAnsi="Palatino Linotype" w:cs="Palatino Linotype"/>
          <w:sz w:val="24"/>
          <w:szCs w:val="24"/>
        </w:rPr>
      </w:pPr>
    </w:p>
    <w:p w:rsidR="00E07A4F" w:rsidRPr="008D6077" w:rsidRDefault="000D223F" w:rsidP="00D24B44">
      <w:pPr>
        <w:ind w:right="401"/>
        <w:rPr>
          <w:rFonts w:ascii="Palatino Linotype" w:eastAsia="Palatino Linotype" w:hAnsi="Palatino Linotype" w:cs="Palatino Linotype"/>
          <w:b/>
          <w:sz w:val="24"/>
          <w:szCs w:val="24"/>
        </w:rPr>
      </w:pPr>
      <w:r w:rsidRPr="008D6077">
        <w:rPr>
          <w:rFonts w:ascii="Palatino Linotype" w:eastAsia="Palatino Linotype" w:hAnsi="Palatino Linotype" w:cs="Palatino Linotype"/>
          <w:b/>
          <w:sz w:val="24"/>
          <w:szCs w:val="24"/>
        </w:rPr>
        <w:t>Notice/Protest</w:t>
      </w:r>
    </w:p>
    <w:p w:rsidR="000D223F" w:rsidRDefault="000D223F" w:rsidP="00D24B44">
      <w:pPr>
        <w:ind w:right="401"/>
        <w:rPr>
          <w:rFonts w:ascii="Palatino Linotype" w:eastAsia="Palatino Linotype" w:hAnsi="Palatino Linotype" w:cs="Palatino Linotype"/>
          <w:sz w:val="24"/>
          <w:szCs w:val="24"/>
        </w:rPr>
      </w:pPr>
    </w:p>
    <w:p w:rsidR="00460204" w:rsidRDefault="000D223F" w:rsidP="00D24B44">
      <w:p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Commission Daily Calendar published Notice of AL </w:t>
      </w:r>
      <w:r w:rsidR="003D48B4">
        <w:rPr>
          <w:rFonts w:ascii="Palatino Linotype" w:eastAsia="Palatino Linotype" w:hAnsi="Palatino Linotype" w:cs="Palatino Linotype"/>
          <w:sz w:val="24"/>
          <w:szCs w:val="24"/>
        </w:rPr>
        <w:t>450</w:t>
      </w:r>
      <w:r>
        <w:rPr>
          <w:rFonts w:ascii="Palatino Linotype" w:eastAsia="Palatino Linotype" w:hAnsi="Palatino Linotype" w:cs="Palatino Linotype"/>
          <w:sz w:val="24"/>
          <w:szCs w:val="24"/>
        </w:rPr>
        <w:t xml:space="preserve"> on February </w:t>
      </w:r>
      <w:r w:rsidR="0041656C">
        <w:rPr>
          <w:rFonts w:ascii="Palatino Linotype" w:eastAsia="Palatino Linotype" w:hAnsi="Palatino Linotype" w:cs="Palatino Linotype"/>
          <w:sz w:val="24"/>
          <w:szCs w:val="24"/>
        </w:rPr>
        <w:t>0</w:t>
      </w:r>
      <w:r w:rsidR="003D48B4">
        <w:rPr>
          <w:rFonts w:ascii="Palatino Linotype" w:eastAsia="Palatino Linotype" w:hAnsi="Palatino Linotype" w:cs="Palatino Linotype"/>
          <w:sz w:val="24"/>
          <w:szCs w:val="24"/>
        </w:rPr>
        <w:t>5</w:t>
      </w:r>
      <w:r>
        <w:rPr>
          <w:rFonts w:ascii="Palatino Linotype" w:eastAsia="Palatino Linotype" w:hAnsi="Palatino Linotype" w:cs="Palatino Linotype"/>
          <w:sz w:val="24"/>
          <w:szCs w:val="24"/>
        </w:rPr>
        <w:t>,</w:t>
      </w:r>
      <w:r w:rsidR="00460204">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 xml:space="preserve">2018.  </w:t>
      </w:r>
      <w:r w:rsidR="008B2484">
        <w:rPr>
          <w:rFonts w:ascii="Palatino Linotype" w:eastAsia="Palatino Linotype" w:hAnsi="Palatino Linotype" w:cs="Palatino Linotype"/>
          <w:sz w:val="24"/>
          <w:szCs w:val="24"/>
        </w:rPr>
        <w:t xml:space="preserve">The </w:t>
      </w:r>
      <w:r w:rsidR="00460204" w:rsidRPr="00C6420B">
        <w:rPr>
          <w:rFonts w:ascii="Palatino Linotype" w:eastAsia="Palatino Linotype" w:hAnsi="Palatino Linotype" w:cs="Palatino Linotype"/>
          <w:sz w:val="24"/>
          <w:szCs w:val="24"/>
        </w:rPr>
        <w:t xml:space="preserve">Office of Ratepayer Advocate </w:t>
      </w:r>
      <w:r w:rsidR="00460204">
        <w:rPr>
          <w:rFonts w:ascii="Palatino Linotype" w:eastAsia="Palatino Linotype" w:hAnsi="Palatino Linotype" w:cs="Palatino Linotype"/>
          <w:sz w:val="24"/>
          <w:szCs w:val="24"/>
        </w:rPr>
        <w:t xml:space="preserve">(ORA) </w:t>
      </w:r>
      <w:r w:rsidR="008B2484">
        <w:rPr>
          <w:rFonts w:ascii="Palatino Linotype" w:eastAsia="Palatino Linotype" w:hAnsi="Palatino Linotype" w:cs="Palatino Linotype"/>
          <w:sz w:val="24"/>
          <w:szCs w:val="24"/>
        </w:rPr>
        <w:t>filed</w:t>
      </w:r>
      <w:r w:rsidR="00460204">
        <w:rPr>
          <w:rFonts w:ascii="Palatino Linotype" w:eastAsia="Palatino Linotype" w:hAnsi="Palatino Linotype" w:cs="Palatino Linotype"/>
          <w:sz w:val="24"/>
          <w:szCs w:val="24"/>
        </w:rPr>
        <w:t xml:space="preserve"> </w:t>
      </w:r>
      <w:r w:rsidR="008B2484">
        <w:rPr>
          <w:rFonts w:ascii="Palatino Linotype" w:eastAsia="Palatino Linotype" w:hAnsi="Palatino Linotype" w:cs="Palatino Linotype"/>
          <w:sz w:val="24"/>
          <w:szCs w:val="24"/>
        </w:rPr>
        <w:t>a</w:t>
      </w:r>
      <w:r w:rsidR="00460204">
        <w:rPr>
          <w:rFonts w:ascii="Palatino Linotype" w:eastAsia="Palatino Linotype" w:hAnsi="Palatino Linotype" w:cs="Palatino Linotype"/>
          <w:sz w:val="24"/>
          <w:szCs w:val="24"/>
        </w:rPr>
        <w:t xml:space="preserve"> protest </w:t>
      </w:r>
      <w:r w:rsidR="008B2484">
        <w:rPr>
          <w:rFonts w:ascii="Palatino Linotype" w:eastAsia="Palatino Linotype" w:hAnsi="Palatino Linotype" w:cs="Palatino Linotype"/>
          <w:sz w:val="24"/>
          <w:szCs w:val="24"/>
        </w:rPr>
        <w:t>to AL</w:t>
      </w:r>
      <w:r w:rsidR="00460204">
        <w:rPr>
          <w:rFonts w:ascii="Palatino Linotype" w:eastAsia="Palatino Linotype" w:hAnsi="Palatino Linotype" w:cs="Palatino Linotype"/>
          <w:sz w:val="24"/>
          <w:szCs w:val="24"/>
        </w:rPr>
        <w:t xml:space="preserve"> </w:t>
      </w:r>
      <w:r w:rsidR="003D48B4">
        <w:rPr>
          <w:rFonts w:ascii="Palatino Linotype" w:eastAsia="Palatino Linotype" w:hAnsi="Palatino Linotype" w:cs="Palatino Linotype"/>
          <w:sz w:val="24"/>
          <w:szCs w:val="24"/>
        </w:rPr>
        <w:t>450</w:t>
      </w:r>
      <w:r w:rsidR="00460204">
        <w:rPr>
          <w:rFonts w:ascii="Palatino Linotype" w:eastAsia="Palatino Linotype" w:hAnsi="Palatino Linotype" w:cs="Palatino Linotype"/>
          <w:sz w:val="24"/>
          <w:szCs w:val="24"/>
        </w:rPr>
        <w:t xml:space="preserve"> on February 20, 2018.  </w:t>
      </w:r>
      <w:r w:rsidR="008B2484">
        <w:rPr>
          <w:rFonts w:ascii="Palatino Linotype" w:eastAsia="Palatino Linotype" w:hAnsi="Palatino Linotype" w:cs="Palatino Linotype"/>
          <w:sz w:val="24"/>
          <w:szCs w:val="24"/>
        </w:rPr>
        <w:t>ORA</w:t>
      </w:r>
      <w:r w:rsidR="00460204">
        <w:rPr>
          <w:rFonts w:ascii="Palatino Linotype" w:eastAsia="Palatino Linotype" w:hAnsi="Palatino Linotype" w:cs="Palatino Linotype"/>
          <w:sz w:val="24"/>
          <w:szCs w:val="24"/>
        </w:rPr>
        <w:t xml:space="preserve"> indicated that (1) </w:t>
      </w:r>
      <w:r w:rsidR="003D48B4">
        <w:rPr>
          <w:rFonts w:ascii="Palatino Linotype" w:eastAsia="Palatino Linotype" w:hAnsi="Palatino Linotype" w:cs="Palatino Linotype"/>
          <w:sz w:val="24"/>
          <w:szCs w:val="24"/>
        </w:rPr>
        <w:t xml:space="preserve">Sierra </w:t>
      </w:r>
      <w:r w:rsidR="00460204" w:rsidRPr="00D3583E">
        <w:rPr>
          <w:rFonts w:ascii="Palatino Linotype" w:eastAsia="Palatino Linotype" w:hAnsi="Palatino Linotype" w:cs="Palatino Linotype"/>
          <w:sz w:val="24"/>
          <w:szCs w:val="24"/>
        </w:rPr>
        <w:t>did not include all necessary adjustments</w:t>
      </w:r>
      <w:r w:rsidR="00460204">
        <w:rPr>
          <w:rFonts w:ascii="Palatino Linotype" w:eastAsia="Palatino Linotype" w:hAnsi="Palatino Linotype" w:cs="Palatino Linotype"/>
          <w:sz w:val="24"/>
          <w:szCs w:val="24"/>
        </w:rPr>
        <w:t xml:space="preserve"> to accurately reflect changes to the federal income tax rate</w:t>
      </w:r>
      <w:r w:rsidR="006D2129">
        <w:rPr>
          <w:rFonts w:ascii="Palatino Linotype" w:eastAsia="Palatino Linotype" w:hAnsi="Palatino Linotype" w:cs="Palatino Linotype"/>
          <w:sz w:val="24"/>
          <w:szCs w:val="24"/>
        </w:rPr>
        <w:t>;</w:t>
      </w:r>
      <w:r w:rsidR="00460204">
        <w:rPr>
          <w:rFonts w:ascii="Palatino Linotype" w:eastAsia="Palatino Linotype" w:hAnsi="Palatino Linotype" w:cs="Palatino Linotype"/>
          <w:sz w:val="24"/>
          <w:szCs w:val="24"/>
        </w:rPr>
        <w:t xml:space="preserve"> (2) </w:t>
      </w:r>
      <w:r w:rsidR="003D48B4">
        <w:rPr>
          <w:rFonts w:ascii="Palatino Linotype" w:eastAsia="Palatino Linotype" w:hAnsi="Palatino Linotype" w:cs="Palatino Linotype"/>
          <w:sz w:val="24"/>
          <w:szCs w:val="24"/>
        </w:rPr>
        <w:t xml:space="preserve">Sierra </w:t>
      </w:r>
      <w:r w:rsidR="00460204">
        <w:rPr>
          <w:rFonts w:ascii="Palatino Linotype" w:eastAsia="Palatino Linotype" w:hAnsi="Palatino Linotype" w:cs="Palatino Linotype"/>
          <w:sz w:val="24"/>
          <w:szCs w:val="24"/>
        </w:rPr>
        <w:t>proposed a revenue requirement that could result in excess revenue and excess CHCF-A support</w:t>
      </w:r>
      <w:r w:rsidR="006D2129">
        <w:rPr>
          <w:rFonts w:ascii="Palatino Linotype" w:eastAsia="Palatino Linotype" w:hAnsi="Palatino Linotype" w:cs="Palatino Linotype"/>
          <w:sz w:val="24"/>
          <w:szCs w:val="24"/>
        </w:rPr>
        <w:t>;</w:t>
      </w:r>
      <w:r w:rsidR="00460204">
        <w:rPr>
          <w:rFonts w:ascii="Palatino Linotype" w:eastAsia="Palatino Linotype" w:hAnsi="Palatino Linotype" w:cs="Palatino Linotype"/>
          <w:sz w:val="24"/>
          <w:szCs w:val="24"/>
        </w:rPr>
        <w:t xml:space="preserve"> and (3) </w:t>
      </w:r>
      <w:r w:rsidR="008B2484">
        <w:rPr>
          <w:rFonts w:ascii="Palatino Linotype" w:eastAsia="Palatino Linotype" w:hAnsi="Palatino Linotype" w:cs="Palatino Linotype"/>
          <w:sz w:val="24"/>
          <w:szCs w:val="24"/>
        </w:rPr>
        <w:t xml:space="preserve">that </w:t>
      </w:r>
      <w:r w:rsidR="003D48B4">
        <w:rPr>
          <w:rFonts w:ascii="Palatino Linotype" w:eastAsia="Palatino Linotype" w:hAnsi="Palatino Linotype" w:cs="Palatino Linotype"/>
          <w:sz w:val="24"/>
          <w:szCs w:val="24"/>
        </w:rPr>
        <w:t>Sierra</w:t>
      </w:r>
      <w:r w:rsidR="008B2484">
        <w:rPr>
          <w:rFonts w:ascii="Palatino Linotype" w:eastAsia="Palatino Linotype" w:hAnsi="Palatino Linotype" w:cs="Palatino Linotype"/>
          <w:sz w:val="24"/>
          <w:szCs w:val="24"/>
        </w:rPr>
        <w:t xml:space="preserve"> should calculate</w:t>
      </w:r>
      <w:r w:rsidR="00460204">
        <w:rPr>
          <w:rFonts w:ascii="Palatino Linotype" w:eastAsia="Palatino Linotype" w:hAnsi="Palatino Linotype" w:cs="Palatino Linotype"/>
          <w:sz w:val="24"/>
          <w:szCs w:val="24"/>
        </w:rPr>
        <w:t xml:space="preserve"> excess reserve tax </w:t>
      </w:r>
      <w:r w:rsidR="008B2484">
        <w:rPr>
          <w:rFonts w:ascii="Palatino Linotype" w:eastAsia="Palatino Linotype" w:hAnsi="Palatino Linotype" w:cs="Palatino Linotype"/>
          <w:sz w:val="24"/>
          <w:szCs w:val="24"/>
        </w:rPr>
        <w:t>to be</w:t>
      </w:r>
      <w:r w:rsidR="00460204">
        <w:rPr>
          <w:rFonts w:ascii="Palatino Linotype" w:eastAsia="Palatino Linotype" w:hAnsi="Palatino Linotype" w:cs="Palatino Linotype"/>
          <w:sz w:val="24"/>
          <w:szCs w:val="24"/>
        </w:rPr>
        <w:t xml:space="preserve"> </w:t>
      </w:r>
      <w:r w:rsidR="008B2484">
        <w:rPr>
          <w:rFonts w:ascii="Palatino Linotype" w:eastAsia="Palatino Linotype" w:hAnsi="Palatino Linotype" w:cs="Palatino Linotype"/>
          <w:sz w:val="24"/>
          <w:szCs w:val="24"/>
        </w:rPr>
        <w:t>“flowed through”</w:t>
      </w:r>
      <w:r w:rsidR="00460204">
        <w:rPr>
          <w:rFonts w:ascii="Palatino Linotype" w:eastAsia="Palatino Linotype" w:hAnsi="Palatino Linotype" w:cs="Palatino Linotype"/>
          <w:sz w:val="24"/>
          <w:szCs w:val="24"/>
        </w:rPr>
        <w:t xml:space="preserve"> back to the ratepayers.  </w:t>
      </w:r>
    </w:p>
    <w:p w:rsidR="00460204" w:rsidRDefault="00460204" w:rsidP="00D24B44">
      <w:pPr>
        <w:ind w:right="401"/>
        <w:rPr>
          <w:rFonts w:ascii="Palatino Linotype" w:eastAsia="Palatino Linotype" w:hAnsi="Palatino Linotype" w:cs="Palatino Linotype"/>
          <w:sz w:val="24"/>
          <w:szCs w:val="24"/>
        </w:rPr>
      </w:pPr>
    </w:p>
    <w:p w:rsidR="00721051" w:rsidRDefault="00460204" w:rsidP="00721051">
      <w:p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sidR="00721051">
        <w:rPr>
          <w:rFonts w:ascii="Palatino Linotype" w:eastAsia="Palatino Linotype" w:hAnsi="Palatino Linotype" w:cs="Palatino Linotype"/>
          <w:sz w:val="24"/>
          <w:szCs w:val="24"/>
        </w:rPr>
        <w:t xml:space="preserve">Sierra’s responded to ORA’s protest on February 28, 2018, stating that AL 450 was properly supported and submitted.  Sierra claims that ORA’s protest has no merit and should be rejected. </w:t>
      </w:r>
    </w:p>
    <w:p w:rsidR="00460204" w:rsidRDefault="00460204" w:rsidP="00D24B44">
      <w:pPr>
        <w:ind w:right="401"/>
        <w:rPr>
          <w:rFonts w:ascii="Palatino Linotype" w:eastAsia="Palatino Linotype" w:hAnsi="Palatino Linotype" w:cs="Palatino Linotype"/>
          <w:sz w:val="24"/>
          <w:szCs w:val="24"/>
        </w:rPr>
      </w:pPr>
    </w:p>
    <w:p w:rsidR="00167F2A" w:rsidRDefault="00167F2A" w:rsidP="00D24B44">
      <w:pPr>
        <w:ind w:right="401"/>
        <w:rPr>
          <w:rFonts w:ascii="Palatino Linotype" w:eastAsia="Palatino Linotype" w:hAnsi="Palatino Linotype" w:cs="Palatino Linotype"/>
          <w:sz w:val="24"/>
          <w:szCs w:val="24"/>
        </w:rPr>
      </w:pPr>
    </w:p>
    <w:p w:rsidR="00D6611F" w:rsidRPr="00B23A5C" w:rsidRDefault="00490173" w:rsidP="00D24B44">
      <w:pPr>
        <w:rPr>
          <w:rFonts w:ascii="Palatino Linotype" w:eastAsia="Palatino Linotype" w:hAnsi="Palatino Linotype" w:cs="Palatino Linotype"/>
          <w:sz w:val="24"/>
          <w:szCs w:val="24"/>
          <w:u w:val="single"/>
        </w:rPr>
      </w:pPr>
      <w:r w:rsidRPr="00B23A5C">
        <w:rPr>
          <w:rFonts w:ascii="Palatino Linotype" w:eastAsia="Palatino Linotype" w:hAnsi="Palatino Linotype" w:cs="Palatino Linotype"/>
          <w:b/>
          <w:sz w:val="24"/>
          <w:szCs w:val="24"/>
          <w:u w:val="single"/>
        </w:rPr>
        <w:t>D</w:t>
      </w:r>
      <w:r w:rsidR="00B23A5C" w:rsidRPr="00B23A5C">
        <w:rPr>
          <w:rFonts w:ascii="Palatino Linotype" w:eastAsia="Palatino Linotype" w:hAnsi="Palatino Linotype" w:cs="Palatino Linotype"/>
          <w:b/>
          <w:sz w:val="24"/>
          <w:szCs w:val="24"/>
          <w:u w:val="single"/>
        </w:rPr>
        <w:t>ISCUSSION</w:t>
      </w:r>
    </w:p>
    <w:p w:rsidR="00CF6688" w:rsidRDefault="00CF6688" w:rsidP="00D24B44">
      <w:pPr>
        <w:ind w:right="401"/>
        <w:rPr>
          <w:rFonts w:ascii="Palatino Linotype" w:eastAsia="Palatino Linotype" w:hAnsi="Palatino Linotype" w:cs="Palatino Linotype"/>
          <w:sz w:val="24"/>
          <w:szCs w:val="24"/>
        </w:rPr>
      </w:pPr>
    </w:p>
    <w:p w:rsidR="001F1656" w:rsidRPr="006D73B5" w:rsidRDefault="001F1656" w:rsidP="00D24B44">
      <w:pPr>
        <w:ind w:right="401"/>
        <w:rPr>
          <w:rFonts w:ascii="Palatino Linotype" w:eastAsia="Palatino Linotype" w:hAnsi="Palatino Linotype" w:cs="Palatino Linotype"/>
          <w:sz w:val="24"/>
          <w:szCs w:val="24"/>
          <w:u w:val="single"/>
        </w:rPr>
      </w:pPr>
      <w:r w:rsidRPr="006D73B5">
        <w:rPr>
          <w:rFonts w:ascii="Palatino Linotype" w:eastAsia="Palatino Linotype" w:hAnsi="Palatino Linotype" w:cs="Palatino Linotype"/>
          <w:sz w:val="24"/>
          <w:szCs w:val="24"/>
          <w:u w:val="single"/>
        </w:rPr>
        <w:t>Staff’s Review of Sierra’s Methodology</w:t>
      </w:r>
    </w:p>
    <w:p w:rsidR="001F1656" w:rsidRDefault="001F1656" w:rsidP="00D24B44">
      <w:pPr>
        <w:ind w:right="401"/>
        <w:rPr>
          <w:rFonts w:ascii="Palatino Linotype" w:eastAsia="Palatino Linotype" w:hAnsi="Palatino Linotype" w:cs="Palatino Linotype"/>
          <w:sz w:val="24"/>
          <w:szCs w:val="24"/>
        </w:rPr>
      </w:pPr>
    </w:p>
    <w:p w:rsidR="00F31895" w:rsidRDefault="00FF0A56" w:rsidP="00D24B44">
      <w:p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Staff has reviewed </w:t>
      </w:r>
      <w:r w:rsidR="003D48B4">
        <w:rPr>
          <w:rFonts w:ascii="Palatino Linotype" w:eastAsia="Palatino Linotype" w:hAnsi="Palatino Linotype" w:cs="Palatino Linotype"/>
          <w:sz w:val="24"/>
          <w:szCs w:val="24"/>
        </w:rPr>
        <w:t>Sierra’s</w:t>
      </w:r>
      <w:r>
        <w:rPr>
          <w:rFonts w:ascii="Palatino Linotype" w:eastAsia="Palatino Linotype" w:hAnsi="Palatino Linotype" w:cs="Palatino Linotype"/>
          <w:sz w:val="24"/>
          <w:szCs w:val="24"/>
        </w:rPr>
        <w:t xml:space="preserve"> AL </w:t>
      </w:r>
      <w:r w:rsidR="003D48B4">
        <w:rPr>
          <w:rFonts w:ascii="Palatino Linotype" w:eastAsia="Palatino Linotype" w:hAnsi="Palatino Linotype" w:cs="Palatino Linotype"/>
          <w:sz w:val="24"/>
          <w:szCs w:val="24"/>
        </w:rPr>
        <w:t>450</w:t>
      </w:r>
      <w:r w:rsidR="00721051">
        <w:rPr>
          <w:rFonts w:ascii="Palatino Linotype" w:eastAsia="Palatino Linotype" w:hAnsi="Palatino Linotype" w:cs="Palatino Linotype"/>
          <w:sz w:val="24"/>
          <w:szCs w:val="24"/>
        </w:rPr>
        <w:t xml:space="preserve"> and observes that Sierra calculated the </w:t>
      </w:r>
      <w:proofErr w:type="gramStart"/>
      <w:r w:rsidR="00721051">
        <w:rPr>
          <w:rFonts w:ascii="Palatino Linotype" w:eastAsia="Palatino Linotype" w:hAnsi="Palatino Linotype" w:cs="Palatino Linotype"/>
          <w:sz w:val="24"/>
          <w:szCs w:val="24"/>
        </w:rPr>
        <w:t xml:space="preserve">new </w:t>
      </w:r>
      <w:r w:rsidR="005D0B3B">
        <w:rPr>
          <w:rFonts w:ascii="Palatino Linotype" w:eastAsia="Palatino Linotype" w:hAnsi="Palatino Linotype" w:cs="Palatino Linotype"/>
          <w:sz w:val="24"/>
          <w:szCs w:val="24"/>
        </w:rPr>
        <w:t xml:space="preserve"> federal</w:t>
      </w:r>
      <w:proofErr w:type="gramEnd"/>
      <w:r w:rsidR="005D0B3B">
        <w:rPr>
          <w:rFonts w:ascii="Palatino Linotype" w:eastAsia="Palatino Linotype" w:hAnsi="Palatino Linotype" w:cs="Palatino Linotype"/>
          <w:sz w:val="24"/>
          <w:szCs w:val="24"/>
        </w:rPr>
        <w:t xml:space="preserve"> income tax </w:t>
      </w:r>
      <w:r w:rsidR="00721051">
        <w:rPr>
          <w:rFonts w:ascii="Palatino Linotype" w:eastAsia="Palatino Linotype" w:hAnsi="Palatino Linotype" w:cs="Palatino Linotype"/>
          <w:sz w:val="24"/>
          <w:szCs w:val="24"/>
        </w:rPr>
        <w:t xml:space="preserve">by </w:t>
      </w:r>
      <w:r w:rsidR="00CC04EC">
        <w:rPr>
          <w:rFonts w:ascii="Palatino Linotype" w:eastAsia="Palatino Linotype" w:hAnsi="Palatino Linotype" w:cs="Palatino Linotype"/>
          <w:sz w:val="24"/>
          <w:szCs w:val="24"/>
        </w:rPr>
        <w:t xml:space="preserve">adjusting the </w:t>
      </w:r>
      <w:r w:rsidR="005D1442">
        <w:rPr>
          <w:rFonts w:ascii="Palatino Linotype" w:eastAsia="Palatino Linotype" w:hAnsi="Palatino Linotype" w:cs="Palatino Linotype"/>
          <w:sz w:val="24"/>
          <w:szCs w:val="24"/>
        </w:rPr>
        <w:t>operating tax expense and</w:t>
      </w:r>
      <w:r w:rsidR="00CC04EC">
        <w:rPr>
          <w:rFonts w:ascii="Palatino Linotype" w:eastAsia="Palatino Linotype" w:hAnsi="Palatino Linotype" w:cs="Palatino Linotype"/>
          <w:sz w:val="24"/>
          <w:szCs w:val="24"/>
        </w:rPr>
        <w:t xml:space="preserve"> deferred (income) tax</w:t>
      </w:r>
      <w:r w:rsidR="00327962">
        <w:rPr>
          <w:rFonts w:ascii="Palatino Linotype" w:eastAsia="Palatino Linotype" w:hAnsi="Palatino Linotype" w:cs="Palatino Linotype"/>
          <w:sz w:val="24"/>
          <w:szCs w:val="24"/>
        </w:rPr>
        <w:t xml:space="preserve"> reserve at the new 21% tax rate </w:t>
      </w:r>
      <w:r w:rsidR="00CC04EC">
        <w:rPr>
          <w:rFonts w:ascii="Palatino Linotype" w:eastAsia="Palatino Linotype" w:hAnsi="Palatino Linotype" w:cs="Palatino Linotype"/>
          <w:sz w:val="24"/>
          <w:szCs w:val="24"/>
        </w:rPr>
        <w:t xml:space="preserve">and then </w:t>
      </w:r>
      <w:r w:rsidR="00721051">
        <w:rPr>
          <w:rFonts w:ascii="Palatino Linotype" w:eastAsia="Palatino Linotype" w:hAnsi="Palatino Linotype" w:cs="Palatino Linotype"/>
          <w:sz w:val="24"/>
          <w:szCs w:val="24"/>
        </w:rPr>
        <w:t xml:space="preserve">by </w:t>
      </w:r>
      <w:r w:rsidR="00CC04EC">
        <w:rPr>
          <w:rFonts w:ascii="Palatino Linotype" w:eastAsia="Palatino Linotype" w:hAnsi="Palatino Linotype" w:cs="Palatino Linotype"/>
          <w:sz w:val="24"/>
          <w:szCs w:val="24"/>
        </w:rPr>
        <w:t>appl</w:t>
      </w:r>
      <w:r w:rsidR="00721051">
        <w:rPr>
          <w:rFonts w:ascii="Palatino Linotype" w:eastAsia="Palatino Linotype" w:hAnsi="Palatino Linotype" w:cs="Palatino Linotype"/>
          <w:sz w:val="24"/>
          <w:szCs w:val="24"/>
        </w:rPr>
        <w:t>ying</w:t>
      </w:r>
      <w:r w:rsidR="00CC04EC">
        <w:rPr>
          <w:rFonts w:ascii="Palatino Linotype" w:eastAsia="Palatino Linotype" w:hAnsi="Palatino Linotype" w:cs="Palatino Linotype"/>
          <w:sz w:val="24"/>
          <w:szCs w:val="24"/>
        </w:rPr>
        <w:t xml:space="preserve"> </w:t>
      </w:r>
      <w:r w:rsidR="00165079">
        <w:rPr>
          <w:rFonts w:ascii="Palatino Linotype" w:eastAsia="Palatino Linotype" w:hAnsi="Palatino Linotype" w:cs="Palatino Linotype"/>
          <w:sz w:val="24"/>
          <w:szCs w:val="24"/>
        </w:rPr>
        <w:t xml:space="preserve">this </w:t>
      </w:r>
      <w:r w:rsidR="005D1442">
        <w:rPr>
          <w:rFonts w:ascii="Palatino Linotype" w:eastAsia="Palatino Linotype" w:hAnsi="Palatino Linotype" w:cs="Palatino Linotype"/>
          <w:sz w:val="24"/>
          <w:szCs w:val="24"/>
        </w:rPr>
        <w:t xml:space="preserve">adjustment to reduce the level of CHCF-A </w:t>
      </w:r>
      <w:r w:rsidR="00CC04EC">
        <w:rPr>
          <w:rFonts w:ascii="Palatino Linotype" w:eastAsia="Palatino Linotype" w:hAnsi="Palatino Linotype" w:cs="Palatino Linotype"/>
          <w:sz w:val="24"/>
          <w:szCs w:val="24"/>
        </w:rPr>
        <w:t>operating revenue</w:t>
      </w:r>
      <w:r w:rsidR="005D1442">
        <w:rPr>
          <w:rFonts w:ascii="Palatino Linotype" w:eastAsia="Palatino Linotype" w:hAnsi="Palatino Linotype" w:cs="Palatino Linotype"/>
          <w:sz w:val="24"/>
          <w:szCs w:val="24"/>
        </w:rPr>
        <w:t>s</w:t>
      </w:r>
      <w:r w:rsidR="00CC04EC">
        <w:rPr>
          <w:rFonts w:ascii="Palatino Linotype" w:eastAsia="Palatino Linotype" w:hAnsi="Palatino Linotype" w:cs="Palatino Linotype"/>
          <w:sz w:val="24"/>
          <w:szCs w:val="24"/>
        </w:rPr>
        <w:t>.</w:t>
      </w:r>
      <w:r w:rsidR="00721051">
        <w:rPr>
          <w:rFonts w:ascii="Palatino Linotype" w:eastAsia="Palatino Linotype" w:hAnsi="Palatino Linotype" w:cs="Palatino Linotype"/>
          <w:sz w:val="24"/>
          <w:szCs w:val="24"/>
        </w:rPr>
        <w:t xml:space="preserve">  Under Sierra’s method,</w:t>
      </w:r>
      <w:r w:rsidR="006D2129">
        <w:rPr>
          <w:rFonts w:ascii="Palatino Linotype" w:eastAsia="Palatino Linotype" w:hAnsi="Palatino Linotype" w:cs="Palatino Linotype"/>
          <w:sz w:val="24"/>
          <w:szCs w:val="24"/>
        </w:rPr>
        <w:t xml:space="preserve"> </w:t>
      </w:r>
      <w:r w:rsidR="00721051">
        <w:rPr>
          <w:rFonts w:ascii="Palatino Linotype" w:eastAsia="Palatino Linotype" w:hAnsi="Palatino Linotype" w:cs="Palatino Linotype"/>
          <w:sz w:val="24"/>
          <w:szCs w:val="24"/>
        </w:rPr>
        <w:t>t</w:t>
      </w:r>
      <w:r w:rsidR="00CC04EC">
        <w:rPr>
          <w:rFonts w:ascii="Palatino Linotype" w:eastAsia="Palatino Linotype" w:hAnsi="Palatino Linotype" w:cs="Palatino Linotype"/>
          <w:sz w:val="24"/>
          <w:szCs w:val="24"/>
        </w:rPr>
        <w:t xml:space="preserve">he recalculated income tax </w:t>
      </w:r>
      <w:r w:rsidR="00721051">
        <w:rPr>
          <w:rFonts w:ascii="Palatino Linotype" w:eastAsia="Palatino Linotype" w:hAnsi="Palatino Linotype" w:cs="Palatino Linotype"/>
          <w:sz w:val="24"/>
          <w:szCs w:val="24"/>
        </w:rPr>
        <w:t xml:space="preserve">caused </w:t>
      </w:r>
      <w:r w:rsidR="00CC04EC">
        <w:rPr>
          <w:rFonts w:ascii="Palatino Linotype" w:eastAsia="Palatino Linotype" w:hAnsi="Palatino Linotype" w:cs="Palatino Linotype"/>
          <w:sz w:val="24"/>
          <w:szCs w:val="24"/>
        </w:rPr>
        <w:t>a $</w:t>
      </w:r>
      <w:r w:rsidR="003D48B4">
        <w:rPr>
          <w:rFonts w:ascii="Palatino Linotype" w:eastAsia="Palatino Linotype" w:hAnsi="Palatino Linotype" w:cs="Palatino Linotype"/>
          <w:sz w:val="24"/>
          <w:szCs w:val="24"/>
        </w:rPr>
        <w:t>225,735</w:t>
      </w:r>
      <w:r w:rsidR="00CC04EC">
        <w:rPr>
          <w:rFonts w:ascii="Palatino Linotype" w:eastAsia="Palatino Linotype" w:hAnsi="Palatino Linotype" w:cs="Palatino Linotype"/>
          <w:sz w:val="24"/>
          <w:szCs w:val="24"/>
        </w:rPr>
        <w:t xml:space="preserve"> reduction in </w:t>
      </w:r>
      <w:r w:rsidR="003D48B4">
        <w:rPr>
          <w:rFonts w:ascii="Palatino Linotype" w:eastAsia="Palatino Linotype" w:hAnsi="Palatino Linotype" w:cs="Palatino Linotype"/>
          <w:sz w:val="24"/>
          <w:szCs w:val="24"/>
        </w:rPr>
        <w:t>Sierra’s</w:t>
      </w:r>
      <w:r w:rsidR="00CC04EC">
        <w:rPr>
          <w:rFonts w:ascii="Palatino Linotype" w:eastAsia="Palatino Linotype" w:hAnsi="Palatino Linotype" w:cs="Palatino Linotype"/>
          <w:sz w:val="24"/>
          <w:szCs w:val="24"/>
        </w:rPr>
        <w:t xml:space="preserve"> revenue </w:t>
      </w:r>
      <w:r w:rsidR="000D7016">
        <w:rPr>
          <w:rFonts w:ascii="Palatino Linotype" w:eastAsia="Palatino Linotype" w:hAnsi="Palatino Linotype" w:cs="Palatino Linotype"/>
          <w:sz w:val="24"/>
          <w:szCs w:val="24"/>
        </w:rPr>
        <w:t>r</w:t>
      </w:r>
      <w:r w:rsidR="00CC04EC">
        <w:rPr>
          <w:rFonts w:ascii="Palatino Linotype" w:eastAsia="Palatino Linotype" w:hAnsi="Palatino Linotype" w:cs="Palatino Linotype"/>
          <w:sz w:val="24"/>
          <w:szCs w:val="24"/>
        </w:rPr>
        <w:t xml:space="preserve">equirement for </w:t>
      </w:r>
      <w:r w:rsidR="00165079">
        <w:rPr>
          <w:rFonts w:ascii="Palatino Linotype" w:eastAsia="Palatino Linotype" w:hAnsi="Palatino Linotype" w:cs="Palatino Linotype"/>
          <w:sz w:val="24"/>
          <w:szCs w:val="24"/>
        </w:rPr>
        <w:t xml:space="preserve">TY </w:t>
      </w:r>
      <w:r w:rsidR="00CC04EC">
        <w:rPr>
          <w:rFonts w:ascii="Palatino Linotype" w:eastAsia="Palatino Linotype" w:hAnsi="Palatino Linotype" w:cs="Palatino Linotype"/>
          <w:sz w:val="24"/>
          <w:szCs w:val="24"/>
        </w:rPr>
        <w:t>2018</w:t>
      </w:r>
      <w:r w:rsidR="00721051">
        <w:rPr>
          <w:rFonts w:ascii="Palatino Linotype" w:eastAsia="Palatino Linotype" w:hAnsi="Palatino Linotype" w:cs="Palatino Linotype"/>
          <w:sz w:val="24"/>
          <w:szCs w:val="24"/>
        </w:rPr>
        <w:t xml:space="preserve"> from $22,575,419</w:t>
      </w:r>
      <w:r w:rsidR="0041656C">
        <w:rPr>
          <w:rFonts w:ascii="Palatino Linotype" w:eastAsia="Palatino Linotype" w:hAnsi="Palatino Linotype" w:cs="Palatino Linotype"/>
          <w:sz w:val="24"/>
          <w:szCs w:val="24"/>
        </w:rPr>
        <w:t xml:space="preserve"> </w:t>
      </w:r>
      <w:r w:rsidR="00165079">
        <w:rPr>
          <w:rFonts w:ascii="Palatino Linotype" w:eastAsia="Palatino Linotype" w:hAnsi="Palatino Linotype" w:cs="Palatino Linotype"/>
          <w:sz w:val="24"/>
          <w:szCs w:val="24"/>
        </w:rPr>
        <w:t xml:space="preserve">to </w:t>
      </w:r>
      <w:r w:rsidR="008D470E">
        <w:rPr>
          <w:rFonts w:ascii="Palatino Linotype" w:eastAsia="Palatino Linotype" w:hAnsi="Palatino Linotype" w:cs="Palatino Linotype"/>
          <w:sz w:val="24"/>
          <w:szCs w:val="24"/>
        </w:rPr>
        <w:t>$</w:t>
      </w:r>
      <w:r w:rsidR="003D48B4">
        <w:rPr>
          <w:rFonts w:ascii="Palatino Linotype" w:eastAsia="Palatino Linotype" w:hAnsi="Palatino Linotype" w:cs="Palatino Linotype"/>
          <w:sz w:val="24"/>
          <w:szCs w:val="24"/>
        </w:rPr>
        <w:t>23,349,684</w:t>
      </w:r>
      <w:r w:rsidR="00721051">
        <w:rPr>
          <w:rFonts w:ascii="Palatino Linotype" w:eastAsia="Palatino Linotype" w:hAnsi="Palatino Linotype" w:cs="Palatino Linotype"/>
          <w:sz w:val="24"/>
          <w:szCs w:val="24"/>
        </w:rPr>
        <w:t>, and the equal amount of reduction in Sierra’s CHCF-A support for TY 2018 from $12,974,419 to $12,748,363</w:t>
      </w:r>
      <w:r w:rsidR="006D2129">
        <w:rPr>
          <w:rFonts w:ascii="Palatino Linotype" w:eastAsia="Palatino Linotype" w:hAnsi="Palatino Linotype" w:cs="Palatino Linotype"/>
          <w:sz w:val="24"/>
          <w:szCs w:val="24"/>
        </w:rPr>
        <w:t>.</w:t>
      </w:r>
      <w:r w:rsidR="00721051">
        <w:rPr>
          <w:rFonts w:ascii="Palatino Linotype" w:eastAsia="Palatino Linotype" w:hAnsi="Palatino Linotype" w:cs="Palatino Linotype"/>
          <w:sz w:val="24"/>
          <w:szCs w:val="24"/>
        </w:rPr>
        <w:t xml:space="preserve"> </w:t>
      </w:r>
    </w:p>
    <w:p w:rsidR="00F31895" w:rsidRDefault="00F31895" w:rsidP="00D24B44">
      <w:pPr>
        <w:ind w:right="401"/>
        <w:rPr>
          <w:rFonts w:ascii="Palatino Linotype" w:eastAsia="Palatino Linotype" w:hAnsi="Palatino Linotype" w:cs="Palatino Linotype"/>
          <w:sz w:val="24"/>
          <w:szCs w:val="24"/>
        </w:rPr>
      </w:pPr>
    </w:p>
    <w:p w:rsidR="001F1656" w:rsidRDefault="001F1656" w:rsidP="006D73B5">
      <w:p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While Sierra appropriately accepts the reduced corporate tax rate of 21%</w:t>
      </w:r>
      <w:r w:rsidR="00D303A8">
        <w:rPr>
          <w:rFonts w:ascii="Palatino Linotype" w:eastAsia="Palatino Linotype" w:hAnsi="Palatino Linotype" w:cs="Palatino Linotype"/>
          <w:sz w:val="24"/>
          <w:szCs w:val="24"/>
        </w:rPr>
        <w:t xml:space="preserve"> for operating tax expense</w:t>
      </w:r>
      <w:r>
        <w:rPr>
          <w:rFonts w:ascii="Palatino Linotype" w:eastAsia="Palatino Linotype" w:hAnsi="Palatino Linotype" w:cs="Palatino Linotype"/>
          <w:sz w:val="24"/>
          <w:szCs w:val="24"/>
        </w:rPr>
        <w:t xml:space="preserve">, </w:t>
      </w:r>
      <w:r w:rsidR="006D2129">
        <w:rPr>
          <w:rFonts w:ascii="Palatino Linotype" w:eastAsia="Palatino Linotype" w:hAnsi="Palatino Linotype" w:cs="Palatino Linotype"/>
          <w:sz w:val="24"/>
          <w:szCs w:val="24"/>
        </w:rPr>
        <w:t xml:space="preserve">its </w:t>
      </w:r>
      <w:r>
        <w:rPr>
          <w:rFonts w:ascii="Palatino Linotype" w:eastAsia="Palatino Linotype" w:hAnsi="Palatino Linotype" w:cs="Palatino Linotype"/>
          <w:sz w:val="24"/>
          <w:szCs w:val="24"/>
        </w:rPr>
        <w:t xml:space="preserve">treatment ignores the full impact on deferred income taxes and is incorrect on two fronts.  First, Sierra’s method omits the return of </w:t>
      </w:r>
      <w:r w:rsidRPr="006D73B5">
        <w:rPr>
          <w:rFonts w:ascii="Palatino Linotype" w:eastAsia="Palatino Linotype" w:hAnsi="Palatino Linotype" w:cs="Palatino Linotype"/>
          <w:sz w:val="24"/>
          <w:szCs w:val="24"/>
        </w:rPr>
        <w:t>any</w:t>
      </w:r>
      <w:r>
        <w:rPr>
          <w:rFonts w:ascii="Palatino Linotype" w:eastAsia="Palatino Linotype" w:hAnsi="Palatino Linotype" w:cs="Palatino Linotype"/>
          <w:sz w:val="24"/>
          <w:szCs w:val="24"/>
        </w:rPr>
        <w:t xml:space="preserve"> excess deferred taxes to ratepayers.  Second, Sierra’s method does not address excess deferred taxes from the rate base reduction.</w:t>
      </w:r>
    </w:p>
    <w:p w:rsidR="00F31895" w:rsidRDefault="00F31895" w:rsidP="00D24B44">
      <w:pPr>
        <w:ind w:right="401"/>
        <w:rPr>
          <w:rFonts w:ascii="Palatino Linotype" w:eastAsia="Palatino Linotype" w:hAnsi="Palatino Linotype" w:cs="Palatino Linotype"/>
          <w:sz w:val="24"/>
          <w:szCs w:val="24"/>
        </w:rPr>
      </w:pPr>
    </w:p>
    <w:p w:rsidR="0048381C" w:rsidRDefault="0048381C" w:rsidP="006D73B5">
      <w:p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Deferred income taxes for ratemaking represent funds that ratepayers have provided to the utility for income taxes presumably to be paid in the future, due to timing differences between straight line depreciation for ratemaking and accelerated depreciation for income tax filings.  Through 2017, these balances were accumulated using the prevailing tax rate of 34% for Sierra.  Once the federal income tax rate was reduced to 21%, a lower amount of ratepayer funds are needed to pay those future tax liabilities, and thus these excess funds should be returned to Sierra’s ratepayers.</w:t>
      </w:r>
    </w:p>
    <w:p w:rsidR="00F31895" w:rsidRDefault="00F31895" w:rsidP="00F31895">
      <w:pPr>
        <w:ind w:left="100" w:right="401"/>
        <w:rPr>
          <w:rFonts w:ascii="Palatino Linotype" w:eastAsia="Palatino Linotype" w:hAnsi="Palatino Linotype" w:cs="Palatino Linotype"/>
          <w:sz w:val="24"/>
          <w:szCs w:val="24"/>
        </w:rPr>
      </w:pPr>
    </w:p>
    <w:p w:rsidR="0048381C" w:rsidRDefault="0048381C" w:rsidP="006D73B5">
      <w:p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Furthermore, Sierra’s methodology would be contrary to </w:t>
      </w:r>
      <w:r w:rsidR="001D3AD1">
        <w:rPr>
          <w:rFonts w:ascii="Palatino Linotype" w:eastAsia="Palatino Linotype" w:hAnsi="Palatino Linotype" w:cs="Palatino Linotype"/>
          <w:sz w:val="24"/>
          <w:szCs w:val="24"/>
        </w:rPr>
        <w:t xml:space="preserve">Commission </w:t>
      </w:r>
      <w:r>
        <w:rPr>
          <w:rFonts w:ascii="Palatino Linotype" w:eastAsia="Palatino Linotype" w:hAnsi="Palatino Linotype" w:cs="Palatino Linotype"/>
          <w:sz w:val="24"/>
          <w:szCs w:val="24"/>
        </w:rPr>
        <w:t>normalization rules if it were to be adopted</w:t>
      </w:r>
      <w:r w:rsidR="001D3AD1">
        <w:rPr>
          <w:rFonts w:ascii="Palatino Linotype" w:eastAsia="Palatino Linotype" w:hAnsi="Palatino Linotype" w:cs="Palatino Linotype"/>
          <w:sz w:val="24"/>
          <w:szCs w:val="24"/>
        </w:rPr>
        <w:t>, as Sierra’s method effectively reduces the excess tax reserve to zero instantly.  Under normalization rules, excess deferred taxes should instead be flowed through ratably over the life of the timing difference that gave rise to the excess.  Consequently, the impact of reducing past accumulated excess deferred taxes should increase the projected tax savings.</w:t>
      </w:r>
    </w:p>
    <w:p w:rsidR="0048381C" w:rsidRDefault="0048381C" w:rsidP="0048381C">
      <w:pPr>
        <w:ind w:left="100" w:right="401"/>
        <w:rPr>
          <w:rFonts w:ascii="Palatino Linotype" w:eastAsia="Palatino Linotype" w:hAnsi="Palatino Linotype" w:cs="Palatino Linotype"/>
          <w:sz w:val="24"/>
          <w:szCs w:val="24"/>
        </w:rPr>
      </w:pPr>
    </w:p>
    <w:p w:rsidR="0048381C" w:rsidRDefault="0048381C" w:rsidP="006D73B5">
      <w:p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Therefore, Staff concludes that a further reduction in Sierra’s revenue requirement from the TCJA to account for the </w:t>
      </w:r>
      <w:r w:rsidR="009B3318">
        <w:rPr>
          <w:rFonts w:ascii="Palatino Linotype" w:eastAsia="Palatino Linotype" w:hAnsi="Palatino Linotype" w:cs="Palatino Linotype"/>
          <w:sz w:val="24"/>
          <w:szCs w:val="24"/>
        </w:rPr>
        <w:t>change in</w:t>
      </w:r>
      <w:r>
        <w:rPr>
          <w:rFonts w:ascii="Palatino Linotype" w:eastAsia="Palatino Linotype" w:hAnsi="Palatino Linotype" w:cs="Palatino Linotype"/>
          <w:sz w:val="24"/>
          <w:szCs w:val="24"/>
        </w:rPr>
        <w:t xml:space="preserve"> excess deferred taxes according to normalization rules is needed</w:t>
      </w:r>
      <w:r w:rsidR="00001FB4">
        <w:rPr>
          <w:rFonts w:ascii="Palatino Linotype" w:eastAsia="Palatino Linotype" w:hAnsi="Palatino Linotype" w:cs="Palatino Linotype"/>
          <w:sz w:val="24"/>
          <w:szCs w:val="24"/>
        </w:rPr>
        <w:t>.</w:t>
      </w:r>
      <w:r w:rsidR="00001FB4">
        <w:rPr>
          <w:rStyle w:val="FootnoteReference"/>
          <w:rFonts w:ascii="Palatino Linotype" w:eastAsia="Palatino Linotype" w:hAnsi="Palatino Linotype" w:cs="Palatino Linotype"/>
          <w:sz w:val="24"/>
          <w:szCs w:val="24"/>
        </w:rPr>
        <w:footnoteReference w:id="4"/>
      </w:r>
      <w:r w:rsidR="00001FB4">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 xml:space="preserve">NECA’s revised interpretation also supports a further adjustment for deferred taxes according to normalization rules.  </w:t>
      </w:r>
      <w:r w:rsidRPr="0035010B">
        <w:rPr>
          <w:rFonts w:ascii="Palatino Linotype" w:eastAsia="Palatino Linotype" w:hAnsi="Palatino Linotype" w:cs="Palatino Linotype"/>
          <w:sz w:val="24"/>
          <w:szCs w:val="24"/>
        </w:rPr>
        <w:t xml:space="preserve">Moreover, we have </w:t>
      </w:r>
      <w:r w:rsidRPr="0035010B">
        <w:rPr>
          <w:rFonts w:ascii="Palatino Linotype" w:eastAsia="Palatino Linotype" w:hAnsi="Palatino Linotype" w:cs="Palatino Linotype"/>
          <w:sz w:val="24"/>
          <w:szCs w:val="24"/>
        </w:rPr>
        <w:lastRenderedPageBreak/>
        <w:t xml:space="preserve">consulted with the Energy and Water Divisions </w:t>
      </w:r>
      <w:r w:rsidR="00802B0C">
        <w:rPr>
          <w:rFonts w:ascii="Palatino Linotype" w:eastAsia="Palatino Linotype" w:hAnsi="Palatino Linotype" w:cs="Palatino Linotype"/>
          <w:sz w:val="24"/>
          <w:szCs w:val="24"/>
        </w:rPr>
        <w:t>to develop</w:t>
      </w:r>
      <w:r w:rsidRPr="0035010B">
        <w:rPr>
          <w:rFonts w:ascii="Palatino Linotype" w:eastAsia="Palatino Linotype" w:hAnsi="Palatino Linotype" w:cs="Palatino Linotype"/>
          <w:sz w:val="24"/>
          <w:szCs w:val="24"/>
        </w:rPr>
        <w:t xml:space="preserve"> consensus that deferred taxes should be</w:t>
      </w:r>
      <w:r w:rsidR="0043439B">
        <w:rPr>
          <w:rFonts w:ascii="Palatino Linotype" w:eastAsia="Palatino Linotype" w:hAnsi="Palatino Linotype" w:cs="Palatino Linotype"/>
          <w:sz w:val="24"/>
          <w:szCs w:val="24"/>
        </w:rPr>
        <w:t xml:space="preserve"> further</w:t>
      </w:r>
      <w:r w:rsidRPr="0035010B">
        <w:rPr>
          <w:rFonts w:ascii="Palatino Linotype" w:eastAsia="Palatino Linotype" w:hAnsi="Palatino Linotype" w:cs="Palatino Linotype"/>
          <w:sz w:val="24"/>
          <w:szCs w:val="24"/>
        </w:rPr>
        <w:t xml:space="preserve"> adjusted.</w:t>
      </w:r>
      <w:r w:rsidR="00C0483C">
        <w:rPr>
          <w:rStyle w:val="FootnoteReference"/>
          <w:rFonts w:ascii="Palatino Linotype" w:eastAsia="Palatino Linotype" w:hAnsi="Palatino Linotype" w:cs="Palatino Linotype"/>
          <w:sz w:val="24"/>
          <w:szCs w:val="24"/>
        </w:rPr>
        <w:footnoteReference w:id="5"/>
      </w:r>
      <w:r>
        <w:rPr>
          <w:rFonts w:ascii="Palatino Linotype" w:eastAsia="Palatino Linotype" w:hAnsi="Palatino Linotype" w:cs="Palatino Linotype"/>
          <w:sz w:val="24"/>
          <w:szCs w:val="24"/>
        </w:rPr>
        <w:t xml:space="preserve"> </w:t>
      </w:r>
    </w:p>
    <w:p w:rsidR="00802B0C" w:rsidRDefault="00802B0C" w:rsidP="006D73B5">
      <w:pPr>
        <w:ind w:right="401"/>
        <w:rPr>
          <w:rFonts w:ascii="Palatino Linotype" w:eastAsia="Palatino Linotype" w:hAnsi="Palatino Linotype" w:cs="Palatino Linotype"/>
          <w:sz w:val="24"/>
          <w:szCs w:val="24"/>
        </w:rPr>
      </w:pPr>
    </w:p>
    <w:p w:rsidR="0048381C" w:rsidRPr="00166441" w:rsidRDefault="0048381C" w:rsidP="00166441">
      <w:pPr>
        <w:ind w:right="401"/>
        <w:rPr>
          <w:rFonts w:ascii="Palatino Linotype" w:eastAsia="Palatino Linotype" w:hAnsi="Palatino Linotype" w:cs="Palatino Linotype"/>
          <w:sz w:val="24"/>
          <w:szCs w:val="24"/>
          <w:u w:val="single"/>
        </w:rPr>
      </w:pPr>
      <w:r w:rsidRPr="00166441">
        <w:rPr>
          <w:rFonts w:ascii="Palatino Linotype" w:eastAsia="Palatino Linotype" w:hAnsi="Palatino Linotype" w:cs="Palatino Linotype"/>
          <w:sz w:val="24"/>
          <w:szCs w:val="24"/>
          <w:u w:val="single"/>
        </w:rPr>
        <w:t>Staff’s Calculation</w:t>
      </w:r>
    </w:p>
    <w:p w:rsidR="0048381C" w:rsidRDefault="0048381C" w:rsidP="00166441">
      <w:pPr>
        <w:ind w:right="401"/>
        <w:rPr>
          <w:rFonts w:ascii="Palatino Linotype" w:eastAsia="Palatino Linotype" w:hAnsi="Palatino Linotype" w:cs="Palatino Linotype"/>
          <w:sz w:val="24"/>
          <w:szCs w:val="24"/>
        </w:rPr>
      </w:pPr>
    </w:p>
    <w:p w:rsidR="0048381C" w:rsidRDefault="0048381C" w:rsidP="00166441">
      <w:p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Staff has recalculated the tax impact of the TCJA to include the excess deferred tax impact. Prior to the enactment of the TCJA, Sierra’s deferred income tax liability balance was $5,131,347.  On January 1, 2018, the new tax rate of 21% resulted in deferred income tax of $3,169,361 </w:t>
      </w:r>
      <w:r w:rsidR="0043439B">
        <w:rPr>
          <w:rFonts w:ascii="Palatino Linotype" w:eastAsia="Palatino Linotype" w:hAnsi="Palatino Linotype" w:cs="Palatino Linotype"/>
          <w:sz w:val="24"/>
          <w:szCs w:val="24"/>
        </w:rPr>
        <w:t xml:space="preserve">causing </w:t>
      </w:r>
      <w:r>
        <w:rPr>
          <w:rFonts w:ascii="Palatino Linotype" w:eastAsia="Palatino Linotype" w:hAnsi="Palatino Linotype" w:cs="Palatino Linotype"/>
          <w:sz w:val="24"/>
          <w:szCs w:val="24"/>
        </w:rPr>
        <w:t>an excess deferred tax reserve of $1,961,986.  This $1,961,986 should be returned to ratepayers ratably over the remaining life of the assets that gave rise to the excess tax reserve balance.  The TCJA provides guidance for the return of the excess deferred tax reserve under normalization rules.</w:t>
      </w:r>
      <w:r w:rsidRPr="00D432DE">
        <w:rPr>
          <w:rFonts w:eastAsia="Palatino Linotype"/>
        </w:rPr>
        <w:footnoteReference w:id="6"/>
      </w:r>
      <w:r>
        <w:rPr>
          <w:rFonts w:ascii="Palatino Linotype" w:eastAsia="Palatino Linotype" w:hAnsi="Palatino Linotype" w:cs="Palatino Linotype"/>
          <w:sz w:val="24"/>
          <w:szCs w:val="24"/>
        </w:rPr>
        <w:t xml:space="preserve">  In summary, the TCJA rules say that if the excess deferred taxes are to be reduced, they should be reduced no faster than using the average rate assumption method (ARAM).  But if the utility does not have the appropriate vintage data to use ARAM, an alternative method based on a composite rate is allowed</w:t>
      </w:r>
      <w:r w:rsidR="00DB6CD7">
        <w:rPr>
          <w:rFonts w:ascii="Palatino Linotype" w:eastAsia="Palatino Linotype" w:hAnsi="Palatino Linotype" w:cs="Palatino Linotype"/>
          <w:sz w:val="24"/>
          <w:szCs w:val="24"/>
        </w:rPr>
        <w:t>.</w:t>
      </w:r>
      <w:r w:rsidR="00DB6CD7">
        <w:rPr>
          <w:rStyle w:val="FootnoteReference"/>
          <w:rFonts w:ascii="Palatino Linotype" w:eastAsia="Palatino Linotype" w:hAnsi="Palatino Linotype" w:cs="Palatino Linotype"/>
          <w:sz w:val="24"/>
          <w:szCs w:val="24"/>
        </w:rPr>
        <w:footnoteReference w:id="7"/>
      </w:r>
      <w:r w:rsidR="00DB6CD7">
        <w:rPr>
          <w:rFonts w:eastAsia="Palatino Linotype"/>
        </w:rPr>
        <w:t xml:space="preserve"> </w:t>
      </w:r>
      <w:r w:rsidR="00DB6CD7">
        <w:rPr>
          <w:rFonts w:ascii="Palatino Linotype" w:eastAsia="Palatino Linotype" w:hAnsi="Palatino Linotype" w:cs="Palatino Linotype"/>
          <w:sz w:val="24"/>
          <w:szCs w:val="24"/>
        </w:rPr>
        <w:t xml:space="preserve">  </w:t>
      </w:r>
    </w:p>
    <w:p w:rsidR="0048381C" w:rsidRDefault="0048381C" w:rsidP="00D432DE">
      <w:pPr>
        <w:ind w:right="401"/>
        <w:rPr>
          <w:rFonts w:ascii="Palatino Linotype" w:eastAsia="Palatino Linotype" w:hAnsi="Palatino Linotype" w:cs="Palatino Linotype"/>
          <w:sz w:val="24"/>
          <w:szCs w:val="24"/>
        </w:rPr>
      </w:pPr>
    </w:p>
    <w:p w:rsidR="0048381C" w:rsidRDefault="0048381C" w:rsidP="00D432DE">
      <w:p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As a result, Staff recommends the $1,961,986 excess deferred income tax reserve should be returned to ratepayers over the weighted average of the remaining useful life of Sierra’s depreciable assets as of December 31, 2017.  Appropriately, as the excess deferred tax reserve is returned to </w:t>
      </w:r>
      <w:r w:rsidR="008C2BAF">
        <w:rPr>
          <w:rFonts w:ascii="Palatino Linotype" w:eastAsia="Palatino Linotype" w:hAnsi="Palatino Linotype" w:cs="Palatino Linotype"/>
          <w:sz w:val="24"/>
          <w:szCs w:val="24"/>
        </w:rPr>
        <w:t>Sierra</w:t>
      </w:r>
      <w:r>
        <w:rPr>
          <w:rFonts w:ascii="Palatino Linotype" w:eastAsia="Palatino Linotype" w:hAnsi="Palatino Linotype" w:cs="Palatino Linotype"/>
          <w:sz w:val="24"/>
          <w:szCs w:val="24"/>
        </w:rPr>
        <w:t>’s ratepayers, rate base will be incrementally increased by $</w:t>
      </w:r>
      <w:r w:rsidR="006D73B5">
        <w:rPr>
          <w:rFonts w:ascii="Palatino Linotype" w:eastAsia="Palatino Linotype" w:hAnsi="Palatino Linotype" w:cs="Palatino Linotype"/>
          <w:sz w:val="24"/>
          <w:szCs w:val="24"/>
        </w:rPr>
        <w:t>316,449</w:t>
      </w:r>
      <w:r>
        <w:rPr>
          <w:rFonts w:ascii="Palatino Linotype" w:eastAsia="Palatino Linotype" w:hAnsi="Palatino Linotype" w:cs="Palatino Linotype"/>
          <w:sz w:val="24"/>
          <w:szCs w:val="24"/>
        </w:rPr>
        <w:t xml:space="preserve"> per year (as the $</w:t>
      </w:r>
      <w:r w:rsidR="006D73B5">
        <w:rPr>
          <w:rFonts w:ascii="Palatino Linotype" w:eastAsia="Palatino Linotype" w:hAnsi="Palatino Linotype" w:cs="Palatino Linotype"/>
          <w:sz w:val="24"/>
          <w:szCs w:val="24"/>
        </w:rPr>
        <w:t>316,449</w:t>
      </w:r>
      <w:r>
        <w:rPr>
          <w:rFonts w:ascii="Palatino Linotype" w:eastAsia="Palatino Linotype" w:hAnsi="Palatino Linotype" w:cs="Palatino Linotype"/>
          <w:sz w:val="24"/>
          <w:szCs w:val="24"/>
        </w:rPr>
        <w:t xml:space="preserve"> excess remaining in the deferred tax account will be incrementally decreased as it is returned to ratepayers).</w:t>
      </w:r>
    </w:p>
    <w:p w:rsidR="0058439D" w:rsidRDefault="0058439D" w:rsidP="00166441">
      <w:pPr>
        <w:ind w:right="401"/>
        <w:rPr>
          <w:rFonts w:ascii="Palatino Linotype" w:eastAsia="Palatino Linotype" w:hAnsi="Palatino Linotype" w:cs="Palatino Linotype"/>
          <w:sz w:val="24"/>
          <w:szCs w:val="24"/>
        </w:rPr>
      </w:pPr>
    </w:p>
    <w:p w:rsidR="00166441" w:rsidRDefault="006D73B5" w:rsidP="00D24B44">
      <w:p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To calculate the additional increment for excess deferred tax, </w:t>
      </w:r>
      <w:r w:rsidR="00FF0A56">
        <w:rPr>
          <w:rFonts w:ascii="Palatino Linotype" w:eastAsia="Palatino Linotype" w:hAnsi="Palatino Linotype" w:cs="Palatino Linotype"/>
          <w:sz w:val="24"/>
          <w:szCs w:val="24"/>
        </w:rPr>
        <w:t xml:space="preserve">Staff </w:t>
      </w:r>
      <w:r>
        <w:rPr>
          <w:rFonts w:ascii="Palatino Linotype" w:eastAsia="Palatino Linotype" w:hAnsi="Palatino Linotype" w:cs="Palatino Linotype"/>
          <w:sz w:val="24"/>
          <w:szCs w:val="24"/>
        </w:rPr>
        <w:t xml:space="preserve">relied on information obtained through </w:t>
      </w:r>
      <w:r w:rsidR="00FF0A56">
        <w:rPr>
          <w:rFonts w:ascii="Palatino Linotype" w:eastAsia="Palatino Linotype" w:hAnsi="Palatino Linotype" w:cs="Palatino Linotype"/>
          <w:sz w:val="24"/>
          <w:szCs w:val="24"/>
        </w:rPr>
        <w:t xml:space="preserve">a </w:t>
      </w:r>
      <w:r w:rsidR="001F5DE7">
        <w:rPr>
          <w:rFonts w:ascii="Palatino Linotype" w:eastAsia="Palatino Linotype" w:hAnsi="Palatino Linotype" w:cs="Palatino Linotype"/>
          <w:sz w:val="24"/>
          <w:szCs w:val="24"/>
        </w:rPr>
        <w:t xml:space="preserve">data request </w:t>
      </w:r>
      <w:r w:rsidR="00FF0A56">
        <w:rPr>
          <w:rFonts w:ascii="Palatino Linotype" w:eastAsia="Palatino Linotype" w:hAnsi="Palatino Linotype" w:cs="Palatino Linotype"/>
          <w:sz w:val="24"/>
          <w:szCs w:val="24"/>
        </w:rPr>
        <w:t xml:space="preserve">on </w:t>
      </w:r>
      <w:r w:rsidR="001F5DE7">
        <w:rPr>
          <w:rFonts w:ascii="Palatino Linotype" w:eastAsia="Palatino Linotype" w:hAnsi="Palatino Linotype" w:cs="Palatino Linotype"/>
          <w:sz w:val="24"/>
          <w:szCs w:val="24"/>
        </w:rPr>
        <w:t>April 11, 2018,</w:t>
      </w:r>
      <w:r>
        <w:rPr>
          <w:rFonts w:ascii="Palatino Linotype" w:eastAsia="Palatino Linotype" w:hAnsi="Palatino Linotype" w:cs="Palatino Linotype"/>
          <w:sz w:val="24"/>
          <w:szCs w:val="24"/>
        </w:rPr>
        <w:t xml:space="preserve"> specifically</w:t>
      </w:r>
      <w:r w:rsidR="001F5DE7">
        <w:rPr>
          <w:rFonts w:ascii="Palatino Linotype" w:eastAsia="Palatino Linotype" w:hAnsi="Palatino Linotype" w:cs="Palatino Linotype"/>
          <w:sz w:val="24"/>
          <w:szCs w:val="24"/>
        </w:rPr>
        <w:t xml:space="preserve"> </w:t>
      </w:r>
      <w:r w:rsidR="00323513">
        <w:rPr>
          <w:rFonts w:ascii="Palatino Linotype" w:eastAsia="Palatino Linotype" w:hAnsi="Palatino Linotype" w:cs="Palatino Linotype"/>
          <w:sz w:val="24"/>
          <w:szCs w:val="24"/>
        </w:rPr>
        <w:t>requesting the</w:t>
      </w:r>
      <w:r w:rsidR="0058439D">
        <w:rPr>
          <w:rFonts w:ascii="Palatino Linotype" w:eastAsia="Palatino Linotype" w:hAnsi="Palatino Linotype" w:cs="Palatino Linotype"/>
          <w:sz w:val="24"/>
          <w:szCs w:val="24"/>
        </w:rPr>
        <w:t xml:space="preserve"> weighted average remaining life of </w:t>
      </w:r>
      <w:r>
        <w:rPr>
          <w:rFonts w:ascii="Palatino Linotype" w:eastAsia="Palatino Linotype" w:hAnsi="Palatino Linotype" w:cs="Palatino Linotype"/>
          <w:sz w:val="24"/>
          <w:szCs w:val="24"/>
        </w:rPr>
        <w:t>Sierra’s</w:t>
      </w:r>
      <w:r w:rsidR="00323513">
        <w:rPr>
          <w:rFonts w:ascii="Palatino Linotype" w:eastAsia="Palatino Linotype" w:hAnsi="Palatino Linotype" w:cs="Palatino Linotype"/>
          <w:sz w:val="24"/>
          <w:szCs w:val="24"/>
        </w:rPr>
        <w:t xml:space="preserve"> </w:t>
      </w:r>
      <w:r w:rsidR="0058439D">
        <w:rPr>
          <w:rFonts w:ascii="Palatino Linotype" w:eastAsia="Palatino Linotype" w:hAnsi="Palatino Linotype" w:cs="Palatino Linotype"/>
          <w:sz w:val="24"/>
          <w:szCs w:val="24"/>
        </w:rPr>
        <w:t>depreciable assets</w:t>
      </w:r>
      <w:r w:rsidR="00323513">
        <w:rPr>
          <w:rFonts w:ascii="Palatino Linotype" w:eastAsia="Palatino Linotype" w:hAnsi="Palatino Linotype" w:cs="Palatino Linotype"/>
          <w:sz w:val="24"/>
          <w:szCs w:val="24"/>
        </w:rPr>
        <w:t>, which</w:t>
      </w:r>
      <w:r>
        <w:rPr>
          <w:rFonts w:ascii="Palatino Linotype" w:eastAsia="Palatino Linotype" w:hAnsi="Palatino Linotype" w:cs="Palatino Linotype"/>
          <w:sz w:val="24"/>
          <w:szCs w:val="24"/>
        </w:rPr>
        <w:t xml:space="preserve"> Sierra states</w:t>
      </w:r>
      <w:r w:rsidR="0058439D">
        <w:rPr>
          <w:rFonts w:ascii="Palatino Linotype" w:eastAsia="Palatino Linotype" w:hAnsi="Palatino Linotype" w:cs="Palatino Linotype"/>
          <w:sz w:val="24"/>
          <w:szCs w:val="24"/>
        </w:rPr>
        <w:t xml:space="preserve"> is </w:t>
      </w:r>
      <w:r w:rsidR="00163D29">
        <w:rPr>
          <w:rFonts w:ascii="Palatino Linotype" w:eastAsia="Palatino Linotype" w:hAnsi="Palatino Linotype" w:cs="Palatino Linotype"/>
          <w:sz w:val="24"/>
          <w:szCs w:val="24"/>
        </w:rPr>
        <w:t>6.2</w:t>
      </w:r>
      <w:r w:rsidR="0058439D">
        <w:rPr>
          <w:rFonts w:ascii="Palatino Linotype" w:eastAsia="Palatino Linotype" w:hAnsi="Palatino Linotype" w:cs="Palatino Linotype"/>
          <w:sz w:val="24"/>
          <w:szCs w:val="24"/>
        </w:rPr>
        <w:t xml:space="preserve"> years.  </w:t>
      </w:r>
      <w:r w:rsidR="001F5DE7">
        <w:rPr>
          <w:rFonts w:ascii="Palatino Linotype" w:eastAsia="Palatino Linotype" w:hAnsi="Palatino Linotype" w:cs="Palatino Linotype"/>
          <w:sz w:val="24"/>
          <w:szCs w:val="24"/>
        </w:rPr>
        <w:t>S</w:t>
      </w:r>
      <w:r w:rsidR="0058439D">
        <w:rPr>
          <w:rFonts w:ascii="Palatino Linotype" w:eastAsia="Palatino Linotype" w:hAnsi="Palatino Linotype" w:cs="Palatino Linotype"/>
          <w:sz w:val="24"/>
          <w:szCs w:val="24"/>
        </w:rPr>
        <w:t xml:space="preserve">taff amortized the excess deferred </w:t>
      </w:r>
      <w:r w:rsidR="001F5DE7">
        <w:rPr>
          <w:rFonts w:ascii="Palatino Linotype" w:eastAsia="Palatino Linotype" w:hAnsi="Palatino Linotype" w:cs="Palatino Linotype"/>
          <w:sz w:val="24"/>
          <w:szCs w:val="24"/>
        </w:rPr>
        <w:t xml:space="preserve">income </w:t>
      </w:r>
      <w:r w:rsidR="0058439D">
        <w:rPr>
          <w:rFonts w:ascii="Palatino Linotype" w:eastAsia="Palatino Linotype" w:hAnsi="Palatino Linotype" w:cs="Palatino Linotype"/>
          <w:sz w:val="24"/>
          <w:szCs w:val="24"/>
        </w:rPr>
        <w:t>tax reserve</w:t>
      </w:r>
      <w:r w:rsidR="00323513">
        <w:rPr>
          <w:rFonts w:ascii="Palatino Linotype" w:eastAsia="Palatino Linotype" w:hAnsi="Palatino Linotype" w:cs="Palatino Linotype"/>
          <w:sz w:val="24"/>
          <w:szCs w:val="24"/>
        </w:rPr>
        <w:t xml:space="preserve"> of $</w:t>
      </w:r>
      <w:r w:rsidR="00163D29">
        <w:rPr>
          <w:rFonts w:ascii="Palatino Linotype" w:eastAsia="Palatino Linotype" w:hAnsi="Palatino Linotype" w:cs="Palatino Linotype"/>
          <w:sz w:val="24"/>
          <w:szCs w:val="24"/>
        </w:rPr>
        <w:t>1,961,986</w:t>
      </w:r>
      <w:r w:rsidR="00EA5445">
        <w:rPr>
          <w:rFonts w:ascii="Palatino Linotype" w:eastAsia="Palatino Linotype" w:hAnsi="Palatino Linotype" w:cs="Palatino Linotype"/>
          <w:sz w:val="24"/>
          <w:szCs w:val="24"/>
        </w:rPr>
        <w:t>,</w:t>
      </w:r>
      <w:r w:rsidR="0058439D">
        <w:rPr>
          <w:rFonts w:ascii="Palatino Linotype" w:eastAsia="Palatino Linotype" w:hAnsi="Palatino Linotype" w:cs="Palatino Linotype"/>
          <w:sz w:val="24"/>
          <w:szCs w:val="24"/>
        </w:rPr>
        <w:t xml:space="preserve"> </w:t>
      </w:r>
      <w:r w:rsidR="00165079">
        <w:rPr>
          <w:rFonts w:ascii="Palatino Linotype" w:eastAsia="Palatino Linotype" w:hAnsi="Palatino Linotype" w:cs="Palatino Linotype"/>
          <w:sz w:val="24"/>
          <w:szCs w:val="24"/>
        </w:rPr>
        <w:t>divid</w:t>
      </w:r>
      <w:r>
        <w:rPr>
          <w:rFonts w:ascii="Palatino Linotype" w:eastAsia="Palatino Linotype" w:hAnsi="Palatino Linotype" w:cs="Palatino Linotype"/>
          <w:sz w:val="24"/>
          <w:szCs w:val="24"/>
        </w:rPr>
        <w:t>ing</w:t>
      </w:r>
      <w:r w:rsidR="00165079">
        <w:rPr>
          <w:rFonts w:ascii="Palatino Linotype" w:eastAsia="Palatino Linotype" w:hAnsi="Palatino Linotype" w:cs="Palatino Linotype"/>
          <w:sz w:val="24"/>
          <w:szCs w:val="24"/>
        </w:rPr>
        <w:t xml:space="preserve"> that amount by </w:t>
      </w:r>
      <w:r w:rsidR="00163D29">
        <w:rPr>
          <w:rFonts w:ascii="Palatino Linotype" w:eastAsia="Palatino Linotype" w:hAnsi="Palatino Linotype" w:cs="Palatino Linotype"/>
          <w:sz w:val="24"/>
          <w:szCs w:val="24"/>
        </w:rPr>
        <w:t>6.2</w:t>
      </w:r>
      <w:r w:rsidR="0058439D">
        <w:rPr>
          <w:rFonts w:ascii="Palatino Linotype" w:eastAsia="Palatino Linotype" w:hAnsi="Palatino Linotype" w:cs="Palatino Linotype"/>
          <w:sz w:val="24"/>
          <w:szCs w:val="24"/>
        </w:rPr>
        <w:t xml:space="preserve"> years </w:t>
      </w:r>
      <w:r w:rsidR="0088595C">
        <w:rPr>
          <w:rFonts w:ascii="Palatino Linotype" w:eastAsia="Palatino Linotype" w:hAnsi="Palatino Linotype" w:cs="Palatino Linotype"/>
          <w:sz w:val="24"/>
          <w:szCs w:val="24"/>
        </w:rPr>
        <w:t xml:space="preserve">to </w:t>
      </w:r>
      <w:r w:rsidR="00165079">
        <w:rPr>
          <w:rFonts w:ascii="Palatino Linotype" w:eastAsia="Palatino Linotype" w:hAnsi="Palatino Linotype" w:cs="Palatino Linotype"/>
          <w:sz w:val="24"/>
          <w:szCs w:val="24"/>
        </w:rPr>
        <w:t>arrive at</w:t>
      </w:r>
      <w:r w:rsidR="0088595C">
        <w:rPr>
          <w:rFonts w:ascii="Palatino Linotype" w:eastAsia="Palatino Linotype" w:hAnsi="Palatino Linotype" w:cs="Palatino Linotype"/>
          <w:sz w:val="24"/>
          <w:szCs w:val="24"/>
        </w:rPr>
        <w:t xml:space="preserve"> </w:t>
      </w:r>
      <w:r w:rsidR="00EA5445">
        <w:rPr>
          <w:rFonts w:ascii="Palatino Linotype" w:eastAsia="Palatino Linotype" w:hAnsi="Palatino Linotype" w:cs="Palatino Linotype"/>
          <w:sz w:val="24"/>
          <w:szCs w:val="24"/>
        </w:rPr>
        <w:t xml:space="preserve">a credit of </w:t>
      </w:r>
      <w:r w:rsidR="00153FB8">
        <w:rPr>
          <w:rFonts w:ascii="Palatino Linotype" w:eastAsia="Palatino Linotype" w:hAnsi="Palatino Linotype" w:cs="Palatino Linotype"/>
          <w:sz w:val="24"/>
          <w:szCs w:val="24"/>
        </w:rPr>
        <w:t>$</w:t>
      </w:r>
      <w:r w:rsidR="00163D29">
        <w:rPr>
          <w:rFonts w:ascii="Palatino Linotype" w:eastAsia="Palatino Linotype" w:hAnsi="Palatino Linotype" w:cs="Palatino Linotype"/>
          <w:sz w:val="24"/>
          <w:szCs w:val="24"/>
        </w:rPr>
        <w:t>316,449</w:t>
      </w:r>
      <w:r w:rsidR="0054411B">
        <w:rPr>
          <w:rFonts w:ascii="Palatino Linotype" w:eastAsia="Palatino Linotype" w:hAnsi="Palatino Linotype" w:cs="Palatino Linotype"/>
          <w:sz w:val="24"/>
          <w:szCs w:val="24"/>
        </w:rPr>
        <w:t xml:space="preserve"> </w:t>
      </w:r>
      <w:r w:rsidR="00153FB8">
        <w:rPr>
          <w:rFonts w:ascii="Palatino Linotype" w:eastAsia="Palatino Linotype" w:hAnsi="Palatino Linotype" w:cs="Palatino Linotype"/>
          <w:sz w:val="24"/>
          <w:szCs w:val="24"/>
        </w:rPr>
        <w:t>per year beginning Test year 2018.</w:t>
      </w:r>
      <w:r w:rsidR="001F5DE7">
        <w:rPr>
          <w:rFonts w:ascii="Palatino Linotype" w:eastAsia="Palatino Linotype" w:hAnsi="Palatino Linotype" w:cs="Palatino Linotype"/>
          <w:sz w:val="24"/>
          <w:szCs w:val="24"/>
        </w:rPr>
        <w:t xml:space="preserve">  Staff </w:t>
      </w:r>
      <w:r w:rsidR="00FD2A11">
        <w:rPr>
          <w:rFonts w:ascii="Palatino Linotype" w:eastAsia="Palatino Linotype" w:hAnsi="Palatino Linotype" w:cs="Palatino Linotype"/>
          <w:sz w:val="24"/>
          <w:szCs w:val="24"/>
        </w:rPr>
        <w:t>added this</w:t>
      </w:r>
      <w:r w:rsidR="001F5DE7">
        <w:rPr>
          <w:rFonts w:ascii="Palatino Linotype" w:eastAsia="Palatino Linotype" w:hAnsi="Palatino Linotype" w:cs="Palatino Linotype"/>
          <w:sz w:val="24"/>
          <w:szCs w:val="24"/>
        </w:rPr>
        <w:t xml:space="preserve"> </w:t>
      </w:r>
      <w:r w:rsidR="003534B1">
        <w:rPr>
          <w:rFonts w:ascii="Palatino Linotype" w:eastAsia="Palatino Linotype" w:hAnsi="Palatino Linotype" w:cs="Palatino Linotype"/>
          <w:sz w:val="24"/>
          <w:szCs w:val="24"/>
        </w:rPr>
        <w:t xml:space="preserve">as </w:t>
      </w:r>
      <w:r w:rsidR="00DB6CD7">
        <w:rPr>
          <w:rFonts w:ascii="Palatino Linotype" w:eastAsia="Palatino Linotype" w:hAnsi="Palatino Linotype" w:cs="Palatino Linotype"/>
          <w:sz w:val="24"/>
          <w:szCs w:val="24"/>
        </w:rPr>
        <w:t xml:space="preserve">a </w:t>
      </w:r>
      <w:r w:rsidR="003534B1">
        <w:rPr>
          <w:rFonts w:ascii="Palatino Linotype" w:eastAsia="Palatino Linotype" w:hAnsi="Palatino Linotype" w:cs="Palatino Linotype"/>
          <w:sz w:val="24"/>
          <w:szCs w:val="24"/>
        </w:rPr>
        <w:t xml:space="preserve">credit </w:t>
      </w:r>
      <w:r w:rsidR="0056179F">
        <w:rPr>
          <w:rFonts w:ascii="Palatino Linotype" w:eastAsia="Palatino Linotype" w:hAnsi="Palatino Linotype" w:cs="Palatino Linotype"/>
          <w:sz w:val="24"/>
          <w:szCs w:val="24"/>
        </w:rPr>
        <w:t xml:space="preserve">to the federal tax amount.  </w:t>
      </w:r>
    </w:p>
    <w:p w:rsidR="00966CC5" w:rsidRDefault="00966CC5" w:rsidP="00966CC5">
      <w:pPr>
        <w:ind w:right="401"/>
        <w:rPr>
          <w:rFonts w:ascii="Palatino Linotype" w:eastAsia="Palatino Linotype" w:hAnsi="Palatino Linotype" w:cs="Palatino Linotype"/>
          <w:sz w:val="24"/>
          <w:szCs w:val="24"/>
        </w:rPr>
      </w:pPr>
    </w:p>
    <w:p w:rsidR="00166441" w:rsidRDefault="00166441" w:rsidP="00966CC5">
      <w:p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Staff incorporated its methodology and updated the effects of excess deferred tax by line item, which required further steps to reconcile the Results of Operations Table in Appendix A column C, so that the Total (Revenue Requirement) of $22,822,565 (line 8) equals the sum of Total Operating Expenses of $20,764,988 (line 18) plus Net Operating Income of $2,057,577 (line 19), demonstrating proof of a balanced result:</w:t>
      </w:r>
    </w:p>
    <w:p w:rsidR="0058439D" w:rsidRDefault="001F5DE7" w:rsidP="00D24B44">
      <w:p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p>
    <w:p w:rsidR="00166441" w:rsidRPr="00F33374" w:rsidRDefault="00166441" w:rsidP="00166441">
      <w:pPr>
        <w:pStyle w:val="ListParagraph"/>
        <w:numPr>
          <w:ilvl w:val="0"/>
          <w:numId w:val="4"/>
        </w:numPr>
        <w:ind w:right="401"/>
        <w:rPr>
          <w:rFonts w:ascii="Palatino Linotype" w:eastAsia="Palatino Linotype" w:hAnsi="Palatino Linotype" w:cs="Palatino Linotype"/>
          <w:sz w:val="24"/>
          <w:szCs w:val="24"/>
        </w:rPr>
      </w:pPr>
      <w:r w:rsidRPr="00F33374">
        <w:rPr>
          <w:rFonts w:ascii="Palatino Linotype" w:eastAsia="Palatino Linotype" w:hAnsi="Palatino Linotype" w:cs="Palatino Linotype"/>
          <w:sz w:val="24"/>
          <w:szCs w:val="24"/>
        </w:rPr>
        <w:lastRenderedPageBreak/>
        <w:t xml:space="preserve">Staff added </w:t>
      </w:r>
      <w:r>
        <w:rPr>
          <w:rFonts w:ascii="Palatino Linotype" w:eastAsia="Palatino Linotype" w:hAnsi="Palatino Linotype" w:cs="Palatino Linotype"/>
          <w:sz w:val="24"/>
          <w:szCs w:val="24"/>
        </w:rPr>
        <w:t>the first year of the incremental Excess Deferred Tax of $316,449</w:t>
      </w:r>
      <w:r w:rsidRPr="00F33374">
        <w:rPr>
          <w:rFonts w:ascii="Palatino Linotype" w:eastAsia="Palatino Linotype" w:hAnsi="Palatino Linotype" w:cs="Palatino Linotype"/>
          <w:sz w:val="24"/>
          <w:szCs w:val="24"/>
        </w:rPr>
        <w:t xml:space="preserve"> as a credit to the federal tax </w:t>
      </w:r>
      <w:r>
        <w:rPr>
          <w:rFonts w:ascii="Palatino Linotype" w:eastAsia="Palatino Linotype" w:hAnsi="Palatino Linotype" w:cs="Palatino Linotype"/>
          <w:sz w:val="24"/>
          <w:szCs w:val="24"/>
        </w:rPr>
        <w:t xml:space="preserve">for 2018, </w:t>
      </w:r>
      <w:r w:rsidRPr="00F33374">
        <w:rPr>
          <w:rFonts w:ascii="Palatino Linotype" w:eastAsia="Palatino Linotype" w:hAnsi="Palatino Linotype" w:cs="Palatino Linotype"/>
          <w:sz w:val="24"/>
          <w:szCs w:val="24"/>
        </w:rPr>
        <w:t>lowering tax</w:t>
      </w:r>
      <w:r>
        <w:rPr>
          <w:rFonts w:ascii="Palatino Linotype" w:eastAsia="Palatino Linotype" w:hAnsi="Palatino Linotype" w:cs="Palatino Linotype"/>
          <w:sz w:val="24"/>
          <w:szCs w:val="24"/>
        </w:rPr>
        <w:t>-related expenses</w:t>
      </w:r>
      <w:r w:rsidRPr="00F33374">
        <w:rPr>
          <w:rFonts w:ascii="Palatino Linotype" w:eastAsia="Palatino Linotype" w:hAnsi="Palatino Linotype" w:cs="Palatino Linotype"/>
          <w:sz w:val="24"/>
          <w:szCs w:val="24"/>
        </w:rPr>
        <w:t xml:space="preserve"> (Deferred Income Tax, line 17, column C)</w:t>
      </w:r>
      <w:r>
        <w:rPr>
          <w:rFonts w:ascii="Palatino Linotype" w:eastAsia="Palatino Linotype" w:hAnsi="Palatino Linotype" w:cs="Palatino Linotype"/>
          <w:sz w:val="24"/>
          <w:szCs w:val="24"/>
        </w:rPr>
        <w:t>;</w:t>
      </w:r>
      <w:r w:rsidRPr="00F33374">
        <w:rPr>
          <w:rFonts w:ascii="Palatino Linotype" w:eastAsia="Palatino Linotype" w:hAnsi="Palatino Linotype" w:cs="Palatino Linotype"/>
          <w:sz w:val="24"/>
          <w:szCs w:val="24"/>
        </w:rPr>
        <w:t xml:space="preserve">   </w:t>
      </w:r>
    </w:p>
    <w:p w:rsidR="00166441" w:rsidRPr="00F33374" w:rsidRDefault="00D303A8" w:rsidP="00166441">
      <w:pPr>
        <w:pStyle w:val="ListParagraph"/>
        <w:numPr>
          <w:ilvl w:val="0"/>
          <w:numId w:val="4"/>
        </w:num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w:t>
      </w:r>
      <w:r w:rsidR="00166441" w:rsidRPr="00F33374">
        <w:rPr>
          <w:rFonts w:ascii="Palatino Linotype" w:eastAsia="Palatino Linotype" w:hAnsi="Palatino Linotype" w:cs="Palatino Linotype"/>
          <w:sz w:val="24"/>
          <w:szCs w:val="24"/>
        </w:rPr>
        <w:t>he</w:t>
      </w:r>
      <w:r w:rsidR="00166441">
        <w:rPr>
          <w:rFonts w:ascii="Palatino Linotype" w:eastAsia="Palatino Linotype" w:hAnsi="Palatino Linotype" w:cs="Palatino Linotype"/>
          <w:sz w:val="24"/>
          <w:szCs w:val="24"/>
        </w:rPr>
        <w:t xml:space="preserve"> first year of the </w:t>
      </w:r>
      <w:r w:rsidR="00166441" w:rsidRPr="00F33374">
        <w:rPr>
          <w:rFonts w:ascii="Palatino Linotype" w:eastAsia="Palatino Linotype" w:hAnsi="Palatino Linotype" w:cs="Palatino Linotype"/>
          <w:sz w:val="24"/>
          <w:szCs w:val="24"/>
        </w:rPr>
        <w:t xml:space="preserve">Unamortized Excess Deferred Tax Balance </w:t>
      </w:r>
      <w:r w:rsidR="00166441">
        <w:rPr>
          <w:rFonts w:ascii="Palatino Linotype" w:eastAsia="Palatino Linotype" w:hAnsi="Palatino Linotype" w:cs="Palatino Linotype"/>
          <w:sz w:val="24"/>
          <w:szCs w:val="24"/>
        </w:rPr>
        <w:t>(</w:t>
      </w:r>
      <w:r w:rsidR="00166441" w:rsidRPr="007B2666">
        <w:rPr>
          <w:rFonts w:ascii="Palatino Linotype" w:eastAsia="Palatino Linotype" w:hAnsi="Palatino Linotype" w:cs="Palatino Linotype"/>
          <w:sz w:val="24"/>
          <w:szCs w:val="24"/>
        </w:rPr>
        <w:t>$</w:t>
      </w:r>
      <w:r w:rsidR="00966CC5">
        <w:rPr>
          <w:rFonts w:ascii="Palatino Linotype" w:eastAsia="Palatino Linotype" w:hAnsi="Palatino Linotype" w:cs="Palatino Linotype"/>
          <w:sz w:val="24"/>
          <w:szCs w:val="24"/>
        </w:rPr>
        <w:t>3</w:t>
      </w:r>
      <w:r w:rsidR="00166441">
        <w:rPr>
          <w:rFonts w:ascii="Palatino Linotype" w:eastAsia="Palatino Linotype" w:hAnsi="Palatino Linotype" w:cs="Palatino Linotype"/>
          <w:sz w:val="24"/>
          <w:szCs w:val="24"/>
        </w:rPr>
        <w:t>16,449)</w:t>
      </w:r>
      <w:r w:rsidR="00166441" w:rsidRPr="00F33374">
        <w:rPr>
          <w:rFonts w:ascii="Palatino Linotype" w:eastAsia="Palatino Linotype" w:hAnsi="Palatino Linotype" w:cs="Palatino Linotype"/>
          <w:sz w:val="24"/>
          <w:szCs w:val="24"/>
        </w:rPr>
        <w:t xml:space="preserve"> </w:t>
      </w:r>
      <w:r w:rsidR="00166441">
        <w:rPr>
          <w:rFonts w:ascii="Palatino Linotype" w:eastAsia="Palatino Linotype" w:hAnsi="Palatino Linotype" w:cs="Palatino Linotype"/>
          <w:sz w:val="24"/>
          <w:szCs w:val="24"/>
        </w:rPr>
        <w:t xml:space="preserve">is </w:t>
      </w:r>
      <w:r>
        <w:rPr>
          <w:rFonts w:ascii="Palatino Linotype" w:eastAsia="Palatino Linotype" w:hAnsi="Palatino Linotype" w:cs="Palatino Linotype"/>
          <w:sz w:val="24"/>
          <w:szCs w:val="24"/>
        </w:rPr>
        <w:t xml:space="preserve">then </w:t>
      </w:r>
      <w:r w:rsidR="00166441">
        <w:rPr>
          <w:rFonts w:ascii="Palatino Linotype" w:eastAsia="Palatino Linotype" w:hAnsi="Palatino Linotype" w:cs="Palatino Linotype"/>
          <w:sz w:val="24"/>
          <w:szCs w:val="24"/>
        </w:rPr>
        <w:t>subtracted from the deferred income tax reserve of 1,961,986 (the difference between line 26, columns A and B), which equals</w:t>
      </w:r>
      <w:r w:rsidR="00166441" w:rsidRPr="00F33374">
        <w:rPr>
          <w:rFonts w:ascii="Palatino Linotype" w:eastAsia="Palatino Linotype" w:hAnsi="Palatino Linotype" w:cs="Palatino Linotype"/>
          <w:sz w:val="24"/>
          <w:szCs w:val="24"/>
        </w:rPr>
        <w:t xml:space="preserve"> $</w:t>
      </w:r>
      <w:r w:rsidR="00166441">
        <w:rPr>
          <w:rFonts w:ascii="Palatino Linotype" w:eastAsia="Palatino Linotype" w:hAnsi="Palatino Linotype" w:cs="Palatino Linotype"/>
          <w:sz w:val="24"/>
          <w:szCs w:val="24"/>
        </w:rPr>
        <w:t>1,645,537 in UEDTB</w:t>
      </w:r>
      <w:r w:rsidR="00166441" w:rsidRPr="00F33374">
        <w:rPr>
          <w:rFonts w:ascii="Palatino Linotype" w:eastAsia="Palatino Linotype" w:hAnsi="Palatino Linotype" w:cs="Palatino Linotype"/>
          <w:sz w:val="24"/>
          <w:szCs w:val="24"/>
        </w:rPr>
        <w:t xml:space="preserve"> </w:t>
      </w:r>
      <w:r w:rsidR="00166441">
        <w:rPr>
          <w:rFonts w:ascii="Palatino Linotype" w:eastAsia="Palatino Linotype" w:hAnsi="Palatino Linotype" w:cs="Palatino Linotype"/>
          <w:sz w:val="24"/>
          <w:szCs w:val="24"/>
        </w:rPr>
        <w:t>remaining for future amortization (line 28</w:t>
      </w:r>
      <w:r w:rsidR="00166441" w:rsidRPr="00F33374">
        <w:rPr>
          <w:rFonts w:ascii="Palatino Linotype" w:eastAsia="Palatino Linotype" w:hAnsi="Palatino Linotype" w:cs="Palatino Linotype"/>
          <w:sz w:val="24"/>
          <w:szCs w:val="24"/>
        </w:rPr>
        <w:t>, column C)</w:t>
      </w:r>
      <w:r w:rsidR="00166441">
        <w:rPr>
          <w:rFonts w:ascii="Palatino Linotype" w:eastAsia="Palatino Linotype" w:hAnsi="Palatino Linotype" w:cs="Palatino Linotype"/>
          <w:sz w:val="24"/>
          <w:szCs w:val="24"/>
        </w:rPr>
        <w:t>;</w:t>
      </w:r>
      <w:r w:rsidR="00166441" w:rsidRPr="00F33374">
        <w:rPr>
          <w:rFonts w:ascii="Palatino Linotype" w:eastAsia="Palatino Linotype" w:hAnsi="Palatino Linotype" w:cs="Palatino Linotype"/>
          <w:sz w:val="24"/>
          <w:szCs w:val="24"/>
        </w:rPr>
        <w:t xml:space="preserve"> </w:t>
      </w:r>
    </w:p>
    <w:p w:rsidR="00166441" w:rsidRDefault="00166441" w:rsidP="00166441">
      <w:pPr>
        <w:pStyle w:val="ListParagraph"/>
        <w:numPr>
          <w:ilvl w:val="0"/>
          <w:numId w:val="4"/>
        </w:numPr>
        <w:ind w:right="401"/>
        <w:rPr>
          <w:rFonts w:ascii="Palatino Linotype" w:eastAsia="Palatino Linotype" w:hAnsi="Palatino Linotype" w:cs="Palatino Linotype"/>
          <w:sz w:val="24"/>
          <w:szCs w:val="24"/>
        </w:rPr>
      </w:pPr>
      <w:r w:rsidRPr="00F33374">
        <w:rPr>
          <w:rFonts w:ascii="Palatino Linotype" w:eastAsia="Palatino Linotype" w:hAnsi="Palatino Linotype" w:cs="Palatino Linotype"/>
          <w:sz w:val="24"/>
          <w:szCs w:val="24"/>
        </w:rPr>
        <w:t xml:space="preserve">Consistent with normalization rules, Staff has reduced </w:t>
      </w:r>
      <w:r w:rsidR="008C2BAF">
        <w:rPr>
          <w:rFonts w:ascii="Palatino Linotype" w:eastAsia="Palatino Linotype" w:hAnsi="Palatino Linotype" w:cs="Palatino Linotype"/>
          <w:sz w:val="24"/>
          <w:szCs w:val="24"/>
        </w:rPr>
        <w:t>Sierra</w:t>
      </w:r>
      <w:r>
        <w:rPr>
          <w:rFonts w:ascii="Palatino Linotype" w:eastAsia="Palatino Linotype" w:hAnsi="Palatino Linotype" w:cs="Palatino Linotype"/>
          <w:sz w:val="24"/>
          <w:szCs w:val="24"/>
        </w:rPr>
        <w:t>’s</w:t>
      </w:r>
      <w:r w:rsidRPr="00F33374">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 xml:space="preserve">proposed </w:t>
      </w:r>
      <w:r w:rsidRPr="00F33374">
        <w:rPr>
          <w:rFonts w:ascii="Palatino Linotype" w:eastAsia="Palatino Linotype" w:hAnsi="Palatino Linotype" w:cs="Palatino Linotype"/>
          <w:sz w:val="24"/>
          <w:szCs w:val="24"/>
        </w:rPr>
        <w:t xml:space="preserve">rate base </w:t>
      </w:r>
      <w:r>
        <w:rPr>
          <w:rFonts w:ascii="Palatino Linotype" w:eastAsia="Palatino Linotype" w:hAnsi="Palatino Linotype" w:cs="Palatino Linotype"/>
          <w:sz w:val="24"/>
          <w:szCs w:val="24"/>
        </w:rPr>
        <w:t>of $</w:t>
      </w:r>
      <w:r w:rsidR="00966CC5">
        <w:rPr>
          <w:rFonts w:ascii="Palatino Linotype" w:eastAsia="Palatino Linotype" w:hAnsi="Palatino Linotype" w:cs="Palatino Linotype"/>
          <w:sz w:val="24"/>
          <w:szCs w:val="24"/>
        </w:rPr>
        <w:t xml:space="preserve">23,961,986 (line </w:t>
      </w:r>
      <w:r w:rsidR="008C2BAF">
        <w:rPr>
          <w:rFonts w:ascii="Palatino Linotype" w:eastAsia="Palatino Linotype" w:hAnsi="Palatino Linotype" w:cs="Palatino Linotype"/>
          <w:sz w:val="24"/>
          <w:szCs w:val="24"/>
        </w:rPr>
        <w:t>29</w:t>
      </w:r>
      <w:r>
        <w:rPr>
          <w:rFonts w:ascii="Palatino Linotype" w:eastAsia="Palatino Linotype" w:hAnsi="Palatino Linotype" w:cs="Palatino Linotype"/>
          <w:sz w:val="24"/>
          <w:szCs w:val="24"/>
        </w:rPr>
        <w:t xml:space="preserve">, column B) </w:t>
      </w:r>
      <w:r w:rsidRPr="00F33374">
        <w:rPr>
          <w:rFonts w:ascii="Palatino Linotype" w:eastAsia="Palatino Linotype" w:hAnsi="Palatino Linotype" w:cs="Palatino Linotype"/>
          <w:sz w:val="24"/>
          <w:szCs w:val="24"/>
        </w:rPr>
        <w:t>by the unamortized balance</w:t>
      </w:r>
      <w:r>
        <w:rPr>
          <w:rFonts w:ascii="Palatino Linotype" w:eastAsia="Palatino Linotype" w:hAnsi="Palatino Linotype" w:cs="Palatino Linotype"/>
          <w:sz w:val="24"/>
          <w:szCs w:val="24"/>
        </w:rPr>
        <w:t xml:space="preserve"> of $</w:t>
      </w:r>
      <w:r w:rsidR="00966CC5">
        <w:rPr>
          <w:rFonts w:ascii="Palatino Linotype" w:eastAsia="Palatino Linotype" w:hAnsi="Palatino Linotype" w:cs="Palatino Linotype"/>
          <w:sz w:val="24"/>
          <w:szCs w:val="24"/>
        </w:rPr>
        <w:t>1,645,537</w:t>
      </w:r>
      <w:r w:rsidRPr="00F33374">
        <w:rPr>
          <w:rFonts w:ascii="Palatino Linotype" w:eastAsia="Palatino Linotype" w:hAnsi="Palatino Linotype" w:cs="Palatino Linotype"/>
          <w:sz w:val="24"/>
          <w:szCs w:val="24"/>
        </w:rPr>
        <w:t xml:space="preserve"> left on the excess deferred tax after taking the yearly income tax credit.  Thereafter, the rate base will be increased yearly by the </w:t>
      </w:r>
      <w:r w:rsidR="00966CC5">
        <w:rPr>
          <w:rFonts w:ascii="Palatino Linotype" w:eastAsia="Palatino Linotype" w:hAnsi="Palatino Linotype" w:cs="Palatino Linotype"/>
          <w:sz w:val="24"/>
          <w:szCs w:val="24"/>
        </w:rPr>
        <w:t>$316,449</w:t>
      </w:r>
      <w:r w:rsidRPr="00F33374">
        <w:rPr>
          <w:rFonts w:ascii="Palatino Linotype" w:eastAsia="Palatino Linotype" w:hAnsi="Palatino Linotype" w:cs="Palatino Linotype"/>
          <w:sz w:val="24"/>
          <w:szCs w:val="24"/>
        </w:rPr>
        <w:t xml:space="preserve"> amortized amount</w:t>
      </w:r>
      <w:r w:rsidR="00966CC5">
        <w:rPr>
          <w:rFonts w:ascii="Palatino Linotype" w:eastAsia="Palatino Linotype" w:hAnsi="Palatino Linotype" w:cs="Palatino Linotype"/>
          <w:sz w:val="24"/>
          <w:szCs w:val="24"/>
        </w:rPr>
        <w:t xml:space="preserve"> (see Total Rate Base, line </w:t>
      </w:r>
      <w:r w:rsidR="008C2BAF">
        <w:rPr>
          <w:rFonts w:ascii="Palatino Linotype" w:eastAsia="Palatino Linotype" w:hAnsi="Palatino Linotype" w:cs="Palatino Linotype"/>
          <w:sz w:val="24"/>
          <w:szCs w:val="24"/>
        </w:rPr>
        <w:t>29</w:t>
      </w:r>
      <w:r w:rsidRPr="00F33374">
        <w:rPr>
          <w:rFonts w:ascii="Palatino Linotype" w:eastAsia="Palatino Linotype" w:hAnsi="Palatino Linotype" w:cs="Palatino Linotype"/>
          <w:sz w:val="24"/>
          <w:szCs w:val="24"/>
        </w:rPr>
        <w:t>, column C</w:t>
      </w:r>
      <w:r>
        <w:rPr>
          <w:rFonts w:ascii="Palatino Linotype" w:eastAsia="Palatino Linotype" w:hAnsi="Palatino Linotype" w:cs="Palatino Linotype"/>
          <w:sz w:val="24"/>
          <w:szCs w:val="24"/>
        </w:rPr>
        <w:t>, $</w:t>
      </w:r>
      <w:r w:rsidR="00966CC5">
        <w:rPr>
          <w:rFonts w:ascii="Palatino Linotype" w:eastAsia="Palatino Linotype" w:hAnsi="Palatino Linotype" w:cs="Palatino Linotype"/>
          <w:sz w:val="24"/>
          <w:szCs w:val="24"/>
        </w:rPr>
        <w:t>22,316,449</w:t>
      </w:r>
      <w:r w:rsidRPr="00F33374">
        <w:rPr>
          <w:rFonts w:ascii="Palatino Linotype" w:eastAsia="Palatino Linotype" w:hAnsi="Palatino Linotype" w:cs="Palatino Linotype"/>
          <w:sz w:val="24"/>
          <w:szCs w:val="24"/>
        </w:rPr>
        <w:t>, compared to line 2</w:t>
      </w:r>
      <w:r w:rsidR="005151E5">
        <w:rPr>
          <w:rFonts w:ascii="Palatino Linotype" w:eastAsia="Palatino Linotype" w:hAnsi="Palatino Linotype" w:cs="Palatino Linotype"/>
          <w:sz w:val="24"/>
          <w:szCs w:val="24"/>
        </w:rPr>
        <w:t>9</w:t>
      </w:r>
      <w:r w:rsidRPr="00F33374">
        <w:rPr>
          <w:rFonts w:ascii="Palatino Linotype" w:eastAsia="Palatino Linotype" w:hAnsi="Palatino Linotype" w:cs="Palatino Linotype"/>
          <w:sz w:val="24"/>
          <w:szCs w:val="24"/>
        </w:rPr>
        <w:t>, column A</w:t>
      </w:r>
      <w:r>
        <w:rPr>
          <w:rFonts w:ascii="Palatino Linotype" w:eastAsia="Palatino Linotype" w:hAnsi="Palatino Linotype" w:cs="Palatino Linotype"/>
          <w:sz w:val="24"/>
          <w:szCs w:val="24"/>
        </w:rPr>
        <w:t>, $</w:t>
      </w:r>
      <w:r w:rsidR="00966CC5">
        <w:rPr>
          <w:rFonts w:ascii="Palatino Linotype" w:eastAsia="Palatino Linotype" w:hAnsi="Palatino Linotype" w:cs="Palatino Linotype"/>
          <w:sz w:val="24"/>
          <w:szCs w:val="24"/>
        </w:rPr>
        <w:t>22,000,000</w:t>
      </w:r>
      <w:r w:rsidRPr="00F33374">
        <w:rPr>
          <w:rFonts w:ascii="Palatino Linotype" w:eastAsia="Palatino Linotype" w:hAnsi="Palatino Linotype" w:cs="Palatino Linotype"/>
          <w:sz w:val="24"/>
          <w:szCs w:val="24"/>
        </w:rPr>
        <w:t>)</w:t>
      </w:r>
      <w:r>
        <w:rPr>
          <w:rFonts w:ascii="Palatino Linotype" w:eastAsia="Palatino Linotype" w:hAnsi="Palatino Linotype" w:cs="Palatino Linotype"/>
          <w:sz w:val="24"/>
          <w:szCs w:val="24"/>
        </w:rPr>
        <w:t>;</w:t>
      </w:r>
    </w:p>
    <w:p w:rsidR="00166441" w:rsidRDefault="00D303A8" w:rsidP="00166441">
      <w:pPr>
        <w:pStyle w:val="ListParagraph"/>
        <w:numPr>
          <w:ilvl w:val="0"/>
          <w:numId w:val="4"/>
        </w:num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w:t>
      </w:r>
      <w:r w:rsidR="00166441">
        <w:rPr>
          <w:rFonts w:ascii="Palatino Linotype" w:eastAsia="Palatino Linotype" w:hAnsi="Palatino Linotype" w:cs="Palatino Linotype"/>
          <w:sz w:val="24"/>
          <w:szCs w:val="24"/>
        </w:rPr>
        <w:t>he Total Rate Base of $</w:t>
      </w:r>
      <w:r w:rsidR="00966CC5">
        <w:rPr>
          <w:rFonts w:ascii="Palatino Linotype" w:eastAsia="Palatino Linotype" w:hAnsi="Palatino Linotype" w:cs="Palatino Linotype"/>
          <w:sz w:val="24"/>
          <w:szCs w:val="24"/>
        </w:rPr>
        <w:t>22,316,449</w:t>
      </w:r>
      <w:r w:rsidR="00166441">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 xml:space="preserve">was then </w:t>
      </w:r>
      <w:r w:rsidR="00166441">
        <w:rPr>
          <w:rFonts w:ascii="Palatino Linotype" w:eastAsia="Palatino Linotype" w:hAnsi="Palatino Linotype" w:cs="Palatino Linotype"/>
          <w:sz w:val="24"/>
          <w:szCs w:val="24"/>
        </w:rPr>
        <w:t xml:space="preserve">multiplied by the Rate of Return </w:t>
      </w:r>
      <w:r w:rsidR="00966CC5">
        <w:rPr>
          <w:rFonts w:ascii="Palatino Linotype" w:eastAsia="Palatino Linotype" w:hAnsi="Palatino Linotype" w:cs="Palatino Linotype"/>
          <w:sz w:val="24"/>
          <w:szCs w:val="24"/>
        </w:rPr>
        <w:t>(line 3</w:t>
      </w:r>
      <w:r w:rsidR="008C2BAF">
        <w:rPr>
          <w:rFonts w:ascii="Palatino Linotype" w:eastAsia="Palatino Linotype" w:hAnsi="Palatino Linotype" w:cs="Palatino Linotype"/>
          <w:sz w:val="24"/>
          <w:szCs w:val="24"/>
        </w:rPr>
        <w:t>0</w:t>
      </w:r>
      <w:r w:rsidR="00166441">
        <w:rPr>
          <w:rFonts w:ascii="Palatino Linotype" w:eastAsia="Palatino Linotype" w:hAnsi="Palatino Linotype" w:cs="Palatino Linotype"/>
          <w:sz w:val="24"/>
          <w:szCs w:val="24"/>
        </w:rPr>
        <w:t xml:space="preserve">; </w:t>
      </w:r>
      <w:r w:rsidR="00966CC5">
        <w:rPr>
          <w:rFonts w:ascii="Palatino Linotype" w:eastAsia="Palatino Linotype" w:hAnsi="Palatino Linotype" w:cs="Palatino Linotype"/>
          <w:sz w:val="24"/>
          <w:szCs w:val="24"/>
        </w:rPr>
        <w:t>9.22</w:t>
      </w:r>
      <w:r w:rsidR="00166441">
        <w:rPr>
          <w:rFonts w:ascii="Palatino Linotype" w:eastAsia="Palatino Linotype" w:hAnsi="Palatino Linotype" w:cs="Palatino Linotype"/>
          <w:sz w:val="24"/>
          <w:szCs w:val="24"/>
        </w:rPr>
        <w:t>%) equals $</w:t>
      </w:r>
      <w:r w:rsidR="00966CC5">
        <w:rPr>
          <w:rFonts w:ascii="Palatino Linotype" w:eastAsia="Palatino Linotype" w:hAnsi="Palatino Linotype" w:cs="Palatino Linotype"/>
          <w:sz w:val="24"/>
          <w:szCs w:val="24"/>
        </w:rPr>
        <w:t>2,057,577</w:t>
      </w:r>
      <w:r w:rsidR="00166441">
        <w:rPr>
          <w:rFonts w:ascii="Palatino Linotype" w:eastAsia="Palatino Linotype" w:hAnsi="Palatino Linotype" w:cs="Palatino Linotype"/>
          <w:sz w:val="24"/>
          <w:szCs w:val="24"/>
        </w:rPr>
        <w:t xml:space="preserve"> in Net Operating Income (line 19, column C);</w:t>
      </w:r>
      <w:r w:rsidR="00166441" w:rsidRPr="00F33374">
        <w:rPr>
          <w:rFonts w:ascii="Palatino Linotype" w:eastAsia="Palatino Linotype" w:hAnsi="Palatino Linotype" w:cs="Palatino Linotype"/>
          <w:sz w:val="24"/>
          <w:szCs w:val="24"/>
        </w:rPr>
        <w:t xml:space="preserve">  </w:t>
      </w:r>
    </w:p>
    <w:p w:rsidR="00166441" w:rsidRPr="00D432DE" w:rsidRDefault="00166441" w:rsidP="00166441">
      <w:pPr>
        <w:pStyle w:val="ListParagraph"/>
        <w:numPr>
          <w:ilvl w:val="0"/>
          <w:numId w:val="4"/>
        </w:numPr>
        <w:ind w:right="401"/>
        <w:rPr>
          <w:rFonts w:ascii="Palatino Linotype" w:eastAsia="Palatino Linotype" w:hAnsi="Palatino Linotype" w:cs="Palatino Linotype"/>
          <w:sz w:val="24"/>
          <w:szCs w:val="24"/>
        </w:rPr>
      </w:pPr>
      <w:r w:rsidRPr="00984F02">
        <w:rPr>
          <w:rFonts w:ascii="Palatino Linotype" w:eastAsia="Palatino Linotype" w:hAnsi="Palatino Linotype" w:cs="Palatino Linotype"/>
          <w:sz w:val="24"/>
          <w:szCs w:val="24"/>
        </w:rPr>
        <w:t xml:space="preserve">Staff’s adjustments decreased </w:t>
      </w:r>
      <w:r w:rsidR="008C2BAF">
        <w:rPr>
          <w:rFonts w:ascii="Palatino Linotype" w:eastAsia="Palatino Linotype" w:hAnsi="Palatino Linotype" w:cs="Palatino Linotype"/>
          <w:sz w:val="24"/>
          <w:szCs w:val="24"/>
        </w:rPr>
        <w:t>Sierra</w:t>
      </w:r>
      <w:r w:rsidRPr="00984F02">
        <w:rPr>
          <w:rFonts w:ascii="Palatino Linotype" w:eastAsia="Palatino Linotype" w:hAnsi="Palatino Linotype" w:cs="Palatino Linotype"/>
          <w:sz w:val="24"/>
          <w:szCs w:val="24"/>
        </w:rPr>
        <w:t>’s total operating expenses including income taxes by an additional $</w:t>
      </w:r>
      <w:r w:rsidR="002A1772" w:rsidRPr="00D432DE">
        <w:rPr>
          <w:rFonts w:ascii="Palatino Linotype" w:eastAsia="Palatino Linotype" w:hAnsi="Palatino Linotype" w:cs="Palatino Linotype"/>
          <w:sz w:val="24"/>
          <w:szCs w:val="24"/>
        </w:rPr>
        <w:t>375,402 (line 18</w:t>
      </w:r>
      <w:r w:rsidRPr="00D432DE">
        <w:rPr>
          <w:rFonts w:ascii="Palatino Linotype" w:eastAsia="Palatino Linotype" w:hAnsi="Palatino Linotype" w:cs="Palatino Linotype"/>
          <w:sz w:val="24"/>
          <w:szCs w:val="24"/>
        </w:rPr>
        <w:t>, comparing columns B and C).  This is a sum of two factors: 1) a $</w:t>
      </w:r>
      <w:r w:rsidR="002A1772" w:rsidRPr="00D432DE">
        <w:rPr>
          <w:rFonts w:ascii="Palatino Linotype" w:eastAsia="Palatino Linotype" w:hAnsi="Palatino Linotype" w:cs="Palatino Linotype"/>
          <w:sz w:val="24"/>
          <w:szCs w:val="24"/>
        </w:rPr>
        <w:t>58,95</w:t>
      </w:r>
      <w:r w:rsidR="002A1772" w:rsidRPr="00984F02">
        <w:rPr>
          <w:rFonts w:ascii="Palatino Linotype" w:eastAsia="Palatino Linotype" w:hAnsi="Palatino Linotype" w:cs="Palatino Linotype"/>
          <w:sz w:val="24"/>
          <w:szCs w:val="24"/>
        </w:rPr>
        <w:t>3</w:t>
      </w:r>
      <w:r w:rsidRPr="00984F02">
        <w:rPr>
          <w:rFonts w:ascii="Palatino Linotype" w:eastAsia="Palatino Linotype" w:hAnsi="Palatino Linotype" w:cs="Palatino Linotype"/>
          <w:sz w:val="24"/>
          <w:szCs w:val="24"/>
        </w:rPr>
        <w:t xml:space="preserve"> decrease in State and Federal Income Tax (line 16, column C) and the line 17, column C deferred tax credit of $</w:t>
      </w:r>
      <w:r w:rsidR="002A1772" w:rsidRPr="00D432DE">
        <w:rPr>
          <w:rFonts w:ascii="Palatino Linotype" w:eastAsia="Palatino Linotype" w:hAnsi="Palatino Linotype" w:cs="Palatino Linotype"/>
          <w:sz w:val="24"/>
          <w:szCs w:val="24"/>
        </w:rPr>
        <w:t>316,449</w:t>
      </w:r>
      <w:r w:rsidRPr="00D432DE">
        <w:rPr>
          <w:rFonts w:ascii="Palatino Linotype" w:eastAsia="Palatino Linotype" w:hAnsi="Palatino Linotype" w:cs="Palatino Linotype"/>
          <w:sz w:val="24"/>
          <w:szCs w:val="24"/>
        </w:rPr>
        <w:t>;</w:t>
      </w:r>
    </w:p>
    <w:p w:rsidR="00166441" w:rsidRDefault="00166441" w:rsidP="00166441">
      <w:pPr>
        <w:pStyle w:val="ListParagraph"/>
        <w:numPr>
          <w:ilvl w:val="0"/>
          <w:numId w:val="4"/>
        </w:num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To fully recover revenue requirement including the cost of tax liabilities, utilities incorporate a “net to gross multiplier” to account for such liabilities.  </w:t>
      </w:r>
      <w:r w:rsidR="008C2BAF">
        <w:rPr>
          <w:rFonts w:ascii="Palatino Linotype" w:eastAsia="Palatino Linotype" w:hAnsi="Palatino Linotype" w:cs="Palatino Linotype"/>
          <w:sz w:val="24"/>
          <w:szCs w:val="24"/>
        </w:rPr>
        <w:t>Sierra</w:t>
      </w:r>
      <w:r>
        <w:rPr>
          <w:rFonts w:ascii="Palatino Linotype" w:eastAsia="Palatino Linotype" w:hAnsi="Palatino Linotype" w:cs="Palatino Linotype"/>
          <w:sz w:val="24"/>
          <w:szCs w:val="24"/>
        </w:rPr>
        <w:t xml:space="preserve"> calculated and Staff confirms that the NTGM is 1.38857 when California’s State Income Tax Rate is 8.84% and the Federal Income Tax Rate is 21%; </w:t>
      </w:r>
    </w:p>
    <w:p w:rsidR="00166441" w:rsidRDefault="00166441" w:rsidP="00166441">
      <w:pPr>
        <w:pStyle w:val="ListParagraph"/>
        <w:numPr>
          <w:ilvl w:val="0"/>
          <w:numId w:val="4"/>
        </w:num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State income tax decreased by $</w:t>
      </w:r>
      <w:r w:rsidR="00984F02">
        <w:rPr>
          <w:rFonts w:ascii="Palatino Linotype" w:eastAsia="Palatino Linotype" w:hAnsi="Palatino Linotype" w:cs="Palatino Linotype"/>
          <w:sz w:val="24"/>
          <w:szCs w:val="24"/>
        </w:rPr>
        <w:t>18,623</w:t>
      </w:r>
      <w:r>
        <w:rPr>
          <w:rFonts w:ascii="Palatino Linotype" w:eastAsia="Palatino Linotype" w:hAnsi="Palatino Linotype" w:cs="Palatino Linotype"/>
          <w:sz w:val="24"/>
          <w:szCs w:val="24"/>
        </w:rPr>
        <w:t xml:space="preserve">, as the product of multiplying the difference between </w:t>
      </w:r>
      <w:r w:rsidR="008C2BAF">
        <w:rPr>
          <w:rFonts w:ascii="Palatino Linotype" w:eastAsia="Palatino Linotype" w:hAnsi="Palatino Linotype" w:cs="Palatino Linotype"/>
          <w:sz w:val="24"/>
          <w:szCs w:val="24"/>
        </w:rPr>
        <w:t>Sierra</w:t>
      </w:r>
      <w:r>
        <w:rPr>
          <w:rFonts w:ascii="Palatino Linotype" w:eastAsia="Palatino Linotype" w:hAnsi="Palatino Linotype" w:cs="Palatino Linotype"/>
          <w:sz w:val="24"/>
          <w:szCs w:val="24"/>
        </w:rPr>
        <w:t>’s proposed Net Operating Income of $</w:t>
      </w:r>
      <w:r w:rsidR="00984F02">
        <w:rPr>
          <w:rFonts w:ascii="Palatino Linotype" w:eastAsia="Palatino Linotype" w:hAnsi="Palatino Linotype" w:cs="Palatino Linotype"/>
          <w:sz w:val="24"/>
          <w:szCs w:val="24"/>
        </w:rPr>
        <w:t>2,209,294</w:t>
      </w:r>
      <w:r>
        <w:rPr>
          <w:rFonts w:ascii="Palatino Linotype" w:eastAsia="Palatino Linotype" w:hAnsi="Palatino Linotype" w:cs="Palatino Linotype"/>
          <w:sz w:val="24"/>
          <w:szCs w:val="24"/>
        </w:rPr>
        <w:t xml:space="preserve"> and Staff’s proposed Income of $</w:t>
      </w:r>
      <w:r w:rsidR="00984F02">
        <w:rPr>
          <w:rFonts w:ascii="Palatino Linotype" w:eastAsia="Palatino Linotype" w:hAnsi="Palatino Linotype" w:cs="Palatino Linotype"/>
          <w:sz w:val="24"/>
          <w:szCs w:val="24"/>
        </w:rPr>
        <w:t>2,057,577</w:t>
      </w:r>
      <w:r>
        <w:rPr>
          <w:rFonts w:ascii="Palatino Linotype" w:eastAsia="Palatino Linotype" w:hAnsi="Palatino Linotype" w:cs="Palatino Linotype"/>
          <w:sz w:val="24"/>
          <w:szCs w:val="24"/>
        </w:rPr>
        <w:t xml:space="preserve"> ($</w:t>
      </w:r>
      <w:r w:rsidR="00984F02">
        <w:rPr>
          <w:rFonts w:ascii="Palatino Linotype" w:eastAsia="Palatino Linotype" w:hAnsi="Palatino Linotype" w:cs="Palatino Linotype"/>
          <w:sz w:val="24"/>
          <w:szCs w:val="24"/>
        </w:rPr>
        <w:t>151,717</w:t>
      </w:r>
      <w:r>
        <w:rPr>
          <w:rFonts w:ascii="Palatino Linotype" w:eastAsia="Palatino Linotype" w:hAnsi="Palatino Linotype" w:cs="Palatino Linotype"/>
          <w:sz w:val="24"/>
          <w:szCs w:val="24"/>
        </w:rPr>
        <w:t>, line 19) by the NTGM of 1.38857; then multiplying that amount by the State Tax Rate of 8.84%;</w:t>
      </w:r>
    </w:p>
    <w:p w:rsidR="00166441" w:rsidRDefault="00166441" w:rsidP="00166441">
      <w:pPr>
        <w:pStyle w:val="ListParagraph"/>
        <w:numPr>
          <w:ilvl w:val="0"/>
          <w:numId w:val="4"/>
        </w:num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Federal income tax decreased by $</w:t>
      </w:r>
      <w:r w:rsidR="00984F02">
        <w:rPr>
          <w:rFonts w:ascii="Palatino Linotype" w:eastAsia="Palatino Linotype" w:hAnsi="Palatino Linotype" w:cs="Palatino Linotype"/>
          <w:sz w:val="24"/>
          <w:szCs w:val="24"/>
        </w:rPr>
        <w:t>40,330</w:t>
      </w:r>
      <w:r>
        <w:rPr>
          <w:rFonts w:ascii="Palatino Linotype" w:eastAsia="Palatino Linotype" w:hAnsi="Palatino Linotype" w:cs="Palatino Linotype"/>
          <w:sz w:val="24"/>
          <w:szCs w:val="24"/>
        </w:rPr>
        <w:t xml:space="preserve">, calculated by 1) subtracting the </w:t>
      </w:r>
      <w:r w:rsidR="00DB7D2D">
        <w:rPr>
          <w:rFonts w:ascii="Palatino Linotype" w:eastAsia="Palatino Linotype" w:hAnsi="Palatino Linotype" w:cs="Palatino Linotype"/>
          <w:sz w:val="24"/>
          <w:szCs w:val="24"/>
        </w:rPr>
        <w:t xml:space="preserve">decrease </w:t>
      </w:r>
      <w:r>
        <w:rPr>
          <w:rFonts w:ascii="Palatino Linotype" w:eastAsia="Palatino Linotype" w:hAnsi="Palatino Linotype" w:cs="Palatino Linotype"/>
          <w:sz w:val="24"/>
          <w:szCs w:val="24"/>
        </w:rPr>
        <w:t>in state income tax from the product of 2) the $</w:t>
      </w:r>
      <w:r w:rsidR="00984F02">
        <w:rPr>
          <w:rFonts w:ascii="Palatino Linotype" w:eastAsia="Palatino Linotype" w:hAnsi="Palatino Linotype" w:cs="Palatino Linotype"/>
          <w:sz w:val="24"/>
          <w:szCs w:val="24"/>
        </w:rPr>
        <w:t>151,316</w:t>
      </w:r>
      <w:r w:rsidR="00DB7D2D">
        <w:rPr>
          <w:rFonts w:ascii="Palatino Linotype" w:eastAsia="Palatino Linotype" w:hAnsi="Palatino Linotype" w:cs="Palatino Linotype"/>
          <w:sz w:val="24"/>
          <w:szCs w:val="24"/>
        </w:rPr>
        <w:t xml:space="preserve"> difference in proposed operating income</w:t>
      </w:r>
      <w:r>
        <w:rPr>
          <w:rFonts w:ascii="Palatino Linotype" w:eastAsia="Palatino Linotype" w:hAnsi="Palatino Linotype" w:cs="Palatino Linotype"/>
          <w:sz w:val="24"/>
          <w:szCs w:val="24"/>
        </w:rPr>
        <w:t xml:space="preserve"> multiplied by the NTGM, and then 3) multiplying that result by the federal income tax rate of 21% (line 16, columns B and C);</w:t>
      </w:r>
    </w:p>
    <w:p w:rsidR="00166441" w:rsidRDefault="00166441" w:rsidP="00166441">
      <w:pPr>
        <w:pStyle w:val="ListParagraph"/>
        <w:numPr>
          <w:ilvl w:val="0"/>
          <w:numId w:val="4"/>
        </w:num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resulting gross reduction in Net Operating Income (line 19, $</w:t>
      </w:r>
      <w:r w:rsidR="00984F02">
        <w:rPr>
          <w:rFonts w:ascii="Palatino Linotype" w:eastAsia="Palatino Linotype" w:hAnsi="Palatino Linotype" w:cs="Palatino Linotype"/>
          <w:sz w:val="24"/>
          <w:szCs w:val="24"/>
        </w:rPr>
        <w:t>151,717</w:t>
      </w:r>
      <w:r>
        <w:rPr>
          <w:rFonts w:ascii="Palatino Linotype" w:eastAsia="Palatino Linotype" w:hAnsi="Palatino Linotype" w:cs="Palatino Linotype"/>
          <w:sz w:val="24"/>
          <w:szCs w:val="24"/>
        </w:rPr>
        <w:t>) and Total Expenses (line 18, $</w:t>
      </w:r>
      <w:r w:rsidR="00984F02">
        <w:rPr>
          <w:rFonts w:ascii="Palatino Linotype" w:eastAsia="Palatino Linotype" w:hAnsi="Palatino Linotype" w:cs="Palatino Linotype"/>
          <w:sz w:val="24"/>
          <w:szCs w:val="24"/>
        </w:rPr>
        <w:t>375,402</w:t>
      </w:r>
      <w:r>
        <w:rPr>
          <w:rFonts w:ascii="Palatino Linotype" w:eastAsia="Palatino Linotype" w:hAnsi="Palatino Linotype" w:cs="Palatino Linotype"/>
          <w:sz w:val="24"/>
          <w:szCs w:val="24"/>
        </w:rPr>
        <w:t>) equals $</w:t>
      </w:r>
      <w:r w:rsidR="00984F02">
        <w:rPr>
          <w:rFonts w:ascii="Palatino Linotype" w:eastAsia="Palatino Linotype" w:hAnsi="Palatino Linotype" w:cs="Palatino Linotype"/>
          <w:sz w:val="24"/>
          <w:szCs w:val="24"/>
        </w:rPr>
        <w:t>527,119</w:t>
      </w:r>
      <w:r>
        <w:rPr>
          <w:rFonts w:ascii="Palatino Linotype" w:eastAsia="Palatino Linotype" w:hAnsi="Palatino Linotype" w:cs="Palatino Linotype"/>
          <w:sz w:val="24"/>
          <w:szCs w:val="24"/>
        </w:rPr>
        <w:t xml:space="preserve">, requiring a further offset to revenue requirement and CHCF-A support between </w:t>
      </w:r>
      <w:r w:rsidR="008C2BAF">
        <w:rPr>
          <w:rFonts w:ascii="Palatino Linotype" w:eastAsia="Palatino Linotype" w:hAnsi="Palatino Linotype" w:cs="Palatino Linotype"/>
          <w:sz w:val="24"/>
          <w:szCs w:val="24"/>
        </w:rPr>
        <w:t>Sierra</w:t>
      </w:r>
      <w:r>
        <w:rPr>
          <w:rFonts w:ascii="Palatino Linotype" w:eastAsia="Palatino Linotype" w:hAnsi="Palatino Linotype" w:cs="Palatino Linotype"/>
          <w:sz w:val="24"/>
          <w:szCs w:val="24"/>
        </w:rPr>
        <w:t>’s and Staff’s proposals;</w:t>
      </w:r>
    </w:p>
    <w:p w:rsidR="00166441" w:rsidRDefault="00166441" w:rsidP="00166441">
      <w:pPr>
        <w:pStyle w:val="ListParagraph"/>
        <w:numPr>
          <w:ilvl w:val="0"/>
          <w:numId w:val="4"/>
        </w:num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Therefore,</w:t>
      </w:r>
      <w:r w:rsidRPr="00F33374">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Staff proposes a</w:t>
      </w:r>
      <w:r w:rsidRPr="00F33374">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further reduction of $</w:t>
      </w:r>
      <w:r w:rsidR="00984F02">
        <w:rPr>
          <w:rFonts w:ascii="Palatino Linotype" w:eastAsia="Palatino Linotype" w:hAnsi="Palatino Linotype" w:cs="Palatino Linotype"/>
          <w:sz w:val="24"/>
          <w:szCs w:val="24"/>
        </w:rPr>
        <w:t>527,119</w:t>
      </w:r>
      <w:r>
        <w:rPr>
          <w:rFonts w:ascii="Palatino Linotype" w:eastAsia="Palatino Linotype" w:hAnsi="Palatino Linotype" w:cs="Palatino Linotype"/>
          <w:sz w:val="24"/>
          <w:szCs w:val="24"/>
        </w:rPr>
        <w:t xml:space="preserve"> in </w:t>
      </w:r>
      <w:r w:rsidRPr="00F33374">
        <w:rPr>
          <w:rFonts w:ascii="Palatino Linotype" w:eastAsia="Palatino Linotype" w:hAnsi="Palatino Linotype" w:cs="Palatino Linotype"/>
          <w:sz w:val="24"/>
          <w:szCs w:val="24"/>
        </w:rPr>
        <w:t>revenue requirement for TY 2018</w:t>
      </w:r>
      <w:r w:rsidR="00984F02">
        <w:rPr>
          <w:rFonts w:ascii="Palatino Linotype" w:eastAsia="Palatino Linotype" w:hAnsi="Palatino Linotype" w:cs="Palatino Linotype"/>
          <w:sz w:val="24"/>
          <w:szCs w:val="24"/>
        </w:rPr>
        <w:t>, from $23,349,684</w:t>
      </w:r>
      <w:r>
        <w:rPr>
          <w:rFonts w:ascii="Palatino Linotype" w:eastAsia="Palatino Linotype" w:hAnsi="Palatino Linotype" w:cs="Palatino Linotype"/>
          <w:sz w:val="24"/>
          <w:szCs w:val="24"/>
        </w:rPr>
        <w:t xml:space="preserve"> to $</w:t>
      </w:r>
      <w:r w:rsidR="00984F02">
        <w:rPr>
          <w:rFonts w:ascii="Palatino Linotype" w:eastAsia="Palatino Linotype" w:hAnsi="Palatino Linotype" w:cs="Palatino Linotype"/>
          <w:sz w:val="24"/>
          <w:szCs w:val="24"/>
        </w:rPr>
        <w:t>22,822,565</w:t>
      </w:r>
      <w:r>
        <w:rPr>
          <w:rFonts w:ascii="Palatino Linotype" w:eastAsia="Palatino Linotype" w:hAnsi="Palatino Linotype" w:cs="Palatino Linotype"/>
          <w:sz w:val="24"/>
          <w:szCs w:val="24"/>
        </w:rPr>
        <w:t xml:space="preserve"> </w:t>
      </w:r>
      <w:r w:rsidRPr="00F33374">
        <w:rPr>
          <w:rFonts w:ascii="Palatino Linotype" w:eastAsia="Palatino Linotype" w:hAnsi="Palatino Linotype" w:cs="Palatino Linotype"/>
          <w:sz w:val="24"/>
          <w:szCs w:val="24"/>
        </w:rPr>
        <w:t xml:space="preserve">(line 8, </w:t>
      </w:r>
      <w:r>
        <w:rPr>
          <w:rFonts w:ascii="Palatino Linotype" w:eastAsia="Palatino Linotype" w:hAnsi="Palatino Linotype" w:cs="Palatino Linotype"/>
          <w:sz w:val="24"/>
          <w:szCs w:val="24"/>
        </w:rPr>
        <w:t xml:space="preserve">comparing </w:t>
      </w:r>
      <w:r w:rsidR="008C2BAF">
        <w:rPr>
          <w:rFonts w:ascii="Palatino Linotype" w:eastAsia="Palatino Linotype" w:hAnsi="Palatino Linotype" w:cs="Palatino Linotype"/>
          <w:sz w:val="24"/>
          <w:szCs w:val="24"/>
        </w:rPr>
        <w:t>Sierra</w:t>
      </w:r>
      <w:r>
        <w:rPr>
          <w:rFonts w:ascii="Palatino Linotype" w:eastAsia="Palatino Linotype" w:hAnsi="Palatino Linotype" w:cs="Palatino Linotype"/>
          <w:sz w:val="24"/>
          <w:szCs w:val="24"/>
        </w:rPr>
        <w:t xml:space="preserve">’s proposal in </w:t>
      </w:r>
      <w:r w:rsidRPr="00F33374">
        <w:rPr>
          <w:rFonts w:ascii="Palatino Linotype" w:eastAsia="Palatino Linotype" w:hAnsi="Palatino Linotype" w:cs="Palatino Linotype"/>
          <w:sz w:val="24"/>
          <w:szCs w:val="24"/>
        </w:rPr>
        <w:t>column B</w:t>
      </w:r>
      <w:r>
        <w:rPr>
          <w:rFonts w:ascii="Palatino Linotype" w:eastAsia="Palatino Linotype" w:hAnsi="Palatino Linotype" w:cs="Palatino Linotype"/>
          <w:sz w:val="24"/>
          <w:szCs w:val="24"/>
        </w:rPr>
        <w:t xml:space="preserve"> and Staff’s result in column C</w:t>
      </w:r>
      <w:r w:rsidRPr="00F33374">
        <w:rPr>
          <w:rFonts w:ascii="Palatino Linotype" w:eastAsia="Palatino Linotype" w:hAnsi="Palatino Linotype" w:cs="Palatino Linotype"/>
          <w:sz w:val="24"/>
          <w:szCs w:val="24"/>
        </w:rPr>
        <w:t>)</w:t>
      </w:r>
      <w:r>
        <w:rPr>
          <w:rFonts w:ascii="Palatino Linotype" w:eastAsia="Palatino Linotype" w:hAnsi="Palatino Linotype" w:cs="Palatino Linotype"/>
          <w:sz w:val="24"/>
          <w:szCs w:val="24"/>
        </w:rPr>
        <w:t>;</w:t>
      </w:r>
    </w:p>
    <w:p w:rsidR="00166441" w:rsidRDefault="00166441" w:rsidP="00166441">
      <w:pPr>
        <w:pStyle w:val="ListParagraph"/>
        <w:numPr>
          <w:ilvl w:val="0"/>
          <w:numId w:val="4"/>
        </w:num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And Staff proposes a further reduction in CHCF-A support by an equal additional amount, from $</w:t>
      </w:r>
      <w:r w:rsidR="00984F02">
        <w:rPr>
          <w:rFonts w:ascii="Palatino Linotype" w:eastAsia="Palatino Linotype" w:hAnsi="Palatino Linotype" w:cs="Palatino Linotype"/>
          <w:sz w:val="24"/>
          <w:szCs w:val="24"/>
        </w:rPr>
        <w:t>12,748,363</w:t>
      </w:r>
      <w:r>
        <w:rPr>
          <w:rFonts w:ascii="Palatino Linotype" w:eastAsia="Palatino Linotype" w:hAnsi="Palatino Linotype" w:cs="Palatino Linotype"/>
          <w:sz w:val="24"/>
          <w:szCs w:val="24"/>
        </w:rPr>
        <w:t xml:space="preserve"> to $</w:t>
      </w:r>
      <w:r w:rsidR="00984F02">
        <w:rPr>
          <w:rFonts w:ascii="Palatino Linotype" w:eastAsia="Palatino Linotype" w:hAnsi="Palatino Linotype" w:cs="Palatino Linotype"/>
          <w:sz w:val="24"/>
          <w:szCs w:val="24"/>
        </w:rPr>
        <w:t>12,221,244</w:t>
      </w:r>
      <w:r>
        <w:rPr>
          <w:rFonts w:ascii="Palatino Linotype" w:eastAsia="Palatino Linotype" w:hAnsi="Palatino Linotype" w:cs="Palatino Linotype"/>
          <w:sz w:val="24"/>
          <w:szCs w:val="24"/>
        </w:rPr>
        <w:t xml:space="preserve"> (line 7, comparing columns B and C).</w:t>
      </w:r>
    </w:p>
    <w:p w:rsidR="008F5C62" w:rsidRPr="00F33374" w:rsidRDefault="008F5C62" w:rsidP="00166441">
      <w:pPr>
        <w:pStyle w:val="ListParagraph"/>
        <w:numPr>
          <w:ilvl w:val="0"/>
          <w:numId w:val="4"/>
        </w:num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This results in an overall decrease of $752,854 in Sierra’s revenue requirement, from $23,575,419 to $22,822,565 (comparing line 8, columns A and C), and an overall decrease of $752,854 in CHCF-A support, from $12,974,098 to $12,221,244 (comparing line 7, columns A and C).</w:t>
      </w:r>
    </w:p>
    <w:p w:rsidR="00153FB8" w:rsidRDefault="00153FB8" w:rsidP="00D24B44">
      <w:pPr>
        <w:ind w:right="401"/>
        <w:rPr>
          <w:rFonts w:ascii="Palatino Linotype" w:eastAsia="Palatino Linotype" w:hAnsi="Palatino Linotype" w:cs="Palatino Linotype"/>
          <w:sz w:val="24"/>
          <w:szCs w:val="24"/>
        </w:rPr>
      </w:pPr>
    </w:p>
    <w:p w:rsidR="00C462C8" w:rsidRPr="00025C2C" w:rsidRDefault="00C462C8" w:rsidP="00D432DE">
      <w:pPr>
        <w:ind w:right="401"/>
        <w:rPr>
          <w:rFonts w:ascii="Palatino Linotype" w:eastAsia="Palatino Linotype" w:hAnsi="Palatino Linotype" w:cs="Palatino Linotype"/>
          <w:sz w:val="24"/>
          <w:szCs w:val="24"/>
          <w:u w:val="single"/>
        </w:rPr>
      </w:pPr>
      <w:r w:rsidRPr="00025C2C">
        <w:rPr>
          <w:rFonts w:ascii="Palatino Linotype" w:eastAsia="Palatino Linotype" w:hAnsi="Palatino Linotype" w:cs="Palatino Linotype"/>
          <w:sz w:val="24"/>
          <w:szCs w:val="24"/>
          <w:u w:val="single"/>
        </w:rPr>
        <w:t>Summary</w:t>
      </w:r>
    </w:p>
    <w:p w:rsidR="00C462C8" w:rsidRDefault="00C462C8" w:rsidP="00D432DE">
      <w:pPr>
        <w:ind w:right="401"/>
        <w:rPr>
          <w:rFonts w:ascii="Palatino Linotype" w:eastAsia="Palatino Linotype" w:hAnsi="Palatino Linotype" w:cs="Palatino Linotype"/>
          <w:sz w:val="24"/>
          <w:szCs w:val="24"/>
        </w:rPr>
      </w:pPr>
    </w:p>
    <w:p w:rsidR="008F5C62" w:rsidRDefault="00D303A8" w:rsidP="00D432DE">
      <w:pPr>
        <w:ind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While </w:t>
      </w:r>
      <w:r w:rsidR="00153FB8">
        <w:rPr>
          <w:rFonts w:ascii="Palatino Linotype" w:eastAsia="Palatino Linotype" w:hAnsi="Palatino Linotype" w:cs="Palatino Linotype"/>
          <w:sz w:val="24"/>
          <w:szCs w:val="24"/>
        </w:rPr>
        <w:t xml:space="preserve">Staff accepts </w:t>
      </w:r>
      <w:r w:rsidR="00163D29">
        <w:rPr>
          <w:rFonts w:ascii="Palatino Linotype" w:eastAsia="Palatino Linotype" w:hAnsi="Palatino Linotype" w:cs="Palatino Linotype"/>
          <w:sz w:val="24"/>
          <w:szCs w:val="24"/>
        </w:rPr>
        <w:t>Sierra’s</w:t>
      </w:r>
      <w:r w:rsidR="00153FB8">
        <w:rPr>
          <w:rFonts w:ascii="Palatino Linotype" w:eastAsia="Palatino Linotype" w:hAnsi="Palatino Linotype" w:cs="Palatino Linotype"/>
          <w:sz w:val="24"/>
          <w:szCs w:val="24"/>
        </w:rPr>
        <w:t xml:space="preserve"> reduc</w:t>
      </w:r>
      <w:r w:rsidR="00FD2A11">
        <w:rPr>
          <w:rFonts w:ascii="Palatino Linotype" w:eastAsia="Palatino Linotype" w:hAnsi="Palatino Linotype" w:cs="Palatino Linotype"/>
          <w:sz w:val="24"/>
          <w:szCs w:val="24"/>
        </w:rPr>
        <w:t xml:space="preserve">ed </w:t>
      </w:r>
      <w:r w:rsidR="008F5C62">
        <w:rPr>
          <w:rFonts w:ascii="Palatino Linotype" w:eastAsia="Palatino Linotype" w:hAnsi="Palatino Linotype" w:cs="Palatino Linotype"/>
          <w:sz w:val="24"/>
          <w:szCs w:val="24"/>
        </w:rPr>
        <w:t xml:space="preserve">tax rate of 21% related to the federal income tax reduction, </w:t>
      </w:r>
      <w:r>
        <w:rPr>
          <w:rFonts w:ascii="Palatino Linotype" w:eastAsia="Palatino Linotype" w:hAnsi="Palatino Linotype" w:cs="Palatino Linotype"/>
          <w:sz w:val="24"/>
          <w:szCs w:val="24"/>
        </w:rPr>
        <w:t>it</w:t>
      </w:r>
      <w:r w:rsidR="008F5C62">
        <w:rPr>
          <w:rFonts w:ascii="Palatino Linotype" w:eastAsia="Palatino Linotype" w:hAnsi="Palatino Linotype" w:cs="Palatino Linotype"/>
          <w:sz w:val="24"/>
          <w:szCs w:val="24"/>
        </w:rPr>
        <w:t xml:space="preserve"> has further reduced </w:t>
      </w:r>
      <w:r w:rsidR="008C2BAF">
        <w:rPr>
          <w:rFonts w:ascii="Palatino Linotype" w:eastAsia="Palatino Linotype" w:hAnsi="Palatino Linotype" w:cs="Palatino Linotype"/>
          <w:sz w:val="24"/>
          <w:szCs w:val="24"/>
        </w:rPr>
        <w:t>Sierra</w:t>
      </w:r>
      <w:r w:rsidR="008F5C62">
        <w:rPr>
          <w:rFonts w:ascii="Palatino Linotype" w:eastAsia="Palatino Linotype" w:hAnsi="Palatino Linotype" w:cs="Palatino Linotype"/>
          <w:sz w:val="24"/>
          <w:szCs w:val="24"/>
        </w:rPr>
        <w:t xml:space="preserve">’s proposed revenue requirement </w:t>
      </w:r>
      <w:r w:rsidR="00C462C8">
        <w:rPr>
          <w:rFonts w:ascii="Palatino Linotype" w:eastAsia="Palatino Linotype" w:hAnsi="Palatino Linotype" w:cs="Palatino Linotype"/>
          <w:sz w:val="24"/>
          <w:szCs w:val="24"/>
        </w:rPr>
        <w:t xml:space="preserve">and CHCF-A support </w:t>
      </w:r>
      <w:r w:rsidR="008F5C62">
        <w:rPr>
          <w:rFonts w:ascii="Palatino Linotype" w:eastAsia="Palatino Linotype" w:hAnsi="Palatino Linotype" w:cs="Palatino Linotype"/>
          <w:sz w:val="24"/>
          <w:szCs w:val="24"/>
        </w:rPr>
        <w:t xml:space="preserve">by an additional $527,119 to consider the normalization return of the excess deferred income tax.  For TY 2018, Staff proposes a total decrease to </w:t>
      </w:r>
      <w:r w:rsidR="008C2BAF">
        <w:rPr>
          <w:rFonts w:ascii="Palatino Linotype" w:eastAsia="Palatino Linotype" w:hAnsi="Palatino Linotype" w:cs="Palatino Linotype"/>
          <w:sz w:val="24"/>
          <w:szCs w:val="24"/>
        </w:rPr>
        <w:t>Sierra</w:t>
      </w:r>
      <w:r w:rsidR="008F5C62">
        <w:rPr>
          <w:rFonts w:ascii="Palatino Linotype" w:eastAsia="Palatino Linotype" w:hAnsi="Palatino Linotype" w:cs="Palatino Linotype"/>
          <w:sz w:val="24"/>
          <w:szCs w:val="24"/>
        </w:rPr>
        <w:t xml:space="preserve">’s adopted revenue requirement by $752,854, from $23,575,419 to $22,822,565. Sierra proposes to reflect the reduced revenue requirement by lowering its CHCF-A support in equal amount.  Staff agrees with this proposal since approximately half of the company’s revenues come from CHCF-A support. </w:t>
      </w:r>
      <w:r w:rsidR="00C462C8">
        <w:rPr>
          <w:rFonts w:ascii="Palatino Linotype" w:eastAsia="Palatino Linotype" w:hAnsi="Palatino Linotype" w:cs="Palatino Linotype"/>
          <w:sz w:val="24"/>
          <w:szCs w:val="24"/>
        </w:rPr>
        <w:t>For</w:t>
      </w:r>
      <w:r w:rsidR="008F5C62">
        <w:rPr>
          <w:rFonts w:ascii="Palatino Linotype" w:eastAsia="Palatino Linotype" w:hAnsi="Palatino Linotype" w:cs="Palatino Linotype"/>
          <w:sz w:val="24"/>
          <w:szCs w:val="24"/>
        </w:rPr>
        <w:t xml:space="preserve"> TY 2018, Staff proposes a $752,854 decrease to </w:t>
      </w:r>
      <w:r w:rsidR="008C2BAF">
        <w:rPr>
          <w:rFonts w:ascii="Palatino Linotype" w:eastAsia="Palatino Linotype" w:hAnsi="Palatino Linotype" w:cs="Palatino Linotype"/>
          <w:sz w:val="24"/>
          <w:szCs w:val="24"/>
        </w:rPr>
        <w:t>Sierra</w:t>
      </w:r>
      <w:r w:rsidR="008F5C62">
        <w:rPr>
          <w:rFonts w:ascii="Palatino Linotype" w:eastAsia="Palatino Linotype" w:hAnsi="Palatino Linotype" w:cs="Palatino Linotype"/>
          <w:sz w:val="24"/>
          <w:szCs w:val="24"/>
        </w:rPr>
        <w:t>’s adopted CHCF-A support, from $12,974,098 to $12,221,244.</w:t>
      </w:r>
    </w:p>
    <w:p w:rsidR="00460204" w:rsidRDefault="00460204" w:rsidP="00D24B44">
      <w:pPr>
        <w:ind w:right="401"/>
        <w:rPr>
          <w:rFonts w:ascii="Palatino Linotype" w:eastAsia="Palatino Linotype" w:hAnsi="Palatino Linotype" w:cs="Palatino Linotype"/>
          <w:sz w:val="24"/>
          <w:szCs w:val="24"/>
        </w:rPr>
      </w:pPr>
    </w:p>
    <w:p w:rsidR="00D6611F" w:rsidRPr="00B23A5C" w:rsidRDefault="0056469C" w:rsidP="00D24B44">
      <w:pPr>
        <w:rPr>
          <w:rFonts w:ascii="Palatino Linotype" w:eastAsia="Palatino Linotype" w:hAnsi="Palatino Linotype" w:cs="Palatino Linotype"/>
          <w:sz w:val="24"/>
          <w:szCs w:val="24"/>
          <w:u w:val="single"/>
        </w:rPr>
      </w:pPr>
      <w:r w:rsidRPr="00B23A5C">
        <w:rPr>
          <w:rFonts w:ascii="Palatino Linotype" w:eastAsia="Palatino Linotype" w:hAnsi="Palatino Linotype" w:cs="Palatino Linotype"/>
          <w:b/>
          <w:sz w:val="24"/>
          <w:szCs w:val="24"/>
          <w:u w:val="single"/>
        </w:rPr>
        <w:t>C</w:t>
      </w:r>
      <w:r w:rsidR="00B23A5C" w:rsidRPr="00B23A5C">
        <w:rPr>
          <w:rFonts w:ascii="Palatino Linotype" w:eastAsia="Palatino Linotype" w:hAnsi="Palatino Linotype" w:cs="Palatino Linotype"/>
          <w:b/>
          <w:sz w:val="24"/>
          <w:szCs w:val="24"/>
          <w:u w:val="single"/>
        </w:rPr>
        <w:t>OMMENTS</w:t>
      </w:r>
    </w:p>
    <w:p w:rsidR="00D6611F" w:rsidRDefault="00D6611F" w:rsidP="00D24B44">
      <w:pPr>
        <w:spacing w:before="7" w:line="120" w:lineRule="exact"/>
        <w:rPr>
          <w:sz w:val="12"/>
          <w:szCs w:val="12"/>
        </w:rPr>
      </w:pPr>
    </w:p>
    <w:p w:rsidR="00E30692" w:rsidRDefault="00490173" w:rsidP="00D24B44">
      <w:pPr>
        <w:rPr>
          <w:rFonts w:ascii="Palatino Linotype" w:eastAsia="Palatino Linotype" w:hAnsi="Palatino Linotype" w:cs="Palatino Linotype"/>
          <w:color w:val="000000"/>
          <w:sz w:val="24"/>
          <w:szCs w:val="24"/>
        </w:rPr>
      </w:pPr>
      <w:r>
        <w:rPr>
          <w:rFonts w:ascii="Palatino Linotype" w:eastAsia="Palatino Linotype" w:hAnsi="Palatino Linotype" w:cs="Palatino Linotype"/>
          <w:sz w:val="24"/>
          <w:szCs w:val="24"/>
        </w:rPr>
        <w:t>In comp</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pacing w:val="2"/>
          <w:sz w:val="24"/>
          <w:szCs w:val="24"/>
        </w:rPr>
        <w:t>.</w:t>
      </w:r>
      <w:r>
        <w:rPr>
          <w:rFonts w:ascii="Palatino Linotype" w:eastAsia="Palatino Linotype" w:hAnsi="Palatino Linotype" w:cs="Palatino Linotype"/>
          <w:sz w:val="24"/>
          <w:szCs w:val="24"/>
        </w:rPr>
        <w:t>U.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de § 311</w:t>
      </w:r>
      <w:r>
        <w:rPr>
          <w:rFonts w:ascii="Palatino Linotype" w:eastAsia="Palatino Linotype" w:hAnsi="Palatino Linotype" w:cs="Palatino Linotype"/>
          <w:spacing w:val="-1"/>
          <w:sz w:val="24"/>
          <w:szCs w:val="24"/>
        </w:rPr>
        <w:t>(</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z w:val="24"/>
          <w:szCs w:val="24"/>
        </w:rPr>
        <w:t xml:space="preserve">), the </w:t>
      </w:r>
      <w:r>
        <w:rPr>
          <w:rFonts w:ascii="Palatino Linotype" w:eastAsia="Palatino Linotype" w:hAnsi="Palatino Linotype" w:cs="Palatino Linotype"/>
          <w:spacing w:val="-2"/>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 e</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led a</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5"/>
          <w:sz w:val="24"/>
          <w:szCs w:val="24"/>
        </w:rPr>
        <w:t>o</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 le</w:t>
      </w:r>
      <w:r>
        <w:rPr>
          <w:rFonts w:ascii="Palatino Linotype" w:eastAsia="Palatino Linotype" w:hAnsi="Palatino Linotype" w:cs="Palatino Linotype"/>
          <w:spacing w:val="1"/>
          <w:sz w:val="24"/>
          <w:szCs w:val="24"/>
        </w:rPr>
        <w:t>tt</w:t>
      </w:r>
      <w:r>
        <w:rPr>
          <w:rFonts w:ascii="Palatino Linotype" w:eastAsia="Palatino Linotype" w:hAnsi="Palatino Linotype" w:cs="Palatino Linotype"/>
          <w:sz w:val="24"/>
          <w:szCs w:val="24"/>
        </w:rPr>
        <w:t>er</w:t>
      </w:r>
      <w:r>
        <w:rPr>
          <w:rFonts w:ascii="Palatino Linotype" w:eastAsia="Palatino Linotype" w:hAnsi="Palatino Linotype" w:cs="Palatino Linotype"/>
          <w:spacing w:val="1"/>
          <w:sz w:val="24"/>
          <w:szCs w:val="24"/>
        </w:rPr>
        <w:t xml:space="preserve"> 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 xml:space="preserve"> </w:t>
      </w:r>
      <w:r w:rsidR="00984F02">
        <w:rPr>
          <w:rFonts w:ascii="Palatino Linotype" w:eastAsia="Palatino Linotype" w:hAnsi="Palatino Linotype" w:cs="Palatino Linotype"/>
          <w:spacing w:val="1"/>
          <w:sz w:val="24"/>
          <w:szCs w:val="24"/>
        </w:rPr>
        <w:t>July 6</w:t>
      </w:r>
      <w:r w:rsidR="005F0E7F">
        <w:rPr>
          <w:rFonts w:ascii="Palatino Linotype" w:eastAsia="Palatino Linotype" w:hAnsi="Palatino Linotype" w:cs="Palatino Linotype"/>
          <w:spacing w:val="1"/>
          <w:sz w:val="24"/>
          <w:szCs w:val="24"/>
        </w:rPr>
        <w:t xml:space="preserve">, 2018, informing </w:t>
      </w:r>
      <w:r w:rsidR="00EB38AA">
        <w:rPr>
          <w:rFonts w:ascii="Palatino Linotype" w:eastAsia="Palatino Linotype" w:hAnsi="Palatino Linotype" w:cs="Palatino Linotype"/>
          <w:spacing w:val="1"/>
          <w:sz w:val="24"/>
          <w:szCs w:val="24"/>
        </w:rPr>
        <w:t>Sierra</w:t>
      </w:r>
      <w:r w:rsidR="00C6420B">
        <w:rPr>
          <w:rFonts w:ascii="Palatino Linotype" w:eastAsia="Palatino Linotype" w:hAnsi="Palatino Linotype" w:cs="Palatino Linotype"/>
          <w:spacing w:val="1"/>
          <w:sz w:val="24"/>
          <w:szCs w:val="24"/>
        </w:rPr>
        <w:t xml:space="preserve"> o</w:t>
      </w:r>
      <w:r w:rsidR="005F0E7F">
        <w:rPr>
          <w:rFonts w:ascii="Palatino Linotype" w:eastAsia="Palatino Linotype" w:hAnsi="Palatino Linotype" w:cs="Palatino Linotype"/>
          <w:spacing w:val="1"/>
          <w:sz w:val="24"/>
          <w:szCs w:val="24"/>
        </w:rPr>
        <w:t xml:space="preserve">f the availability of this Resolution for public comments at the Commission’s website </w:t>
      </w:r>
      <w:hyperlink r:id="rId9" w:history="1">
        <w:r w:rsidR="005F0E7F" w:rsidRPr="00D52665">
          <w:rPr>
            <w:rStyle w:val="Hyperlink"/>
            <w:rFonts w:ascii="Palatino Linotype" w:eastAsia="Palatino Linotype" w:hAnsi="Palatino Linotype" w:cs="Palatino Linotype"/>
            <w:spacing w:val="1"/>
            <w:sz w:val="24"/>
            <w:szCs w:val="24"/>
          </w:rPr>
          <w:t>www.cpuc.ca.gov</w:t>
        </w:r>
      </w:hyperlink>
      <w:r w:rsidR="005F0E7F">
        <w:rPr>
          <w:rFonts w:ascii="Palatino Linotype" w:eastAsia="Palatino Linotype" w:hAnsi="Palatino Linotype" w:cs="Palatino Linotype"/>
          <w:spacing w:val="1"/>
          <w:sz w:val="24"/>
          <w:szCs w:val="24"/>
        </w:rPr>
        <w:t xml:space="preserve">.  </w:t>
      </w:r>
      <w:r w:rsidR="00C0483C">
        <w:rPr>
          <w:rFonts w:ascii="Palatino Linotype" w:eastAsia="Palatino Linotype" w:hAnsi="Palatino Linotype" w:cs="Palatino Linotype"/>
          <w:sz w:val="24"/>
          <w:szCs w:val="24"/>
        </w:rPr>
        <w:t xml:space="preserve">Comments are due within twenty (20) days of Daily Calendar notification. </w:t>
      </w:r>
      <w:r w:rsidR="005F0E7F">
        <w:rPr>
          <w:rFonts w:ascii="Palatino Linotype" w:eastAsia="Palatino Linotype" w:hAnsi="Palatino Linotype" w:cs="Palatino Linotype"/>
          <w:spacing w:val="1"/>
          <w:sz w:val="24"/>
          <w:szCs w:val="24"/>
        </w:rPr>
        <w:t xml:space="preserve">The notice </w:t>
      </w:r>
      <w:r>
        <w:rPr>
          <w:rFonts w:ascii="Palatino Linotype" w:eastAsia="Palatino Linotype" w:hAnsi="Palatino Linotype" w:cs="Palatino Linotype"/>
          <w:color w:val="000000"/>
          <w:sz w:val="24"/>
          <w:szCs w:val="24"/>
        </w:rPr>
        <w:t>le</w:t>
      </w:r>
      <w:r>
        <w:rPr>
          <w:rFonts w:ascii="Palatino Linotype" w:eastAsia="Palatino Linotype" w:hAnsi="Palatino Linotype" w:cs="Palatino Linotype"/>
          <w:color w:val="000000"/>
          <w:spacing w:val="1"/>
          <w:sz w:val="24"/>
          <w:szCs w:val="24"/>
        </w:rPr>
        <w:t>tt</w:t>
      </w:r>
      <w:r>
        <w:rPr>
          <w:rFonts w:ascii="Palatino Linotype" w:eastAsia="Palatino Linotype" w:hAnsi="Palatino Linotype" w:cs="Palatino Linotype"/>
          <w:color w:val="000000"/>
          <w:sz w:val="24"/>
          <w:szCs w:val="24"/>
        </w:rPr>
        <w:t>er</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z w:val="24"/>
          <w:szCs w:val="24"/>
        </w:rPr>
        <w:t>al</w:t>
      </w:r>
      <w:r>
        <w:rPr>
          <w:rFonts w:ascii="Palatino Linotype" w:eastAsia="Palatino Linotype" w:hAnsi="Palatino Linotype" w:cs="Palatino Linotype"/>
          <w:color w:val="000000"/>
          <w:spacing w:val="-1"/>
          <w:sz w:val="24"/>
          <w:szCs w:val="24"/>
        </w:rPr>
        <w:t>s</w:t>
      </w:r>
      <w:r>
        <w:rPr>
          <w:rFonts w:ascii="Palatino Linotype" w:eastAsia="Palatino Linotype" w:hAnsi="Palatino Linotype" w:cs="Palatino Linotype"/>
          <w:color w:val="000000"/>
          <w:sz w:val="24"/>
          <w:szCs w:val="24"/>
        </w:rPr>
        <w:t>o</w:t>
      </w:r>
      <w:r>
        <w:rPr>
          <w:rFonts w:ascii="Palatino Linotype" w:eastAsia="Palatino Linotype" w:hAnsi="Palatino Linotype" w:cs="Palatino Linotype"/>
          <w:color w:val="000000"/>
          <w:spacing w:val="1"/>
          <w:sz w:val="24"/>
          <w:szCs w:val="24"/>
        </w:rPr>
        <w:t xml:space="preserve"> </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n</w:t>
      </w:r>
      <w:r>
        <w:rPr>
          <w:rFonts w:ascii="Palatino Linotype" w:eastAsia="Palatino Linotype" w:hAnsi="Palatino Linotype" w:cs="Palatino Linotype"/>
          <w:color w:val="000000"/>
          <w:spacing w:val="-1"/>
          <w:sz w:val="24"/>
          <w:szCs w:val="24"/>
        </w:rPr>
        <w:t>f</w:t>
      </w:r>
      <w:r>
        <w:rPr>
          <w:rFonts w:ascii="Palatino Linotype" w:eastAsia="Palatino Linotype" w:hAnsi="Palatino Linotype" w:cs="Palatino Linotype"/>
          <w:color w:val="000000"/>
          <w:spacing w:val="3"/>
          <w:sz w:val="24"/>
          <w:szCs w:val="24"/>
        </w:rPr>
        <w:t>o</w:t>
      </w:r>
      <w:r>
        <w:rPr>
          <w:rFonts w:ascii="Palatino Linotype" w:eastAsia="Palatino Linotype" w:hAnsi="Palatino Linotype" w:cs="Palatino Linotype"/>
          <w:color w:val="000000"/>
          <w:spacing w:val="1"/>
          <w:sz w:val="24"/>
          <w:szCs w:val="24"/>
        </w:rPr>
        <w:t>r</w:t>
      </w:r>
      <w:r>
        <w:rPr>
          <w:rFonts w:ascii="Palatino Linotype" w:eastAsia="Palatino Linotype" w:hAnsi="Palatino Linotype" w:cs="Palatino Linotype"/>
          <w:color w:val="000000"/>
          <w:sz w:val="24"/>
          <w:szCs w:val="24"/>
        </w:rPr>
        <w:t xml:space="preserve">med </w:t>
      </w:r>
      <w:r>
        <w:rPr>
          <w:rFonts w:ascii="Palatino Linotype" w:eastAsia="Palatino Linotype" w:hAnsi="Palatino Linotype" w:cs="Palatino Linotype"/>
          <w:color w:val="000000"/>
          <w:spacing w:val="-1"/>
          <w:sz w:val="24"/>
          <w:szCs w:val="24"/>
        </w:rPr>
        <w:t>p</w:t>
      </w:r>
      <w:r>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pacing w:val="1"/>
          <w:sz w:val="24"/>
          <w:szCs w:val="24"/>
        </w:rPr>
        <w:t>rt</w:t>
      </w:r>
      <w:r>
        <w:rPr>
          <w:rFonts w:ascii="Palatino Linotype" w:eastAsia="Palatino Linotype" w:hAnsi="Palatino Linotype" w:cs="Palatino Linotype"/>
          <w:color w:val="000000"/>
          <w:spacing w:val="-3"/>
          <w:sz w:val="24"/>
          <w:szCs w:val="24"/>
        </w:rPr>
        <w:t>i</w:t>
      </w:r>
      <w:r>
        <w:rPr>
          <w:rFonts w:ascii="Palatino Linotype" w:eastAsia="Palatino Linotype" w:hAnsi="Palatino Linotype" w:cs="Palatino Linotype"/>
          <w:color w:val="000000"/>
          <w:sz w:val="24"/>
          <w:szCs w:val="24"/>
        </w:rPr>
        <w:t>es that</w:t>
      </w:r>
      <w:r w:rsidR="00F160FA">
        <w:rPr>
          <w:rFonts w:ascii="Palatino Linotype" w:eastAsia="Palatino Linotype" w:hAnsi="Palatino Linotype" w:cs="Palatino Linotype"/>
          <w:color w:val="000000"/>
          <w:sz w:val="24"/>
          <w:szCs w:val="24"/>
        </w:rPr>
        <w:t xml:space="preserve"> the </w:t>
      </w:r>
      <w:r w:rsidR="00F160FA" w:rsidRPr="004D74E8">
        <w:rPr>
          <w:rFonts w:ascii="Palatino Linotype" w:eastAsia="Palatino Linotype" w:hAnsi="Palatino Linotype" w:cs="Palatino Linotype"/>
          <w:color w:val="000000"/>
          <w:sz w:val="24"/>
          <w:szCs w:val="24"/>
        </w:rPr>
        <w:t>final conformed Resolution adopted by the Commission will be posted and available at the same website.</w:t>
      </w:r>
      <w:r w:rsidR="00E30692">
        <w:rPr>
          <w:rFonts w:ascii="Palatino Linotype" w:eastAsia="Palatino Linotype" w:hAnsi="Palatino Linotype" w:cs="Palatino Linotype"/>
          <w:color w:val="000000"/>
          <w:sz w:val="24"/>
          <w:szCs w:val="24"/>
        </w:rPr>
        <w:t xml:space="preserve">  </w:t>
      </w:r>
    </w:p>
    <w:p w:rsidR="00A54682" w:rsidRDefault="00A54682" w:rsidP="00D24B44">
      <w:pPr>
        <w:rPr>
          <w:rFonts w:ascii="Palatino Linotype" w:eastAsia="Palatino Linotype" w:hAnsi="Palatino Linotype" w:cs="Palatino Linotype"/>
          <w:color w:val="000000"/>
          <w:sz w:val="24"/>
          <w:szCs w:val="24"/>
        </w:rPr>
      </w:pPr>
    </w:p>
    <w:p w:rsidR="00D6611F" w:rsidRDefault="00490173" w:rsidP="00D24B44">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u w:val="single" w:color="000000"/>
        </w:rPr>
        <w:t>F</w:t>
      </w:r>
      <w:r w:rsidR="00B23A5C">
        <w:rPr>
          <w:rFonts w:ascii="Palatino Linotype" w:eastAsia="Palatino Linotype" w:hAnsi="Palatino Linotype" w:cs="Palatino Linotype"/>
          <w:b/>
          <w:sz w:val="24"/>
          <w:szCs w:val="24"/>
          <w:u w:val="single" w:color="000000"/>
        </w:rPr>
        <w:t>INDINGS</w:t>
      </w:r>
    </w:p>
    <w:p w:rsidR="00D6611F" w:rsidRDefault="00D6611F" w:rsidP="00D24B44">
      <w:pPr>
        <w:spacing w:before="8" w:line="140" w:lineRule="exact"/>
        <w:rPr>
          <w:sz w:val="14"/>
          <w:szCs w:val="14"/>
        </w:rPr>
      </w:pPr>
    </w:p>
    <w:p w:rsidR="00D6611F" w:rsidRDefault="00D6611F" w:rsidP="00D24B44">
      <w:pPr>
        <w:spacing w:line="200" w:lineRule="exact"/>
      </w:pPr>
    </w:p>
    <w:p w:rsidR="00B06FCF" w:rsidRDefault="00C6420B" w:rsidP="00B06FCF">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 xml:space="preserve">The Tax Cuts and Jobs Act of 2017 enacted on </w:t>
      </w:r>
      <w:r w:rsidR="00162740" w:rsidRPr="00B06FCF">
        <w:rPr>
          <w:rFonts w:ascii="Palatino Linotype" w:eastAsia="Palatino Linotype" w:hAnsi="Palatino Linotype" w:cs="Palatino Linotype"/>
          <w:sz w:val="24"/>
          <w:szCs w:val="24"/>
        </w:rPr>
        <w:t>December 22, 2017</w:t>
      </w:r>
      <w:r w:rsidR="00B06FCF">
        <w:rPr>
          <w:rFonts w:ascii="Palatino Linotype" w:eastAsia="Palatino Linotype" w:hAnsi="Palatino Linotype" w:cs="Palatino Linotype"/>
          <w:sz w:val="24"/>
          <w:szCs w:val="24"/>
        </w:rPr>
        <w:t>,</w:t>
      </w:r>
      <w:r w:rsidRPr="00B06FCF">
        <w:rPr>
          <w:rFonts w:ascii="Palatino Linotype" w:eastAsia="Palatino Linotype" w:hAnsi="Palatino Linotype" w:cs="Palatino Linotype"/>
          <w:sz w:val="24"/>
          <w:szCs w:val="24"/>
        </w:rPr>
        <w:t xml:space="preserve"> </w:t>
      </w:r>
      <w:r w:rsidR="00872201">
        <w:rPr>
          <w:rFonts w:ascii="Palatino Linotype" w:eastAsia="Palatino Linotype" w:hAnsi="Palatino Linotype" w:cs="Palatino Linotype"/>
          <w:sz w:val="24"/>
          <w:szCs w:val="24"/>
        </w:rPr>
        <w:t xml:space="preserve">among other things, </w:t>
      </w:r>
      <w:r w:rsidRPr="00B06FCF">
        <w:rPr>
          <w:rFonts w:ascii="Palatino Linotype" w:eastAsia="Palatino Linotype" w:hAnsi="Palatino Linotype" w:cs="Palatino Linotype"/>
          <w:sz w:val="24"/>
          <w:szCs w:val="24"/>
        </w:rPr>
        <w:t xml:space="preserve">lowered </w:t>
      </w:r>
      <w:r w:rsidR="00872201">
        <w:rPr>
          <w:rFonts w:ascii="Palatino Linotype" w:eastAsia="Palatino Linotype" w:hAnsi="Palatino Linotype" w:cs="Palatino Linotype"/>
          <w:sz w:val="24"/>
          <w:szCs w:val="24"/>
        </w:rPr>
        <w:t xml:space="preserve">the </w:t>
      </w:r>
      <w:r w:rsidRPr="00B06FCF">
        <w:rPr>
          <w:rFonts w:ascii="Palatino Linotype" w:eastAsia="Palatino Linotype" w:hAnsi="Palatino Linotype" w:cs="Palatino Linotype"/>
          <w:sz w:val="24"/>
          <w:szCs w:val="24"/>
        </w:rPr>
        <w:t>corporate federal tax rate from 35</w:t>
      </w:r>
      <w:r w:rsidR="00B12B0F" w:rsidRPr="00B06FCF">
        <w:rPr>
          <w:rFonts w:ascii="Palatino Linotype" w:eastAsia="Palatino Linotype" w:hAnsi="Palatino Linotype" w:cs="Palatino Linotype"/>
          <w:sz w:val="24"/>
          <w:szCs w:val="24"/>
        </w:rPr>
        <w:t>%</w:t>
      </w:r>
      <w:r w:rsidRPr="00B06FCF">
        <w:rPr>
          <w:rFonts w:ascii="Palatino Linotype" w:eastAsia="Palatino Linotype" w:hAnsi="Palatino Linotype" w:cs="Palatino Linotype"/>
          <w:sz w:val="24"/>
          <w:szCs w:val="24"/>
        </w:rPr>
        <w:t xml:space="preserve"> to 21% effective January 1, 2018.</w:t>
      </w:r>
    </w:p>
    <w:p w:rsidR="00B06FCF" w:rsidRDefault="00EB38AA" w:rsidP="00410CEF">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Sierra</w:t>
      </w:r>
      <w:r w:rsidR="003B6A6E">
        <w:rPr>
          <w:rFonts w:ascii="Palatino Linotype" w:eastAsia="Palatino Linotype" w:hAnsi="Palatino Linotype" w:cs="Palatino Linotype"/>
          <w:sz w:val="24"/>
          <w:szCs w:val="24"/>
        </w:rPr>
        <w:t xml:space="preserve"> Telephone Company’s (Sierra)</w:t>
      </w:r>
      <w:r w:rsidR="00B12B0F" w:rsidRPr="00B06FCF">
        <w:rPr>
          <w:rFonts w:ascii="Palatino Linotype" w:eastAsia="Palatino Linotype" w:hAnsi="Palatino Linotype" w:cs="Palatino Linotype"/>
          <w:sz w:val="24"/>
          <w:szCs w:val="24"/>
        </w:rPr>
        <w:t xml:space="preserve"> adopted revenue requirement </w:t>
      </w:r>
      <w:r w:rsidR="00EA5445" w:rsidRPr="00B06FCF">
        <w:rPr>
          <w:rFonts w:ascii="Palatino Linotype" w:eastAsia="Palatino Linotype" w:hAnsi="Palatino Linotype" w:cs="Palatino Linotype"/>
          <w:sz w:val="24"/>
          <w:szCs w:val="24"/>
        </w:rPr>
        <w:t xml:space="preserve">for Test Year </w:t>
      </w:r>
      <w:r w:rsidR="00E053AB">
        <w:rPr>
          <w:rFonts w:ascii="Palatino Linotype" w:eastAsia="Palatino Linotype" w:hAnsi="Palatino Linotype" w:cs="Palatino Linotype"/>
          <w:sz w:val="24"/>
          <w:szCs w:val="24"/>
        </w:rPr>
        <w:t xml:space="preserve">(TY) </w:t>
      </w:r>
      <w:r w:rsidR="00EA5445" w:rsidRPr="00B06FCF">
        <w:rPr>
          <w:rFonts w:ascii="Palatino Linotype" w:eastAsia="Palatino Linotype" w:hAnsi="Palatino Linotype" w:cs="Palatino Linotype"/>
          <w:sz w:val="24"/>
          <w:szCs w:val="24"/>
        </w:rPr>
        <w:t xml:space="preserve">2018 </w:t>
      </w:r>
      <w:r w:rsidR="00B12B0F" w:rsidRPr="00B06FCF">
        <w:rPr>
          <w:rFonts w:ascii="Palatino Linotype" w:eastAsia="Palatino Linotype" w:hAnsi="Palatino Linotype" w:cs="Palatino Linotype"/>
          <w:sz w:val="24"/>
          <w:szCs w:val="24"/>
        </w:rPr>
        <w:t>pursuant to D</w:t>
      </w:r>
      <w:r w:rsidR="009B3318">
        <w:rPr>
          <w:rFonts w:ascii="Palatino Linotype" w:eastAsia="Palatino Linotype" w:hAnsi="Palatino Linotype" w:cs="Palatino Linotype"/>
          <w:sz w:val="24"/>
          <w:szCs w:val="24"/>
        </w:rPr>
        <w:t>ecision (D</w:t>
      </w:r>
      <w:r w:rsidR="00B12B0F" w:rsidRPr="00B06FCF">
        <w:rPr>
          <w:rFonts w:ascii="Palatino Linotype" w:eastAsia="Palatino Linotype" w:hAnsi="Palatino Linotype" w:cs="Palatino Linotype"/>
          <w:sz w:val="24"/>
          <w:szCs w:val="24"/>
        </w:rPr>
        <w:t>.</w:t>
      </w:r>
      <w:r w:rsidR="009B3318">
        <w:rPr>
          <w:rFonts w:ascii="Palatino Linotype" w:eastAsia="Palatino Linotype" w:hAnsi="Palatino Linotype" w:cs="Palatino Linotype"/>
          <w:sz w:val="24"/>
          <w:szCs w:val="24"/>
        </w:rPr>
        <w:t>)</w:t>
      </w:r>
      <w:r w:rsidR="00B12B0F" w:rsidRPr="00B06FCF">
        <w:rPr>
          <w:rFonts w:ascii="Palatino Linotype" w:eastAsia="Palatino Linotype" w:hAnsi="Palatino Linotype" w:cs="Palatino Linotype"/>
          <w:sz w:val="24"/>
          <w:szCs w:val="24"/>
        </w:rPr>
        <w:t>1</w:t>
      </w:r>
      <w:r w:rsidRPr="00B06FCF">
        <w:rPr>
          <w:rFonts w:ascii="Palatino Linotype" w:eastAsia="Palatino Linotype" w:hAnsi="Palatino Linotype" w:cs="Palatino Linotype"/>
          <w:sz w:val="24"/>
          <w:szCs w:val="24"/>
        </w:rPr>
        <w:t>7-11-016</w:t>
      </w:r>
      <w:r w:rsidR="00B12B0F" w:rsidRPr="00B06FCF">
        <w:rPr>
          <w:rFonts w:ascii="Palatino Linotype" w:eastAsia="Palatino Linotype" w:hAnsi="Palatino Linotype" w:cs="Palatino Linotype"/>
          <w:sz w:val="24"/>
          <w:szCs w:val="24"/>
        </w:rPr>
        <w:t xml:space="preserve"> dated </w:t>
      </w:r>
      <w:r w:rsidRPr="00B06FCF">
        <w:rPr>
          <w:rFonts w:ascii="Palatino Linotype" w:eastAsia="Palatino Linotype" w:hAnsi="Palatino Linotype" w:cs="Palatino Linotype"/>
          <w:sz w:val="24"/>
          <w:szCs w:val="24"/>
        </w:rPr>
        <w:t xml:space="preserve">November </w:t>
      </w:r>
      <w:r w:rsidR="00FF4282" w:rsidRPr="00B06FCF">
        <w:rPr>
          <w:rFonts w:ascii="Palatino Linotype" w:eastAsia="Palatino Linotype" w:hAnsi="Palatino Linotype" w:cs="Palatino Linotype"/>
          <w:sz w:val="24"/>
          <w:szCs w:val="24"/>
        </w:rPr>
        <w:t>30</w:t>
      </w:r>
      <w:r w:rsidR="00B12B0F" w:rsidRPr="00B06FCF">
        <w:rPr>
          <w:rFonts w:ascii="Palatino Linotype" w:eastAsia="Palatino Linotype" w:hAnsi="Palatino Linotype" w:cs="Palatino Linotype"/>
          <w:sz w:val="24"/>
          <w:szCs w:val="24"/>
        </w:rPr>
        <w:t>, 201</w:t>
      </w:r>
      <w:r w:rsidRPr="00B06FCF">
        <w:rPr>
          <w:rFonts w:ascii="Palatino Linotype" w:eastAsia="Palatino Linotype" w:hAnsi="Palatino Linotype" w:cs="Palatino Linotype"/>
          <w:sz w:val="24"/>
          <w:szCs w:val="24"/>
        </w:rPr>
        <w:t>7</w:t>
      </w:r>
      <w:r w:rsidR="00B06FCF">
        <w:rPr>
          <w:rFonts w:ascii="Palatino Linotype" w:eastAsia="Palatino Linotype" w:hAnsi="Palatino Linotype" w:cs="Palatino Linotype"/>
          <w:sz w:val="24"/>
          <w:szCs w:val="24"/>
        </w:rPr>
        <w:t>,</w:t>
      </w:r>
      <w:r w:rsidR="00B12B0F" w:rsidRPr="00B06FCF">
        <w:rPr>
          <w:rFonts w:ascii="Palatino Linotype" w:eastAsia="Palatino Linotype" w:hAnsi="Palatino Linotype" w:cs="Palatino Linotype"/>
          <w:sz w:val="24"/>
          <w:szCs w:val="24"/>
        </w:rPr>
        <w:t xml:space="preserve"> was based on </w:t>
      </w:r>
      <w:r w:rsidR="00297992">
        <w:rPr>
          <w:rFonts w:ascii="Palatino Linotype" w:eastAsia="Palatino Linotype" w:hAnsi="Palatino Linotype" w:cs="Palatino Linotype"/>
          <w:sz w:val="24"/>
          <w:szCs w:val="24"/>
        </w:rPr>
        <w:t xml:space="preserve">an estimated </w:t>
      </w:r>
      <w:r w:rsidR="00B12B0F" w:rsidRPr="00B06FCF">
        <w:rPr>
          <w:rFonts w:ascii="Palatino Linotype" w:eastAsia="Palatino Linotype" w:hAnsi="Palatino Linotype" w:cs="Palatino Linotype"/>
          <w:sz w:val="24"/>
          <w:szCs w:val="24"/>
        </w:rPr>
        <w:t>34% federal income tax rate.</w:t>
      </w:r>
    </w:p>
    <w:p w:rsidR="00B06FCF" w:rsidRDefault="00B12B0F" w:rsidP="003E5FA6">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D.</w:t>
      </w:r>
      <w:r w:rsidR="00EB38AA" w:rsidRPr="00B06FCF">
        <w:rPr>
          <w:rFonts w:ascii="Palatino Linotype" w:eastAsia="Palatino Linotype" w:hAnsi="Palatino Linotype" w:cs="Palatino Linotype"/>
          <w:sz w:val="24"/>
          <w:szCs w:val="24"/>
        </w:rPr>
        <w:t>17-11-016</w:t>
      </w:r>
      <w:r w:rsidRPr="00B06FCF">
        <w:rPr>
          <w:rFonts w:ascii="Palatino Linotype" w:eastAsia="Palatino Linotype" w:hAnsi="Palatino Linotype" w:cs="Palatino Linotype"/>
          <w:sz w:val="24"/>
          <w:szCs w:val="24"/>
        </w:rPr>
        <w:t xml:space="preserve"> ordered </w:t>
      </w:r>
      <w:r w:rsidR="00EB38AA" w:rsidRPr="00B06FCF">
        <w:rPr>
          <w:rFonts w:ascii="Palatino Linotype" w:eastAsia="Palatino Linotype" w:hAnsi="Palatino Linotype" w:cs="Palatino Linotype"/>
          <w:sz w:val="24"/>
          <w:szCs w:val="24"/>
        </w:rPr>
        <w:t xml:space="preserve">Sierra </w:t>
      </w:r>
      <w:r w:rsidRPr="00B06FCF">
        <w:rPr>
          <w:rFonts w:ascii="Palatino Linotype" w:eastAsia="Palatino Linotype" w:hAnsi="Palatino Linotype" w:cs="Palatino Linotype"/>
          <w:sz w:val="24"/>
          <w:szCs w:val="24"/>
        </w:rPr>
        <w:t>to submit a</w:t>
      </w:r>
      <w:r w:rsidR="00225632" w:rsidRPr="00B06FCF">
        <w:rPr>
          <w:rFonts w:ascii="Palatino Linotype" w:eastAsia="Palatino Linotype" w:hAnsi="Palatino Linotype" w:cs="Palatino Linotype"/>
          <w:sz w:val="24"/>
          <w:szCs w:val="24"/>
        </w:rPr>
        <w:t xml:space="preserve"> Tier 2</w:t>
      </w:r>
      <w:r w:rsidRPr="00B06FCF">
        <w:rPr>
          <w:rFonts w:ascii="Palatino Linotype" w:eastAsia="Palatino Linotype" w:hAnsi="Palatino Linotype" w:cs="Palatino Linotype"/>
          <w:sz w:val="24"/>
          <w:szCs w:val="24"/>
        </w:rPr>
        <w:t xml:space="preserve"> Advice Letter</w:t>
      </w:r>
      <w:r w:rsidR="009B3318">
        <w:rPr>
          <w:rFonts w:ascii="Palatino Linotype" w:eastAsia="Palatino Linotype" w:hAnsi="Palatino Linotype" w:cs="Palatino Linotype"/>
          <w:sz w:val="24"/>
          <w:szCs w:val="24"/>
        </w:rPr>
        <w:t xml:space="preserve"> (AL)</w:t>
      </w:r>
      <w:r w:rsidRPr="00B06FCF">
        <w:rPr>
          <w:rFonts w:ascii="Palatino Linotype" w:eastAsia="Palatino Linotype" w:hAnsi="Palatino Linotype" w:cs="Palatino Linotype"/>
          <w:sz w:val="24"/>
          <w:szCs w:val="24"/>
        </w:rPr>
        <w:t xml:space="preserve"> with revised revenue requirement within 30 days of the tax change taking effect.</w:t>
      </w:r>
    </w:p>
    <w:p w:rsidR="00B06FCF" w:rsidRPr="00B06FCF" w:rsidRDefault="00EB38AA" w:rsidP="00D34FA6">
      <w:pPr>
        <w:pStyle w:val="ListParagraph"/>
        <w:numPr>
          <w:ilvl w:val="0"/>
          <w:numId w:val="5"/>
        </w:numPr>
        <w:spacing w:after="240" w:line="300" w:lineRule="exact"/>
        <w:ind w:left="360"/>
        <w:contextualSpacing w:val="0"/>
        <w:rPr>
          <w:rFonts w:ascii="Palatino Linotype" w:eastAsia="Palatino Linotype" w:hAnsi="Palatino Linotype" w:cs="Palatino Linotype"/>
          <w:spacing w:val="1"/>
          <w:sz w:val="24"/>
          <w:szCs w:val="24"/>
        </w:rPr>
      </w:pPr>
      <w:r w:rsidRPr="00B06FCF">
        <w:rPr>
          <w:rFonts w:ascii="Palatino Linotype" w:eastAsia="Palatino Linotype" w:hAnsi="Palatino Linotype" w:cs="Palatino Linotype"/>
          <w:sz w:val="24"/>
          <w:szCs w:val="24"/>
        </w:rPr>
        <w:t>Sierra</w:t>
      </w:r>
      <w:r w:rsidR="00B12B0F" w:rsidRPr="00B06FCF">
        <w:rPr>
          <w:rFonts w:ascii="Palatino Linotype" w:eastAsia="Palatino Linotype" w:hAnsi="Palatino Linotype" w:cs="Palatino Linotype"/>
          <w:sz w:val="24"/>
          <w:szCs w:val="24"/>
        </w:rPr>
        <w:t xml:space="preserve"> filed </w:t>
      </w:r>
      <w:r w:rsidR="00A955DA" w:rsidRPr="00B06FCF">
        <w:rPr>
          <w:rFonts w:ascii="Palatino Linotype" w:eastAsia="Palatino Linotype" w:hAnsi="Palatino Linotype" w:cs="Palatino Linotype"/>
          <w:sz w:val="24"/>
          <w:szCs w:val="24"/>
        </w:rPr>
        <w:t xml:space="preserve">Tier </w:t>
      </w:r>
      <w:r w:rsidR="00225632" w:rsidRPr="00B06FCF">
        <w:rPr>
          <w:rFonts w:ascii="Palatino Linotype" w:eastAsia="Palatino Linotype" w:hAnsi="Palatino Linotype" w:cs="Palatino Linotype"/>
          <w:sz w:val="24"/>
          <w:szCs w:val="24"/>
        </w:rPr>
        <w:t>2</w:t>
      </w:r>
      <w:r w:rsidR="00A955DA" w:rsidRPr="00B06FCF">
        <w:rPr>
          <w:rFonts w:ascii="Palatino Linotype" w:eastAsia="Palatino Linotype" w:hAnsi="Palatino Linotype" w:cs="Palatino Linotype"/>
          <w:sz w:val="24"/>
          <w:szCs w:val="24"/>
        </w:rPr>
        <w:t xml:space="preserve"> </w:t>
      </w:r>
      <w:r w:rsidR="00B12B0F" w:rsidRPr="00B06FCF">
        <w:rPr>
          <w:rFonts w:ascii="Palatino Linotype" w:eastAsia="Palatino Linotype" w:hAnsi="Palatino Linotype" w:cs="Palatino Linotype"/>
          <w:sz w:val="24"/>
          <w:szCs w:val="24"/>
        </w:rPr>
        <w:t xml:space="preserve">AL </w:t>
      </w:r>
      <w:r w:rsidRPr="00B06FCF">
        <w:rPr>
          <w:rFonts w:ascii="Palatino Linotype" w:eastAsia="Palatino Linotype" w:hAnsi="Palatino Linotype" w:cs="Palatino Linotype"/>
          <w:sz w:val="24"/>
          <w:szCs w:val="24"/>
        </w:rPr>
        <w:t>450</w:t>
      </w:r>
      <w:r w:rsidR="00B12B0F" w:rsidRPr="00B06FCF">
        <w:rPr>
          <w:rFonts w:ascii="Palatino Linotype" w:eastAsia="Palatino Linotype" w:hAnsi="Palatino Linotype" w:cs="Palatino Linotype"/>
          <w:sz w:val="24"/>
          <w:szCs w:val="24"/>
        </w:rPr>
        <w:t xml:space="preserve"> </w:t>
      </w:r>
      <w:r w:rsidR="003A1056" w:rsidRPr="00B06FCF">
        <w:rPr>
          <w:rFonts w:ascii="Palatino Linotype" w:eastAsia="Palatino Linotype" w:hAnsi="Palatino Linotype" w:cs="Palatino Linotype"/>
          <w:sz w:val="24"/>
          <w:szCs w:val="24"/>
        </w:rPr>
        <w:t xml:space="preserve">on </w:t>
      </w:r>
      <w:r w:rsidRPr="00B06FCF">
        <w:rPr>
          <w:rFonts w:ascii="Palatino Linotype" w:eastAsia="Palatino Linotype" w:hAnsi="Palatino Linotype" w:cs="Palatino Linotype"/>
          <w:sz w:val="24"/>
          <w:szCs w:val="24"/>
        </w:rPr>
        <w:t>February 1</w:t>
      </w:r>
      <w:r w:rsidR="003A1056" w:rsidRPr="00B06FCF">
        <w:rPr>
          <w:rFonts w:ascii="Palatino Linotype" w:eastAsia="Palatino Linotype" w:hAnsi="Palatino Linotype" w:cs="Palatino Linotype"/>
          <w:sz w:val="24"/>
          <w:szCs w:val="24"/>
        </w:rPr>
        <w:t>, 2018</w:t>
      </w:r>
      <w:r w:rsidR="00B06FCF">
        <w:rPr>
          <w:rFonts w:ascii="Palatino Linotype" w:eastAsia="Palatino Linotype" w:hAnsi="Palatino Linotype" w:cs="Palatino Linotype"/>
          <w:sz w:val="24"/>
          <w:szCs w:val="24"/>
        </w:rPr>
        <w:t>,</w:t>
      </w:r>
      <w:r w:rsidR="003A1056" w:rsidRPr="00B06FCF">
        <w:rPr>
          <w:rFonts w:ascii="Palatino Linotype" w:eastAsia="Palatino Linotype" w:hAnsi="Palatino Linotype" w:cs="Palatino Linotype"/>
          <w:sz w:val="24"/>
          <w:szCs w:val="24"/>
        </w:rPr>
        <w:t xml:space="preserve"> revising </w:t>
      </w:r>
      <w:r w:rsidR="009729F1" w:rsidRPr="00B06FCF">
        <w:rPr>
          <w:rFonts w:ascii="Palatino Linotype" w:eastAsia="Palatino Linotype" w:hAnsi="Palatino Linotype" w:cs="Palatino Linotype"/>
          <w:sz w:val="24"/>
          <w:szCs w:val="24"/>
        </w:rPr>
        <w:t xml:space="preserve">its </w:t>
      </w:r>
      <w:r w:rsidR="003A1056" w:rsidRPr="00B06FCF">
        <w:rPr>
          <w:rFonts w:ascii="Palatino Linotype" w:eastAsia="Palatino Linotype" w:hAnsi="Palatino Linotype" w:cs="Palatino Linotype"/>
          <w:sz w:val="24"/>
          <w:szCs w:val="24"/>
        </w:rPr>
        <w:t>revenue requirement</w:t>
      </w:r>
      <w:r w:rsidR="008F5C62" w:rsidRPr="00B06FCF">
        <w:rPr>
          <w:rFonts w:ascii="Palatino Linotype" w:eastAsia="Palatino Linotype" w:hAnsi="Palatino Linotype" w:cs="Palatino Linotype"/>
          <w:sz w:val="24"/>
          <w:szCs w:val="24"/>
        </w:rPr>
        <w:t xml:space="preserve"> and California High Cost Fund-A</w:t>
      </w:r>
      <w:r w:rsidR="003B6A6E">
        <w:rPr>
          <w:rFonts w:ascii="Palatino Linotype" w:eastAsia="Palatino Linotype" w:hAnsi="Palatino Linotype" w:cs="Palatino Linotype"/>
          <w:sz w:val="24"/>
          <w:szCs w:val="24"/>
        </w:rPr>
        <w:t xml:space="preserve"> (CHCF-A)</w:t>
      </w:r>
      <w:r w:rsidR="008F5C62" w:rsidRPr="00B06FCF">
        <w:rPr>
          <w:rFonts w:ascii="Palatino Linotype" w:eastAsia="Palatino Linotype" w:hAnsi="Palatino Linotype" w:cs="Palatino Linotype"/>
          <w:sz w:val="24"/>
          <w:szCs w:val="24"/>
        </w:rPr>
        <w:t xml:space="preserve"> support for 2018</w:t>
      </w:r>
      <w:r w:rsidR="003A1056" w:rsidRPr="00B06FCF">
        <w:rPr>
          <w:rFonts w:ascii="Palatino Linotype" w:eastAsia="Palatino Linotype" w:hAnsi="Palatino Linotype" w:cs="Palatino Linotype"/>
          <w:sz w:val="24"/>
          <w:szCs w:val="24"/>
        </w:rPr>
        <w:t>.</w:t>
      </w:r>
    </w:p>
    <w:p w:rsidR="00B06FCF" w:rsidRDefault="004C2E3D" w:rsidP="00B06FCF">
      <w:pPr>
        <w:pStyle w:val="ListParagraph"/>
        <w:numPr>
          <w:ilvl w:val="0"/>
          <w:numId w:val="5"/>
        </w:numPr>
        <w:spacing w:after="240" w:line="300" w:lineRule="exact"/>
        <w:ind w:left="360"/>
        <w:contextualSpacing w:val="0"/>
        <w:rPr>
          <w:rFonts w:ascii="Palatino Linotype" w:eastAsia="Palatino Linotype" w:hAnsi="Palatino Linotype" w:cs="Palatino Linotype"/>
          <w:spacing w:val="1"/>
          <w:sz w:val="24"/>
          <w:szCs w:val="24"/>
        </w:rPr>
      </w:pPr>
      <w:r w:rsidRPr="00B06FCF">
        <w:rPr>
          <w:rFonts w:ascii="Palatino Linotype" w:eastAsia="Palatino Linotype" w:hAnsi="Palatino Linotype" w:cs="Palatino Linotype"/>
          <w:spacing w:val="1"/>
          <w:sz w:val="24"/>
          <w:szCs w:val="24"/>
        </w:rPr>
        <w:lastRenderedPageBreak/>
        <w:t>In AL 450,</w:t>
      </w:r>
      <w:r w:rsidR="007878AF" w:rsidRPr="00B06FCF">
        <w:rPr>
          <w:rFonts w:ascii="Palatino Linotype" w:eastAsia="Palatino Linotype" w:hAnsi="Palatino Linotype" w:cs="Palatino Linotype"/>
          <w:spacing w:val="1"/>
          <w:sz w:val="24"/>
          <w:szCs w:val="24"/>
        </w:rPr>
        <w:t xml:space="preserve"> </w:t>
      </w:r>
      <w:r w:rsidR="00EB38AA" w:rsidRPr="00B06FCF">
        <w:rPr>
          <w:rFonts w:ascii="Palatino Linotype" w:eastAsia="Palatino Linotype" w:hAnsi="Palatino Linotype" w:cs="Palatino Linotype"/>
          <w:spacing w:val="1"/>
          <w:sz w:val="24"/>
          <w:szCs w:val="24"/>
        </w:rPr>
        <w:t>Sierra</w:t>
      </w:r>
      <w:r w:rsidR="003A1056" w:rsidRPr="00B06FCF">
        <w:rPr>
          <w:rFonts w:ascii="Palatino Linotype" w:eastAsia="Palatino Linotype" w:hAnsi="Palatino Linotype" w:cs="Palatino Linotype"/>
          <w:spacing w:val="1"/>
          <w:sz w:val="24"/>
          <w:szCs w:val="24"/>
        </w:rPr>
        <w:t xml:space="preserve"> </w:t>
      </w:r>
      <w:r w:rsidRPr="00B06FCF">
        <w:rPr>
          <w:rFonts w:ascii="Palatino Linotype" w:eastAsia="Palatino Linotype" w:hAnsi="Palatino Linotype" w:cs="Palatino Linotype"/>
          <w:spacing w:val="1"/>
          <w:sz w:val="24"/>
          <w:szCs w:val="24"/>
        </w:rPr>
        <w:t xml:space="preserve">proposed a </w:t>
      </w:r>
      <w:r w:rsidR="003A1056" w:rsidRPr="00B06FCF">
        <w:rPr>
          <w:rFonts w:ascii="Palatino Linotype" w:eastAsia="Palatino Linotype" w:hAnsi="Palatino Linotype" w:cs="Palatino Linotype"/>
          <w:spacing w:val="1"/>
          <w:sz w:val="24"/>
          <w:szCs w:val="24"/>
        </w:rPr>
        <w:t xml:space="preserve">revised </w:t>
      </w:r>
      <w:r w:rsidR="00C178F2" w:rsidRPr="00B06FCF">
        <w:rPr>
          <w:rFonts w:ascii="Palatino Linotype" w:eastAsia="Palatino Linotype" w:hAnsi="Palatino Linotype" w:cs="Palatino Linotype"/>
          <w:spacing w:val="1"/>
          <w:sz w:val="24"/>
          <w:szCs w:val="24"/>
        </w:rPr>
        <w:t xml:space="preserve">revenue </w:t>
      </w:r>
      <w:r w:rsidR="003A1056" w:rsidRPr="00B06FCF">
        <w:rPr>
          <w:rFonts w:ascii="Palatino Linotype" w:eastAsia="Palatino Linotype" w:hAnsi="Palatino Linotype" w:cs="Palatino Linotype"/>
          <w:spacing w:val="1"/>
          <w:sz w:val="24"/>
          <w:szCs w:val="24"/>
        </w:rPr>
        <w:t xml:space="preserve">requirement </w:t>
      </w:r>
      <w:r w:rsidRPr="00B06FCF">
        <w:rPr>
          <w:rFonts w:ascii="Palatino Linotype" w:eastAsia="Palatino Linotype" w:hAnsi="Palatino Linotype" w:cs="Palatino Linotype"/>
          <w:spacing w:val="1"/>
          <w:sz w:val="24"/>
          <w:szCs w:val="24"/>
        </w:rPr>
        <w:t>of $23,349,684</w:t>
      </w:r>
      <w:r w:rsidR="003A1056" w:rsidRPr="00B06FCF">
        <w:rPr>
          <w:rFonts w:ascii="Palatino Linotype" w:eastAsia="Palatino Linotype" w:hAnsi="Palatino Linotype" w:cs="Palatino Linotype"/>
          <w:spacing w:val="1"/>
          <w:sz w:val="24"/>
          <w:szCs w:val="24"/>
        </w:rPr>
        <w:t xml:space="preserve"> for TY 2018</w:t>
      </w:r>
      <w:r w:rsidR="00C178F2" w:rsidRPr="00B06FCF">
        <w:rPr>
          <w:rFonts w:ascii="Palatino Linotype" w:eastAsia="Palatino Linotype" w:hAnsi="Palatino Linotype" w:cs="Palatino Linotype"/>
          <w:spacing w:val="1"/>
          <w:sz w:val="24"/>
          <w:szCs w:val="24"/>
        </w:rPr>
        <w:t>, which</w:t>
      </w:r>
      <w:r w:rsidR="003A1056" w:rsidRPr="00B06FCF">
        <w:rPr>
          <w:rFonts w:ascii="Palatino Linotype" w:eastAsia="Palatino Linotype" w:hAnsi="Palatino Linotype" w:cs="Palatino Linotype"/>
          <w:spacing w:val="1"/>
          <w:sz w:val="24"/>
          <w:szCs w:val="24"/>
        </w:rPr>
        <w:t xml:space="preserve"> is $</w:t>
      </w:r>
      <w:r w:rsidR="00EB38AA" w:rsidRPr="00B06FCF">
        <w:rPr>
          <w:rFonts w:ascii="Palatino Linotype" w:eastAsia="Palatino Linotype" w:hAnsi="Palatino Linotype" w:cs="Palatino Linotype"/>
          <w:spacing w:val="1"/>
          <w:sz w:val="24"/>
          <w:szCs w:val="24"/>
        </w:rPr>
        <w:t>225,735</w:t>
      </w:r>
      <w:r w:rsidR="003A1056" w:rsidRPr="00B06FCF">
        <w:rPr>
          <w:rFonts w:ascii="Palatino Linotype" w:eastAsia="Palatino Linotype" w:hAnsi="Palatino Linotype" w:cs="Palatino Linotype"/>
          <w:spacing w:val="1"/>
          <w:sz w:val="24"/>
          <w:szCs w:val="24"/>
        </w:rPr>
        <w:t xml:space="preserve"> lower tha</w:t>
      </w:r>
      <w:r w:rsidR="00C178F2" w:rsidRPr="00B06FCF">
        <w:rPr>
          <w:rFonts w:ascii="Palatino Linotype" w:eastAsia="Palatino Linotype" w:hAnsi="Palatino Linotype" w:cs="Palatino Linotype"/>
          <w:spacing w:val="1"/>
          <w:sz w:val="24"/>
          <w:szCs w:val="24"/>
        </w:rPr>
        <w:t>n</w:t>
      </w:r>
      <w:r w:rsidR="003A1056" w:rsidRPr="00B06FCF">
        <w:rPr>
          <w:rFonts w:ascii="Palatino Linotype" w:eastAsia="Palatino Linotype" w:hAnsi="Palatino Linotype" w:cs="Palatino Linotype"/>
          <w:spacing w:val="1"/>
          <w:sz w:val="24"/>
          <w:szCs w:val="24"/>
        </w:rPr>
        <w:t xml:space="preserve"> the D.</w:t>
      </w:r>
      <w:r w:rsidR="00EB38AA" w:rsidRPr="00B06FCF">
        <w:rPr>
          <w:rFonts w:ascii="Palatino Linotype" w:eastAsia="Palatino Linotype" w:hAnsi="Palatino Linotype" w:cs="Palatino Linotype"/>
          <w:spacing w:val="1"/>
          <w:sz w:val="24"/>
          <w:szCs w:val="24"/>
        </w:rPr>
        <w:t>17-11-016</w:t>
      </w:r>
      <w:r w:rsidR="003A1056" w:rsidRPr="00B06FCF">
        <w:rPr>
          <w:rFonts w:ascii="Palatino Linotype" w:eastAsia="Palatino Linotype" w:hAnsi="Palatino Linotype" w:cs="Palatino Linotype"/>
          <w:spacing w:val="1"/>
          <w:sz w:val="24"/>
          <w:szCs w:val="24"/>
        </w:rPr>
        <w:t xml:space="preserve"> adopted revenue requirement of $</w:t>
      </w:r>
      <w:r w:rsidR="00EB38AA" w:rsidRPr="00B06FCF">
        <w:rPr>
          <w:rFonts w:ascii="Palatino Linotype" w:eastAsia="Palatino Linotype" w:hAnsi="Palatino Linotype" w:cs="Palatino Linotype"/>
          <w:spacing w:val="1"/>
          <w:sz w:val="24"/>
          <w:szCs w:val="24"/>
        </w:rPr>
        <w:t>23,575,419</w:t>
      </w:r>
      <w:r w:rsidR="003A1056" w:rsidRPr="00B06FCF">
        <w:rPr>
          <w:rFonts w:ascii="Palatino Linotype" w:eastAsia="Palatino Linotype" w:hAnsi="Palatino Linotype" w:cs="Palatino Linotype"/>
          <w:spacing w:val="1"/>
          <w:sz w:val="24"/>
          <w:szCs w:val="24"/>
        </w:rPr>
        <w:t>.</w:t>
      </w:r>
    </w:p>
    <w:p w:rsidR="00B06FCF" w:rsidRPr="00B06FCF" w:rsidRDefault="004C2E3D" w:rsidP="00B06FCF">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pacing w:val="1"/>
          <w:sz w:val="24"/>
          <w:szCs w:val="24"/>
        </w:rPr>
        <w:t>In A</w:t>
      </w:r>
      <w:r w:rsidR="00B06FCF">
        <w:rPr>
          <w:rFonts w:ascii="Palatino Linotype" w:eastAsia="Palatino Linotype" w:hAnsi="Palatino Linotype" w:cs="Palatino Linotype"/>
          <w:spacing w:val="1"/>
          <w:sz w:val="24"/>
          <w:szCs w:val="24"/>
        </w:rPr>
        <w:t>L</w:t>
      </w:r>
      <w:r w:rsidRPr="00B06FCF">
        <w:rPr>
          <w:rFonts w:ascii="Palatino Linotype" w:eastAsia="Palatino Linotype" w:hAnsi="Palatino Linotype" w:cs="Palatino Linotype"/>
          <w:spacing w:val="1"/>
          <w:sz w:val="24"/>
          <w:szCs w:val="24"/>
        </w:rPr>
        <w:t xml:space="preserve"> 450, </w:t>
      </w:r>
      <w:r w:rsidR="00EB38AA" w:rsidRPr="00B06FCF">
        <w:rPr>
          <w:rFonts w:ascii="Palatino Linotype" w:eastAsia="Palatino Linotype" w:hAnsi="Palatino Linotype" w:cs="Palatino Linotype"/>
          <w:spacing w:val="1"/>
          <w:sz w:val="24"/>
          <w:szCs w:val="24"/>
        </w:rPr>
        <w:t>Sierra</w:t>
      </w:r>
      <w:r w:rsidR="000A459C" w:rsidRPr="00B06FCF">
        <w:rPr>
          <w:rFonts w:ascii="Palatino Linotype" w:eastAsia="Palatino Linotype" w:hAnsi="Palatino Linotype" w:cs="Palatino Linotype"/>
          <w:spacing w:val="1"/>
          <w:sz w:val="24"/>
          <w:szCs w:val="24"/>
        </w:rPr>
        <w:t xml:space="preserve"> </w:t>
      </w:r>
      <w:r w:rsidRPr="00B06FCF">
        <w:rPr>
          <w:rFonts w:ascii="Palatino Linotype" w:eastAsia="Palatino Linotype" w:hAnsi="Palatino Linotype" w:cs="Palatino Linotype"/>
          <w:spacing w:val="1"/>
          <w:sz w:val="24"/>
          <w:szCs w:val="24"/>
        </w:rPr>
        <w:t>proposed a revised</w:t>
      </w:r>
      <w:r w:rsidR="00EA5445" w:rsidRPr="00B06FCF">
        <w:rPr>
          <w:rFonts w:ascii="Palatino Linotype" w:eastAsia="Palatino Linotype" w:hAnsi="Palatino Linotype" w:cs="Palatino Linotype"/>
          <w:spacing w:val="1"/>
          <w:sz w:val="24"/>
          <w:szCs w:val="24"/>
        </w:rPr>
        <w:t xml:space="preserve"> </w:t>
      </w:r>
      <w:r w:rsidR="000A459C" w:rsidRPr="00B06FCF">
        <w:rPr>
          <w:rFonts w:ascii="Palatino Linotype" w:eastAsia="Palatino Linotype" w:hAnsi="Palatino Linotype" w:cs="Palatino Linotype"/>
          <w:spacing w:val="1"/>
          <w:sz w:val="24"/>
          <w:szCs w:val="24"/>
        </w:rPr>
        <w:t>CHCF-A support of $</w:t>
      </w:r>
      <w:r w:rsidR="00EB38AA" w:rsidRPr="00B06FCF">
        <w:rPr>
          <w:rFonts w:ascii="Palatino Linotype" w:eastAsia="Palatino Linotype" w:hAnsi="Palatino Linotype" w:cs="Palatino Linotype"/>
          <w:spacing w:val="1"/>
          <w:sz w:val="24"/>
          <w:szCs w:val="24"/>
        </w:rPr>
        <w:t>12,748,363</w:t>
      </w:r>
      <w:r w:rsidRPr="00B06FCF">
        <w:rPr>
          <w:rFonts w:ascii="Palatino Linotype" w:eastAsia="Palatino Linotype" w:hAnsi="Palatino Linotype" w:cs="Palatino Linotype"/>
          <w:spacing w:val="1"/>
          <w:sz w:val="24"/>
          <w:szCs w:val="24"/>
        </w:rPr>
        <w:t>, which is $225,735 lower than the D.17-011-016 adopted CHCF-A of $12,974,098</w:t>
      </w:r>
      <w:r w:rsidR="009729F1" w:rsidRPr="00B06FCF">
        <w:rPr>
          <w:rFonts w:ascii="Palatino Linotype" w:eastAsia="Palatino Linotype" w:hAnsi="Palatino Linotype" w:cs="Palatino Linotype"/>
          <w:spacing w:val="1"/>
          <w:sz w:val="24"/>
          <w:szCs w:val="24"/>
        </w:rPr>
        <w:t>.</w:t>
      </w:r>
    </w:p>
    <w:p w:rsidR="00B06FCF" w:rsidRDefault="004C2E3D" w:rsidP="00B06FCF">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 xml:space="preserve">In AL 450, </w:t>
      </w:r>
      <w:r w:rsidR="00EB38AA" w:rsidRPr="00B06FCF">
        <w:rPr>
          <w:rFonts w:ascii="Palatino Linotype" w:eastAsia="Palatino Linotype" w:hAnsi="Palatino Linotype" w:cs="Palatino Linotype"/>
          <w:spacing w:val="1"/>
          <w:sz w:val="24"/>
          <w:szCs w:val="24"/>
        </w:rPr>
        <w:t>Sierra</w:t>
      </w:r>
      <w:r w:rsidR="00EB38AA" w:rsidRPr="00B06FCF">
        <w:rPr>
          <w:rFonts w:ascii="Palatino Linotype" w:eastAsia="Palatino Linotype" w:hAnsi="Palatino Linotype" w:cs="Palatino Linotype"/>
          <w:sz w:val="24"/>
          <w:szCs w:val="24"/>
        </w:rPr>
        <w:t xml:space="preserve"> </w:t>
      </w:r>
      <w:r w:rsidR="00C178F2" w:rsidRPr="00B06FCF">
        <w:rPr>
          <w:rFonts w:ascii="Palatino Linotype" w:eastAsia="Palatino Linotype" w:hAnsi="Palatino Linotype" w:cs="Palatino Linotype"/>
          <w:sz w:val="24"/>
          <w:szCs w:val="24"/>
        </w:rPr>
        <w:t xml:space="preserve">did not include the </w:t>
      </w:r>
      <w:r w:rsidRPr="00B06FCF">
        <w:rPr>
          <w:rFonts w:ascii="Palatino Linotype" w:eastAsia="Palatino Linotype" w:hAnsi="Palatino Linotype" w:cs="Palatino Linotype"/>
          <w:sz w:val="24"/>
          <w:szCs w:val="24"/>
        </w:rPr>
        <w:t xml:space="preserve">appropriate </w:t>
      </w:r>
      <w:r w:rsidR="00C178F2" w:rsidRPr="00B06FCF">
        <w:rPr>
          <w:rFonts w:ascii="Palatino Linotype" w:eastAsia="Palatino Linotype" w:hAnsi="Palatino Linotype" w:cs="Palatino Linotype"/>
          <w:sz w:val="24"/>
          <w:szCs w:val="24"/>
        </w:rPr>
        <w:t xml:space="preserve">effect of excess deferred </w:t>
      </w:r>
      <w:r w:rsidR="00172BD6" w:rsidRPr="00B06FCF">
        <w:rPr>
          <w:rFonts w:ascii="Palatino Linotype" w:eastAsia="Palatino Linotype" w:hAnsi="Palatino Linotype" w:cs="Palatino Linotype"/>
          <w:sz w:val="24"/>
          <w:szCs w:val="24"/>
        </w:rPr>
        <w:t xml:space="preserve">income </w:t>
      </w:r>
      <w:r w:rsidR="00C178F2" w:rsidRPr="00B06FCF">
        <w:rPr>
          <w:rFonts w:ascii="Palatino Linotype" w:eastAsia="Palatino Linotype" w:hAnsi="Palatino Linotype" w:cs="Palatino Linotype"/>
          <w:sz w:val="24"/>
          <w:szCs w:val="24"/>
        </w:rPr>
        <w:t>tax reserve created by the lower tax rate</w:t>
      </w:r>
      <w:r w:rsidR="004D799E" w:rsidRPr="00B06FCF">
        <w:rPr>
          <w:rFonts w:ascii="Palatino Linotype" w:eastAsia="Palatino Linotype" w:hAnsi="Palatino Linotype" w:cs="Palatino Linotype"/>
          <w:sz w:val="24"/>
          <w:szCs w:val="24"/>
        </w:rPr>
        <w:t xml:space="preserve"> on the revenue requirement</w:t>
      </w:r>
      <w:r w:rsidR="00C178F2" w:rsidRPr="00B06FCF">
        <w:rPr>
          <w:rFonts w:ascii="Palatino Linotype" w:eastAsia="Palatino Linotype" w:hAnsi="Palatino Linotype" w:cs="Palatino Linotype"/>
          <w:sz w:val="24"/>
          <w:szCs w:val="24"/>
        </w:rPr>
        <w:t>.</w:t>
      </w:r>
    </w:p>
    <w:p w:rsidR="00B06FCF" w:rsidRPr="00B06FCF" w:rsidRDefault="004C2E3D" w:rsidP="00B06FCF">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In May 2018,</w:t>
      </w:r>
      <w:r w:rsidR="00292F45" w:rsidRPr="00B06FCF">
        <w:rPr>
          <w:rFonts w:ascii="Palatino Linotype" w:eastAsia="Palatino Linotype" w:hAnsi="Palatino Linotype" w:cs="Palatino Linotype"/>
          <w:sz w:val="24"/>
          <w:szCs w:val="24"/>
        </w:rPr>
        <w:t xml:space="preserve"> the Small ILECs submitted a letter to the Communications Division Director informing that </w:t>
      </w:r>
      <w:r w:rsidRPr="00B06FCF">
        <w:rPr>
          <w:rFonts w:ascii="Palatino Linotype" w:eastAsia="Palatino Linotype" w:hAnsi="Palatino Linotype" w:cs="Palatino Linotype"/>
          <w:sz w:val="24"/>
          <w:szCs w:val="24"/>
        </w:rPr>
        <w:t xml:space="preserve">the </w:t>
      </w:r>
      <w:r w:rsidR="00292F45" w:rsidRPr="00B06FCF">
        <w:rPr>
          <w:rFonts w:ascii="Palatino Linotype" w:eastAsia="Palatino Linotype" w:hAnsi="Palatino Linotype" w:cs="Palatino Linotype"/>
          <w:sz w:val="24"/>
          <w:szCs w:val="24"/>
        </w:rPr>
        <w:t xml:space="preserve">National Exchange Carrier Association </w:t>
      </w:r>
      <w:r w:rsidRPr="00B06FCF">
        <w:rPr>
          <w:rFonts w:ascii="Palatino Linotype" w:eastAsia="Palatino Linotype" w:hAnsi="Palatino Linotype" w:cs="Palatino Linotype"/>
          <w:sz w:val="24"/>
          <w:szCs w:val="24"/>
        </w:rPr>
        <w:t xml:space="preserve">had revised </w:t>
      </w:r>
      <w:r w:rsidR="00292F45" w:rsidRPr="00B06FCF">
        <w:rPr>
          <w:rFonts w:ascii="Palatino Linotype" w:eastAsia="Palatino Linotype" w:hAnsi="Palatino Linotype" w:cs="Palatino Linotype"/>
          <w:sz w:val="24"/>
          <w:szCs w:val="24"/>
        </w:rPr>
        <w:t xml:space="preserve">its </w:t>
      </w:r>
      <w:r w:rsidRPr="00B06FCF">
        <w:rPr>
          <w:rFonts w:ascii="Palatino Linotype" w:eastAsia="Palatino Linotype" w:hAnsi="Palatino Linotype" w:cs="Palatino Linotype"/>
          <w:sz w:val="24"/>
          <w:szCs w:val="24"/>
        </w:rPr>
        <w:t xml:space="preserve">previous </w:t>
      </w:r>
      <w:r w:rsidR="00292F45" w:rsidRPr="00B06FCF">
        <w:rPr>
          <w:rFonts w:ascii="Palatino Linotype" w:eastAsia="Palatino Linotype" w:hAnsi="Palatino Linotype" w:cs="Palatino Linotype"/>
          <w:sz w:val="24"/>
          <w:szCs w:val="24"/>
        </w:rPr>
        <w:t xml:space="preserve">guidance on the treatment of excess deferred </w:t>
      </w:r>
      <w:r w:rsidR="00172BD6" w:rsidRPr="00B06FCF">
        <w:rPr>
          <w:rFonts w:ascii="Palatino Linotype" w:eastAsia="Palatino Linotype" w:hAnsi="Palatino Linotype" w:cs="Palatino Linotype"/>
          <w:sz w:val="24"/>
          <w:szCs w:val="24"/>
        </w:rPr>
        <w:t xml:space="preserve">income </w:t>
      </w:r>
      <w:r w:rsidR="00292F45" w:rsidRPr="00B06FCF">
        <w:rPr>
          <w:rFonts w:ascii="Palatino Linotype" w:eastAsia="Palatino Linotype" w:hAnsi="Palatino Linotype" w:cs="Palatino Linotype"/>
          <w:sz w:val="24"/>
          <w:szCs w:val="24"/>
        </w:rPr>
        <w:t xml:space="preserve">taxes from </w:t>
      </w:r>
      <w:r w:rsidR="009729F1" w:rsidRPr="00B06FCF">
        <w:rPr>
          <w:rFonts w:ascii="Palatino Linotype" w:eastAsia="Palatino Linotype" w:hAnsi="Palatino Linotype" w:cs="Palatino Linotype"/>
          <w:sz w:val="24"/>
          <w:szCs w:val="24"/>
        </w:rPr>
        <w:t xml:space="preserve">the </w:t>
      </w:r>
      <w:r w:rsidR="00292F45" w:rsidRPr="00B06FCF">
        <w:rPr>
          <w:rFonts w:ascii="Palatino Linotype" w:eastAsia="Palatino Linotype" w:hAnsi="Palatino Linotype" w:cs="Palatino Linotype"/>
          <w:sz w:val="24"/>
          <w:szCs w:val="24"/>
        </w:rPr>
        <w:t>flow</w:t>
      </w:r>
      <w:r w:rsidR="009729F1" w:rsidRPr="00B06FCF">
        <w:rPr>
          <w:rFonts w:ascii="Palatino Linotype" w:eastAsia="Palatino Linotype" w:hAnsi="Palatino Linotype" w:cs="Palatino Linotype"/>
          <w:sz w:val="24"/>
          <w:szCs w:val="24"/>
        </w:rPr>
        <w:t>-</w:t>
      </w:r>
      <w:r w:rsidR="00292F45" w:rsidRPr="00B06FCF">
        <w:rPr>
          <w:rFonts w:ascii="Palatino Linotype" w:eastAsia="Palatino Linotype" w:hAnsi="Palatino Linotype" w:cs="Palatino Linotype"/>
          <w:sz w:val="24"/>
          <w:szCs w:val="24"/>
        </w:rPr>
        <w:t xml:space="preserve">through to </w:t>
      </w:r>
      <w:r w:rsidR="009729F1" w:rsidRPr="00B06FCF">
        <w:rPr>
          <w:rFonts w:ascii="Palatino Linotype" w:eastAsia="Palatino Linotype" w:hAnsi="Palatino Linotype" w:cs="Palatino Linotype"/>
          <w:sz w:val="24"/>
          <w:szCs w:val="24"/>
        </w:rPr>
        <w:t xml:space="preserve">the </w:t>
      </w:r>
      <w:r w:rsidR="00292F45" w:rsidRPr="00B06FCF">
        <w:rPr>
          <w:rFonts w:ascii="Palatino Linotype" w:eastAsia="Palatino Linotype" w:hAnsi="Palatino Linotype" w:cs="Palatino Linotype"/>
          <w:sz w:val="24"/>
          <w:szCs w:val="24"/>
        </w:rPr>
        <w:t>normalization method.</w:t>
      </w:r>
    </w:p>
    <w:p w:rsidR="00B06FCF" w:rsidRDefault="004D799E" w:rsidP="00B06FCF">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 xml:space="preserve">Staff received information from </w:t>
      </w:r>
      <w:r w:rsidR="00A05DEE" w:rsidRPr="00B06FCF">
        <w:rPr>
          <w:rFonts w:ascii="Palatino Linotype" w:eastAsia="Palatino Linotype" w:hAnsi="Palatino Linotype" w:cs="Palatino Linotype"/>
          <w:sz w:val="24"/>
          <w:szCs w:val="24"/>
        </w:rPr>
        <w:t>Sierra</w:t>
      </w:r>
      <w:r w:rsidRPr="00B06FCF">
        <w:rPr>
          <w:rFonts w:ascii="Palatino Linotype" w:eastAsia="Palatino Linotype" w:hAnsi="Palatino Linotype" w:cs="Palatino Linotype"/>
          <w:sz w:val="24"/>
          <w:szCs w:val="24"/>
        </w:rPr>
        <w:t xml:space="preserve"> regarding excess deferred </w:t>
      </w:r>
      <w:r w:rsidR="00172BD6" w:rsidRPr="00B06FCF">
        <w:rPr>
          <w:rFonts w:ascii="Palatino Linotype" w:eastAsia="Palatino Linotype" w:hAnsi="Palatino Linotype" w:cs="Palatino Linotype"/>
          <w:sz w:val="24"/>
          <w:szCs w:val="24"/>
        </w:rPr>
        <w:t xml:space="preserve">income </w:t>
      </w:r>
      <w:r w:rsidRPr="00B06FCF">
        <w:rPr>
          <w:rFonts w:ascii="Palatino Linotype" w:eastAsia="Palatino Linotype" w:hAnsi="Palatino Linotype" w:cs="Palatino Linotype"/>
          <w:sz w:val="24"/>
          <w:szCs w:val="24"/>
        </w:rPr>
        <w:t xml:space="preserve">tax reserve through </w:t>
      </w:r>
      <w:r w:rsidR="009729F1" w:rsidRPr="00B06FCF">
        <w:rPr>
          <w:rFonts w:ascii="Palatino Linotype" w:eastAsia="Palatino Linotype" w:hAnsi="Palatino Linotype" w:cs="Palatino Linotype"/>
          <w:sz w:val="24"/>
          <w:szCs w:val="24"/>
        </w:rPr>
        <w:t xml:space="preserve">a </w:t>
      </w:r>
      <w:r w:rsidRPr="00B06FCF">
        <w:rPr>
          <w:rFonts w:ascii="Palatino Linotype" w:eastAsia="Palatino Linotype" w:hAnsi="Palatino Linotype" w:cs="Palatino Linotype"/>
          <w:sz w:val="24"/>
          <w:szCs w:val="24"/>
        </w:rPr>
        <w:t>data request dated April 11, 2018.</w:t>
      </w:r>
    </w:p>
    <w:p w:rsidR="00B06FCF" w:rsidRDefault="004C2E3D" w:rsidP="00B06FCF">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 xml:space="preserve">Sierra should follow </w:t>
      </w:r>
      <w:r w:rsidR="00297992">
        <w:rPr>
          <w:rFonts w:ascii="Palatino Linotype" w:eastAsia="Palatino Linotype" w:hAnsi="Palatino Linotype" w:cs="Palatino Linotype"/>
          <w:sz w:val="24"/>
          <w:szCs w:val="24"/>
        </w:rPr>
        <w:t xml:space="preserve">Commission </w:t>
      </w:r>
      <w:r w:rsidRPr="00B06FCF">
        <w:rPr>
          <w:rFonts w:ascii="Palatino Linotype" w:eastAsia="Palatino Linotype" w:hAnsi="Palatino Linotype" w:cs="Palatino Linotype"/>
          <w:sz w:val="24"/>
          <w:szCs w:val="24"/>
        </w:rPr>
        <w:t>normalization requirements for returning the excess deferred tax reserve to ratepayers.</w:t>
      </w:r>
    </w:p>
    <w:p w:rsidR="00B06FCF" w:rsidRDefault="00520CE9" w:rsidP="00B06FCF">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Staff</w:t>
      </w:r>
      <w:r w:rsidR="004D799E" w:rsidRPr="00B06FCF">
        <w:rPr>
          <w:rFonts w:ascii="Palatino Linotype" w:eastAsia="Palatino Linotype" w:hAnsi="Palatino Linotype" w:cs="Palatino Linotype"/>
          <w:sz w:val="24"/>
          <w:szCs w:val="24"/>
        </w:rPr>
        <w:t xml:space="preserve"> </w:t>
      </w:r>
      <w:r w:rsidRPr="00B06FCF">
        <w:rPr>
          <w:rFonts w:ascii="Palatino Linotype" w:eastAsia="Palatino Linotype" w:hAnsi="Palatino Linotype" w:cs="Palatino Linotype"/>
          <w:sz w:val="24"/>
          <w:szCs w:val="24"/>
        </w:rPr>
        <w:t>calculates that</w:t>
      </w:r>
      <w:r w:rsidR="004D799E" w:rsidRPr="00B06FCF">
        <w:rPr>
          <w:rFonts w:ascii="Palatino Linotype" w:eastAsia="Palatino Linotype" w:hAnsi="Palatino Linotype" w:cs="Palatino Linotype"/>
          <w:sz w:val="24"/>
          <w:szCs w:val="24"/>
        </w:rPr>
        <w:t xml:space="preserve"> </w:t>
      </w:r>
      <w:r w:rsidR="00A33B5A" w:rsidRPr="00B06FCF">
        <w:rPr>
          <w:rFonts w:ascii="Palatino Linotype" w:eastAsia="Palatino Linotype" w:hAnsi="Palatino Linotype" w:cs="Palatino Linotype"/>
          <w:sz w:val="24"/>
          <w:szCs w:val="24"/>
        </w:rPr>
        <w:t xml:space="preserve">Sierra’s </w:t>
      </w:r>
      <w:r w:rsidR="004D799E" w:rsidRPr="00B06FCF">
        <w:rPr>
          <w:rFonts w:ascii="Palatino Linotype" w:eastAsia="Palatino Linotype" w:hAnsi="Palatino Linotype" w:cs="Palatino Linotype"/>
          <w:sz w:val="24"/>
          <w:szCs w:val="24"/>
        </w:rPr>
        <w:t xml:space="preserve">excess deferred </w:t>
      </w:r>
      <w:r w:rsidR="00E16A17" w:rsidRPr="00B06FCF">
        <w:rPr>
          <w:rFonts w:ascii="Palatino Linotype" w:eastAsia="Palatino Linotype" w:hAnsi="Palatino Linotype" w:cs="Palatino Linotype"/>
          <w:sz w:val="24"/>
          <w:szCs w:val="24"/>
        </w:rPr>
        <w:t xml:space="preserve">income </w:t>
      </w:r>
      <w:r w:rsidR="004D799E" w:rsidRPr="00B06FCF">
        <w:rPr>
          <w:rFonts w:ascii="Palatino Linotype" w:eastAsia="Palatino Linotype" w:hAnsi="Palatino Linotype" w:cs="Palatino Linotype"/>
          <w:sz w:val="24"/>
          <w:szCs w:val="24"/>
        </w:rPr>
        <w:t>tax reserve is $</w:t>
      </w:r>
      <w:r w:rsidR="00A05DEE" w:rsidRPr="00B06FCF">
        <w:rPr>
          <w:rFonts w:ascii="Palatino Linotype" w:eastAsia="Palatino Linotype" w:hAnsi="Palatino Linotype" w:cs="Palatino Linotype"/>
          <w:sz w:val="24"/>
          <w:szCs w:val="24"/>
        </w:rPr>
        <w:t>1,961,986</w:t>
      </w:r>
      <w:r w:rsidR="00E16A17" w:rsidRPr="00B06FCF">
        <w:rPr>
          <w:rFonts w:ascii="Palatino Linotype" w:eastAsia="Palatino Linotype" w:hAnsi="Palatino Linotype" w:cs="Palatino Linotype"/>
          <w:sz w:val="24"/>
          <w:szCs w:val="24"/>
        </w:rPr>
        <w:t>,</w:t>
      </w:r>
      <w:r w:rsidR="004D799E" w:rsidRPr="00B06FCF">
        <w:rPr>
          <w:rFonts w:ascii="Palatino Linotype" w:eastAsia="Palatino Linotype" w:hAnsi="Palatino Linotype" w:cs="Palatino Linotype"/>
          <w:sz w:val="24"/>
          <w:szCs w:val="24"/>
        </w:rPr>
        <w:t xml:space="preserve"> and</w:t>
      </w:r>
      <w:r w:rsidR="004C2E3D" w:rsidRPr="00B06FCF">
        <w:rPr>
          <w:rFonts w:ascii="Palatino Linotype" w:eastAsia="Palatino Linotype" w:hAnsi="Palatino Linotype" w:cs="Palatino Linotype"/>
          <w:sz w:val="24"/>
          <w:szCs w:val="24"/>
        </w:rPr>
        <w:t xml:space="preserve"> this amount should</w:t>
      </w:r>
      <w:r w:rsidR="004D799E" w:rsidRPr="00B06FCF">
        <w:rPr>
          <w:rFonts w:ascii="Palatino Linotype" w:eastAsia="Palatino Linotype" w:hAnsi="Palatino Linotype" w:cs="Palatino Linotype"/>
          <w:sz w:val="24"/>
          <w:szCs w:val="24"/>
        </w:rPr>
        <w:t xml:space="preserve"> be </w:t>
      </w:r>
      <w:r w:rsidR="00E16A17" w:rsidRPr="00B06FCF">
        <w:rPr>
          <w:rFonts w:ascii="Palatino Linotype" w:eastAsia="Palatino Linotype" w:hAnsi="Palatino Linotype" w:cs="Palatino Linotype"/>
          <w:sz w:val="24"/>
          <w:szCs w:val="24"/>
        </w:rPr>
        <w:t xml:space="preserve">amortized </w:t>
      </w:r>
      <w:r w:rsidR="004C2E3D" w:rsidRPr="00B06FCF">
        <w:rPr>
          <w:rFonts w:ascii="Palatino Linotype" w:eastAsia="Palatino Linotype" w:hAnsi="Palatino Linotype" w:cs="Palatino Linotype"/>
          <w:sz w:val="24"/>
          <w:szCs w:val="24"/>
        </w:rPr>
        <w:t xml:space="preserve">over the weighted-average life of Sierra’s depreciable assets, </w:t>
      </w:r>
      <w:r w:rsidR="00E16A17" w:rsidRPr="00B06FCF">
        <w:rPr>
          <w:rFonts w:ascii="Palatino Linotype" w:eastAsia="Palatino Linotype" w:hAnsi="Palatino Linotype" w:cs="Palatino Linotype"/>
          <w:sz w:val="24"/>
          <w:szCs w:val="24"/>
        </w:rPr>
        <w:t xml:space="preserve">and </w:t>
      </w:r>
      <w:r w:rsidR="004C43AB" w:rsidRPr="00B06FCF">
        <w:rPr>
          <w:rFonts w:ascii="Palatino Linotype" w:eastAsia="Palatino Linotype" w:hAnsi="Palatino Linotype" w:cs="Palatino Linotype"/>
          <w:sz w:val="24"/>
          <w:szCs w:val="24"/>
        </w:rPr>
        <w:t>be shown as a line item credit to federal income tax</w:t>
      </w:r>
      <w:r w:rsidR="00E16A17" w:rsidRPr="00B06FCF">
        <w:rPr>
          <w:rFonts w:ascii="Palatino Linotype" w:eastAsia="Palatino Linotype" w:hAnsi="Palatino Linotype" w:cs="Palatino Linotype"/>
          <w:sz w:val="24"/>
          <w:szCs w:val="24"/>
        </w:rPr>
        <w:t xml:space="preserve"> </w:t>
      </w:r>
      <w:r w:rsidR="004D799E" w:rsidRPr="00B06FCF">
        <w:rPr>
          <w:rFonts w:ascii="Palatino Linotype" w:eastAsia="Palatino Linotype" w:hAnsi="Palatino Linotype" w:cs="Palatino Linotype"/>
          <w:sz w:val="24"/>
          <w:szCs w:val="24"/>
        </w:rPr>
        <w:t xml:space="preserve">over </w:t>
      </w:r>
      <w:r w:rsidR="00A05DEE" w:rsidRPr="00B06FCF">
        <w:rPr>
          <w:rFonts w:ascii="Palatino Linotype" w:eastAsia="Palatino Linotype" w:hAnsi="Palatino Linotype" w:cs="Palatino Linotype"/>
          <w:sz w:val="24"/>
          <w:szCs w:val="24"/>
        </w:rPr>
        <w:t>6.2</w:t>
      </w:r>
      <w:r w:rsidR="004D799E" w:rsidRPr="00B06FCF">
        <w:rPr>
          <w:rFonts w:ascii="Palatino Linotype" w:eastAsia="Palatino Linotype" w:hAnsi="Palatino Linotype" w:cs="Palatino Linotype"/>
          <w:sz w:val="24"/>
          <w:szCs w:val="24"/>
        </w:rPr>
        <w:t xml:space="preserve"> years</w:t>
      </w:r>
      <w:r w:rsidR="004C2E3D" w:rsidRPr="00B06FCF">
        <w:rPr>
          <w:rFonts w:ascii="Palatino Linotype" w:eastAsia="Palatino Linotype" w:hAnsi="Palatino Linotype" w:cs="Palatino Linotype"/>
          <w:sz w:val="24"/>
          <w:szCs w:val="24"/>
        </w:rPr>
        <w:t>, while keeping the unamortized balance as a rate base reduction item</w:t>
      </w:r>
      <w:r w:rsidR="004C43AB" w:rsidRPr="00B06FCF">
        <w:rPr>
          <w:rFonts w:ascii="Palatino Linotype" w:eastAsia="Palatino Linotype" w:hAnsi="Palatino Linotype" w:cs="Palatino Linotype"/>
          <w:sz w:val="24"/>
          <w:szCs w:val="24"/>
        </w:rPr>
        <w:t>.</w:t>
      </w:r>
    </w:p>
    <w:p w:rsidR="00B06FCF" w:rsidRDefault="00520CE9" w:rsidP="00B06FCF">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Staff calculates that</w:t>
      </w:r>
      <w:r w:rsidR="00E16A17" w:rsidRPr="00B06FCF">
        <w:rPr>
          <w:rFonts w:ascii="Palatino Linotype" w:eastAsia="Palatino Linotype" w:hAnsi="Palatino Linotype" w:cs="Palatino Linotype"/>
          <w:sz w:val="24"/>
          <w:szCs w:val="24"/>
        </w:rPr>
        <w:t>,</w:t>
      </w:r>
      <w:r w:rsidR="004D799E" w:rsidRPr="00B06FCF">
        <w:rPr>
          <w:rFonts w:ascii="Palatino Linotype" w:eastAsia="Palatino Linotype" w:hAnsi="Palatino Linotype" w:cs="Palatino Linotype"/>
          <w:sz w:val="24"/>
          <w:szCs w:val="24"/>
        </w:rPr>
        <w:t xml:space="preserve"> </w:t>
      </w:r>
      <w:r w:rsidR="004C2E3D" w:rsidRPr="00B06FCF">
        <w:rPr>
          <w:rFonts w:ascii="Palatino Linotype" w:eastAsia="Palatino Linotype" w:hAnsi="Palatino Linotype" w:cs="Palatino Linotype"/>
          <w:sz w:val="24"/>
          <w:szCs w:val="24"/>
        </w:rPr>
        <w:t xml:space="preserve">Sierra’s </w:t>
      </w:r>
      <w:r w:rsidR="00E16A17" w:rsidRPr="00B06FCF">
        <w:rPr>
          <w:rFonts w:ascii="Palatino Linotype" w:eastAsia="Palatino Linotype" w:hAnsi="Palatino Linotype" w:cs="Palatino Linotype"/>
          <w:sz w:val="24"/>
          <w:szCs w:val="24"/>
        </w:rPr>
        <w:t xml:space="preserve">amortized excess deferred </w:t>
      </w:r>
      <w:r w:rsidR="00172BD6" w:rsidRPr="00B06FCF">
        <w:rPr>
          <w:rFonts w:ascii="Palatino Linotype" w:eastAsia="Palatino Linotype" w:hAnsi="Palatino Linotype" w:cs="Palatino Linotype"/>
          <w:sz w:val="24"/>
          <w:szCs w:val="24"/>
        </w:rPr>
        <w:t xml:space="preserve">income </w:t>
      </w:r>
      <w:r w:rsidR="00E16A17" w:rsidRPr="00B06FCF">
        <w:rPr>
          <w:rFonts w:ascii="Palatino Linotype" w:eastAsia="Palatino Linotype" w:hAnsi="Palatino Linotype" w:cs="Palatino Linotype"/>
          <w:sz w:val="24"/>
          <w:szCs w:val="24"/>
        </w:rPr>
        <w:t>tax</w:t>
      </w:r>
      <w:r w:rsidR="009C5538" w:rsidRPr="00B06FCF">
        <w:rPr>
          <w:rFonts w:ascii="Palatino Linotype" w:eastAsia="Palatino Linotype" w:hAnsi="Palatino Linotype" w:cs="Palatino Linotype"/>
          <w:sz w:val="24"/>
          <w:szCs w:val="24"/>
        </w:rPr>
        <w:t xml:space="preserve"> amount </w:t>
      </w:r>
      <w:r w:rsidR="00E16A17" w:rsidRPr="00B06FCF">
        <w:rPr>
          <w:rFonts w:ascii="Palatino Linotype" w:eastAsia="Palatino Linotype" w:hAnsi="Palatino Linotype" w:cs="Palatino Linotype"/>
          <w:sz w:val="24"/>
          <w:szCs w:val="24"/>
        </w:rPr>
        <w:t xml:space="preserve">is </w:t>
      </w:r>
      <w:r w:rsidR="009C5538" w:rsidRPr="00B06FCF">
        <w:rPr>
          <w:rFonts w:ascii="Palatino Linotype" w:eastAsia="Palatino Linotype" w:hAnsi="Palatino Linotype" w:cs="Palatino Linotype"/>
          <w:sz w:val="24"/>
          <w:szCs w:val="24"/>
        </w:rPr>
        <w:t>$</w:t>
      </w:r>
      <w:r w:rsidR="00A05DEE" w:rsidRPr="00B06FCF">
        <w:rPr>
          <w:rFonts w:ascii="Palatino Linotype" w:eastAsia="Palatino Linotype" w:hAnsi="Palatino Linotype" w:cs="Palatino Linotype"/>
          <w:sz w:val="24"/>
          <w:szCs w:val="24"/>
        </w:rPr>
        <w:t>316,449</w:t>
      </w:r>
      <w:r w:rsidR="009C5538" w:rsidRPr="00B06FCF">
        <w:rPr>
          <w:rFonts w:ascii="Palatino Linotype" w:eastAsia="Palatino Linotype" w:hAnsi="Palatino Linotype" w:cs="Palatino Linotype"/>
          <w:sz w:val="24"/>
          <w:szCs w:val="24"/>
        </w:rPr>
        <w:t xml:space="preserve"> per year </w:t>
      </w:r>
      <w:r w:rsidR="004C2E3D" w:rsidRPr="00B06FCF">
        <w:rPr>
          <w:rFonts w:ascii="Palatino Linotype" w:eastAsia="Palatino Linotype" w:hAnsi="Palatino Linotype" w:cs="Palatino Linotype"/>
          <w:sz w:val="24"/>
          <w:szCs w:val="24"/>
        </w:rPr>
        <w:t xml:space="preserve">for 6.2 years, </w:t>
      </w:r>
      <w:r w:rsidR="00AE4CFA" w:rsidRPr="00B06FCF">
        <w:rPr>
          <w:rFonts w:ascii="Palatino Linotype" w:eastAsia="Palatino Linotype" w:hAnsi="Palatino Linotype" w:cs="Palatino Linotype"/>
          <w:sz w:val="24"/>
          <w:szCs w:val="24"/>
        </w:rPr>
        <w:t xml:space="preserve">which further reduces </w:t>
      </w:r>
      <w:r w:rsidR="008C2BAF">
        <w:rPr>
          <w:rFonts w:ascii="Palatino Linotype" w:eastAsia="Palatino Linotype" w:hAnsi="Palatino Linotype" w:cs="Palatino Linotype"/>
          <w:sz w:val="24"/>
          <w:szCs w:val="24"/>
        </w:rPr>
        <w:t>Sierra</w:t>
      </w:r>
      <w:r w:rsidR="00AE4CFA" w:rsidRPr="00B06FCF">
        <w:rPr>
          <w:rFonts w:ascii="Palatino Linotype" w:eastAsia="Palatino Linotype" w:hAnsi="Palatino Linotype" w:cs="Palatino Linotype"/>
          <w:sz w:val="24"/>
          <w:szCs w:val="24"/>
        </w:rPr>
        <w:t>’s revenue requirement and CHCF</w:t>
      </w:r>
      <w:r w:rsidR="006D4AC5" w:rsidRPr="00B06FCF">
        <w:rPr>
          <w:rFonts w:ascii="Palatino Linotype" w:eastAsia="Palatino Linotype" w:hAnsi="Palatino Linotype" w:cs="Palatino Linotype"/>
          <w:sz w:val="24"/>
          <w:szCs w:val="24"/>
        </w:rPr>
        <w:t>-</w:t>
      </w:r>
      <w:r w:rsidR="00AE4CFA" w:rsidRPr="00B06FCF">
        <w:rPr>
          <w:rFonts w:ascii="Palatino Linotype" w:eastAsia="Palatino Linotype" w:hAnsi="Palatino Linotype" w:cs="Palatino Linotype"/>
          <w:sz w:val="24"/>
          <w:szCs w:val="24"/>
        </w:rPr>
        <w:t xml:space="preserve">A support, </w:t>
      </w:r>
      <w:r w:rsidR="00E16A17" w:rsidRPr="00B06FCF">
        <w:rPr>
          <w:rFonts w:ascii="Palatino Linotype" w:eastAsia="Palatino Linotype" w:hAnsi="Palatino Linotype" w:cs="Palatino Linotype"/>
          <w:sz w:val="24"/>
          <w:szCs w:val="24"/>
        </w:rPr>
        <w:t xml:space="preserve">and </w:t>
      </w:r>
      <w:r w:rsidR="004C2E3D" w:rsidRPr="00B06FCF">
        <w:rPr>
          <w:rFonts w:ascii="Palatino Linotype" w:eastAsia="Palatino Linotype" w:hAnsi="Palatino Linotype" w:cs="Palatino Linotype"/>
          <w:sz w:val="24"/>
          <w:szCs w:val="24"/>
        </w:rPr>
        <w:t xml:space="preserve">this </w:t>
      </w:r>
      <w:r w:rsidR="00E16A17" w:rsidRPr="00B06FCF">
        <w:rPr>
          <w:rFonts w:ascii="Palatino Linotype" w:eastAsia="Palatino Linotype" w:hAnsi="Palatino Linotype" w:cs="Palatino Linotype"/>
          <w:sz w:val="24"/>
          <w:szCs w:val="24"/>
        </w:rPr>
        <w:t xml:space="preserve">should be </w:t>
      </w:r>
      <w:r w:rsidR="004C2E3D" w:rsidRPr="00B06FCF">
        <w:rPr>
          <w:rFonts w:ascii="Palatino Linotype" w:eastAsia="Palatino Linotype" w:hAnsi="Palatino Linotype" w:cs="Palatino Linotype"/>
          <w:sz w:val="24"/>
          <w:szCs w:val="24"/>
        </w:rPr>
        <w:t xml:space="preserve">reflected </w:t>
      </w:r>
      <w:r w:rsidR="00E16A17" w:rsidRPr="00B06FCF">
        <w:rPr>
          <w:rFonts w:ascii="Palatino Linotype" w:eastAsia="Palatino Linotype" w:hAnsi="Palatino Linotype" w:cs="Palatino Linotype"/>
          <w:sz w:val="24"/>
          <w:szCs w:val="24"/>
        </w:rPr>
        <w:t xml:space="preserve">in </w:t>
      </w:r>
      <w:r w:rsidR="00A05DEE" w:rsidRPr="00B06FCF">
        <w:rPr>
          <w:rFonts w:ascii="Palatino Linotype" w:eastAsia="Palatino Linotype" w:hAnsi="Palatino Linotype" w:cs="Palatino Linotype"/>
          <w:sz w:val="24"/>
          <w:szCs w:val="24"/>
        </w:rPr>
        <w:t>Sierra’s</w:t>
      </w:r>
      <w:r w:rsidR="009C5538" w:rsidRPr="00B06FCF">
        <w:rPr>
          <w:rFonts w:ascii="Palatino Linotype" w:eastAsia="Palatino Linotype" w:hAnsi="Palatino Linotype" w:cs="Palatino Linotype"/>
          <w:sz w:val="24"/>
          <w:szCs w:val="24"/>
        </w:rPr>
        <w:t xml:space="preserve"> account</w:t>
      </w:r>
      <w:r w:rsidR="006D5AC7" w:rsidRPr="00B06FCF">
        <w:rPr>
          <w:rFonts w:ascii="Palatino Linotype" w:eastAsia="Palatino Linotype" w:hAnsi="Palatino Linotype" w:cs="Palatino Linotype"/>
          <w:sz w:val="24"/>
          <w:szCs w:val="24"/>
        </w:rPr>
        <w:t>ing</w:t>
      </w:r>
      <w:r w:rsidR="009C5538" w:rsidRPr="00B06FCF">
        <w:rPr>
          <w:rFonts w:ascii="Palatino Linotype" w:eastAsia="Palatino Linotype" w:hAnsi="Palatino Linotype" w:cs="Palatino Linotype"/>
          <w:sz w:val="24"/>
          <w:szCs w:val="24"/>
        </w:rPr>
        <w:t xml:space="preserve"> books and in results of operations table.</w:t>
      </w:r>
    </w:p>
    <w:p w:rsidR="00B06FCF" w:rsidRDefault="00520CE9" w:rsidP="00B06FCF">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 xml:space="preserve">Staff calculates that Sierra’s rate base should be increased (excess deferred tax balance should be decreased) per year by the $316,449 amount of excess deferred tax </w:t>
      </w:r>
      <w:r w:rsidR="006D4AC5" w:rsidRPr="00B06FCF">
        <w:rPr>
          <w:rFonts w:ascii="Palatino Linotype" w:eastAsia="Palatino Linotype" w:hAnsi="Palatino Linotype" w:cs="Palatino Linotype"/>
          <w:sz w:val="24"/>
          <w:szCs w:val="24"/>
        </w:rPr>
        <w:t xml:space="preserve">listed as a credit </w:t>
      </w:r>
      <w:r w:rsidRPr="00B06FCF">
        <w:rPr>
          <w:rFonts w:ascii="Palatino Linotype" w:eastAsia="Palatino Linotype" w:hAnsi="Palatino Linotype" w:cs="Palatino Linotype"/>
          <w:sz w:val="24"/>
          <w:szCs w:val="24"/>
        </w:rPr>
        <w:t xml:space="preserve">to ratepayers.  </w:t>
      </w:r>
      <w:proofErr w:type="gramStart"/>
      <w:r w:rsidR="00AE4CFA" w:rsidRPr="00B06FCF">
        <w:rPr>
          <w:rFonts w:ascii="Palatino Linotype" w:eastAsia="Palatino Linotype" w:hAnsi="Palatino Linotype" w:cs="Palatino Linotype"/>
          <w:sz w:val="24"/>
          <w:szCs w:val="24"/>
        </w:rPr>
        <w:t>This results</w:t>
      </w:r>
      <w:proofErr w:type="gramEnd"/>
      <w:r w:rsidRPr="00B06FCF">
        <w:rPr>
          <w:rFonts w:ascii="Palatino Linotype" w:eastAsia="Palatino Linotype" w:hAnsi="Palatino Linotype" w:cs="Palatino Linotype"/>
          <w:sz w:val="24"/>
          <w:szCs w:val="24"/>
        </w:rPr>
        <w:t xml:space="preserve"> in a 2018 rate base of $22,316,449 compared to </w:t>
      </w:r>
      <w:r w:rsidR="008C2BAF">
        <w:rPr>
          <w:rFonts w:ascii="Palatino Linotype" w:eastAsia="Palatino Linotype" w:hAnsi="Palatino Linotype" w:cs="Palatino Linotype"/>
          <w:sz w:val="24"/>
          <w:szCs w:val="24"/>
        </w:rPr>
        <w:t>Sierra</w:t>
      </w:r>
      <w:r w:rsidRPr="00B06FCF">
        <w:rPr>
          <w:rFonts w:ascii="Palatino Linotype" w:eastAsia="Palatino Linotype" w:hAnsi="Palatino Linotype" w:cs="Palatino Linotype"/>
          <w:sz w:val="24"/>
          <w:szCs w:val="24"/>
        </w:rPr>
        <w:t>’s proposed $23,961,986.</w:t>
      </w:r>
    </w:p>
    <w:p w:rsidR="00B06FCF" w:rsidRDefault="006D5AC7" w:rsidP="00B06FCF">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Staff</w:t>
      </w:r>
      <w:r w:rsidR="004C2E3D" w:rsidRPr="00B06FCF">
        <w:rPr>
          <w:rFonts w:ascii="Palatino Linotype" w:eastAsia="Palatino Linotype" w:hAnsi="Palatino Linotype" w:cs="Palatino Linotype"/>
          <w:sz w:val="24"/>
          <w:szCs w:val="24"/>
        </w:rPr>
        <w:t xml:space="preserve"> calculates that</w:t>
      </w:r>
      <w:r w:rsidRPr="00B06FCF">
        <w:rPr>
          <w:rFonts w:ascii="Palatino Linotype" w:eastAsia="Palatino Linotype" w:hAnsi="Palatino Linotype" w:cs="Palatino Linotype"/>
          <w:sz w:val="24"/>
          <w:szCs w:val="24"/>
        </w:rPr>
        <w:t xml:space="preserve">, </w:t>
      </w:r>
      <w:r w:rsidR="00A05DEE" w:rsidRPr="00B06FCF">
        <w:rPr>
          <w:rFonts w:ascii="Palatino Linotype" w:eastAsia="Palatino Linotype" w:hAnsi="Palatino Linotype" w:cs="Palatino Linotype"/>
          <w:sz w:val="24"/>
          <w:szCs w:val="24"/>
        </w:rPr>
        <w:t>Sierra’s</w:t>
      </w:r>
      <w:r w:rsidRPr="00B06FCF">
        <w:rPr>
          <w:rFonts w:ascii="Palatino Linotype" w:eastAsia="Palatino Linotype" w:hAnsi="Palatino Linotype" w:cs="Palatino Linotype"/>
          <w:sz w:val="24"/>
          <w:szCs w:val="24"/>
        </w:rPr>
        <w:t xml:space="preserve"> revised revenue requirement for TY 2018 </w:t>
      </w:r>
      <w:r w:rsidR="00520CE9" w:rsidRPr="00B06FCF">
        <w:rPr>
          <w:rFonts w:ascii="Palatino Linotype" w:eastAsia="Palatino Linotype" w:hAnsi="Palatino Linotype" w:cs="Palatino Linotype"/>
          <w:sz w:val="24"/>
          <w:szCs w:val="24"/>
        </w:rPr>
        <w:t xml:space="preserve">should be </w:t>
      </w:r>
      <w:r w:rsidRPr="00B06FCF">
        <w:rPr>
          <w:rFonts w:ascii="Palatino Linotype" w:eastAsia="Palatino Linotype" w:hAnsi="Palatino Linotype" w:cs="Palatino Linotype"/>
          <w:sz w:val="24"/>
          <w:szCs w:val="24"/>
        </w:rPr>
        <w:t>$</w:t>
      </w:r>
      <w:r w:rsidR="00A05DEE" w:rsidRPr="00B06FCF">
        <w:rPr>
          <w:rFonts w:ascii="Palatino Linotype" w:eastAsia="Palatino Linotype" w:hAnsi="Palatino Linotype" w:cs="Palatino Linotype"/>
          <w:sz w:val="24"/>
          <w:szCs w:val="24"/>
        </w:rPr>
        <w:t>2</w:t>
      </w:r>
      <w:r w:rsidR="00870750" w:rsidRPr="00B06FCF">
        <w:rPr>
          <w:rFonts w:ascii="Palatino Linotype" w:eastAsia="Palatino Linotype" w:hAnsi="Palatino Linotype" w:cs="Palatino Linotype"/>
          <w:sz w:val="24"/>
          <w:szCs w:val="24"/>
        </w:rPr>
        <w:t>2,822,565</w:t>
      </w:r>
      <w:r w:rsidR="00BA5881">
        <w:rPr>
          <w:rFonts w:ascii="Palatino Linotype" w:eastAsia="Palatino Linotype" w:hAnsi="Palatino Linotype" w:cs="Palatino Linotype"/>
          <w:sz w:val="24"/>
          <w:szCs w:val="24"/>
        </w:rPr>
        <w:t>, which is $752,854 less than the previously authorized $23,575,419 in D.17-11-016</w:t>
      </w:r>
      <w:r w:rsidRPr="00B06FCF">
        <w:rPr>
          <w:rFonts w:ascii="Palatino Linotype" w:eastAsia="Palatino Linotype" w:hAnsi="Palatino Linotype" w:cs="Palatino Linotype"/>
          <w:sz w:val="24"/>
          <w:szCs w:val="24"/>
        </w:rPr>
        <w:t>.</w:t>
      </w:r>
    </w:p>
    <w:p w:rsidR="00B06FCF" w:rsidRPr="00B06FCF" w:rsidRDefault="000A459C" w:rsidP="00B06FCF">
      <w:pPr>
        <w:pStyle w:val="ListParagraph"/>
        <w:numPr>
          <w:ilvl w:val="0"/>
          <w:numId w:val="5"/>
        </w:numPr>
        <w:spacing w:after="240" w:line="300" w:lineRule="exact"/>
        <w:ind w:left="360"/>
        <w:contextualSpacing w:val="0"/>
        <w:rPr>
          <w:rFonts w:ascii="Palatino Linotype" w:eastAsia="Palatino Linotype" w:hAnsi="Palatino Linotype" w:cs="Palatino Linotype"/>
          <w:b/>
          <w:sz w:val="24"/>
          <w:szCs w:val="24"/>
        </w:rPr>
      </w:pPr>
      <w:r w:rsidRPr="00B06FCF">
        <w:rPr>
          <w:rFonts w:ascii="Palatino Linotype" w:eastAsia="Palatino Linotype" w:hAnsi="Palatino Linotype" w:cs="Palatino Linotype"/>
          <w:sz w:val="24"/>
          <w:szCs w:val="24"/>
        </w:rPr>
        <w:t xml:space="preserve">Staff </w:t>
      </w:r>
      <w:r w:rsidR="00520CE9" w:rsidRPr="00B06FCF">
        <w:rPr>
          <w:rFonts w:ascii="Palatino Linotype" w:eastAsia="Palatino Linotype" w:hAnsi="Palatino Linotype" w:cs="Palatino Linotype"/>
          <w:sz w:val="24"/>
          <w:szCs w:val="24"/>
        </w:rPr>
        <w:t>calculates that</w:t>
      </w:r>
      <w:r w:rsidRPr="00B06FCF">
        <w:rPr>
          <w:rFonts w:ascii="Palatino Linotype" w:eastAsia="Palatino Linotype" w:hAnsi="Palatino Linotype" w:cs="Palatino Linotype"/>
          <w:sz w:val="24"/>
          <w:szCs w:val="24"/>
        </w:rPr>
        <w:t xml:space="preserve"> </w:t>
      </w:r>
      <w:r w:rsidR="00A05DEE" w:rsidRPr="00B06FCF">
        <w:rPr>
          <w:rFonts w:ascii="Palatino Linotype" w:eastAsia="Palatino Linotype" w:hAnsi="Palatino Linotype" w:cs="Palatino Linotype"/>
          <w:sz w:val="24"/>
          <w:szCs w:val="24"/>
        </w:rPr>
        <w:t>Sierra’s</w:t>
      </w:r>
      <w:r w:rsidRPr="00B06FCF">
        <w:rPr>
          <w:rFonts w:ascii="Palatino Linotype" w:eastAsia="Palatino Linotype" w:hAnsi="Palatino Linotype" w:cs="Palatino Linotype"/>
          <w:sz w:val="24"/>
          <w:szCs w:val="24"/>
        </w:rPr>
        <w:t xml:space="preserve"> CHCF-A </w:t>
      </w:r>
      <w:r w:rsidR="00B9491C" w:rsidRPr="00B06FCF">
        <w:rPr>
          <w:rFonts w:ascii="Palatino Linotype" w:eastAsia="Palatino Linotype" w:hAnsi="Palatino Linotype" w:cs="Palatino Linotype"/>
          <w:sz w:val="24"/>
          <w:szCs w:val="24"/>
        </w:rPr>
        <w:t xml:space="preserve">support </w:t>
      </w:r>
      <w:r w:rsidRPr="00B06FCF">
        <w:rPr>
          <w:rFonts w:ascii="Palatino Linotype" w:eastAsia="Palatino Linotype" w:hAnsi="Palatino Linotype" w:cs="Palatino Linotype"/>
          <w:sz w:val="24"/>
          <w:szCs w:val="24"/>
        </w:rPr>
        <w:t xml:space="preserve">for </w:t>
      </w:r>
      <w:r w:rsidR="00E053AB">
        <w:rPr>
          <w:rFonts w:ascii="Palatino Linotype" w:eastAsia="Palatino Linotype" w:hAnsi="Palatino Linotype" w:cs="Palatino Linotype"/>
          <w:sz w:val="24"/>
          <w:szCs w:val="24"/>
        </w:rPr>
        <w:t xml:space="preserve">TY </w:t>
      </w:r>
      <w:r w:rsidRPr="00B06FCF">
        <w:rPr>
          <w:rFonts w:ascii="Palatino Linotype" w:eastAsia="Palatino Linotype" w:hAnsi="Palatino Linotype" w:cs="Palatino Linotype"/>
          <w:sz w:val="24"/>
          <w:szCs w:val="24"/>
        </w:rPr>
        <w:t xml:space="preserve">2018 </w:t>
      </w:r>
      <w:r w:rsidR="00520CE9" w:rsidRPr="00B06FCF">
        <w:rPr>
          <w:rFonts w:ascii="Palatino Linotype" w:eastAsia="Palatino Linotype" w:hAnsi="Palatino Linotype" w:cs="Palatino Linotype"/>
          <w:sz w:val="24"/>
          <w:szCs w:val="24"/>
        </w:rPr>
        <w:t xml:space="preserve">should be </w:t>
      </w:r>
      <w:r w:rsidR="00F37B21" w:rsidRPr="00B06FCF">
        <w:rPr>
          <w:rFonts w:ascii="Palatino Linotype" w:eastAsia="Palatino Linotype" w:hAnsi="Palatino Linotype" w:cs="Palatino Linotype"/>
          <w:sz w:val="24"/>
          <w:szCs w:val="24"/>
        </w:rPr>
        <w:t>$</w:t>
      </w:r>
      <w:r w:rsidR="00A05DEE" w:rsidRPr="00B06FCF">
        <w:rPr>
          <w:rFonts w:ascii="Palatino Linotype" w:eastAsia="Palatino Linotype" w:hAnsi="Palatino Linotype" w:cs="Palatino Linotype"/>
          <w:sz w:val="24"/>
          <w:szCs w:val="24"/>
        </w:rPr>
        <w:t>12,</w:t>
      </w:r>
      <w:r w:rsidR="00870750" w:rsidRPr="00B06FCF">
        <w:rPr>
          <w:rFonts w:ascii="Palatino Linotype" w:eastAsia="Palatino Linotype" w:hAnsi="Palatino Linotype" w:cs="Palatino Linotype"/>
          <w:sz w:val="24"/>
          <w:szCs w:val="24"/>
        </w:rPr>
        <w:t>221,244</w:t>
      </w:r>
      <w:r w:rsidR="00297992">
        <w:rPr>
          <w:rFonts w:ascii="Palatino Linotype" w:eastAsia="Palatino Linotype" w:hAnsi="Palatino Linotype" w:cs="Palatino Linotype"/>
          <w:sz w:val="24"/>
          <w:szCs w:val="24"/>
        </w:rPr>
        <w:t>, which is $752,854</w:t>
      </w:r>
      <w:r w:rsidR="00297992" w:rsidRPr="00CE11E5">
        <w:rPr>
          <w:rFonts w:ascii="Palatino Linotype" w:eastAsia="Palatino Linotype" w:hAnsi="Palatino Linotype" w:cs="Palatino Linotype"/>
          <w:sz w:val="24"/>
          <w:szCs w:val="24"/>
        </w:rPr>
        <w:t xml:space="preserve"> less than previously authorized</w:t>
      </w:r>
      <w:r w:rsidR="00951D8F">
        <w:rPr>
          <w:rFonts w:ascii="Palatino Linotype" w:eastAsia="Palatino Linotype" w:hAnsi="Palatino Linotype" w:cs="Palatino Linotype"/>
          <w:sz w:val="24"/>
          <w:szCs w:val="24"/>
        </w:rPr>
        <w:t xml:space="preserve"> $12,974,098 in D.17-11-016</w:t>
      </w:r>
      <w:r w:rsidR="00F37B21" w:rsidRPr="00B06FCF">
        <w:rPr>
          <w:rFonts w:ascii="Palatino Linotype" w:eastAsia="Palatino Linotype" w:hAnsi="Palatino Linotype" w:cs="Palatino Linotype"/>
          <w:sz w:val="24"/>
          <w:szCs w:val="24"/>
        </w:rPr>
        <w:t>.</w:t>
      </w:r>
    </w:p>
    <w:p w:rsidR="002877B3" w:rsidRPr="00B06FCF" w:rsidRDefault="00520CE9" w:rsidP="00B06FCF">
      <w:pPr>
        <w:pStyle w:val="ListParagraph"/>
        <w:numPr>
          <w:ilvl w:val="0"/>
          <w:numId w:val="5"/>
        </w:numPr>
        <w:spacing w:after="240" w:line="300" w:lineRule="exact"/>
        <w:ind w:left="360"/>
        <w:contextualSpacing w:val="0"/>
        <w:rPr>
          <w:rFonts w:ascii="Palatino Linotype" w:eastAsia="Palatino Linotype" w:hAnsi="Palatino Linotype" w:cs="Palatino Linotype"/>
          <w:b/>
          <w:sz w:val="24"/>
          <w:szCs w:val="24"/>
        </w:rPr>
      </w:pPr>
      <w:r w:rsidRPr="00B06FCF">
        <w:rPr>
          <w:rFonts w:ascii="Palatino Linotype" w:eastAsia="Palatino Linotype" w:hAnsi="Palatino Linotype" w:cs="Palatino Linotype"/>
          <w:sz w:val="24"/>
          <w:szCs w:val="24"/>
        </w:rPr>
        <w:t xml:space="preserve">Sierra’s </w:t>
      </w:r>
      <w:r w:rsidR="00F37B21" w:rsidRPr="00B06FCF">
        <w:rPr>
          <w:rFonts w:ascii="Palatino Linotype" w:eastAsia="Palatino Linotype" w:hAnsi="Palatino Linotype" w:cs="Palatino Linotype"/>
          <w:sz w:val="24"/>
          <w:szCs w:val="24"/>
        </w:rPr>
        <w:t xml:space="preserve">revised revenue requirement </w:t>
      </w:r>
      <w:r w:rsidRPr="00B06FCF">
        <w:rPr>
          <w:rFonts w:ascii="Palatino Linotype" w:eastAsia="Palatino Linotype" w:hAnsi="Palatino Linotype" w:cs="Palatino Linotype"/>
          <w:sz w:val="24"/>
          <w:szCs w:val="24"/>
        </w:rPr>
        <w:t>and its</w:t>
      </w:r>
      <w:r w:rsidR="00F37B21" w:rsidRPr="00B06FCF">
        <w:rPr>
          <w:rFonts w:ascii="Palatino Linotype" w:eastAsia="Palatino Linotype" w:hAnsi="Palatino Linotype" w:cs="Palatino Linotype"/>
          <w:sz w:val="24"/>
          <w:szCs w:val="24"/>
        </w:rPr>
        <w:t xml:space="preserve"> revised CHCF-A support and other revenue components as shown in </w:t>
      </w:r>
      <w:r w:rsidR="00870750" w:rsidRPr="00B06FCF">
        <w:rPr>
          <w:rFonts w:ascii="Palatino Linotype" w:eastAsia="Palatino Linotype" w:hAnsi="Palatino Linotype" w:cs="Palatino Linotype"/>
          <w:sz w:val="24"/>
          <w:szCs w:val="24"/>
        </w:rPr>
        <w:t xml:space="preserve">Column C of </w:t>
      </w:r>
      <w:r w:rsidR="00F37B21" w:rsidRPr="00B06FCF">
        <w:rPr>
          <w:rFonts w:ascii="Palatino Linotype" w:eastAsia="Palatino Linotype" w:hAnsi="Palatino Linotype" w:cs="Palatino Linotype"/>
          <w:sz w:val="24"/>
          <w:szCs w:val="24"/>
        </w:rPr>
        <w:t xml:space="preserve">Appendix A of this Resolution </w:t>
      </w:r>
      <w:r w:rsidR="006D5AC7" w:rsidRPr="00B06FCF">
        <w:rPr>
          <w:rFonts w:ascii="Palatino Linotype" w:eastAsia="Palatino Linotype" w:hAnsi="Palatino Linotype" w:cs="Palatino Linotype"/>
          <w:sz w:val="24"/>
          <w:szCs w:val="24"/>
        </w:rPr>
        <w:t xml:space="preserve">are reasonable and </w:t>
      </w:r>
      <w:r w:rsidR="00F37B21" w:rsidRPr="00B06FCF">
        <w:rPr>
          <w:rFonts w:ascii="Palatino Linotype" w:eastAsia="Palatino Linotype" w:hAnsi="Palatino Linotype" w:cs="Palatino Linotype"/>
          <w:sz w:val="24"/>
          <w:szCs w:val="24"/>
        </w:rPr>
        <w:t>should be adopted for T</w:t>
      </w:r>
      <w:r w:rsidR="00E053AB">
        <w:rPr>
          <w:rFonts w:ascii="Palatino Linotype" w:eastAsia="Palatino Linotype" w:hAnsi="Palatino Linotype" w:cs="Palatino Linotype"/>
          <w:sz w:val="24"/>
          <w:szCs w:val="24"/>
        </w:rPr>
        <w:t>Y</w:t>
      </w:r>
      <w:r w:rsidR="00F37B21" w:rsidRPr="00B06FCF">
        <w:rPr>
          <w:rFonts w:ascii="Palatino Linotype" w:eastAsia="Palatino Linotype" w:hAnsi="Palatino Linotype" w:cs="Palatino Linotype"/>
          <w:sz w:val="24"/>
          <w:szCs w:val="24"/>
        </w:rPr>
        <w:t xml:space="preserve"> 2018.</w:t>
      </w:r>
    </w:p>
    <w:p w:rsidR="002877B3" w:rsidRDefault="002877B3" w:rsidP="00D24B44">
      <w:pPr>
        <w:rPr>
          <w:rFonts w:ascii="Palatino Linotype" w:eastAsia="Palatino Linotype" w:hAnsi="Palatino Linotype" w:cs="Palatino Linotype"/>
          <w:b/>
          <w:sz w:val="24"/>
          <w:szCs w:val="24"/>
        </w:rPr>
      </w:pPr>
    </w:p>
    <w:p w:rsidR="00D6611F" w:rsidRDefault="00490173">
      <w:pPr>
        <w:ind w:left="10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T</w:t>
      </w:r>
      <w:r>
        <w:rPr>
          <w:rFonts w:ascii="Palatino Linotype" w:eastAsia="Palatino Linotype" w:hAnsi="Palatino Linotype" w:cs="Palatino Linotype"/>
          <w:b/>
          <w:spacing w:val="-1"/>
          <w:sz w:val="24"/>
          <w:szCs w:val="24"/>
        </w:rPr>
        <w:t>H</w:t>
      </w:r>
      <w:r>
        <w:rPr>
          <w:rFonts w:ascii="Palatino Linotype" w:eastAsia="Palatino Linotype" w:hAnsi="Palatino Linotype" w:cs="Palatino Linotype"/>
          <w:b/>
          <w:spacing w:val="1"/>
          <w:sz w:val="24"/>
          <w:szCs w:val="24"/>
        </w:rPr>
        <w:t>E</w:t>
      </w:r>
      <w:r>
        <w:rPr>
          <w:rFonts w:ascii="Palatino Linotype" w:eastAsia="Palatino Linotype" w:hAnsi="Palatino Linotype" w:cs="Palatino Linotype"/>
          <w:b/>
          <w:spacing w:val="-1"/>
          <w:sz w:val="24"/>
          <w:szCs w:val="24"/>
        </w:rPr>
        <w:t>R</w:t>
      </w:r>
      <w:r>
        <w:rPr>
          <w:rFonts w:ascii="Palatino Linotype" w:eastAsia="Palatino Linotype" w:hAnsi="Palatino Linotype" w:cs="Palatino Linotype"/>
          <w:b/>
          <w:sz w:val="24"/>
          <w:szCs w:val="24"/>
        </w:rPr>
        <w:t>FO</w:t>
      </w:r>
      <w:r>
        <w:rPr>
          <w:rFonts w:ascii="Palatino Linotype" w:eastAsia="Palatino Linotype" w:hAnsi="Palatino Linotype" w:cs="Palatino Linotype"/>
          <w:b/>
          <w:spacing w:val="-1"/>
          <w:sz w:val="24"/>
          <w:szCs w:val="24"/>
        </w:rPr>
        <w:t>R</w:t>
      </w:r>
      <w:r>
        <w:rPr>
          <w:rFonts w:ascii="Palatino Linotype" w:eastAsia="Palatino Linotype" w:hAnsi="Palatino Linotype" w:cs="Palatino Linotype"/>
          <w:b/>
          <w:spacing w:val="1"/>
          <w:sz w:val="24"/>
          <w:szCs w:val="24"/>
        </w:rPr>
        <w:t>E</w:t>
      </w:r>
      <w:r>
        <w:rPr>
          <w:rFonts w:ascii="Palatino Linotype" w:eastAsia="Palatino Linotype" w:hAnsi="Palatino Linotype" w:cs="Palatino Linotype"/>
          <w:b/>
          <w:sz w:val="24"/>
          <w:szCs w:val="24"/>
        </w:rPr>
        <w:t>, IT</w:t>
      </w:r>
      <w:r>
        <w:rPr>
          <w:rFonts w:ascii="Palatino Linotype" w:eastAsia="Palatino Linotype" w:hAnsi="Palatino Linotype" w:cs="Palatino Linotype"/>
          <w:b/>
          <w:spacing w:val="1"/>
          <w:sz w:val="24"/>
          <w:szCs w:val="24"/>
        </w:rPr>
        <w:t xml:space="preserve"> </w:t>
      </w:r>
      <w:r>
        <w:rPr>
          <w:rFonts w:ascii="Palatino Linotype" w:eastAsia="Palatino Linotype" w:hAnsi="Palatino Linotype" w:cs="Palatino Linotype"/>
          <w:b/>
          <w:sz w:val="24"/>
          <w:szCs w:val="24"/>
        </w:rPr>
        <w:t xml:space="preserve">IS </w:t>
      </w:r>
      <w:r>
        <w:rPr>
          <w:rFonts w:ascii="Palatino Linotype" w:eastAsia="Palatino Linotype" w:hAnsi="Palatino Linotype" w:cs="Palatino Linotype"/>
          <w:b/>
          <w:spacing w:val="-1"/>
          <w:sz w:val="24"/>
          <w:szCs w:val="24"/>
        </w:rPr>
        <w:t>OR</w:t>
      </w:r>
      <w:r>
        <w:rPr>
          <w:rFonts w:ascii="Palatino Linotype" w:eastAsia="Palatino Linotype" w:hAnsi="Palatino Linotype" w:cs="Palatino Linotype"/>
          <w:b/>
          <w:sz w:val="24"/>
          <w:szCs w:val="24"/>
        </w:rPr>
        <w:t>DE</w:t>
      </w:r>
      <w:r>
        <w:rPr>
          <w:rFonts w:ascii="Palatino Linotype" w:eastAsia="Palatino Linotype" w:hAnsi="Palatino Linotype" w:cs="Palatino Linotype"/>
          <w:b/>
          <w:spacing w:val="-1"/>
          <w:sz w:val="24"/>
          <w:szCs w:val="24"/>
        </w:rPr>
        <w:t>R</w:t>
      </w:r>
      <w:r>
        <w:rPr>
          <w:rFonts w:ascii="Palatino Linotype" w:eastAsia="Palatino Linotype" w:hAnsi="Palatino Linotype" w:cs="Palatino Linotype"/>
          <w:b/>
          <w:spacing w:val="1"/>
          <w:sz w:val="24"/>
          <w:szCs w:val="24"/>
        </w:rPr>
        <w:t>E</w:t>
      </w:r>
      <w:r>
        <w:rPr>
          <w:rFonts w:ascii="Palatino Linotype" w:eastAsia="Palatino Linotype" w:hAnsi="Palatino Linotype" w:cs="Palatino Linotype"/>
          <w:b/>
          <w:sz w:val="24"/>
          <w:szCs w:val="24"/>
        </w:rPr>
        <w:t xml:space="preserve">D </w:t>
      </w:r>
      <w:r>
        <w:rPr>
          <w:rFonts w:ascii="Palatino Linotype" w:eastAsia="Palatino Linotype" w:hAnsi="Palatino Linotype" w:cs="Palatino Linotype"/>
          <w:b/>
          <w:spacing w:val="-1"/>
          <w:sz w:val="24"/>
          <w:szCs w:val="24"/>
        </w:rPr>
        <w:t>t</w:t>
      </w:r>
      <w:r>
        <w:rPr>
          <w:rFonts w:ascii="Palatino Linotype" w:eastAsia="Palatino Linotype" w:hAnsi="Palatino Linotype" w:cs="Palatino Linotype"/>
          <w:b/>
          <w:sz w:val="24"/>
          <w:szCs w:val="24"/>
        </w:rPr>
        <w:t>ha</w:t>
      </w:r>
      <w:r>
        <w:rPr>
          <w:rFonts w:ascii="Palatino Linotype" w:eastAsia="Palatino Linotype" w:hAnsi="Palatino Linotype" w:cs="Palatino Linotype"/>
          <w:b/>
          <w:spacing w:val="-1"/>
          <w:sz w:val="24"/>
          <w:szCs w:val="24"/>
        </w:rPr>
        <w:t>t</w:t>
      </w:r>
      <w:r>
        <w:rPr>
          <w:rFonts w:ascii="Palatino Linotype" w:eastAsia="Palatino Linotype" w:hAnsi="Palatino Linotype" w:cs="Palatino Linotype"/>
          <w:b/>
          <w:sz w:val="24"/>
          <w:szCs w:val="24"/>
        </w:rPr>
        <w:t>:</w:t>
      </w:r>
    </w:p>
    <w:p w:rsidR="00D6611F" w:rsidRDefault="00D6611F">
      <w:pPr>
        <w:spacing w:before="4" w:line="120" w:lineRule="exact"/>
        <w:rPr>
          <w:sz w:val="12"/>
          <w:szCs w:val="12"/>
        </w:rPr>
      </w:pPr>
    </w:p>
    <w:p w:rsidR="00D6611F" w:rsidRDefault="00D6611F">
      <w:pPr>
        <w:spacing w:line="200" w:lineRule="exact"/>
      </w:pPr>
    </w:p>
    <w:p w:rsidR="00B06FCF" w:rsidRDefault="00A05DEE" w:rsidP="00B06FCF">
      <w:pPr>
        <w:pStyle w:val="ListParagraph"/>
        <w:numPr>
          <w:ilvl w:val="0"/>
          <w:numId w:val="6"/>
        </w:numPr>
        <w:spacing w:after="240"/>
        <w:ind w:left="450" w:right="216"/>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Sierra</w:t>
      </w:r>
      <w:r w:rsidR="00243F84" w:rsidRPr="00B06FCF">
        <w:rPr>
          <w:rFonts w:ascii="Palatino Linotype" w:eastAsia="Palatino Linotype" w:hAnsi="Palatino Linotype" w:cs="Palatino Linotype"/>
          <w:sz w:val="24"/>
          <w:szCs w:val="24"/>
        </w:rPr>
        <w:t xml:space="preserve"> Telephone Company’s revised adopted revenue requirement for Test Year 2018 shall be </w:t>
      </w:r>
      <w:r w:rsidR="006D5AC7" w:rsidRPr="00B06FCF">
        <w:rPr>
          <w:rFonts w:ascii="Palatino Linotype" w:eastAsia="Palatino Linotype" w:hAnsi="Palatino Linotype" w:cs="Palatino Linotype"/>
          <w:sz w:val="24"/>
          <w:szCs w:val="24"/>
        </w:rPr>
        <w:t>$</w:t>
      </w:r>
      <w:r w:rsidRPr="00B06FCF">
        <w:rPr>
          <w:rFonts w:ascii="Palatino Linotype" w:eastAsia="Palatino Linotype" w:hAnsi="Palatino Linotype" w:cs="Palatino Linotype"/>
          <w:sz w:val="24"/>
          <w:szCs w:val="24"/>
        </w:rPr>
        <w:t>2</w:t>
      </w:r>
      <w:r w:rsidR="00870750" w:rsidRPr="00B06FCF">
        <w:rPr>
          <w:rFonts w:ascii="Palatino Linotype" w:eastAsia="Palatino Linotype" w:hAnsi="Palatino Linotype" w:cs="Palatino Linotype"/>
          <w:sz w:val="24"/>
          <w:szCs w:val="24"/>
        </w:rPr>
        <w:t>2,822,565</w:t>
      </w:r>
      <w:r w:rsidR="00951D8F">
        <w:rPr>
          <w:rFonts w:ascii="Palatino Linotype" w:eastAsia="Palatino Linotype" w:hAnsi="Palatino Linotype" w:cs="Palatino Linotype"/>
          <w:sz w:val="24"/>
          <w:szCs w:val="24"/>
        </w:rPr>
        <w:t>, which is $752,854 less than the previously authorized $23,575,419,</w:t>
      </w:r>
      <w:r w:rsidR="006D5AC7" w:rsidRPr="00B06FCF">
        <w:rPr>
          <w:rFonts w:ascii="Palatino Linotype" w:eastAsia="Palatino Linotype" w:hAnsi="Palatino Linotype" w:cs="Palatino Linotype"/>
          <w:sz w:val="24"/>
          <w:szCs w:val="24"/>
        </w:rPr>
        <w:t xml:space="preserve"> </w:t>
      </w:r>
      <w:r w:rsidR="00243F84" w:rsidRPr="00B06FCF">
        <w:rPr>
          <w:rFonts w:ascii="Palatino Linotype" w:eastAsia="Palatino Linotype" w:hAnsi="Palatino Linotype" w:cs="Palatino Linotype"/>
          <w:sz w:val="24"/>
          <w:szCs w:val="24"/>
        </w:rPr>
        <w:t xml:space="preserve">as shown in Appendix A </w:t>
      </w:r>
      <w:r w:rsidR="006D5AC7" w:rsidRPr="00B06FCF">
        <w:rPr>
          <w:rFonts w:ascii="Palatino Linotype" w:eastAsia="Palatino Linotype" w:hAnsi="Palatino Linotype" w:cs="Palatino Linotype"/>
          <w:sz w:val="24"/>
          <w:szCs w:val="24"/>
        </w:rPr>
        <w:t xml:space="preserve">of </w:t>
      </w:r>
      <w:r w:rsidR="00243F84" w:rsidRPr="00B06FCF">
        <w:rPr>
          <w:rFonts w:ascii="Palatino Linotype" w:eastAsia="Palatino Linotype" w:hAnsi="Palatino Linotype" w:cs="Palatino Linotype"/>
          <w:sz w:val="24"/>
          <w:szCs w:val="24"/>
        </w:rPr>
        <w:t>this Resolution.</w:t>
      </w:r>
    </w:p>
    <w:p w:rsidR="00B06FCF" w:rsidRDefault="00A05DEE" w:rsidP="00B06FCF">
      <w:pPr>
        <w:pStyle w:val="ListParagraph"/>
        <w:numPr>
          <w:ilvl w:val="0"/>
          <w:numId w:val="6"/>
        </w:numPr>
        <w:spacing w:after="240"/>
        <w:ind w:left="450" w:right="216"/>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 xml:space="preserve">Sierra </w:t>
      </w:r>
      <w:r w:rsidR="00243F84" w:rsidRPr="00B06FCF">
        <w:rPr>
          <w:rFonts w:ascii="Palatino Linotype" w:eastAsia="Palatino Linotype" w:hAnsi="Palatino Linotype" w:cs="Palatino Linotype"/>
          <w:sz w:val="24"/>
          <w:szCs w:val="24"/>
        </w:rPr>
        <w:t>Telephone Company’s California high Cost -A support for Test Year 2018</w:t>
      </w:r>
      <w:r w:rsidR="009B23C4" w:rsidRPr="00B06FCF">
        <w:rPr>
          <w:rFonts w:ascii="Palatino Linotype" w:eastAsia="Palatino Linotype" w:hAnsi="Palatino Linotype" w:cs="Palatino Linotype"/>
          <w:sz w:val="24"/>
          <w:szCs w:val="24"/>
        </w:rPr>
        <w:t xml:space="preserve"> </w:t>
      </w:r>
      <w:r w:rsidR="00520CE9" w:rsidRPr="00B06FCF">
        <w:rPr>
          <w:rFonts w:ascii="Palatino Linotype" w:eastAsia="Palatino Linotype" w:hAnsi="Palatino Linotype" w:cs="Palatino Linotype"/>
          <w:sz w:val="24"/>
          <w:szCs w:val="24"/>
        </w:rPr>
        <w:t xml:space="preserve">shall be </w:t>
      </w:r>
      <w:r w:rsidR="00243F84" w:rsidRPr="00B06FCF">
        <w:rPr>
          <w:rFonts w:ascii="Palatino Linotype" w:eastAsia="Palatino Linotype" w:hAnsi="Palatino Linotype" w:cs="Palatino Linotype"/>
          <w:sz w:val="24"/>
          <w:szCs w:val="24"/>
        </w:rPr>
        <w:t>$</w:t>
      </w:r>
      <w:r w:rsidRPr="00B06FCF">
        <w:rPr>
          <w:rFonts w:ascii="Palatino Linotype" w:eastAsia="Palatino Linotype" w:hAnsi="Palatino Linotype" w:cs="Palatino Linotype"/>
          <w:sz w:val="24"/>
          <w:szCs w:val="24"/>
        </w:rPr>
        <w:t>12,</w:t>
      </w:r>
      <w:r w:rsidR="00870750" w:rsidRPr="00B06FCF">
        <w:rPr>
          <w:rFonts w:ascii="Palatino Linotype" w:eastAsia="Palatino Linotype" w:hAnsi="Palatino Linotype" w:cs="Palatino Linotype"/>
          <w:sz w:val="24"/>
          <w:szCs w:val="24"/>
        </w:rPr>
        <w:t>221,244</w:t>
      </w:r>
      <w:r w:rsidR="00745979" w:rsidRPr="00B06FCF">
        <w:rPr>
          <w:rFonts w:ascii="Palatino Linotype" w:eastAsia="Palatino Linotype" w:hAnsi="Palatino Linotype" w:cs="Palatino Linotype"/>
          <w:sz w:val="24"/>
          <w:szCs w:val="24"/>
        </w:rPr>
        <w:t xml:space="preserve">, </w:t>
      </w:r>
      <w:r w:rsidR="00951D8F">
        <w:rPr>
          <w:rFonts w:ascii="Palatino Linotype" w:eastAsia="Palatino Linotype" w:hAnsi="Palatino Linotype" w:cs="Palatino Linotype"/>
          <w:sz w:val="24"/>
          <w:szCs w:val="24"/>
        </w:rPr>
        <w:t xml:space="preserve">which is $752,854 less than the previously authorized $12,974,098, </w:t>
      </w:r>
      <w:r w:rsidR="00745979" w:rsidRPr="00B06FCF">
        <w:rPr>
          <w:rFonts w:ascii="Palatino Linotype" w:eastAsia="Palatino Linotype" w:hAnsi="Palatino Linotype" w:cs="Palatino Linotype"/>
          <w:sz w:val="24"/>
          <w:szCs w:val="24"/>
        </w:rPr>
        <w:t>as shown in Appendix A of this resolution.</w:t>
      </w:r>
    </w:p>
    <w:p w:rsidR="00B06FCF" w:rsidRDefault="00EF2835" w:rsidP="00B06FCF">
      <w:pPr>
        <w:pStyle w:val="ListParagraph"/>
        <w:numPr>
          <w:ilvl w:val="0"/>
          <w:numId w:val="6"/>
        </w:numPr>
        <w:spacing w:after="240"/>
        <w:ind w:left="450" w:right="216"/>
        <w:contextualSpacing w:val="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Staff shall revise </w:t>
      </w:r>
      <w:r w:rsidR="00A05DEE" w:rsidRPr="00B06FCF">
        <w:rPr>
          <w:rFonts w:ascii="Palatino Linotype" w:eastAsia="Palatino Linotype" w:hAnsi="Palatino Linotype" w:cs="Palatino Linotype"/>
          <w:sz w:val="24"/>
          <w:szCs w:val="24"/>
        </w:rPr>
        <w:t>Sierra</w:t>
      </w:r>
      <w:r w:rsidR="00243F84" w:rsidRPr="00B06FCF">
        <w:rPr>
          <w:rFonts w:ascii="Palatino Linotype" w:eastAsia="Palatino Linotype" w:hAnsi="Palatino Linotype" w:cs="Palatino Linotype"/>
          <w:sz w:val="24"/>
          <w:szCs w:val="24"/>
        </w:rPr>
        <w:t xml:space="preserve"> Telephone Company’s </w:t>
      </w:r>
      <w:r>
        <w:rPr>
          <w:rFonts w:ascii="Palatino Linotype" w:eastAsia="Palatino Linotype" w:hAnsi="Palatino Linotype" w:cs="Palatino Linotype"/>
          <w:sz w:val="24"/>
          <w:szCs w:val="24"/>
        </w:rPr>
        <w:t xml:space="preserve">remaining </w:t>
      </w:r>
      <w:r w:rsidR="00162740" w:rsidRPr="00B06FCF">
        <w:rPr>
          <w:rFonts w:ascii="Palatino Linotype" w:eastAsia="Palatino Linotype" w:hAnsi="Palatino Linotype" w:cs="Palatino Linotype"/>
          <w:sz w:val="24"/>
          <w:szCs w:val="24"/>
        </w:rPr>
        <w:t xml:space="preserve">monthly </w:t>
      </w:r>
      <w:r w:rsidR="004C43AB" w:rsidRPr="00B06FCF">
        <w:rPr>
          <w:rFonts w:ascii="Palatino Linotype" w:eastAsia="Palatino Linotype" w:hAnsi="Palatino Linotype" w:cs="Palatino Linotype"/>
          <w:sz w:val="24"/>
          <w:szCs w:val="24"/>
        </w:rPr>
        <w:t>disbursement</w:t>
      </w:r>
      <w:r>
        <w:rPr>
          <w:rFonts w:ascii="Palatino Linotype" w:eastAsia="Palatino Linotype" w:hAnsi="Palatino Linotype" w:cs="Palatino Linotype"/>
          <w:sz w:val="24"/>
          <w:szCs w:val="24"/>
        </w:rPr>
        <w:t>s</w:t>
      </w:r>
      <w:r w:rsidR="004C43AB" w:rsidRPr="00B06FCF">
        <w:rPr>
          <w:rFonts w:ascii="Palatino Linotype" w:eastAsia="Palatino Linotype" w:hAnsi="Palatino Linotype" w:cs="Palatino Linotype"/>
          <w:sz w:val="24"/>
          <w:szCs w:val="24"/>
        </w:rPr>
        <w:t xml:space="preserve"> </w:t>
      </w:r>
      <w:r w:rsidR="00162740" w:rsidRPr="00B06FCF">
        <w:rPr>
          <w:rFonts w:ascii="Palatino Linotype" w:eastAsia="Palatino Linotype" w:hAnsi="Palatino Linotype" w:cs="Palatino Linotype"/>
          <w:sz w:val="24"/>
          <w:szCs w:val="24"/>
        </w:rPr>
        <w:t>of C</w:t>
      </w:r>
      <w:r w:rsidR="005966AB">
        <w:rPr>
          <w:rFonts w:ascii="Palatino Linotype" w:eastAsia="Palatino Linotype" w:hAnsi="Palatino Linotype" w:cs="Palatino Linotype"/>
          <w:sz w:val="24"/>
          <w:szCs w:val="24"/>
        </w:rPr>
        <w:t xml:space="preserve">alifornia </w:t>
      </w:r>
      <w:r w:rsidR="00162740" w:rsidRPr="00B06FCF">
        <w:rPr>
          <w:rFonts w:ascii="Palatino Linotype" w:eastAsia="Palatino Linotype" w:hAnsi="Palatino Linotype" w:cs="Palatino Linotype"/>
          <w:sz w:val="24"/>
          <w:szCs w:val="24"/>
        </w:rPr>
        <w:t>H</w:t>
      </w:r>
      <w:r w:rsidR="005966AB">
        <w:rPr>
          <w:rFonts w:ascii="Palatino Linotype" w:eastAsia="Palatino Linotype" w:hAnsi="Palatino Linotype" w:cs="Palatino Linotype"/>
          <w:sz w:val="24"/>
          <w:szCs w:val="24"/>
        </w:rPr>
        <w:t xml:space="preserve">igh </w:t>
      </w:r>
      <w:r w:rsidR="00162740" w:rsidRPr="00B06FCF">
        <w:rPr>
          <w:rFonts w:ascii="Palatino Linotype" w:eastAsia="Palatino Linotype" w:hAnsi="Palatino Linotype" w:cs="Palatino Linotype"/>
          <w:sz w:val="24"/>
          <w:szCs w:val="24"/>
        </w:rPr>
        <w:t>C</w:t>
      </w:r>
      <w:r w:rsidR="005966AB">
        <w:rPr>
          <w:rFonts w:ascii="Palatino Linotype" w:eastAsia="Palatino Linotype" w:hAnsi="Palatino Linotype" w:cs="Palatino Linotype"/>
          <w:sz w:val="24"/>
          <w:szCs w:val="24"/>
        </w:rPr>
        <w:t xml:space="preserve">ost </w:t>
      </w:r>
      <w:r w:rsidR="00162740" w:rsidRPr="00B06FCF">
        <w:rPr>
          <w:rFonts w:ascii="Palatino Linotype" w:eastAsia="Palatino Linotype" w:hAnsi="Palatino Linotype" w:cs="Palatino Linotype"/>
          <w:sz w:val="24"/>
          <w:szCs w:val="24"/>
        </w:rPr>
        <w:t>F</w:t>
      </w:r>
      <w:r w:rsidR="005966AB">
        <w:rPr>
          <w:rFonts w:ascii="Palatino Linotype" w:eastAsia="Palatino Linotype" w:hAnsi="Palatino Linotype" w:cs="Palatino Linotype"/>
          <w:sz w:val="24"/>
          <w:szCs w:val="24"/>
        </w:rPr>
        <w:t>und</w:t>
      </w:r>
      <w:r w:rsidR="00162740" w:rsidRPr="00B06FCF">
        <w:rPr>
          <w:rFonts w:ascii="Palatino Linotype" w:eastAsia="Palatino Linotype" w:hAnsi="Palatino Linotype" w:cs="Palatino Linotype"/>
          <w:sz w:val="24"/>
          <w:szCs w:val="24"/>
        </w:rPr>
        <w:t xml:space="preserve">-A </w:t>
      </w:r>
      <w:r w:rsidR="005966AB">
        <w:rPr>
          <w:rFonts w:ascii="Palatino Linotype" w:eastAsia="Palatino Linotype" w:hAnsi="Palatino Linotype" w:cs="Palatino Linotype"/>
          <w:sz w:val="24"/>
          <w:szCs w:val="24"/>
        </w:rPr>
        <w:t xml:space="preserve">support </w:t>
      </w:r>
      <w:r>
        <w:rPr>
          <w:rFonts w:ascii="Palatino Linotype" w:eastAsia="Palatino Linotype" w:hAnsi="Palatino Linotype" w:cs="Palatino Linotype"/>
          <w:sz w:val="24"/>
          <w:szCs w:val="24"/>
        </w:rPr>
        <w:t xml:space="preserve">so that total 2018 payments equal $12,221,244.   </w:t>
      </w:r>
    </w:p>
    <w:p w:rsidR="00B06FCF" w:rsidRDefault="00A05DEE" w:rsidP="00B06FCF">
      <w:pPr>
        <w:pStyle w:val="ListParagraph"/>
        <w:numPr>
          <w:ilvl w:val="0"/>
          <w:numId w:val="6"/>
        </w:numPr>
        <w:spacing w:after="240"/>
        <w:ind w:left="450" w:right="216"/>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Sierra</w:t>
      </w:r>
      <w:r w:rsidR="00B66139" w:rsidRPr="00B06FCF">
        <w:rPr>
          <w:rFonts w:ascii="Palatino Linotype" w:eastAsia="Palatino Linotype" w:hAnsi="Palatino Linotype" w:cs="Palatino Linotype"/>
          <w:sz w:val="24"/>
          <w:szCs w:val="24"/>
        </w:rPr>
        <w:t xml:space="preserve"> Telephone Company shall show </w:t>
      </w:r>
      <w:r w:rsidR="005B0A45" w:rsidRPr="00B06FCF">
        <w:rPr>
          <w:rFonts w:ascii="Palatino Linotype" w:eastAsia="Palatino Linotype" w:hAnsi="Palatino Linotype" w:cs="Palatino Linotype"/>
          <w:sz w:val="24"/>
          <w:szCs w:val="24"/>
        </w:rPr>
        <w:t xml:space="preserve">an </w:t>
      </w:r>
      <w:r w:rsidR="00520CE9" w:rsidRPr="00B06FCF">
        <w:rPr>
          <w:rFonts w:ascii="Palatino Linotype" w:eastAsia="Palatino Linotype" w:hAnsi="Palatino Linotype" w:cs="Palatino Linotype"/>
          <w:sz w:val="24"/>
          <w:szCs w:val="24"/>
        </w:rPr>
        <w:t xml:space="preserve">amortized </w:t>
      </w:r>
      <w:r w:rsidR="00B66139" w:rsidRPr="00B06FCF">
        <w:rPr>
          <w:rFonts w:ascii="Palatino Linotype" w:eastAsia="Palatino Linotype" w:hAnsi="Palatino Linotype" w:cs="Palatino Linotype"/>
          <w:sz w:val="24"/>
          <w:szCs w:val="24"/>
        </w:rPr>
        <w:t xml:space="preserve">excess deferred </w:t>
      </w:r>
      <w:r w:rsidR="006D5AC7" w:rsidRPr="00B06FCF">
        <w:rPr>
          <w:rFonts w:ascii="Palatino Linotype" w:eastAsia="Palatino Linotype" w:hAnsi="Palatino Linotype" w:cs="Palatino Linotype"/>
          <w:sz w:val="24"/>
          <w:szCs w:val="24"/>
        </w:rPr>
        <w:t xml:space="preserve">income </w:t>
      </w:r>
      <w:r w:rsidR="00B66139" w:rsidRPr="00B06FCF">
        <w:rPr>
          <w:rFonts w:ascii="Palatino Linotype" w:eastAsia="Palatino Linotype" w:hAnsi="Palatino Linotype" w:cs="Palatino Linotype"/>
          <w:sz w:val="24"/>
          <w:szCs w:val="24"/>
        </w:rPr>
        <w:t xml:space="preserve">tax credit of </w:t>
      </w:r>
      <w:r w:rsidR="00577885" w:rsidRPr="00B06FCF">
        <w:rPr>
          <w:rFonts w:ascii="Palatino Linotype" w:eastAsia="Palatino Linotype" w:hAnsi="Palatino Linotype" w:cs="Palatino Linotype"/>
          <w:sz w:val="24"/>
          <w:szCs w:val="24"/>
        </w:rPr>
        <w:t>$</w:t>
      </w:r>
      <w:r w:rsidRPr="00B06FCF">
        <w:rPr>
          <w:rFonts w:ascii="Palatino Linotype" w:eastAsia="Palatino Linotype" w:hAnsi="Palatino Linotype" w:cs="Palatino Linotype"/>
          <w:sz w:val="24"/>
          <w:szCs w:val="24"/>
        </w:rPr>
        <w:t>316,449</w:t>
      </w:r>
      <w:r w:rsidR="00B66139" w:rsidRPr="00B06FCF">
        <w:rPr>
          <w:rFonts w:ascii="Palatino Linotype" w:eastAsia="Palatino Linotype" w:hAnsi="Palatino Linotype" w:cs="Palatino Linotype"/>
          <w:sz w:val="24"/>
          <w:szCs w:val="24"/>
        </w:rPr>
        <w:t xml:space="preserve"> </w:t>
      </w:r>
      <w:r w:rsidR="00520CE9" w:rsidRPr="00B06FCF">
        <w:rPr>
          <w:rFonts w:ascii="Palatino Linotype" w:eastAsia="Palatino Linotype" w:hAnsi="Palatino Linotype" w:cs="Palatino Linotype"/>
          <w:sz w:val="24"/>
          <w:szCs w:val="24"/>
        </w:rPr>
        <w:t xml:space="preserve">each </w:t>
      </w:r>
      <w:r w:rsidR="00B66139" w:rsidRPr="00B06FCF">
        <w:rPr>
          <w:rFonts w:ascii="Palatino Linotype" w:eastAsia="Palatino Linotype" w:hAnsi="Palatino Linotype" w:cs="Palatino Linotype"/>
          <w:sz w:val="24"/>
          <w:szCs w:val="24"/>
        </w:rPr>
        <w:t xml:space="preserve">year </w:t>
      </w:r>
      <w:r w:rsidR="004C43AB" w:rsidRPr="00B06FCF">
        <w:rPr>
          <w:rFonts w:ascii="Palatino Linotype" w:eastAsia="Palatino Linotype" w:hAnsi="Palatino Linotype" w:cs="Palatino Linotype"/>
          <w:sz w:val="24"/>
          <w:szCs w:val="24"/>
        </w:rPr>
        <w:t>as line item</w:t>
      </w:r>
      <w:r w:rsidR="00520CE9" w:rsidRPr="00B06FCF">
        <w:rPr>
          <w:rFonts w:ascii="Palatino Linotype" w:eastAsia="Palatino Linotype" w:hAnsi="Palatino Linotype" w:cs="Palatino Linotype"/>
          <w:sz w:val="24"/>
          <w:szCs w:val="24"/>
        </w:rPr>
        <w:t>,</w:t>
      </w:r>
      <w:r w:rsidR="004C43AB" w:rsidRPr="00B06FCF">
        <w:rPr>
          <w:rFonts w:ascii="Palatino Linotype" w:eastAsia="Palatino Linotype" w:hAnsi="Palatino Linotype" w:cs="Palatino Linotype"/>
          <w:sz w:val="24"/>
          <w:szCs w:val="24"/>
        </w:rPr>
        <w:t xml:space="preserve"> </w:t>
      </w:r>
      <w:r w:rsidR="00B66139" w:rsidRPr="00B06FCF">
        <w:rPr>
          <w:rFonts w:ascii="Palatino Linotype" w:eastAsia="Palatino Linotype" w:hAnsi="Palatino Linotype" w:cs="Palatino Linotype"/>
          <w:sz w:val="24"/>
          <w:szCs w:val="24"/>
        </w:rPr>
        <w:t xml:space="preserve">for </w:t>
      </w:r>
      <w:r w:rsidRPr="00B06FCF">
        <w:rPr>
          <w:rFonts w:ascii="Palatino Linotype" w:eastAsia="Palatino Linotype" w:hAnsi="Palatino Linotype" w:cs="Palatino Linotype"/>
          <w:sz w:val="24"/>
          <w:szCs w:val="24"/>
        </w:rPr>
        <w:t>6.2</w:t>
      </w:r>
      <w:r w:rsidR="000D7016" w:rsidRPr="00B06FCF">
        <w:rPr>
          <w:rFonts w:ascii="Palatino Linotype" w:eastAsia="Palatino Linotype" w:hAnsi="Palatino Linotype" w:cs="Palatino Linotype"/>
          <w:sz w:val="24"/>
          <w:szCs w:val="24"/>
        </w:rPr>
        <w:t xml:space="preserve"> years</w:t>
      </w:r>
      <w:r w:rsidR="00520CE9" w:rsidRPr="00B06FCF">
        <w:rPr>
          <w:rFonts w:ascii="Palatino Linotype" w:eastAsia="Palatino Linotype" w:hAnsi="Palatino Linotype" w:cs="Palatino Linotype"/>
          <w:sz w:val="24"/>
          <w:szCs w:val="24"/>
        </w:rPr>
        <w:t xml:space="preserve">, until the unamortized balance remaining as a </w:t>
      </w:r>
      <w:r w:rsidR="00745979" w:rsidRPr="00B06FCF">
        <w:rPr>
          <w:rFonts w:ascii="Palatino Linotype" w:eastAsia="Palatino Linotype" w:hAnsi="Palatino Linotype" w:cs="Palatino Linotype"/>
          <w:sz w:val="24"/>
          <w:szCs w:val="24"/>
        </w:rPr>
        <w:t>reduction</w:t>
      </w:r>
      <w:r w:rsidR="00520CE9" w:rsidRPr="00B06FCF">
        <w:rPr>
          <w:rFonts w:ascii="Palatino Linotype" w:eastAsia="Palatino Linotype" w:hAnsi="Palatino Linotype" w:cs="Palatino Linotype"/>
          <w:sz w:val="24"/>
          <w:szCs w:val="24"/>
        </w:rPr>
        <w:t xml:space="preserve"> to rate base is fully depleted,</w:t>
      </w:r>
      <w:r w:rsidR="00B66139" w:rsidRPr="00B06FCF">
        <w:rPr>
          <w:rFonts w:ascii="Palatino Linotype" w:eastAsia="Palatino Linotype" w:hAnsi="Palatino Linotype" w:cs="Palatino Linotype"/>
          <w:sz w:val="24"/>
          <w:szCs w:val="24"/>
        </w:rPr>
        <w:t xml:space="preserve"> </w:t>
      </w:r>
      <w:r w:rsidR="006D5AC7" w:rsidRPr="00B06FCF">
        <w:rPr>
          <w:rFonts w:ascii="Palatino Linotype" w:eastAsia="Palatino Linotype" w:hAnsi="Palatino Linotype" w:cs="Palatino Linotype"/>
          <w:sz w:val="24"/>
          <w:szCs w:val="24"/>
        </w:rPr>
        <w:t xml:space="preserve">in </w:t>
      </w:r>
      <w:r w:rsidR="00520CE9" w:rsidRPr="00B06FCF">
        <w:rPr>
          <w:rFonts w:ascii="Palatino Linotype" w:eastAsia="Palatino Linotype" w:hAnsi="Palatino Linotype" w:cs="Palatino Linotype"/>
          <w:sz w:val="24"/>
          <w:szCs w:val="24"/>
        </w:rPr>
        <w:t xml:space="preserve">its </w:t>
      </w:r>
      <w:r w:rsidR="005B0A45" w:rsidRPr="00B06FCF">
        <w:rPr>
          <w:rFonts w:ascii="Palatino Linotype" w:eastAsia="Palatino Linotype" w:hAnsi="Palatino Linotype" w:cs="Palatino Linotype"/>
          <w:sz w:val="24"/>
          <w:szCs w:val="24"/>
        </w:rPr>
        <w:t xml:space="preserve">results of operations table under the federal </w:t>
      </w:r>
      <w:r w:rsidR="004C43AB" w:rsidRPr="00B06FCF">
        <w:rPr>
          <w:rFonts w:ascii="Palatino Linotype" w:eastAsia="Palatino Linotype" w:hAnsi="Palatino Linotype" w:cs="Palatino Linotype"/>
          <w:sz w:val="24"/>
          <w:szCs w:val="24"/>
        </w:rPr>
        <w:t>income</w:t>
      </w:r>
      <w:r w:rsidR="002640B5" w:rsidRPr="00B06FCF">
        <w:rPr>
          <w:rFonts w:ascii="Palatino Linotype" w:eastAsia="Palatino Linotype" w:hAnsi="Palatino Linotype" w:cs="Palatino Linotype"/>
          <w:sz w:val="24"/>
          <w:szCs w:val="24"/>
        </w:rPr>
        <w:t xml:space="preserve"> </w:t>
      </w:r>
      <w:r w:rsidR="005B0A45" w:rsidRPr="00B06FCF">
        <w:rPr>
          <w:rFonts w:ascii="Palatino Linotype" w:eastAsia="Palatino Linotype" w:hAnsi="Palatino Linotype" w:cs="Palatino Linotype"/>
          <w:sz w:val="24"/>
          <w:szCs w:val="24"/>
        </w:rPr>
        <w:t>tax item</w:t>
      </w:r>
      <w:r w:rsidR="006D5AC7" w:rsidRPr="00B06FCF">
        <w:rPr>
          <w:rFonts w:ascii="Palatino Linotype" w:eastAsia="Palatino Linotype" w:hAnsi="Palatino Linotype" w:cs="Palatino Linotype"/>
          <w:sz w:val="24"/>
          <w:szCs w:val="24"/>
        </w:rPr>
        <w:t xml:space="preserve"> </w:t>
      </w:r>
      <w:r w:rsidR="00B66139" w:rsidRPr="00B06FCF">
        <w:rPr>
          <w:rFonts w:ascii="Palatino Linotype" w:eastAsia="Palatino Linotype" w:hAnsi="Palatino Linotype" w:cs="Palatino Linotype"/>
          <w:sz w:val="24"/>
          <w:szCs w:val="24"/>
        </w:rPr>
        <w:t xml:space="preserve">starting </w:t>
      </w:r>
      <w:r w:rsidR="00520CE9" w:rsidRPr="00B06FCF">
        <w:rPr>
          <w:rFonts w:ascii="Palatino Linotype" w:eastAsia="Palatino Linotype" w:hAnsi="Palatino Linotype" w:cs="Palatino Linotype"/>
          <w:sz w:val="24"/>
          <w:szCs w:val="24"/>
        </w:rPr>
        <w:t xml:space="preserve">January 1, </w:t>
      </w:r>
      <w:r w:rsidR="00B66139" w:rsidRPr="00B06FCF">
        <w:rPr>
          <w:rFonts w:ascii="Palatino Linotype" w:eastAsia="Palatino Linotype" w:hAnsi="Palatino Linotype" w:cs="Palatino Linotype"/>
          <w:sz w:val="24"/>
          <w:szCs w:val="24"/>
        </w:rPr>
        <w:t>2018</w:t>
      </w:r>
      <w:r w:rsidR="00577885" w:rsidRPr="00B06FCF">
        <w:rPr>
          <w:rFonts w:ascii="Palatino Linotype" w:eastAsia="Palatino Linotype" w:hAnsi="Palatino Linotype" w:cs="Palatino Linotype"/>
          <w:sz w:val="24"/>
          <w:szCs w:val="24"/>
        </w:rPr>
        <w:t>.</w:t>
      </w:r>
    </w:p>
    <w:p w:rsidR="00D432DE" w:rsidRPr="00B06FCF" w:rsidRDefault="00A05DEE" w:rsidP="00B06FCF">
      <w:pPr>
        <w:pStyle w:val="ListParagraph"/>
        <w:numPr>
          <w:ilvl w:val="0"/>
          <w:numId w:val="6"/>
        </w:numPr>
        <w:spacing w:after="240"/>
        <w:ind w:left="450" w:right="216"/>
        <w:contextualSpacing w:val="0"/>
        <w:rPr>
          <w:rFonts w:ascii="Palatino Linotype" w:eastAsia="Palatino Linotype" w:hAnsi="Palatino Linotype" w:cs="Palatino Linotype"/>
          <w:sz w:val="24"/>
          <w:szCs w:val="24"/>
        </w:rPr>
      </w:pPr>
      <w:r w:rsidRPr="00B06FCF">
        <w:rPr>
          <w:rFonts w:ascii="Palatino Linotype" w:eastAsia="Palatino Linotype" w:hAnsi="Palatino Linotype" w:cs="Palatino Linotype"/>
          <w:sz w:val="24"/>
          <w:szCs w:val="24"/>
        </w:rPr>
        <w:t xml:space="preserve">Sierra </w:t>
      </w:r>
      <w:r w:rsidR="000D7016" w:rsidRPr="00B06FCF">
        <w:rPr>
          <w:rFonts w:ascii="Palatino Linotype" w:eastAsia="Palatino Linotype" w:hAnsi="Palatino Linotype" w:cs="Palatino Linotype"/>
          <w:sz w:val="24"/>
          <w:szCs w:val="24"/>
        </w:rPr>
        <w:t>T</w:t>
      </w:r>
      <w:r w:rsidRPr="00B06FCF">
        <w:rPr>
          <w:rFonts w:ascii="Palatino Linotype" w:eastAsia="Palatino Linotype" w:hAnsi="Palatino Linotype" w:cs="Palatino Linotype"/>
          <w:sz w:val="24"/>
          <w:szCs w:val="24"/>
        </w:rPr>
        <w:t>elephone Comp</w:t>
      </w:r>
      <w:r w:rsidR="000D7016" w:rsidRPr="00B06FCF">
        <w:rPr>
          <w:rFonts w:ascii="Palatino Linotype" w:eastAsia="Palatino Linotype" w:hAnsi="Palatino Linotype" w:cs="Palatino Linotype"/>
          <w:sz w:val="24"/>
          <w:szCs w:val="24"/>
        </w:rPr>
        <w:t>a</w:t>
      </w:r>
      <w:r w:rsidRPr="00B06FCF">
        <w:rPr>
          <w:rFonts w:ascii="Palatino Linotype" w:eastAsia="Palatino Linotype" w:hAnsi="Palatino Linotype" w:cs="Palatino Linotype"/>
          <w:sz w:val="24"/>
          <w:szCs w:val="24"/>
        </w:rPr>
        <w:t>ny</w:t>
      </w:r>
      <w:r w:rsidR="00D432DE" w:rsidRPr="00B06FCF">
        <w:rPr>
          <w:rFonts w:ascii="Palatino Linotype" w:eastAsia="Palatino Linotype" w:hAnsi="Palatino Linotype" w:cs="Palatino Linotype"/>
          <w:sz w:val="24"/>
          <w:szCs w:val="24"/>
        </w:rPr>
        <w:t>’s deferred tax balance for ratemaking will contain the unamortized balance of</w:t>
      </w:r>
      <w:r w:rsidR="00577885" w:rsidRPr="00B06FCF">
        <w:rPr>
          <w:rFonts w:ascii="Palatino Linotype" w:eastAsia="Palatino Linotype" w:hAnsi="Palatino Linotype" w:cs="Palatino Linotype"/>
          <w:sz w:val="24"/>
          <w:szCs w:val="24"/>
        </w:rPr>
        <w:t xml:space="preserve"> excess deferred income tax </w:t>
      </w:r>
      <w:r w:rsidR="00D432DE" w:rsidRPr="00B06FCF">
        <w:rPr>
          <w:rFonts w:ascii="Palatino Linotype" w:eastAsia="Palatino Linotype" w:hAnsi="Palatino Linotype" w:cs="Palatino Linotype"/>
          <w:sz w:val="24"/>
          <w:szCs w:val="24"/>
        </w:rPr>
        <w:t xml:space="preserve">as a rate base reduction item until the excess deferred </w:t>
      </w:r>
      <w:r w:rsidR="007E6A9A">
        <w:rPr>
          <w:rFonts w:ascii="Palatino Linotype" w:eastAsia="Palatino Linotype" w:hAnsi="Palatino Linotype" w:cs="Palatino Linotype"/>
          <w:sz w:val="24"/>
          <w:szCs w:val="24"/>
        </w:rPr>
        <w:t xml:space="preserve">balance </w:t>
      </w:r>
      <w:r w:rsidR="00D432DE" w:rsidRPr="00B06FCF">
        <w:rPr>
          <w:rFonts w:ascii="Palatino Linotype" w:eastAsia="Palatino Linotype" w:hAnsi="Palatino Linotype" w:cs="Palatino Linotype"/>
          <w:sz w:val="24"/>
          <w:szCs w:val="24"/>
        </w:rPr>
        <w:t>is fully amortized.</w:t>
      </w:r>
    </w:p>
    <w:p w:rsidR="00353B88" w:rsidRDefault="00353B88"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rPr>
          <w:rFonts w:ascii="Palatino Linotype" w:eastAsia="Palatino Linotype" w:hAnsi="Palatino Linotype" w:cs="Palatino Linotype"/>
          <w:sz w:val="24"/>
          <w:szCs w:val="24"/>
        </w:rPr>
      </w:pPr>
    </w:p>
    <w:p w:rsidR="00280B49" w:rsidRDefault="00280B49" w:rsidP="00280B49">
      <w:pPr>
        <w:ind w:right="212"/>
      </w:pPr>
    </w:p>
    <w:p w:rsidR="00D6611F" w:rsidRDefault="00490173" w:rsidP="0044009F">
      <w:pPr>
        <w:spacing w:line="329" w:lineRule="auto"/>
        <w:ind w:left="90" w:right="445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Resol</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f</w:t>
      </w:r>
      <w:r>
        <w:rPr>
          <w:rFonts w:ascii="Palatino Linotype" w:eastAsia="Palatino Linotype" w:hAnsi="Palatino Linotype" w:cs="Palatino Linotype"/>
          <w:sz w:val="24"/>
          <w:szCs w:val="24"/>
        </w:rPr>
        <w:t>fe</w:t>
      </w:r>
      <w:r>
        <w:rPr>
          <w:rFonts w:ascii="Palatino Linotype" w:eastAsia="Palatino Linotype" w:hAnsi="Palatino Linotype" w:cs="Palatino Linotype"/>
          <w:spacing w:val="1"/>
          <w:sz w:val="24"/>
          <w:szCs w:val="24"/>
        </w:rPr>
        <w:t>ct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to</w:t>
      </w:r>
      <w:r>
        <w:rPr>
          <w:rFonts w:ascii="Palatino Linotype" w:eastAsia="Palatino Linotype" w:hAnsi="Palatino Linotype" w:cs="Palatino Linotype"/>
          <w:sz w:val="24"/>
          <w:szCs w:val="24"/>
        </w:rPr>
        <w:t>day.</w:t>
      </w:r>
    </w:p>
    <w:p w:rsidR="00D6611F" w:rsidRDefault="00D6611F">
      <w:pPr>
        <w:spacing w:before="4" w:line="200" w:lineRule="exact"/>
      </w:pPr>
    </w:p>
    <w:p w:rsidR="00D6611F" w:rsidRDefault="00490173" w:rsidP="00601C4E">
      <w:pPr>
        <w:ind w:left="100" w:right="17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fy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hat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Resol</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d</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nt</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uc</w:t>
      </w:r>
      <w:r>
        <w:rPr>
          <w:rFonts w:ascii="Palatino Linotype" w:eastAsia="Palatino Linotype" w:hAnsi="Palatino Linotype" w:cs="Palatino Linotype"/>
          <w:sz w:val="24"/>
          <w:szCs w:val="24"/>
        </w:rPr>
        <w:t>ed, pa</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 xml:space="preserve">ed,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adop</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 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f the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ub</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ic</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 Com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f the </w:t>
      </w:r>
      <w:r>
        <w:rPr>
          <w:rFonts w:ascii="Palatino Linotype" w:eastAsia="Palatino Linotype" w:hAnsi="Palatino Linotype" w:cs="Palatino Linotype"/>
          <w:spacing w:val="1"/>
          <w:sz w:val="24"/>
          <w:szCs w:val="24"/>
        </w:rPr>
        <w:t>St</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 Ca</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fo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 held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5"/>
          <w:sz w:val="24"/>
          <w:szCs w:val="24"/>
        </w:rPr>
        <w:t xml:space="preserve"> </w:t>
      </w:r>
      <w:r w:rsidR="00984F02">
        <w:rPr>
          <w:rFonts w:ascii="Palatino Linotype" w:eastAsia="Palatino Linotype" w:hAnsi="Palatino Linotype" w:cs="Palatino Linotype"/>
          <w:spacing w:val="5"/>
          <w:sz w:val="24"/>
          <w:szCs w:val="24"/>
        </w:rPr>
        <w:t>August 9</w:t>
      </w:r>
      <w:r w:rsidR="009B23C4">
        <w:rPr>
          <w:rFonts w:ascii="Palatino Linotype" w:eastAsia="Palatino Linotype" w:hAnsi="Palatino Linotype" w:cs="Palatino Linotype"/>
          <w:spacing w:val="5"/>
          <w:sz w:val="24"/>
          <w:szCs w:val="24"/>
        </w:rPr>
        <w:t>, 2</w:t>
      </w:r>
      <w:r w:rsidR="00601C4E" w:rsidRPr="00695571">
        <w:rPr>
          <w:rFonts w:ascii="Palatino Linotype" w:eastAsia="Palatino Linotype" w:hAnsi="Palatino Linotype" w:cs="Palatino Linotype"/>
          <w:spacing w:val="5"/>
          <w:sz w:val="24"/>
          <w:szCs w:val="24"/>
        </w:rPr>
        <w:t>018</w:t>
      </w:r>
      <w:r w:rsidRPr="00695571">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llow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vot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 f</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vor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 xml:space="preserve">le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p>
    <w:p w:rsidR="00D6611F" w:rsidRDefault="00D6611F">
      <w:pPr>
        <w:spacing w:before="6" w:line="180" w:lineRule="exact"/>
        <w:rPr>
          <w:sz w:val="19"/>
          <w:szCs w:val="19"/>
        </w:rPr>
      </w:pPr>
    </w:p>
    <w:p w:rsidR="00D6611F" w:rsidRDefault="00D6611F">
      <w:pPr>
        <w:spacing w:line="200" w:lineRule="exact"/>
      </w:pPr>
    </w:p>
    <w:p w:rsidR="00D6611F" w:rsidRDefault="00D6611F">
      <w:pPr>
        <w:spacing w:line="200" w:lineRule="exact"/>
      </w:pPr>
    </w:p>
    <w:p w:rsidR="00D6611F" w:rsidRDefault="00D6611F">
      <w:pPr>
        <w:spacing w:line="200" w:lineRule="exact"/>
      </w:pPr>
    </w:p>
    <w:p w:rsidR="00D6611F" w:rsidRDefault="00D6611F">
      <w:pPr>
        <w:spacing w:line="200" w:lineRule="exact"/>
      </w:pPr>
    </w:p>
    <w:p w:rsidR="00D6611F" w:rsidRDefault="00CD78A2">
      <w:pPr>
        <w:spacing w:line="300" w:lineRule="exact"/>
        <w:ind w:left="6020"/>
        <w:rPr>
          <w:rFonts w:ascii="Palatino Linotype" w:eastAsia="Palatino Linotype" w:hAnsi="Palatino Linotype" w:cs="Palatino Linotype"/>
          <w:sz w:val="24"/>
          <w:szCs w:val="24"/>
        </w:rPr>
      </w:pPr>
      <w:r>
        <w:rPr>
          <w:noProof/>
          <w:lang w:eastAsia="zh-TW"/>
        </w:rPr>
        <mc:AlternateContent>
          <mc:Choice Requires="wpg">
            <w:drawing>
              <wp:anchor distT="0" distB="0" distL="114300" distR="114300" simplePos="0" relativeHeight="251657216" behindDoc="1" locked="0" layoutInCell="1" allowOverlap="1" wp14:anchorId="430D869F" wp14:editId="78F25634">
                <wp:simplePos x="0" y="0"/>
                <wp:positionH relativeFrom="page">
                  <wp:posOffset>4516755</wp:posOffset>
                </wp:positionH>
                <wp:positionV relativeFrom="paragraph">
                  <wp:posOffset>162560</wp:posOffset>
                </wp:positionV>
                <wp:extent cx="1661795" cy="10160"/>
                <wp:effectExtent l="1905" t="635" r="3175" b="8255"/>
                <wp:wrapNone/>
                <wp:docPr id="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795" cy="10160"/>
                          <a:chOff x="7113" y="256"/>
                          <a:chExt cx="2617" cy="16"/>
                        </a:xfrm>
                      </wpg:grpSpPr>
                      <wpg:grpSp>
                        <wpg:cNvPr id="6" name="Group 236"/>
                        <wpg:cNvGrpSpPr>
                          <a:grpSpLocks/>
                        </wpg:cNvGrpSpPr>
                        <wpg:grpSpPr bwMode="auto">
                          <a:xfrm>
                            <a:off x="7360" y="264"/>
                            <a:ext cx="2362" cy="0"/>
                            <a:chOff x="7360" y="264"/>
                            <a:chExt cx="2362" cy="0"/>
                          </a:xfrm>
                        </wpg:grpSpPr>
                        <wps:wsp>
                          <wps:cNvPr id="7" name="Freeform 239"/>
                          <wps:cNvSpPr>
                            <a:spLocks/>
                          </wps:cNvSpPr>
                          <wps:spPr bwMode="auto">
                            <a:xfrm>
                              <a:off x="7360" y="264"/>
                              <a:ext cx="2362" cy="0"/>
                            </a:xfrm>
                            <a:custGeom>
                              <a:avLst/>
                              <a:gdLst>
                                <a:gd name="T0" fmla="+- 0 7360 7360"/>
                                <a:gd name="T1" fmla="*/ T0 w 2362"/>
                                <a:gd name="T2" fmla="+- 0 9722 7360"/>
                                <a:gd name="T3" fmla="*/ T2 w 2362"/>
                              </a:gdLst>
                              <a:ahLst/>
                              <a:cxnLst>
                                <a:cxn ang="0">
                                  <a:pos x="T1" y="0"/>
                                </a:cxn>
                                <a:cxn ang="0">
                                  <a:pos x="T3" y="0"/>
                                </a:cxn>
                              </a:cxnLst>
                              <a:rect l="0" t="0" r="r" b="b"/>
                              <a:pathLst>
                                <a:path w="2362">
                                  <a:moveTo>
                                    <a:pt x="0" y="0"/>
                                  </a:moveTo>
                                  <a:lnTo>
                                    <a:pt x="2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237"/>
                          <wpg:cNvGrpSpPr>
                            <a:grpSpLocks/>
                          </wpg:cNvGrpSpPr>
                          <wpg:grpSpPr bwMode="auto">
                            <a:xfrm>
                              <a:off x="7120" y="264"/>
                              <a:ext cx="240" cy="0"/>
                              <a:chOff x="7120" y="264"/>
                              <a:chExt cx="240" cy="0"/>
                            </a:xfrm>
                          </wpg:grpSpPr>
                          <wps:wsp>
                            <wps:cNvPr id="9" name="Freeform 238"/>
                            <wps:cNvSpPr>
                              <a:spLocks/>
                            </wps:cNvSpPr>
                            <wps:spPr bwMode="auto">
                              <a:xfrm>
                                <a:off x="7120" y="264"/>
                                <a:ext cx="240" cy="0"/>
                              </a:xfrm>
                              <a:custGeom>
                                <a:avLst/>
                                <a:gdLst>
                                  <a:gd name="T0" fmla="+- 0 7120 7120"/>
                                  <a:gd name="T1" fmla="*/ T0 w 240"/>
                                  <a:gd name="T2" fmla="+- 0 7360 7120"/>
                                  <a:gd name="T3" fmla="*/ T2 w 240"/>
                                </a:gdLst>
                                <a:ahLst/>
                                <a:cxnLst>
                                  <a:cxn ang="0">
                                    <a:pos x="T1" y="0"/>
                                  </a:cxn>
                                  <a:cxn ang="0">
                                    <a:pos x="T3" y="0"/>
                                  </a:cxn>
                                </a:cxnLst>
                                <a:rect l="0" t="0" r="r" b="b"/>
                                <a:pathLst>
                                  <a:path w="240">
                                    <a:moveTo>
                                      <a:pt x="0" y="0"/>
                                    </a:moveTo>
                                    <a:lnTo>
                                      <a:pt x="240" y="0"/>
                                    </a:lnTo>
                                  </a:path>
                                </a:pathLst>
                              </a:custGeom>
                              <a:noFill/>
                              <a:ln w="8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3A408" id="Group 235" o:spid="_x0000_s1026" style="position:absolute;margin-left:355.65pt;margin-top:12.8pt;width:130.85pt;height:.8pt;z-index:-251659264;mso-position-horizontal-relative:page" coordorigin="7113,256" coordsize="26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">
                <v:group id="Group 236" o:spid="_x0000_s1027" style="position:absolute;left:7360;top:264;width:2362;height:0" coordorigin="7360,264" coordsize="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39" o:spid="_x0000_s1028" style="position:absolute;left:7360;top:264;width:2362;height:0;visibility:visible;mso-wrap-style:square;v-text-anchor:top" coordsize="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" path="m,l2362,e" filled="f" strokeweight=".82pt">
                    <v:path arrowok="t" o:connecttype="custom" o:connectlocs="0,0;2362,0" o:connectangles="0,0"/>
                  </v:shape>
                  <v:group id="Group 237" o:spid="_x0000_s1029" style="position:absolute;left:7120;top:264;width:240;height:0" coordorigin="7120,264" coordsize="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38" o:spid="_x0000_s1030" style="position:absolute;left:7120;top:264;width:240;height:0;visibility:visible;mso-wrap-style:square;v-text-anchor:top" coordsize="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" path="m,l240,e" filled="f" strokeweight=".24806mm">
                      <v:path arrowok="t" o:connecttype="custom" o:connectlocs="0,0;240,0" o:connectangles="0,0"/>
                    </v:shape>
                  </v:group>
                </v:group>
                <w10:wrap anchorx="page"/>
              </v:group>
            </w:pict>
          </mc:Fallback>
        </mc:AlternateContent>
      </w:r>
      <w:r>
        <w:rPr>
          <w:noProof/>
          <w:lang w:eastAsia="zh-TW"/>
        </w:rPr>
        <mc:AlternateContent>
          <mc:Choice Requires="wpg">
            <w:drawing>
              <wp:anchor distT="0" distB="0" distL="114300" distR="114300" simplePos="0" relativeHeight="251660288" behindDoc="1" locked="0" layoutInCell="1" allowOverlap="1" wp14:anchorId="03E1FDEF" wp14:editId="0FD762AA">
                <wp:simplePos x="0" y="0"/>
                <wp:positionH relativeFrom="page">
                  <wp:posOffset>6173470</wp:posOffset>
                </wp:positionH>
                <wp:positionV relativeFrom="paragraph">
                  <wp:posOffset>167640</wp:posOffset>
                </wp:positionV>
                <wp:extent cx="228600" cy="0"/>
                <wp:effectExtent l="10795" t="5715" r="8255" b="13335"/>
                <wp:wrapNone/>
                <wp:docPr id="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0"/>
                          <a:chOff x="9722" y="264"/>
                          <a:chExt cx="360" cy="0"/>
                        </a:xfrm>
                      </wpg:grpSpPr>
                      <wps:wsp>
                        <wps:cNvPr id="4" name="Freeform 234"/>
                        <wps:cNvSpPr>
                          <a:spLocks/>
                        </wps:cNvSpPr>
                        <wps:spPr bwMode="auto">
                          <a:xfrm>
                            <a:off x="9722" y="264"/>
                            <a:ext cx="360" cy="0"/>
                          </a:xfrm>
                          <a:custGeom>
                            <a:avLst/>
                            <a:gdLst>
                              <a:gd name="T0" fmla="+- 0 9722 9722"/>
                              <a:gd name="T1" fmla="*/ T0 w 360"/>
                              <a:gd name="T2" fmla="+- 0 10082 9722"/>
                              <a:gd name="T3" fmla="*/ T2 w 360"/>
                            </a:gdLst>
                            <a:ahLst/>
                            <a:cxnLst>
                              <a:cxn ang="0">
                                <a:pos x="T1" y="0"/>
                              </a:cxn>
                              <a:cxn ang="0">
                                <a:pos x="T3" y="0"/>
                              </a:cxn>
                            </a:cxnLst>
                            <a:rect l="0" t="0" r="r" b="b"/>
                            <a:pathLst>
                              <a:path w="360">
                                <a:moveTo>
                                  <a:pt x="0" y="0"/>
                                </a:moveTo>
                                <a:lnTo>
                                  <a:pt x="360" y="0"/>
                                </a:lnTo>
                              </a:path>
                            </a:pathLst>
                          </a:custGeom>
                          <a:noFill/>
                          <a:ln w="8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F6A2FC" id="Group 233" o:spid="_x0000_s1026" style="position:absolute;margin-left:486.1pt;margin-top:13.2pt;width:18pt;height:0;z-index:-251656192;mso-position-horizontal-relative:page" coordorigin="9722,264" coordsize="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">
                <v:shape id="Freeform 234" o:spid="_x0000_s1027" style="position:absolute;left:9722;top:264;width:360;height:0;visibility:visible;mso-wrap-style:square;v-text-anchor:top" coordsize="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" path="m,l360,e" filled="f" strokeweight=".24806mm">
                  <v:path arrowok="t" o:connecttype="custom" o:connectlocs="0,0;360,0" o:connectangles="0,0"/>
                </v:shape>
                <w10:wrap anchorx="page"/>
              </v:group>
            </w:pict>
          </mc:Fallback>
        </mc:AlternateContent>
      </w:r>
    </w:p>
    <w:p w:rsidR="00D6611F" w:rsidRDefault="002877B3" w:rsidP="003C5075">
      <w:pPr>
        <w:spacing w:before="2"/>
        <w:ind w:left="5984" w:right="600" w:hanging="13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sidR="00B346B7">
        <w:rPr>
          <w:rFonts w:ascii="Palatino Linotype" w:eastAsia="Palatino Linotype" w:hAnsi="Palatino Linotype" w:cs="Palatino Linotype"/>
          <w:sz w:val="24"/>
          <w:szCs w:val="24"/>
        </w:rPr>
        <w:t xml:space="preserve">   </w:t>
      </w:r>
      <w:r w:rsidR="00695571">
        <w:rPr>
          <w:rFonts w:ascii="Palatino Linotype" w:eastAsia="Palatino Linotype" w:hAnsi="Palatino Linotype" w:cs="Palatino Linotype"/>
          <w:sz w:val="24"/>
          <w:szCs w:val="24"/>
        </w:rPr>
        <w:t>ALICE STEBBINS</w:t>
      </w:r>
    </w:p>
    <w:p w:rsidR="00280B49" w:rsidRDefault="002877B3" w:rsidP="003C5075">
      <w:pPr>
        <w:spacing w:before="2"/>
        <w:ind w:left="5984" w:right="600" w:hanging="13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sidR="00B346B7">
        <w:rPr>
          <w:rFonts w:ascii="Palatino Linotype" w:eastAsia="Palatino Linotype" w:hAnsi="Palatino Linotype" w:cs="Palatino Linotype"/>
          <w:sz w:val="24"/>
          <w:szCs w:val="24"/>
        </w:rPr>
        <w:t xml:space="preserve">   </w:t>
      </w:r>
      <w:bookmarkStart w:id="0" w:name="_GoBack"/>
      <w:bookmarkEnd w:id="0"/>
      <w:r>
        <w:rPr>
          <w:rFonts w:ascii="Palatino Linotype" w:eastAsia="Palatino Linotype" w:hAnsi="Palatino Linotype" w:cs="Palatino Linotype"/>
          <w:sz w:val="24"/>
          <w:szCs w:val="24"/>
        </w:rPr>
        <w:t>Executive Director</w:t>
      </w:r>
    </w:p>
    <w:p w:rsidR="00280B49" w:rsidRPr="00280B49" w:rsidRDefault="00280B49" w:rsidP="00280B49">
      <w:pPr>
        <w:rPr>
          <w:rFonts w:ascii="Palatino Linotype" w:eastAsia="Palatino Linotype" w:hAnsi="Palatino Linotype" w:cs="Palatino Linotype"/>
          <w:sz w:val="24"/>
          <w:szCs w:val="24"/>
        </w:rPr>
      </w:pPr>
    </w:p>
    <w:p w:rsidR="00280B49" w:rsidRPr="00280B49" w:rsidRDefault="00280B49" w:rsidP="00280B49">
      <w:pPr>
        <w:rPr>
          <w:rFonts w:ascii="Palatino Linotype" w:eastAsia="Palatino Linotype" w:hAnsi="Palatino Linotype" w:cs="Palatino Linotype"/>
          <w:sz w:val="24"/>
          <w:szCs w:val="24"/>
        </w:rPr>
      </w:pPr>
    </w:p>
    <w:p w:rsidR="00280B49" w:rsidRPr="00280B49" w:rsidRDefault="00280B49" w:rsidP="00280B49">
      <w:pPr>
        <w:rPr>
          <w:rFonts w:ascii="Palatino Linotype" w:eastAsia="Palatino Linotype" w:hAnsi="Palatino Linotype" w:cs="Palatino Linotype"/>
          <w:sz w:val="24"/>
          <w:szCs w:val="24"/>
        </w:rPr>
      </w:pPr>
    </w:p>
    <w:p w:rsidR="00280B49" w:rsidRPr="00280B49" w:rsidRDefault="00280B49" w:rsidP="00280B49">
      <w:pPr>
        <w:rPr>
          <w:rFonts w:ascii="Palatino Linotype" w:eastAsia="Palatino Linotype" w:hAnsi="Palatino Linotype" w:cs="Palatino Linotype"/>
          <w:sz w:val="24"/>
          <w:szCs w:val="24"/>
        </w:rPr>
      </w:pPr>
    </w:p>
    <w:p w:rsidR="00280B49" w:rsidRPr="00280B49" w:rsidRDefault="00280B49" w:rsidP="00280B49">
      <w:pPr>
        <w:rPr>
          <w:rFonts w:ascii="Palatino Linotype" w:eastAsia="Palatino Linotype" w:hAnsi="Palatino Linotype" w:cs="Palatino Linotype"/>
          <w:sz w:val="24"/>
          <w:szCs w:val="24"/>
        </w:rPr>
      </w:pPr>
    </w:p>
    <w:p w:rsidR="00280B49" w:rsidRPr="00280B49" w:rsidRDefault="00280B49" w:rsidP="00280B49">
      <w:pPr>
        <w:rPr>
          <w:rFonts w:ascii="Palatino Linotype" w:eastAsia="Palatino Linotype" w:hAnsi="Palatino Linotype" w:cs="Palatino Linotype"/>
          <w:sz w:val="24"/>
          <w:szCs w:val="24"/>
        </w:rPr>
      </w:pPr>
    </w:p>
    <w:p w:rsidR="00280B49" w:rsidRPr="00280B49" w:rsidRDefault="00280B49" w:rsidP="00280B49">
      <w:pPr>
        <w:rPr>
          <w:rFonts w:ascii="Palatino Linotype" w:eastAsia="Palatino Linotype" w:hAnsi="Palatino Linotype" w:cs="Palatino Linotype"/>
          <w:sz w:val="24"/>
          <w:szCs w:val="24"/>
        </w:rPr>
      </w:pPr>
    </w:p>
    <w:p w:rsidR="00280B49" w:rsidRPr="00280B49" w:rsidRDefault="00280B49" w:rsidP="00280B49">
      <w:pPr>
        <w:rPr>
          <w:rFonts w:ascii="Palatino Linotype" w:eastAsia="Palatino Linotype" w:hAnsi="Palatino Linotype" w:cs="Palatino Linotype"/>
          <w:sz w:val="24"/>
          <w:szCs w:val="24"/>
        </w:rPr>
      </w:pPr>
    </w:p>
    <w:p w:rsidR="00280B49" w:rsidRPr="00280B49" w:rsidRDefault="00280B49" w:rsidP="00280B49">
      <w:pPr>
        <w:rPr>
          <w:rFonts w:ascii="Palatino Linotype" w:eastAsia="Palatino Linotype" w:hAnsi="Palatino Linotype" w:cs="Palatino Linotype"/>
          <w:sz w:val="24"/>
          <w:szCs w:val="24"/>
        </w:rPr>
      </w:pPr>
    </w:p>
    <w:p w:rsidR="00280B49" w:rsidRPr="00280B49" w:rsidRDefault="00280B49" w:rsidP="00280B49">
      <w:pPr>
        <w:rPr>
          <w:rFonts w:ascii="Palatino Linotype" w:eastAsia="Palatino Linotype" w:hAnsi="Palatino Linotype" w:cs="Palatino Linotype"/>
          <w:sz w:val="24"/>
          <w:szCs w:val="24"/>
        </w:rPr>
      </w:pPr>
    </w:p>
    <w:p w:rsidR="00280B49" w:rsidRPr="00280B49" w:rsidRDefault="00280B49" w:rsidP="00280B49">
      <w:pPr>
        <w:rPr>
          <w:rFonts w:ascii="Palatino Linotype" w:eastAsia="Palatino Linotype" w:hAnsi="Palatino Linotype" w:cs="Palatino Linotype"/>
          <w:sz w:val="24"/>
          <w:szCs w:val="24"/>
        </w:rPr>
      </w:pPr>
    </w:p>
    <w:p w:rsidR="00280B49" w:rsidRDefault="00280B49" w:rsidP="00280B49">
      <w:pPr>
        <w:rPr>
          <w:rFonts w:ascii="Palatino Linotype" w:eastAsia="Palatino Linotype" w:hAnsi="Palatino Linotype" w:cs="Palatino Linotype"/>
          <w:sz w:val="24"/>
          <w:szCs w:val="24"/>
        </w:rPr>
      </w:pPr>
    </w:p>
    <w:p w:rsidR="00280B49" w:rsidRDefault="00280B49" w:rsidP="00280B49">
      <w:pPr>
        <w:tabs>
          <w:tab w:val="left" w:pos="1380"/>
        </w:tabs>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b/>
      </w:r>
    </w:p>
    <w:p w:rsidR="00280B49" w:rsidRDefault="00280B49">
      <w:pPr>
        <w:rPr>
          <w:rFonts w:ascii="Palatino Linotype" w:eastAsia="Palatino Linotype" w:hAnsi="Palatino Linotype" w:cs="Palatino Linotype"/>
          <w:sz w:val="24"/>
          <w:szCs w:val="24"/>
        </w:rPr>
        <w:sectPr w:rsidR="00280B49" w:rsidSect="00C01CBF">
          <w:headerReference w:type="even" r:id="rId10"/>
          <w:headerReference w:type="default" r:id="rId11"/>
          <w:footerReference w:type="even" r:id="rId12"/>
          <w:footerReference w:type="default" r:id="rId13"/>
          <w:headerReference w:type="first" r:id="rId14"/>
          <w:footerReference w:type="first" r:id="rId15"/>
          <w:pgSz w:w="12240" w:h="15840"/>
          <w:pgMar w:top="1240" w:right="1260" w:bottom="280" w:left="1340" w:header="288" w:footer="864" w:gutter="0"/>
          <w:pgNumType w:start="1"/>
          <w:cols w:space="720"/>
          <w:titlePg/>
          <w:docGrid w:linePitch="272"/>
        </w:sectPr>
      </w:pPr>
      <w:r>
        <w:rPr>
          <w:rFonts w:ascii="Palatino Linotype" w:eastAsia="Palatino Linotype" w:hAnsi="Palatino Linotype" w:cs="Palatino Linotype"/>
          <w:sz w:val="24"/>
          <w:szCs w:val="24"/>
        </w:rPr>
        <w:br w:type="page"/>
      </w:r>
    </w:p>
    <w:p w:rsidR="00280B49" w:rsidRDefault="00280B49">
      <w:pPr>
        <w:rPr>
          <w:rFonts w:ascii="Palatino Linotype" w:eastAsia="Palatino Linotype" w:hAnsi="Palatino Linotype" w:cs="Palatino Linotype"/>
          <w:sz w:val="24"/>
          <w:szCs w:val="24"/>
        </w:rPr>
      </w:pPr>
    </w:p>
    <w:p w:rsidR="00280B49" w:rsidRDefault="00280B49" w:rsidP="00280B49">
      <w:pPr>
        <w:tabs>
          <w:tab w:val="left" w:pos="1380"/>
        </w:tabs>
        <w:rPr>
          <w:rFonts w:ascii="Palatino Linotype" w:eastAsia="Palatino Linotype" w:hAnsi="Palatino Linotype" w:cs="Palatino Linotype"/>
          <w:sz w:val="24"/>
          <w:szCs w:val="24"/>
        </w:rPr>
      </w:pPr>
    </w:p>
    <w:p w:rsidR="00280B49" w:rsidRDefault="00280B49" w:rsidP="00280B49">
      <w:pPr>
        <w:tabs>
          <w:tab w:val="left" w:pos="1380"/>
        </w:tabs>
        <w:rPr>
          <w:rFonts w:ascii="Palatino Linotype" w:eastAsia="Palatino Linotype" w:hAnsi="Palatino Linotype" w:cs="Palatino Linotype"/>
          <w:sz w:val="24"/>
          <w:szCs w:val="24"/>
        </w:rPr>
      </w:pPr>
    </w:p>
    <w:p w:rsidR="00280B49" w:rsidRDefault="00280B49" w:rsidP="00280B49">
      <w:pPr>
        <w:tabs>
          <w:tab w:val="left" w:pos="1380"/>
        </w:tabs>
        <w:rPr>
          <w:rFonts w:ascii="Palatino Linotype" w:eastAsia="Palatino Linotype" w:hAnsi="Palatino Linotype" w:cs="Palatino Linotype"/>
          <w:sz w:val="24"/>
          <w:szCs w:val="24"/>
        </w:rPr>
      </w:pPr>
    </w:p>
    <w:p w:rsidR="00280B49" w:rsidRDefault="00280B49" w:rsidP="00280B49">
      <w:pPr>
        <w:tabs>
          <w:tab w:val="left" w:pos="1380"/>
        </w:tabs>
        <w:rPr>
          <w:rFonts w:ascii="Palatino Linotype" w:eastAsia="Palatino Linotype" w:hAnsi="Palatino Linotype" w:cs="Palatino Linotype"/>
          <w:sz w:val="24"/>
          <w:szCs w:val="24"/>
        </w:rPr>
      </w:pPr>
    </w:p>
    <w:p w:rsidR="00280B49" w:rsidRDefault="00280B49" w:rsidP="00280B49">
      <w:pPr>
        <w:tabs>
          <w:tab w:val="left" w:pos="1380"/>
        </w:tabs>
        <w:rPr>
          <w:rFonts w:ascii="Palatino Linotype" w:eastAsia="Palatino Linotype" w:hAnsi="Palatino Linotype" w:cs="Palatino Linotype"/>
          <w:sz w:val="24"/>
          <w:szCs w:val="24"/>
        </w:rPr>
      </w:pPr>
    </w:p>
    <w:p w:rsidR="00280B49" w:rsidRDefault="00280B49" w:rsidP="00280B49">
      <w:pPr>
        <w:tabs>
          <w:tab w:val="left" w:pos="1380"/>
        </w:tabs>
        <w:rPr>
          <w:rFonts w:ascii="Palatino Linotype" w:eastAsia="Palatino Linotype" w:hAnsi="Palatino Linotype" w:cs="Palatino Linotype"/>
          <w:sz w:val="24"/>
          <w:szCs w:val="24"/>
        </w:rPr>
      </w:pPr>
    </w:p>
    <w:p w:rsidR="00280B49" w:rsidRDefault="00280B49" w:rsidP="00280B49">
      <w:pPr>
        <w:tabs>
          <w:tab w:val="left" w:pos="1380"/>
        </w:tabs>
        <w:rPr>
          <w:rFonts w:ascii="Palatino Linotype" w:eastAsia="Palatino Linotype" w:hAnsi="Palatino Linotype" w:cs="Palatino Linotype"/>
          <w:sz w:val="24"/>
          <w:szCs w:val="24"/>
        </w:rPr>
      </w:pPr>
    </w:p>
    <w:p w:rsidR="00280B49" w:rsidRDefault="00280B49" w:rsidP="00280B49">
      <w:pPr>
        <w:tabs>
          <w:tab w:val="left" w:pos="1380"/>
        </w:tabs>
        <w:rPr>
          <w:rFonts w:ascii="Palatino Linotype" w:eastAsia="Palatino Linotype" w:hAnsi="Palatino Linotype" w:cs="Palatino Linotype"/>
          <w:sz w:val="24"/>
          <w:szCs w:val="24"/>
        </w:rPr>
      </w:pPr>
    </w:p>
    <w:p w:rsidR="00280B49" w:rsidRDefault="00280B49" w:rsidP="00280B49">
      <w:pPr>
        <w:tabs>
          <w:tab w:val="left" w:pos="1380"/>
        </w:tabs>
        <w:rPr>
          <w:rFonts w:ascii="Palatino Linotype" w:eastAsia="Palatino Linotype" w:hAnsi="Palatino Linotype" w:cs="Palatino Linotype"/>
          <w:sz w:val="24"/>
          <w:szCs w:val="24"/>
        </w:rPr>
      </w:pPr>
    </w:p>
    <w:p w:rsidR="00280B49" w:rsidRDefault="00280B49" w:rsidP="00280B49">
      <w:pPr>
        <w:tabs>
          <w:tab w:val="left" w:pos="1380"/>
        </w:tabs>
        <w:jc w:val="center"/>
        <w:rPr>
          <w:rFonts w:ascii="Palatino Linotype" w:eastAsia="Palatino Linotype" w:hAnsi="Palatino Linotype" w:cs="Palatino Linotype"/>
          <w:b/>
          <w:sz w:val="52"/>
          <w:szCs w:val="52"/>
        </w:rPr>
      </w:pPr>
    </w:p>
    <w:p w:rsidR="00280B49" w:rsidRPr="00280B49" w:rsidRDefault="00280B49" w:rsidP="00280B49">
      <w:pPr>
        <w:tabs>
          <w:tab w:val="left" w:pos="1380"/>
        </w:tabs>
        <w:jc w:val="center"/>
        <w:rPr>
          <w:rFonts w:ascii="Palatino Linotype" w:eastAsia="Palatino Linotype" w:hAnsi="Palatino Linotype" w:cs="Palatino Linotype"/>
          <w:b/>
          <w:sz w:val="52"/>
          <w:szCs w:val="52"/>
        </w:rPr>
      </w:pPr>
      <w:r w:rsidRPr="00280B49">
        <w:rPr>
          <w:rFonts w:ascii="Palatino Linotype" w:eastAsia="Palatino Linotype" w:hAnsi="Palatino Linotype" w:cs="Palatino Linotype"/>
          <w:b/>
          <w:sz w:val="52"/>
          <w:szCs w:val="52"/>
        </w:rPr>
        <w:t>APPENDIX</w:t>
      </w:r>
    </w:p>
    <w:p w:rsidR="00280B49" w:rsidRPr="00280B49" w:rsidRDefault="00280B49" w:rsidP="00280B49">
      <w:pPr>
        <w:rPr>
          <w:rFonts w:ascii="Palatino Linotype" w:eastAsia="Palatino Linotype" w:hAnsi="Palatino Linotype" w:cs="Palatino Linotype"/>
          <w:b/>
          <w:sz w:val="24"/>
          <w:szCs w:val="24"/>
        </w:rPr>
      </w:pPr>
    </w:p>
    <w:p w:rsidR="00280B49" w:rsidRDefault="00280B49" w:rsidP="00280B49">
      <w:pPr>
        <w:rPr>
          <w:rFonts w:ascii="Palatino Linotype" w:eastAsia="Palatino Linotype" w:hAnsi="Palatino Linotype" w:cs="Palatino Linotype"/>
          <w:sz w:val="24"/>
          <w:szCs w:val="24"/>
        </w:rPr>
        <w:sectPr w:rsidR="00280B49" w:rsidSect="00280B49">
          <w:headerReference w:type="first" r:id="rId16"/>
          <w:footerReference w:type="first" r:id="rId17"/>
          <w:type w:val="continuous"/>
          <w:pgSz w:w="12240" w:h="15840"/>
          <w:pgMar w:top="1240" w:right="1260" w:bottom="280" w:left="1340" w:header="288" w:footer="864" w:gutter="0"/>
          <w:pgNumType w:start="1"/>
          <w:cols w:space="720"/>
          <w:titlePg/>
          <w:docGrid w:linePitch="272"/>
        </w:sectPr>
      </w:pPr>
    </w:p>
    <w:p w:rsidR="00AF4984" w:rsidRDefault="00280B49" w:rsidP="00280B49">
      <w:pPr>
        <w:rPr>
          <w:rFonts w:ascii="Palatino Linotype" w:eastAsia="Palatino Linotype" w:hAnsi="Palatino Linotype" w:cs="Palatino Linotype"/>
          <w:sz w:val="24"/>
          <w:szCs w:val="24"/>
        </w:rPr>
        <w:sectPr w:rsidR="00AF4984" w:rsidSect="00280B49">
          <w:footerReference w:type="first" r:id="rId18"/>
          <w:type w:val="continuous"/>
          <w:pgSz w:w="12240" w:h="15840"/>
          <w:pgMar w:top="1240" w:right="1260" w:bottom="280" w:left="1340" w:header="288" w:footer="864" w:gutter="0"/>
          <w:pgNumType w:start="1"/>
          <w:cols w:space="720"/>
          <w:titlePg/>
          <w:docGrid w:linePitch="272"/>
        </w:sectPr>
      </w:pPr>
      <w:r w:rsidRPr="001D2B74">
        <w:rPr>
          <w:rFonts w:eastAsia="Palatino Linotype"/>
          <w:noProof/>
          <w:lang w:eastAsia="zh-TW"/>
        </w:rPr>
        <w:lastRenderedPageBreak/>
        <w:drawing>
          <wp:inline distT="0" distB="0" distL="0" distR="0" wp14:anchorId="5E17E3A3" wp14:editId="5584D55B">
            <wp:extent cx="4681728" cy="8220456"/>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1728" cy="8220456"/>
                    </a:xfrm>
                    <a:prstGeom prst="rect">
                      <a:avLst/>
                    </a:prstGeom>
                    <a:noFill/>
                    <a:ln>
                      <a:noFill/>
                    </a:ln>
                  </pic:spPr>
                </pic:pic>
              </a:graphicData>
            </a:graphic>
          </wp:inline>
        </w:drawing>
      </w:r>
    </w:p>
    <w:p w:rsidR="00A722B5" w:rsidRPr="00280B49" w:rsidRDefault="00A722B5" w:rsidP="00280B49">
      <w:pPr>
        <w:rPr>
          <w:rFonts w:ascii="Palatino Linotype" w:eastAsia="Palatino Linotype" w:hAnsi="Palatino Linotype" w:cs="Palatino Linotype"/>
          <w:sz w:val="24"/>
          <w:szCs w:val="24"/>
        </w:rPr>
        <w:sectPr w:rsidR="00A722B5" w:rsidRPr="00280B49" w:rsidSect="00280B49">
          <w:type w:val="continuous"/>
          <w:pgSz w:w="12240" w:h="15840"/>
          <w:pgMar w:top="1240" w:right="1260" w:bottom="280" w:left="1340" w:header="288" w:footer="864" w:gutter="0"/>
          <w:pgNumType w:start="1"/>
          <w:cols w:space="720"/>
          <w:titlePg/>
          <w:docGrid w:linePitch="272"/>
        </w:sectPr>
      </w:pPr>
    </w:p>
    <w:p w:rsidR="00280B49" w:rsidRDefault="00280B49" w:rsidP="00984F02">
      <w:pPr>
        <w:spacing w:before="2"/>
        <w:ind w:right="10"/>
        <w:jc w:val="center"/>
        <w:rPr>
          <w:rFonts w:ascii="Palatino Linotype" w:eastAsia="Palatino Linotype" w:hAnsi="Palatino Linotype" w:cs="Palatino Linotype"/>
          <w:sz w:val="24"/>
          <w:szCs w:val="24"/>
        </w:rPr>
        <w:sectPr w:rsidR="00280B49">
          <w:headerReference w:type="default" r:id="rId20"/>
          <w:footerReference w:type="default" r:id="rId21"/>
          <w:pgSz w:w="12240" w:h="15840"/>
          <w:pgMar w:top="1440" w:right="1440" w:bottom="1440" w:left="1440" w:header="720" w:footer="720" w:gutter="0"/>
          <w:cols w:space="720"/>
          <w:docGrid w:linePitch="360"/>
        </w:sectPr>
      </w:pPr>
      <w:bookmarkStart w:id="1" w:name="RANGE!A1:I60"/>
      <w:bookmarkEnd w:id="1"/>
    </w:p>
    <w:p w:rsidR="006468D2" w:rsidRDefault="006468D2" w:rsidP="00984F02">
      <w:pPr>
        <w:spacing w:before="2"/>
        <w:ind w:right="10"/>
        <w:jc w:val="center"/>
        <w:rPr>
          <w:rFonts w:ascii="Palatino Linotype" w:eastAsia="Palatino Linotype" w:hAnsi="Palatino Linotype" w:cs="Palatino Linotype"/>
          <w:sz w:val="24"/>
          <w:szCs w:val="24"/>
        </w:rPr>
      </w:pPr>
    </w:p>
    <w:p w:rsidR="001507AA" w:rsidRDefault="001507AA" w:rsidP="001D2B74">
      <w:pPr>
        <w:tabs>
          <w:tab w:val="left" w:pos="1392"/>
        </w:tabs>
        <w:rPr>
          <w:rFonts w:ascii="Palatino Linotype" w:eastAsia="Palatino Linotype" w:hAnsi="Palatino Linotype" w:cs="Palatino Linotype"/>
          <w:sz w:val="24"/>
          <w:szCs w:val="24"/>
        </w:rPr>
      </w:pPr>
      <w:r w:rsidRPr="001507AA">
        <w:rPr>
          <w:rFonts w:ascii="Palatino Linotype" w:eastAsia="Palatino Linotype" w:hAnsi="Palatino Linotype" w:cs="Palatino Linotype"/>
          <w:noProof/>
          <w:sz w:val="24"/>
          <w:szCs w:val="24"/>
          <w:lang w:eastAsia="zh-TW"/>
        </w:rPr>
        <w:drawing>
          <wp:inline distT="0" distB="0" distL="0" distR="0" wp14:anchorId="00EF0F35" wp14:editId="6E2715F7">
            <wp:extent cx="5829300" cy="7543800"/>
            <wp:effectExtent l="0" t="0" r="0" b="0"/>
            <wp:docPr id="2" name="Picture 2" descr="D:\NECA Letter 2018-05-08_Appendix B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NECA Letter 2018-05-08_Appendix B_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1507AA" w:rsidSect="00280B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8D" w:rsidRDefault="0095068D">
      <w:r>
        <w:separator/>
      </w:r>
    </w:p>
  </w:endnote>
  <w:endnote w:type="continuationSeparator" w:id="0">
    <w:p w:rsidR="0095068D" w:rsidRDefault="0095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8E" w:rsidRDefault="002A4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02806"/>
      <w:docPartObj>
        <w:docPartGallery w:val="Page Numbers (Bottom of Page)"/>
        <w:docPartUnique/>
      </w:docPartObj>
    </w:sdtPr>
    <w:sdtEndPr>
      <w:rPr>
        <w:rFonts w:ascii="Palatino Linotype" w:hAnsi="Palatino Linotype"/>
        <w:noProof/>
        <w:sz w:val="24"/>
      </w:rPr>
    </w:sdtEndPr>
    <w:sdtContent>
      <w:p w:rsidR="003D4BBA" w:rsidRDefault="003D4BBA">
        <w:pPr>
          <w:pStyle w:val="Footer"/>
          <w:jc w:val="center"/>
        </w:pPr>
      </w:p>
      <w:p w:rsidR="004F100D" w:rsidRPr="00B81E35" w:rsidRDefault="004F100D">
        <w:pPr>
          <w:pStyle w:val="Footer"/>
          <w:jc w:val="center"/>
          <w:rPr>
            <w:rFonts w:ascii="Palatino Linotype" w:hAnsi="Palatino Linotype"/>
            <w:sz w:val="24"/>
          </w:rPr>
        </w:pPr>
        <w:r w:rsidRPr="00B81E35">
          <w:rPr>
            <w:rFonts w:ascii="Palatino Linotype" w:hAnsi="Palatino Linotype"/>
            <w:sz w:val="24"/>
          </w:rPr>
          <w:fldChar w:fldCharType="begin"/>
        </w:r>
        <w:r w:rsidRPr="00B81E35">
          <w:rPr>
            <w:rFonts w:ascii="Palatino Linotype" w:hAnsi="Palatino Linotype"/>
            <w:sz w:val="24"/>
          </w:rPr>
          <w:instrText xml:space="preserve"> PAGE   \* MERGEFORMAT </w:instrText>
        </w:r>
        <w:r w:rsidRPr="00B81E35">
          <w:rPr>
            <w:rFonts w:ascii="Palatino Linotype" w:hAnsi="Palatino Linotype"/>
            <w:sz w:val="24"/>
          </w:rPr>
          <w:fldChar w:fldCharType="separate"/>
        </w:r>
        <w:r w:rsidR="00B346B7">
          <w:rPr>
            <w:rFonts w:ascii="Palatino Linotype" w:hAnsi="Palatino Linotype"/>
            <w:noProof/>
            <w:sz w:val="24"/>
          </w:rPr>
          <w:t>9</w:t>
        </w:r>
        <w:r w:rsidRPr="00B81E35">
          <w:rPr>
            <w:rFonts w:ascii="Palatino Linotype" w:hAnsi="Palatino Linotype"/>
            <w:noProof/>
            <w:sz w:val="24"/>
          </w:rPr>
          <w:fldChar w:fldCharType="end"/>
        </w:r>
      </w:p>
    </w:sdtContent>
  </w:sdt>
  <w:p w:rsidR="004F100D" w:rsidRDefault="004F100D">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87" w:rsidRDefault="001F6187">
    <w:pPr>
      <w:pStyle w:val="Footer"/>
      <w:rPr>
        <w:rFonts w:ascii="Tahoma" w:hAnsi="Tahoma" w:cs="Tahoma"/>
        <w:sz w:val="17"/>
        <w:szCs w:val="17"/>
      </w:rPr>
    </w:pPr>
  </w:p>
  <w:p w:rsidR="006B0851" w:rsidRDefault="002A4E8E">
    <w:pPr>
      <w:pStyle w:val="Footer"/>
      <w:rPr>
        <w:rFonts w:ascii="Tahoma" w:hAnsi="Tahoma" w:cs="Tahoma"/>
        <w:sz w:val="17"/>
        <w:szCs w:val="17"/>
      </w:rPr>
    </w:pPr>
    <w:r>
      <w:rPr>
        <w:rFonts w:ascii="Tahoma" w:hAnsi="Tahoma" w:cs="Tahoma"/>
        <w:sz w:val="17"/>
        <w:szCs w:val="17"/>
      </w:rPr>
      <w:t>217559901</w:t>
    </w:r>
  </w:p>
  <w:p w:rsidR="002A4E8E" w:rsidRDefault="002A4E8E">
    <w:pPr>
      <w:pStyle w:val="Footer"/>
      <w:rPr>
        <w:rFonts w:ascii="Tahoma" w:hAnsi="Tahoma" w:cs="Tahoma"/>
        <w:sz w:val="17"/>
        <w:szCs w:val="17"/>
      </w:rPr>
    </w:pPr>
  </w:p>
  <w:p w:rsidR="004F100D" w:rsidRDefault="004F100D">
    <w:pPr>
      <w:pStyle w:val="Footer"/>
    </w:pPr>
    <w:r>
      <w:rPr>
        <w:rFonts w:ascii="Tahoma" w:hAnsi="Tahoma" w:cs="Tahoma"/>
        <w:sz w:val="17"/>
        <w:szCs w:val="17"/>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49" w:rsidRDefault="00280B49">
    <w:pPr>
      <w:pStyle w:val="Footer"/>
      <w:rPr>
        <w:rFonts w:ascii="Tahoma" w:hAnsi="Tahoma" w:cs="Tahoma"/>
        <w:sz w:val="17"/>
        <w:szCs w:val="17"/>
      </w:rPr>
    </w:pPr>
  </w:p>
  <w:p w:rsidR="00280B49" w:rsidRDefault="00280B49">
    <w:pPr>
      <w:pStyle w:val="Footer"/>
      <w:rPr>
        <w:rFonts w:ascii="Tahoma" w:hAnsi="Tahoma" w:cs="Tahoma"/>
        <w:sz w:val="17"/>
        <w:szCs w:val="17"/>
      </w:rPr>
    </w:pPr>
  </w:p>
  <w:p w:rsidR="00280B49" w:rsidRDefault="00280B49">
    <w:pPr>
      <w:pStyle w:val="Footer"/>
    </w:pPr>
    <w:r>
      <w:rPr>
        <w:rFonts w:ascii="Tahoma" w:hAnsi="Tahoma" w:cs="Tahoma"/>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84" w:rsidRPr="00AF4984" w:rsidRDefault="00AF4984" w:rsidP="00AF4984">
    <w:pPr>
      <w:pStyle w:val="Footer"/>
      <w:jc w:val="center"/>
      <w:rPr>
        <w:rFonts w:ascii="Palatino Linotype" w:hAnsi="Palatino Linotype" w:cs="Tahoma"/>
      </w:rPr>
    </w:pPr>
    <w:r w:rsidRPr="00AF4984">
      <w:rPr>
        <w:rFonts w:ascii="Palatino Linotype" w:hAnsi="Palatino Linotype" w:cs="Tahoma"/>
      </w:rPr>
      <w:t>End of Appendix A-1</w:t>
    </w:r>
  </w:p>
  <w:p w:rsidR="00AF4984" w:rsidRPr="00AF4984" w:rsidRDefault="00AF4984">
    <w:pPr>
      <w:pStyle w:val="Footer"/>
      <w:rPr>
        <w:rFonts w:ascii="Palatino Linotype" w:hAnsi="Palatino Linotype" w:cs="Tahoma"/>
      </w:rPr>
    </w:pPr>
  </w:p>
  <w:p w:rsidR="00AF4984" w:rsidRPr="00AF4984" w:rsidRDefault="00AF4984">
    <w:pPr>
      <w:pStyle w:val="Footer"/>
      <w:rPr>
        <w:rFonts w:ascii="Palatino Linotype" w:hAnsi="Palatino Linotype"/>
      </w:rPr>
    </w:pPr>
    <w:r w:rsidRPr="00AF4984">
      <w:rPr>
        <w:rFonts w:ascii="Palatino Linotype" w:hAnsi="Palatino Linotype" w:cs="Tahoma"/>
        <w:sz w:val="17"/>
        <w:szCs w:val="17"/>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49" w:rsidRPr="00AF4984" w:rsidRDefault="00AF4984" w:rsidP="00AF4984">
    <w:pPr>
      <w:pStyle w:val="Footer"/>
      <w:jc w:val="center"/>
      <w:rPr>
        <w:rFonts w:ascii="Palatino Linotype" w:hAnsi="Palatino Linotype"/>
      </w:rPr>
    </w:pPr>
    <w:r w:rsidRPr="00AF4984">
      <w:rPr>
        <w:rFonts w:ascii="Palatino Linotype" w:hAnsi="Palatino Linotype"/>
      </w:rPr>
      <w:t>End of Appendix B-1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8D" w:rsidRDefault="0095068D">
      <w:r>
        <w:separator/>
      </w:r>
    </w:p>
  </w:footnote>
  <w:footnote w:type="continuationSeparator" w:id="0">
    <w:p w:rsidR="0095068D" w:rsidRDefault="0095068D">
      <w:r>
        <w:continuationSeparator/>
      </w:r>
    </w:p>
  </w:footnote>
  <w:footnote w:id="1">
    <w:p w:rsidR="00B40818" w:rsidRDefault="00B40818" w:rsidP="00B40818">
      <w:pPr>
        <w:pStyle w:val="FootnoteText"/>
      </w:pPr>
      <w:r>
        <w:rPr>
          <w:rStyle w:val="FootnoteReference"/>
        </w:rPr>
        <w:footnoteRef/>
      </w:r>
      <w:r>
        <w:t xml:space="preserve"> On November 30, 2017, the Commission issued D.</w:t>
      </w:r>
      <w:r w:rsidR="0014339C">
        <w:t>17-11-016</w:t>
      </w:r>
      <w:r>
        <w:t xml:space="preserve"> and ordered that if Sierra’s then-current income tax rate changes on or after January 1, 2018 and after the decision is issued in this case, Sierra shall file a Tier 2 Advice Letter with revised revenue requirement within 30-days of the tax change taking effect.  </w:t>
      </w:r>
    </w:p>
  </w:footnote>
  <w:footnote w:id="2">
    <w:p w:rsidR="00B40818" w:rsidRDefault="00B40818" w:rsidP="00B40818">
      <w:pPr>
        <w:pStyle w:val="FootnoteText"/>
      </w:pPr>
      <w:r>
        <w:rPr>
          <w:rStyle w:val="FootnoteReference"/>
        </w:rPr>
        <w:footnoteRef/>
      </w:r>
      <w:r>
        <w:t xml:space="preserve"> Sierra’s adopted revenue requirement for TY 2018 per D.</w:t>
      </w:r>
      <w:r w:rsidR="0014339C">
        <w:t xml:space="preserve">17-11-016 </w:t>
      </w:r>
      <w:r>
        <w:t>was based on a 34% federal income tax rate.</w:t>
      </w:r>
    </w:p>
  </w:footnote>
  <w:footnote w:id="3">
    <w:p w:rsidR="00721051" w:rsidRDefault="00721051" w:rsidP="00721051">
      <w:pPr>
        <w:pStyle w:val="FootnoteText"/>
      </w:pPr>
      <w:r>
        <w:rPr>
          <w:rStyle w:val="FootnoteReference"/>
        </w:rPr>
        <w:footnoteRef/>
      </w:r>
      <w:r>
        <w:t xml:space="preserve"> See Appendix B.</w:t>
      </w:r>
    </w:p>
  </w:footnote>
  <w:footnote w:id="4">
    <w:p w:rsidR="00001FB4" w:rsidRDefault="00001FB4">
      <w:pPr>
        <w:pStyle w:val="FootnoteText"/>
      </w:pPr>
      <w:r>
        <w:rPr>
          <w:rStyle w:val="FootnoteReference"/>
        </w:rPr>
        <w:footnoteRef/>
      </w:r>
      <w:r>
        <w:t xml:space="preserve"> Staff also corrects for Sierra’s removal of the entire excess deferred tax balance from rate base.</w:t>
      </w:r>
    </w:p>
  </w:footnote>
  <w:footnote w:id="5">
    <w:p w:rsidR="00C0483C" w:rsidRDefault="00C0483C">
      <w:pPr>
        <w:pStyle w:val="FootnoteText"/>
      </w:pPr>
      <w:r>
        <w:rPr>
          <w:rStyle w:val="FootnoteReference"/>
        </w:rPr>
        <w:footnoteRef/>
      </w:r>
      <w:r>
        <w:t xml:space="preserve"> Energy Division agrees with CD’s proposed methodology.  Water Division’s methodology is quite similar, but further considers changes to franchise fees and </w:t>
      </w:r>
      <w:proofErr w:type="spellStart"/>
      <w:r>
        <w:t>uncollectibles</w:t>
      </w:r>
      <w:proofErr w:type="spellEnd"/>
      <w:r>
        <w:t xml:space="preserve">, which is not a </w:t>
      </w:r>
      <w:r w:rsidR="00A07ADF">
        <w:t>material factor for communications companies.</w:t>
      </w:r>
      <w:r>
        <w:t xml:space="preserve"> </w:t>
      </w:r>
    </w:p>
  </w:footnote>
  <w:footnote w:id="6">
    <w:p w:rsidR="0048381C" w:rsidRDefault="0048381C" w:rsidP="0048381C">
      <w:pPr>
        <w:pStyle w:val="FootnoteText"/>
      </w:pPr>
      <w:r>
        <w:rPr>
          <w:rStyle w:val="FootnoteReference"/>
        </w:rPr>
        <w:footnoteRef/>
      </w:r>
      <w:r>
        <w:t xml:space="preserve"> I</w:t>
      </w:r>
      <w:r w:rsidR="008C2BAF">
        <w:t xml:space="preserve">nternal </w:t>
      </w:r>
      <w:r>
        <w:t>R</w:t>
      </w:r>
      <w:r w:rsidR="008C2BAF">
        <w:t xml:space="preserve">evenue </w:t>
      </w:r>
      <w:r>
        <w:t>C</w:t>
      </w:r>
      <w:r w:rsidR="008C2BAF">
        <w:t>ode</w:t>
      </w:r>
      <w:r>
        <w:t xml:space="preserve"> Sec. 168(f</w:t>
      </w:r>
      <w:proofErr w:type="gramStart"/>
      <w:r>
        <w:t>)(</w:t>
      </w:r>
      <w:proofErr w:type="gramEnd"/>
      <w:r>
        <w:t>2) contain normalization requirements.</w:t>
      </w:r>
    </w:p>
  </w:footnote>
  <w:footnote w:id="7">
    <w:p w:rsidR="00DB6CD7" w:rsidRDefault="00DB6CD7">
      <w:pPr>
        <w:pStyle w:val="FootnoteText"/>
      </w:pPr>
      <w:r>
        <w:rPr>
          <w:rStyle w:val="FootnoteReference"/>
        </w:rPr>
        <w:footnoteRef/>
      </w:r>
      <w:r>
        <w:t xml:space="preserve"> Section 13001(d) of the Tax Cuts and Jobs Act of 2017 P.L. 115-97.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8E" w:rsidRDefault="002A4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0D" w:rsidRDefault="004F100D" w:rsidP="001507AA"/>
  <w:p w:rsidR="00451741" w:rsidRDefault="004F100D">
    <w:pPr>
      <w:spacing w:line="200" w:lineRule="exact"/>
      <w:rPr>
        <w:rFonts w:ascii="Palatino Linotype" w:hAnsi="Palatino Linotype"/>
        <w:sz w:val="24"/>
        <w:szCs w:val="24"/>
      </w:rPr>
    </w:pPr>
    <w:r w:rsidRPr="002877B3">
      <w:rPr>
        <w:rFonts w:ascii="Palatino Linotype" w:hAnsi="Palatino Linotype"/>
        <w:sz w:val="24"/>
        <w:szCs w:val="24"/>
      </w:rPr>
      <w:t>Resolution T-176</w:t>
    </w:r>
    <w:r w:rsidR="00536910">
      <w:rPr>
        <w:rFonts w:ascii="Palatino Linotype" w:hAnsi="Palatino Linotype"/>
        <w:sz w:val="24"/>
        <w:szCs w:val="24"/>
      </w:rPr>
      <w:t>19</w:t>
    </w:r>
    <w:r w:rsidRPr="002877B3">
      <w:rPr>
        <w:rFonts w:ascii="Palatino Linotype" w:hAnsi="Palatino Linotype"/>
        <w:sz w:val="24"/>
        <w:szCs w:val="24"/>
      </w:rPr>
      <w:t xml:space="preserve">           </w:t>
    </w:r>
    <w:r w:rsidR="00280B49">
      <w:rPr>
        <w:rFonts w:ascii="Palatino Linotype" w:hAnsi="Palatino Linotype"/>
        <w:sz w:val="24"/>
        <w:szCs w:val="24"/>
      </w:rPr>
      <w:t xml:space="preserve">                         </w:t>
    </w:r>
    <w:r w:rsidRPr="002877B3">
      <w:rPr>
        <w:rFonts w:ascii="Palatino Linotype" w:hAnsi="Palatino Linotype"/>
        <w:sz w:val="24"/>
        <w:szCs w:val="24"/>
      </w:rPr>
      <w:t>DRAFT</w:t>
    </w:r>
    <w:r w:rsidR="00280B49">
      <w:rPr>
        <w:rFonts w:ascii="Palatino Linotype" w:hAnsi="Palatino Linotype"/>
        <w:sz w:val="24"/>
        <w:szCs w:val="24"/>
      </w:rPr>
      <w:t xml:space="preserve">                                           </w:t>
    </w:r>
  </w:p>
  <w:p w:rsidR="004F100D" w:rsidRDefault="004F100D" w:rsidP="00ED792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1"/>
        <w:sz w:val="24"/>
        <w:szCs w:val="24"/>
      </w:rPr>
      <w:t>\SNR</w:t>
    </w:r>
    <w:proofErr w:type="gramStart"/>
    <w:r>
      <w:rPr>
        <w:rFonts w:ascii="Palatino Linotype" w:eastAsia="Palatino Linotype" w:hAnsi="Palatino Linotype" w:cs="Palatino Linotype"/>
        <w:spacing w:val="1"/>
        <w:sz w:val="24"/>
        <w:szCs w:val="24"/>
      </w:rPr>
      <w:t>:FVR</w:t>
    </w:r>
    <w:proofErr w:type="gramEnd"/>
    <w:r w:rsidR="00280B49">
      <w:rPr>
        <w:rFonts w:ascii="Palatino Linotype" w:eastAsia="Palatino Linotype" w:hAnsi="Palatino Linotype" w:cs="Palatino Linotype"/>
        <w:spacing w:val="1"/>
        <w:sz w:val="24"/>
        <w:szCs w:val="24"/>
      </w:rPr>
      <w:t xml:space="preserve">                                                                                                    August 9, 2018</w:t>
    </w:r>
  </w:p>
  <w:p w:rsidR="004F100D" w:rsidRPr="002877B3" w:rsidRDefault="004F100D">
    <w:pPr>
      <w:spacing w:line="200" w:lineRule="exact"/>
      <w:rPr>
        <w:rFonts w:ascii="Palatino Linotype" w:hAnsi="Palatino Linotype"/>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0D" w:rsidRDefault="004F100D" w:rsidP="002877B3">
    <w:pPr>
      <w:spacing w:before="20"/>
      <w:rPr>
        <w:rFonts w:ascii="Palatino Linotype" w:eastAsia="Palatino Linotype" w:hAnsi="Palatino Linotype" w:cs="Palatino Linotype"/>
        <w:sz w:val="24"/>
        <w:szCs w:val="24"/>
      </w:rPr>
    </w:pPr>
  </w:p>
  <w:p w:rsidR="004F100D" w:rsidRDefault="004F100D" w:rsidP="002877B3">
    <w:pPr>
      <w:spacing w:before="20"/>
      <w:rPr>
        <w:rFonts w:ascii="Palatino Linotype" w:eastAsia="Palatino Linotype" w:hAnsi="Palatino Linotype" w:cs="Palatino Linotype"/>
        <w:sz w:val="24"/>
        <w:szCs w:val="24"/>
      </w:rPr>
    </w:pPr>
  </w:p>
  <w:p w:rsidR="0070621E" w:rsidRDefault="004F100D" w:rsidP="0070621E">
    <w:pPr>
      <w:spacing w:before="20"/>
      <w:rPr>
        <w:rFonts w:ascii="Palatino Linotype" w:eastAsia="Palatino Linotype" w:hAnsi="Palatino Linotype" w:cs="Palatino Linotype"/>
        <w:spacing w:val="-1"/>
        <w:sz w:val="24"/>
        <w:szCs w:val="24"/>
      </w:rPr>
    </w:pP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 T</w:t>
    </w:r>
    <w:r>
      <w:rPr>
        <w:rFonts w:ascii="Palatino Linotype" w:eastAsia="Palatino Linotype" w:hAnsi="Palatino Linotype" w:cs="Palatino Linotype"/>
        <w:spacing w:val="-1"/>
        <w:sz w:val="24"/>
        <w:szCs w:val="24"/>
      </w:rPr>
      <w:t>-176</w:t>
    </w:r>
    <w:r w:rsidR="0070621E">
      <w:rPr>
        <w:rFonts w:ascii="Palatino Linotype" w:eastAsia="Palatino Linotype" w:hAnsi="Palatino Linotype" w:cs="Palatino Linotype"/>
        <w:spacing w:val="-1"/>
        <w:sz w:val="24"/>
        <w:szCs w:val="24"/>
      </w:rPr>
      <w:t>1</w:t>
    </w:r>
    <w:r w:rsidR="00536910">
      <w:rPr>
        <w:rFonts w:ascii="Palatino Linotype" w:eastAsia="Palatino Linotype" w:hAnsi="Palatino Linotype" w:cs="Palatino Linotype"/>
        <w:spacing w:val="-1"/>
        <w:sz w:val="24"/>
        <w:szCs w:val="24"/>
      </w:rPr>
      <w:t>9</w:t>
    </w:r>
    <w:r>
      <w:rPr>
        <w:rFonts w:ascii="Palatino Linotype" w:eastAsia="Palatino Linotype" w:hAnsi="Palatino Linotype" w:cs="Palatino Linotype"/>
        <w:sz w:val="24"/>
        <w:szCs w:val="24"/>
      </w:rPr>
      <w:t xml:space="preserve">                                   DRAFT                                         </w:t>
    </w:r>
    <w:r>
      <w:rPr>
        <w:rFonts w:ascii="Palatino Linotype" w:eastAsia="Palatino Linotype" w:hAnsi="Palatino Linotype" w:cs="Palatino Linotype"/>
        <w:spacing w:val="13"/>
        <w:sz w:val="24"/>
        <w:szCs w:val="24"/>
      </w:rPr>
      <w:t xml:space="preserve"> </w:t>
    </w:r>
    <w:r>
      <w:rPr>
        <w:rFonts w:ascii="Palatino Linotype" w:eastAsia="Palatino Linotype" w:hAnsi="Palatino Linotype" w:cs="Palatino Linotype"/>
        <w:spacing w:val="-1"/>
        <w:sz w:val="24"/>
        <w:szCs w:val="24"/>
      </w:rPr>
      <w:t xml:space="preserve">   Agenda ID # </w:t>
    </w:r>
    <w:r w:rsidR="002A4E8E">
      <w:rPr>
        <w:rFonts w:ascii="Palatino Linotype" w:eastAsia="Palatino Linotype" w:hAnsi="Palatino Linotype" w:cs="Palatino Linotype"/>
        <w:spacing w:val="-1"/>
        <w:sz w:val="24"/>
        <w:szCs w:val="24"/>
      </w:rPr>
      <w:t>16661</w:t>
    </w:r>
  </w:p>
  <w:p w:rsidR="004F100D" w:rsidRDefault="004F100D" w:rsidP="0070621E">
    <w:pPr>
      <w:spacing w:before="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1"/>
        <w:sz w:val="24"/>
        <w:szCs w:val="24"/>
      </w:rPr>
      <w:t>\SNR</w:t>
    </w:r>
    <w:r w:rsidR="004E0F2C">
      <w:rPr>
        <w:rFonts w:ascii="Palatino Linotype" w:eastAsia="Palatino Linotype" w:hAnsi="Palatino Linotype" w:cs="Palatino Linotype"/>
        <w:spacing w:val="1"/>
        <w:sz w:val="24"/>
        <w:szCs w:val="24"/>
      </w:rPr>
      <w:t>: FVR</w:t>
    </w:r>
  </w:p>
  <w:p w:rsidR="004F100D" w:rsidRDefault="004F100D" w:rsidP="002877B3">
    <w:pPr>
      <w:spacing w:line="200" w:lineRule="exact"/>
    </w:pPr>
  </w:p>
  <w:p w:rsidR="004F100D" w:rsidRDefault="004F10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49" w:rsidRDefault="00280B49" w:rsidP="002877B3">
    <w:pPr>
      <w:spacing w:before="20"/>
      <w:rPr>
        <w:rFonts w:ascii="Palatino Linotype" w:eastAsia="Palatino Linotype" w:hAnsi="Palatino Linotype" w:cs="Palatino Linotype"/>
        <w:sz w:val="24"/>
        <w:szCs w:val="24"/>
      </w:rPr>
    </w:pPr>
  </w:p>
  <w:p w:rsidR="00280B49" w:rsidRDefault="00280B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49" w:rsidRDefault="00280B49" w:rsidP="001507AA"/>
  <w:p w:rsidR="00280B49" w:rsidRDefault="00280B49">
    <w:pPr>
      <w:spacing w:line="200" w:lineRule="exact"/>
      <w:rPr>
        <w:rFonts w:ascii="Palatino Linotype" w:hAnsi="Palatino Linotype"/>
        <w:sz w:val="24"/>
        <w:szCs w:val="24"/>
      </w:rPr>
    </w:pPr>
    <w:r w:rsidRPr="002877B3">
      <w:rPr>
        <w:rFonts w:ascii="Palatino Linotype" w:hAnsi="Palatino Linotype"/>
        <w:sz w:val="24"/>
        <w:szCs w:val="24"/>
      </w:rPr>
      <w:t>Resolution T-176</w:t>
    </w:r>
    <w:r>
      <w:rPr>
        <w:rFonts w:ascii="Palatino Linotype" w:hAnsi="Palatino Linotype"/>
        <w:sz w:val="24"/>
        <w:szCs w:val="24"/>
      </w:rPr>
      <w:t>19</w:t>
    </w:r>
    <w:r w:rsidRPr="002877B3">
      <w:rPr>
        <w:rFonts w:ascii="Palatino Linotype" w:hAnsi="Palatino Linotype"/>
        <w:sz w:val="24"/>
        <w:szCs w:val="24"/>
      </w:rPr>
      <w:t xml:space="preserve">           </w:t>
    </w:r>
    <w:r>
      <w:rPr>
        <w:rFonts w:ascii="Palatino Linotype" w:hAnsi="Palatino Linotype"/>
        <w:sz w:val="24"/>
        <w:szCs w:val="24"/>
      </w:rPr>
      <w:t xml:space="preserve">                                                                   </w:t>
    </w:r>
  </w:p>
  <w:p w:rsidR="00280B49" w:rsidRDefault="00280B49" w:rsidP="00ED792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1"/>
        <w:sz w:val="24"/>
        <w:szCs w:val="24"/>
      </w:rPr>
      <w:t>\SNR</w:t>
    </w:r>
    <w:proofErr w:type="gramStart"/>
    <w:r>
      <w:rPr>
        <w:rFonts w:ascii="Palatino Linotype" w:eastAsia="Palatino Linotype" w:hAnsi="Palatino Linotype" w:cs="Palatino Linotype"/>
        <w:spacing w:val="1"/>
        <w:sz w:val="24"/>
        <w:szCs w:val="24"/>
      </w:rPr>
      <w:t>:FVR</w:t>
    </w:r>
    <w:proofErr w:type="gramEnd"/>
    <w:r>
      <w:rPr>
        <w:rFonts w:ascii="Palatino Linotype" w:eastAsia="Palatino Linotype" w:hAnsi="Palatino Linotype" w:cs="Palatino Linotype"/>
        <w:spacing w:val="1"/>
        <w:sz w:val="24"/>
        <w:szCs w:val="24"/>
      </w:rPr>
      <w:t xml:space="preserve">                                                                                                    August 9, 2018</w:t>
    </w:r>
  </w:p>
  <w:p w:rsidR="00280B49" w:rsidRPr="002877B3" w:rsidRDefault="00280B49">
    <w:pPr>
      <w:spacing w:line="200" w:lineRule="exact"/>
      <w:rPr>
        <w:rFonts w:ascii="Palatino Linotype" w:hAnsi="Palatino Linotyp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E99"/>
    <w:multiLevelType w:val="hybridMultilevel"/>
    <w:tmpl w:val="BAC8435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1AF269D6"/>
    <w:multiLevelType w:val="hybridMultilevel"/>
    <w:tmpl w:val="285CCC6E"/>
    <w:lvl w:ilvl="0" w:tplc="2E749E14">
      <w:start w:val="1"/>
      <w:numFmt w:val="decimal"/>
      <w:lvlText w:val="%1."/>
      <w:lvlJc w:val="left"/>
      <w:pPr>
        <w:ind w:left="720" w:hanging="360"/>
      </w:pPr>
      <w:rPr>
        <w:rFonts w:ascii="Palatino Linotype" w:hAnsi="Palatino Linotype"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51548"/>
    <w:multiLevelType w:val="hybridMultilevel"/>
    <w:tmpl w:val="87C8913E"/>
    <w:lvl w:ilvl="0" w:tplc="66FEB4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62D9F"/>
    <w:multiLevelType w:val="hybridMultilevel"/>
    <w:tmpl w:val="ED30E918"/>
    <w:lvl w:ilvl="0" w:tplc="308CE190">
      <w:start w:val="1"/>
      <w:numFmt w:val="decimal"/>
      <w:lvlText w:val="%1."/>
      <w:lvlJc w:val="left"/>
      <w:pPr>
        <w:ind w:left="460" w:hanging="360"/>
      </w:pPr>
      <w:rPr>
        <w:rFonts w:ascii="Palatino Linotype" w:eastAsia="Palatino Linotype" w:hAnsi="Palatino Linotype" w:cs="Palatino Linotype" w:hint="default"/>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64944D6B"/>
    <w:multiLevelType w:val="multilevel"/>
    <w:tmpl w:val="76C4B9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7B425BF9"/>
    <w:multiLevelType w:val="hybridMultilevel"/>
    <w:tmpl w:val="81C8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1F"/>
    <w:rsid w:val="00001FB4"/>
    <w:rsid w:val="00002731"/>
    <w:rsid w:val="00010820"/>
    <w:rsid w:val="0001213C"/>
    <w:rsid w:val="0001309E"/>
    <w:rsid w:val="00013E2C"/>
    <w:rsid w:val="000174CB"/>
    <w:rsid w:val="0001782D"/>
    <w:rsid w:val="000235FB"/>
    <w:rsid w:val="00024257"/>
    <w:rsid w:val="00025C2C"/>
    <w:rsid w:val="00031057"/>
    <w:rsid w:val="00032BEF"/>
    <w:rsid w:val="000348F4"/>
    <w:rsid w:val="0004514F"/>
    <w:rsid w:val="000658CA"/>
    <w:rsid w:val="00065A08"/>
    <w:rsid w:val="00073446"/>
    <w:rsid w:val="00074970"/>
    <w:rsid w:val="00075AA3"/>
    <w:rsid w:val="0007738D"/>
    <w:rsid w:val="00077795"/>
    <w:rsid w:val="000805D9"/>
    <w:rsid w:val="00083C8F"/>
    <w:rsid w:val="000863B5"/>
    <w:rsid w:val="000A459C"/>
    <w:rsid w:val="000A65A8"/>
    <w:rsid w:val="000A76BA"/>
    <w:rsid w:val="000B30C9"/>
    <w:rsid w:val="000B670E"/>
    <w:rsid w:val="000B7DBB"/>
    <w:rsid w:val="000C294B"/>
    <w:rsid w:val="000C578E"/>
    <w:rsid w:val="000C79CE"/>
    <w:rsid w:val="000D223F"/>
    <w:rsid w:val="000D2432"/>
    <w:rsid w:val="000D258C"/>
    <w:rsid w:val="000D7016"/>
    <w:rsid w:val="000E19E2"/>
    <w:rsid w:val="000E58D1"/>
    <w:rsid w:val="0011050A"/>
    <w:rsid w:val="00117DBA"/>
    <w:rsid w:val="00120E3A"/>
    <w:rsid w:val="00124978"/>
    <w:rsid w:val="001266FC"/>
    <w:rsid w:val="00133A94"/>
    <w:rsid w:val="0014232E"/>
    <w:rsid w:val="0014339C"/>
    <w:rsid w:val="001433A1"/>
    <w:rsid w:val="00144861"/>
    <w:rsid w:val="00144D1F"/>
    <w:rsid w:val="001452A8"/>
    <w:rsid w:val="001507AA"/>
    <w:rsid w:val="00150B2D"/>
    <w:rsid w:val="00151559"/>
    <w:rsid w:val="00153FB8"/>
    <w:rsid w:val="00155638"/>
    <w:rsid w:val="00157D76"/>
    <w:rsid w:val="0016006B"/>
    <w:rsid w:val="00162740"/>
    <w:rsid w:val="00163D29"/>
    <w:rsid w:val="00165079"/>
    <w:rsid w:val="00166441"/>
    <w:rsid w:val="001676A1"/>
    <w:rsid w:val="00167F2A"/>
    <w:rsid w:val="00171041"/>
    <w:rsid w:val="00172409"/>
    <w:rsid w:val="00172BD6"/>
    <w:rsid w:val="001775E5"/>
    <w:rsid w:val="00177CC9"/>
    <w:rsid w:val="00185426"/>
    <w:rsid w:val="0019205A"/>
    <w:rsid w:val="001A08BE"/>
    <w:rsid w:val="001A3CFC"/>
    <w:rsid w:val="001A40F8"/>
    <w:rsid w:val="001C531D"/>
    <w:rsid w:val="001D0E84"/>
    <w:rsid w:val="001D2B74"/>
    <w:rsid w:val="001D3AD1"/>
    <w:rsid w:val="001E2A2A"/>
    <w:rsid w:val="001E700F"/>
    <w:rsid w:val="001E7AAF"/>
    <w:rsid w:val="001F1656"/>
    <w:rsid w:val="001F5DE7"/>
    <w:rsid w:val="001F6187"/>
    <w:rsid w:val="0020341A"/>
    <w:rsid w:val="00204E51"/>
    <w:rsid w:val="002061B0"/>
    <w:rsid w:val="00213B1D"/>
    <w:rsid w:val="00214D21"/>
    <w:rsid w:val="00222AED"/>
    <w:rsid w:val="00223185"/>
    <w:rsid w:val="00225632"/>
    <w:rsid w:val="00227AEB"/>
    <w:rsid w:val="0023388E"/>
    <w:rsid w:val="00233E78"/>
    <w:rsid w:val="00243F84"/>
    <w:rsid w:val="002444E5"/>
    <w:rsid w:val="0025150D"/>
    <w:rsid w:val="002604B7"/>
    <w:rsid w:val="002640B5"/>
    <w:rsid w:val="00270A7C"/>
    <w:rsid w:val="002779EF"/>
    <w:rsid w:val="00280B49"/>
    <w:rsid w:val="002877B3"/>
    <w:rsid w:val="00287E34"/>
    <w:rsid w:val="00292F45"/>
    <w:rsid w:val="00297992"/>
    <w:rsid w:val="002A1772"/>
    <w:rsid w:val="002A4E8E"/>
    <w:rsid w:val="002A64B4"/>
    <w:rsid w:val="002B08F2"/>
    <w:rsid w:val="002B349A"/>
    <w:rsid w:val="002B5BB1"/>
    <w:rsid w:val="002B7231"/>
    <w:rsid w:val="002C2B85"/>
    <w:rsid w:val="002D5E56"/>
    <w:rsid w:val="002E5C3A"/>
    <w:rsid w:val="002F2073"/>
    <w:rsid w:val="00300E8E"/>
    <w:rsid w:val="00323513"/>
    <w:rsid w:val="00327962"/>
    <w:rsid w:val="00333DEC"/>
    <w:rsid w:val="003358BF"/>
    <w:rsid w:val="0033672A"/>
    <w:rsid w:val="003415F9"/>
    <w:rsid w:val="00342698"/>
    <w:rsid w:val="003534B1"/>
    <w:rsid w:val="00353B88"/>
    <w:rsid w:val="00356922"/>
    <w:rsid w:val="00357AF4"/>
    <w:rsid w:val="0036783A"/>
    <w:rsid w:val="00376C9A"/>
    <w:rsid w:val="00382651"/>
    <w:rsid w:val="00392866"/>
    <w:rsid w:val="00397E00"/>
    <w:rsid w:val="003A1056"/>
    <w:rsid w:val="003A1457"/>
    <w:rsid w:val="003A2BCE"/>
    <w:rsid w:val="003A36E8"/>
    <w:rsid w:val="003A4D1F"/>
    <w:rsid w:val="003A6E9C"/>
    <w:rsid w:val="003B6A6E"/>
    <w:rsid w:val="003C43FD"/>
    <w:rsid w:val="003C5075"/>
    <w:rsid w:val="003D48B4"/>
    <w:rsid w:val="003D4BBA"/>
    <w:rsid w:val="003E6FFE"/>
    <w:rsid w:val="003F48A4"/>
    <w:rsid w:val="00401D4D"/>
    <w:rsid w:val="0040731D"/>
    <w:rsid w:val="0041175D"/>
    <w:rsid w:val="00414D0E"/>
    <w:rsid w:val="0041656C"/>
    <w:rsid w:val="0042518F"/>
    <w:rsid w:val="00425342"/>
    <w:rsid w:val="0043439B"/>
    <w:rsid w:val="0044009F"/>
    <w:rsid w:val="00441D23"/>
    <w:rsid w:val="00446088"/>
    <w:rsid w:val="00451741"/>
    <w:rsid w:val="00460204"/>
    <w:rsid w:val="00462B0E"/>
    <w:rsid w:val="004640C2"/>
    <w:rsid w:val="004758BC"/>
    <w:rsid w:val="004817D9"/>
    <w:rsid w:val="0048381C"/>
    <w:rsid w:val="00490173"/>
    <w:rsid w:val="004A69DD"/>
    <w:rsid w:val="004C2E3D"/>
    <w:rsid w:val="004C337F"/>
    <w:rsid w:val="004C43AB"/>
    <w:rsid w:val="004C5898"/>
    <w:rsid w:val="004C59CE"/>
    <w:rsid w:val="004C5A86"/>
    <w:rsid w:val="004D3BDF"/>
    <w:rsid w:val="004D4162"/>
    <w:rsid w:val="004D6368"/>
    <w:rsid w:val="004D74E8"/>
    <w:rsid w:val="004D799E"/>
    <w:rsid w:val="004E0EBF"/>
    <w:rsid w:val="004E0F2C"/>
    <w:rsid w:val="004F100D"/>
    <w:rsid w:val="004F4B1B"/>
    <w:rsid w:val="005005AF"/>
    <w:rsid w:val="00501AE3"/>
    <w:rsid w:val="00502901"/>
    <w:rsid w:val="00503BBE"/>
    <w:rsid w:val="0050553F"/>
    <w:rsid w:val="00507609"/>
    <w:rsid w:val="00512BFA"/>
    <w:rsid w:val="005151E5"/>
    <w:rsid w:val="00520CE9"/>
    <w:rsid w:val="00527397"/>
    <w:rsid w:val="00532CA9"/>
    <w:rsid w:val="00536910"/>
    <w:rsid w:val="00542186"/>
    <w:rsid w:val="0054411B"/>
    <w:rsid w:val="00544F44"/>
    <w:rsid w:val="0055054D"/>
    <w:rsid w:val="005518CA"/>
    <w:rsid w:val="005532BC"/>
    <w:rsid w:val="00556DD8"/>
    <w:rsid w:val="0056179F"/>
    <w:rsid w:val="0056469C"/>
    <w:rsid w:val="00566065"/>
    <w:rsid w:val="00577885"/>
    <w:rsid w:val="0058094D"/>
    <w:rsid w:val="0058439D"/>
    <w:rsid w:val="00586537"/>
    <w:rsid w:val="00587796"/>
    <w:rsid w:val="005966AB"/>
    <w:rsid w:val="005B0A45"/>
    <w:rsid w:val="005C2BE0"/>
    <w:rsid w:val="005D0253"/>
    <w:rsid w:val="005D0B3B"/>
    <w:rsid w:val="005D1442"/>
    <w:rsid w:val="005D239A"/>
    <w:rsid w:val="005D3109"/>
    <w:rsid w:val="005E7ADB"/>
    <w:rsid w:val="005F0E7F"/>
    <w:rsid w:val="005F62AB"/>
    <w:rsid w:val="006006B5"/>
    <w:rsid w:val="00601C4E"/>
    <w:rsid w:val="00604819"/>
    <w:rsid w:val="00627141"/>
    <w:rsid w:val="00640234"/>
    <w:rsid w:val="006408E5"/>
    <w:rsid w:val="00643872"/>
    <w:rsid w:val="00643B00"/>
    <w:rsid w:val="00645478"/>
    <w:rsid w:val="006468D2"/>
    <w:rsid w:val="00650BBF"/>
    <w:rsid w:val="006604D7"/>
    <w:rsid w:val="00666639"/>
    <w:rsid w:val="006736D1"/>
    <w:rsid w:val="0067736B"/>
    <w:rsid w:val="00687D67"/>
    <w:rsid w:val="0069547D"/>
    <w:rsid w:val="00695571"/>
    <w:rsid w:val="006A285F"/>
    <w:rsid w:val="006B0851"/>
    <w:rsid w:val="006B65D6"/>
    <w:rsid w:val="006B6C0A"/>
    <w:rsid w:val="006C35D0"/>
    <w:rsid w:val="006D2129"/>
    <w:rsid w:val="006D36EA"/>
    <w:rsid w:val="006D3A63"/>
    <w:rsid w:val="006D4AC5"/>
    <w:rsid w:val="006D5AC7"/>
    <w:rsid w:val="006D7361"/>
    <w:rsid w:val="006D73B5"/>
    <w:rsid w:val="006F3F38"/>
    <w:rsid w:val="006F479B"/>
    <w:rsid w:val="00705DC6"/>
    <w:rsid w:val="0070621E"/>
    <w:rsid w:val="0071278F"/>
    <w:rsid w:val="00716C4B"/>
    <w:rsid w:val="00721051"/>
    <w:rsid w:val="00724586"/>
    <w:rsid w:val="0072744C"/>
    <w:rsid w:val="00735A63"/>
    <w:rsid w:val="00745979"/>
    <w:rsid w:val="00750148"/>
    <w:rsid w:val="00766AB8"/>
    <w:rsid w:val="00766F98"/>
    <w:rsid w:val="00771D53"/>
    <w:rsid w:val="0077313C"/>
    <w:rsid w:val="00775C4B"/>
    <w:rsid w:val="0078420D"/>
    <w:rsid w:val="00786A5B"/>
    <w:rsid w:val="007878AF"/>
    <w:rsid w:val="007C33A2"/>
    <w:rsid w:val="007C4D9D"/>
    <w:rsid w:val="007D5959"/>
    <w:rsid w:val="007D5BD9"/>
    <w:rsid w:val="007D65B6"/>
    <w:rsid w:val="007E6A9A"/>
    <w:rsid w:val="007F0059"/>
    <w:rsid w:val="00802B0C"/>
    <w:rsid w:val="00824749"/>
    <w:rsid w:val="008306ED"/>
    <w:rsid w:val="008324B8"/>
    <w:rsid w:val="008353D8"/>
    <w:rsid w:val="008471B3"/>
    <w:rsid w:val="008504D2"/>
    <w:rsid w:val="00870750"/>
    <w:rsid w:val="00872201"/>
    <w:rsid w:val="00874AFB"/>
    <w:rsid w:val="0087520C"/>
    <w:rsid w:val="00875F5F"/>
    <w:rsid w:val="008840AC"/>
    <w:rsid w:val="0088595C"/>
    <w:rsid w:val="008907A1"/>
    <w:rsid w:val="00890F45"/>
    <w:rsid w:val="008A4ED0"/>
    <w:rsid w:val="008A5437"/>
    <w:rsid w:val="008B2484"/>
    <w:rsid w:val="008B6216"/>
    <w:rsid w:val="008B625A"/>
    <w:rsid w:val="008C2BAF"/>
    <w:rsid w:val="008D470E"/>
    <w:rsid w:val="008D6077"/>
    <w:rsid w:val="008E1130"/>
    <w:rsid w:val="008E6812"/>
    <w:rsid w:val="008F5C62"/>
    <w:rsid w:val="008F724F"/>
    <w:rsid w:val="009012D7"/>
    <w:rsid w:val="00910982"/>
    <w:rsid w:val="00912AD8"/>
    <w:rsid w:val="00917179"/>
    <w:rsid w:val="00926970"/>
    <w:rsid w:val="0092700F"/>
    <w:rsid w:val="00934ED7"/>
    <w:rsid w:val="00943201"/>
    <w:rsid w:val="00946A20"/>
    <w:rsid w:val="0095068D"/>
    <w:rsid w:val="00951D8F"/>
    <w:rsid w:val="00953347"/>
    <w:rsid w:val="0095718F"/>
    <w:rsid w:val="00962438"/>
    <w:rsid w:val="0096294D"/>
    <w:rsid w:val="0096503A"/>
    <w:rsid w:val="00966C1E"/>
    <w:rsid w:val="00966CC5"/>
    <w:rsid w:val="009676E7"/>
    <w:rsid w:val="009729F1"/>
    <w:rsid w:val="009763F3"/>
    <w:rsid w:val="009771AA"/>
    <w:rsid w:val="00980742"/>
    <w:rsid w:val="00982F13"/>
    <w:rsid w:val="009830AD"/>
    <w:rsid w:val="00983522"/>
    <w:rsid w:val="00984F02"/>
    <w:rsid w:val="009A21AB"/>
    <w:rsid w:val="009A579C"/>
    <w:rsid w:val="009B23C4"/>
    <w:rsid w:val="009B2CF8"/>
    <w:rsid w:val="009B3318"/>
    <w:rsid w:val="009B5F65"/>
    <w:rsid w:val="009B7668"/>
    <w:rsid w:val="009C5538"/>
    <w:rsid w:val="009C7C47"/>
    <w:rsid w:val="009F3D61"/>
    <w:rsid w:val="00A00C1F"/>
    <w:rsid w:val="00A05DEE"/>
    <w:rsid w:val="00A06153"/>
    <w:rsid w:val="00A07ADF"/>
    <w:rsid w:val="00A11DCC"/>
    <w:rsid w:val="00A155FB"/>
    <w:rsid w:val="00A1573A"/>
    <w:rsid w:val="00A269B5"/>
    <w:rsid w:val="00A33B5A"/>
    <w:rsid w:val="00A368CD"/>
    <w:rsid w:val="00A36EDE"/>
    <w:rsid w:val="00A50080"/>
    <w:rsid w:val="00A53E46"/>
    <w:rsid w:val="00A54682"/>
    <w:rsid w:val="00A61211"/>
    <w:rsid w:val="00A6459C"/>
    <w:rsid w:val="00A71F9E"/>
    <w:rsid w:val="00A722B5"/>
    <w:rsid w:val="00A83062"/>
    <w:rsid w:val="00A85164"/>
    <w:rsid w:val="00A955DA"/>
    <w:rsid w:val="00AA4FCD"/>
    <w:rsid w:val="00AB0E6E"/>
    <w:rsid w:val="00AC623B"/>
    <w:rsid w:val="00AD53F7"/>
    <w:rsid w:val="00AE4CFA"/>
    <w:rsid w:val="00AE511C"/>
    <w:rsid w:val="00AE5940"/>
    <w:rsid w:val="00AF4984"/>
    <w:rsid w:val="00B06FCF"/>
    <w:rsid w:val="00B12954"/>
    <w:rsid w:val="00B12B0F"/>
    <w:rsid w:val="00B147E5"/>
    <w:rsid w:val="00B16EFB"/>
    <w:rsid w:val="00B17939"/>
    <w:rsid w:val="00B17A2A"/>
    <w:rsid w:val="00B22181"/>
    <w:rsid w:val="00B23A5C"/>
    <w:rsid w:val="00B31B9A"/>
    <w:rsid w:val="00B346B7"/>
    <w:rsid w:val="00B3765E"/>
    <w:rsid w:val="00B40818"/>
    <w:rsid w:val="00B41462"/>
    <w:rsid w:val="00B44BC7"/>
    <w:rsid w:val="00B45DBB"/>
    <w:rsid w:val="00B51FDE"/>
    <w:rsid w:val="00B53832"/>
    <w:rsid w:val="00B53B25"/>
    <w:rsid w:val="00B53E3C"/>
    <w:rsid w:val="00B60DD3"/>
    <w:rsid w:val="00B650EF"/>
    <w:rsid w:val="00B66139"/>
    <w:rsid w:val="00B7016D"/>
    <w:rsid w:val="00B80B4D"/>
    <w:rsid w:val="00B81E35"/>
    <w:rsid w:val="00B8269B"/>
    <w:rsid w:val="00B86153"/>
    <w:rsid w:val="00B86E48"/>
    <w:rsid w:val="00B934FE"/>
    <w:rsid w:val="00B93CCD"/>
    <w:rsid w:val="00B9491C"/>
    <w:rsid w:val="00B94F78"/>
    <w:rsid w:val="00B96FCB"/>
    <w:rsid w:val="00BA15AD"/>
    <w:rsid w:val="00BA52B3"/>
    <w:rsid w:val="00BA5881"/>
    <w:rsid w:val="00BA63F9"/>
    <w:rsid w:val="00BB6EC4"/>
    <w:rsid w:val="00BC1EE4"/>
    <w:rsid w:val="00BC21E7"/>
    <w:rsid w:val="00BC3382"/>
    <w:rsid w:val="00BC629E"/>
    <w:rsid w:val="00BE43C9"/>
    <w:rsid w:val="00BE4471"/>
    <w:rsid w:val="00BE5180"/>
    <w:rsid w:val="00C01CBF"/>
    <w:rsid w:val="00C03C7B"/>
    <w:rsid w:val="00C0483C"/>
    <w:rsid w:val="00C10473"/>
    <w:rsid w:val="00C145B8"/>
    <w:rsid w:val="00C178F2"/>
    <w:rsid w:val="00C17D40"/>
    <w:rsid w:val="00C25426"/>
    <w:rsid w:val="00C32EFF"/>
    <w:rsid w:val="00C34035"/>
    <w:rsid w:val="00C42566"/>
    <w:rsid w:val="00C4364F"/>
    <w:rsid w:val="00C4436B"/>
    <w:rsid w:val="00C462C8"/>
    <w:rsid w:val="00C51BB1"/>
    <w:rsid w:val="00C53737"/>
    <w:rsid w:val="00C545A5"/>
    <w:rsid w:val="00C61B7D"/>
    <w:rsid w:val="00C6420B"/>
    <w:rsid w:val="00C72188"/>
    <w:rsid w:val="00C72541"/>
    <w:rsid w:val="00C74A8C"/>
    <w:rsid w:val="00C75FA4"/>
    <w:rsid w:val="00C76322"/>
    <w:rsid w:val="00C77D20"/>
    <w:rsid w:val="00C915CD"/>
    <w:rsid w:val="00C96409"/>
    <w:rsid w:val="00CA1F61"/>
    <w:rsid w:val="00CB3819"/>
    <w:rsid w:val="00CB5E78"/>
    <w:rsid w:val="00CC04EC"/>
    <w:rsid w:val="00CC364C"/>
    <w:rsid w:val="00CD1960"/>
    <w:rsid w:val="00CD78A2"/>
    <w:rsid w:val="00CE3813"/>
    <w:rsid w:val="00CE7116"/>
    <w:rsid w:val="00CF42FC"/>
    <w:rsid w:val="00CF6688"/>
    <w:rsid w:val="00D01FD2"/>
    <w:rsid w:val="00D24B44"/>
    <w:rsid w:val="00D25AFD"/>
    <w:rsid w:val="00D26F9F"/>
    <w:rsid w:val="00D303A8"/>
    <w:rsid w:val="00D3583E"/>
    <w:rsid w:val="00D35ED1"/>
    <w:rsid w:val="00D432DE"/>
    <w:rsid w:val="00D4399F"/>
    <w:rsid w:val="00D45763"/>
    <w:rsid w:val="00D47414"/>
    <w:rsid w:val="00D4761D"/>
    <w:rsid w:val="00D54014"/>
    <w:rsid w:val="00D55E54"/>
    <w:rsid w:val="00D574CC"/>
    <w:rsid w:val="00D60068"/>
    <w:rsid w:val="00D6611F"/>
    <w:rsid w:val="00D67B31"/>
    <w:rsid w:val="00D75075"/>
    <w:rsid w:val="00D800DB"/>
    <w:rsid w:val="00D81C24"/>
    <w:rsid w:val="00D85136"/>
    <w:rsid w:val="00D9792F"/>
    <w:rsid w:val="00DB1C11"/>
    <w:rsid w:val="00DB5DA8"/>
    <w:rsid w:val="00DB6CD7"/>
    <w:rsid w:val="00DB7D2D"/>
    <w:rsid w:val="00DC3D96"/>
    <w:rsid w:val="00DC5EE4"/>
    <w:rsid w:val="00DC7127"/>
    <w:rsid w:val="00DD2548"/>
    <w:rsid w:val="00DF0C71"/>
    <w:rsid w:val="00DF7814"/>
    <w:rsid w:val="00E00A2C"/>
    <w:rsid w:val="00E00FA9"/>
    <w:rsid w:val="00E053AB"/>
    <w:rsid w:val="00E07A4F"/>
    <w:rsid w:val="00E11B4F"/>
    <w:rsid w:val="00E15FCF"/>
    <w:rsid w:val="00E16A17"/>
    <w:rsid w:val="00E17EFB"/>
    <w:rsid w:val="00E24DAE"/>
    <w:rsid w:val="00E300A5"/>
    <w:rsid w:val="00E30692"/>
    <w:rsid w:val="00E37BD3"/>
    <w:rsid w:val="00E41F48"/>
    <w:rsid w:val="00E57E79"/>
    <w:rsid w:val="00E6651D"/>
    <w:rsid w:val="00E6713D"/>
    <w:rsid w:val="00E82B1C"/>
    <w:rsid w:val="00E92B0A"/>
    <w:rsid w:val="00EA43C5"/>
    <w:rsid w:val="00EA5445"/>
    <w:rsid w:val="00EB38AA"/>
    <w:rsid w:val="00ED3B85"/>
    <w:rsid w:val="00ED7368"/>
    <w:rsid w:val="00ED792E"/>
    <w:rsid w:val="00EE0E71"/>
    <w:rsid w:val="00EF1F82"/>
    <w:rsid w:val="00EF2835"/>
    <w:rsid w:val="00EF5684"/>
    <w:rsid w:val="00EF6F20"/>
    <w:rsid w:val="00EF7A5D"/>
    <w:rsid w:val="00F059A2"/>
    <w:rsid w:val="00F114E3"/>
    <w:rsid w:val="00F160FA"/>
    <w:rsid w:val="00F17B91"/>
    <w:rsid w:val="00F22FA8"/>
    <w:rsid w:val="00F30E7F"/>
    <w:rsid w:val="00F31895"/>
    <w:rsid w:val="00F367DF"/>
    <w:rsid w:val="00F37B21"/>
    <w:rsid w:val="00F40941"/>
    <w:rsid w:val="00F466ED"/>
    <w:rsid w:val="00F508BF"/>
    <w:rsid w:val="00F52F88"/>
    <w:rsid w:val="00F614A4"/>
    <w:rsid w:val="00F65387"/>
    <w:rsid w:val="00F77215"/>
    <w:rsid w:val="00F772A8"/>
    <w:rsid w:val="00F93A34"/>
    <w:rsid w:val="00F97255"/>
    <w:rsid w:val="00FB51DE"/>
    <w:rsid w:val="00FB74F1"/>
    <w:rsid w:val="00FC3DEC"/>
    <w:rsid w:val="00FC792A"/>
    <w:rsid w:val="00FD0973"/>
    <w:rsid w:val="00FD2A11"/>
    <w:rsid w:val="00FE324F"/>
    <w:rsid w:val="00FE3E43"/>
    <w:rsid w:val="00FE4457"/>
    <w:rsid w:val="00FE5D07"/>
    <w:rsid w:val="00FF0A56"/>
    <w:rsid w:val="00FF42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E1130"/>
    <w:rPr>
      <w:rFonts w:ascii="Tahoma" w:hAnsi="Tahoma" w:cs="Tahoma"/>
      <w:sz w:val="16"/>
      <w:szCs w:val="16"/>
    </w:rPr>
  </w:style>
  <w:style w:type="character" w:customStyle="1" w:styleId="BalloonTextChar">
    <w:name w:val="Balloon Text Char"/>
    <w:basedOn w:val="DefaultParagraphFont"/>
    <w:link w:val="BalloonText"/>
    <w:uiPriority w:val="99"/>
    <w:semiHidden/>
    <w:rsid w:val="008E1130"/>
    <w:rPr>
      <w:rFonts w:ascii="Tahoma" w:hAnsi="Tahoma" w:cs="Tahoma"/>
      <w:sz w:val="16"/>
      <w:szCs w:val="16"/>
    </w:rPr>
  </w:style>
  <w:style w:type="paragraph" w:styleId="ListParagraph">
    <w:name w:val="List Paragraph"/>
    <w:basedOn w:val="Normal"/>
    <w:uiPriority w:val="34"/>
    <w:qFormat/>
    <w:rsid w:val="00353B88"/>
    <w:pPr>
      <w:ind w:left="720"/>
      <w:contextualSpacing/>
    </w:pPr>
  </w:style>
  <w:style w:type="character" w:styleId="CommentReference">
    <w:name w:val="annotation reference"/>
    <w:basedOn w:val="DefaultParagraphFont"/>
    <w:uiPriority w:val="99"/>
    <w:semiHidden/>
    <w:unhideWhenUsed/>
    <w:rsid w:val="00CB5E78"/>
    <w:rPr>
      <w:sz w:val="16"/>
      <w:szCs w:val="16"/>
    </w:rPr>
  </w:style>
  <w:style w:type="paragraph" w:styleId="CommentText">
    <w:name w:val="annotation text"/>
    <w:basedOn w:val="Normal"/>
    <w:link w:val="CommentTextChar"/>
    <w:uiPriority w:val="99"/>
    <w:semiHidden/>
    <w:unhideWhenUsed/>
    <w:rsid w:val="00CB5E78"/>
  </w:style>
  <w:style w:type="character" w:customStyle="1" w:styleId="CommentTextChar">
    <w:name w:val="Comment Text Char"/>
    <w:basedOn w:val="DefaultParagraphFont"/>
    <w:link w:val="CommentText"/>
    <w:uiPriority w:val="99"/>
    <w:semiHidden/>
    <w:rsid w:val="00CB5E78"/>
  </w:style>
  <w:style w:type="paragraph" w:styleId="CommentSubject">
    <w:name w:val="annotation subject"/>
    <w:basedOn w:val="CommentText"/>
    <w:next w:val="CommentText"/>
    <w:link w:val="CommentSubjectChar"/>
    <w:uiPriority w:val="99"/>
    <w:semiHidden/>
    <w:unhideWhenUsed/>
    <w:rsid w:val="00CB5E78"/>
    <w:rPr>
      <w:b/>
      <w:bCs/>
    </w:rPr>
  </w:style>
  <w:style w:type="character" w:customStyle="1" w:styleId="CommentSubjectChar">
    <w:name w:val="Comment Subject Char"/>
    <w:basedOn w:val="CommentTextChar"/>
    <w:link w:val="CommentSubject"/>
    <w:uiPriority w:val="99"/>
    <w:semiHidden/>
    <w:rsid w:val="00CB5E78"/>
    <w:rPr>
      <w:b/>
      <w:bCs/>
    </w:rPr>
  </w:style>
  <w:style w:type="paragraph" w:styleId="Header">
    <w:name w:val="header"/>
    <w:basedOn w:val="Normal"/>
    <w:link w:val="HeaderChar"/>
    <w:uiPriority w:val="99"/>
    <w:unhideWhenUsed/>
    <w:rsid w:val="00CC364C"/>
    <w:pPr>
      <w:tabs>
        <w:tab w:val="center" w:pos="4680"/>
        <w:tab w:val="right" w:pos="9360"/>
      </w:tabs>
    </w:pPr>
  </w:style>
  <w:style w:type="character" w:customStyle="1" w:styleId="HeaderChar">
    <w:name w:val="Header Char"/>
    <w:basedOn w:val="DefaultParagraphFont"/>
    <w:link w:val="Header"/>
    <w:uiPriority w:val="99"/>
    <w:rsid w:val="00CC364C"/>
  </w:style>
  <w:style w:type="paragraph" w:styleId="Footer">
    <w:name w:val="footer"/>
    <w:basedOn w:val="Normal"/>
    <w:link w:val="FooterChar"/>
    <w:uiPriority w:val="99"/>
    <w:unhideWhenUsed/>
    <w:rsid w:val="00CC364C"/>
    <w:pPr>
      <w:tabs>
        <w:tab w:val="center" w:pos="4680"/>
        <w:tab w:val="right" w:pos="9360"/>
      </w:tabs>
    </w:pPr>
  </w:style>
  <w:style w:type="character" w:customStyle="1" w:styleId="FooterChar">
    <w:name w:val="Footer Char"/>
    <w:basedOn w:val="DefaultParagraphFont"/>
    <w:link w:val="Footer"/>
    <w:uiPriority w:val="99"/>
    <w:rsid w:val="00CC364C"/>
  </w:style>
  <w:style w:type="paragraph" w:styleId="Revision">
    <w:name w:val="Revision"/>
    <w:hidden/>
    <w:uiPriority w:val="99"/>
    <w:semiHidden/>
    <w:rsid w:val="006A285F"/>
  </w:style>
  <w:style w:type="paragraph" w:styleId="FootnoteText">
    <w:name w:val="footnote text"/>
    <w:basedOn w:val="Normal"/>
    <w:link w:val="FootnoteTextChar"/>
    <w:uiPriority w:val="99"/>
    <w:semiHidden/>
    <w:unhideWhenUsed/>
    <w:rsid w:val="00D75075"/>
  </w:style>
  <w:style w:type="character" w:customStyle="1" w:styleId="FootnoteTextChar">
    <w:name w:val="Footnote Text Char"/>
    <w:basedOn w:val="DefaultParagraphFont"/>
    <w:link w:val="FootnoteText"/>
    <w:uiPriority w:val="99"/>
    <w:semiHidden/>
    <w:rsid w:val="00D75075"/>
  </w:style>
  <w:style w:type="character" w:styleId="FootnoteReference">
    <w:name w:val="footnote reference"/>
    <w:basedOn w:val="DefaultParagraphFont"/>
    <w:uiPriority w:val="99"/>
    <w:semiHidden/>
    <w:unhideWhenUsed/>
    <w:rsid w:val="00D75075"/>
    <w:rPr>
      <w:vertAlign w:val="superscript"/>
    </w:rPr>
  </w:style>
  <w:style w:type="character" w:styleId="Hyperlink">
    <w:name w:val="Hyperlink"/>
    <w:basedOn w:val="DefaultParagraphFont"/>
    <w:uiPriority w:val="99"/>
    <w:unhideWhenUsed/>
    <w:rsid w:val="00233E78"/>
    <w:rPr>
      <w:color w:val="0000FF" w:themeColor="hyperlink"/>
      <w:u w:val="single"/>
    </w:rPr>
  </w:style>
  <w:style w:type="table" w:styleId="TableGrid">
    <w:name w:val="Table Grid"/>
    <w:basedOn w:val="TableNormal"/>
    <w:uiPriority w:val="59"/>
    <w:rsid w:val="0064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E1130"/>
    <w:rPr>
      <w:rFonts w:ascii="Tahoma" w:hAnsi="Tahoma" w:cs="Tahoma"/>
      <w:sz w:val="16"/>
      <w:szCs w:val="16"/>
    </w:rPr>
  </w:style>
  <w:style w:type="character" w:customStyle="1" w:styleId="BalloonTextChar">
    <w:name w:val="Balloon Text Char"/>
    <w:basedOn w:val="DefaultParagraphFont"/>
    <w:link w:val="BalloonText"/>
    <w:uiPriority w:val="99"/>
    <w:semiHidden/>
    <w:rsid w:val="008E1130"/>
    <w:rPr>
      <w:rFonts w:ascii="Tahoma" w:hAnsi="Tahoma" w:cs="Tahoma"/>
      <w:sz w:val="16"/>
      <w:szCs w:val="16"/>
    </w:rPr>
  </w:style>
  <w:style w:type="paragraph" w:styleId="ListParagraph">
    <w:name w:val="List Paragraph"/>
    <w:basedOn w:val="Normal"/>
    <w:uiPriority w:val="34"/>
    <w:qFormat/>
    <w:rsid w:val="00353B88"/>
    <w:pPr>
      <w:ind w:left="720"/>
      <w:contextualSpacing/>
    </w:pPr>
  </w:style>
  <w:style w:type="character" w:styleId="CommentReference">
    <w:name w:val="annotation reference"/>
    <w:basedOn w:val="DefaultParagraphFont"/>
    <w:uiPriority w:val="99"/>
    <w:semiHidden/>
    <w:unhideWhenUsed/>
    <w:rsid w:val="00CB5E78"/>
    <w:rPr>
      <w:sz w:val="16"/>
      <w:szCs w:val="16"/>
    </w:rPr>
  </w:style>
  <w:style w:type="paragraph" w:styleId="CommentText">
    <w:name w:val="annotation text"/>
    <w:basedOn w:val="Normal"/>
    <w:link w:val="CommentTextChar"/>
    <w:uiPriority w:val="99"/>
    <w:semiHidden/>
    <w:unhideWhenUsed/>
    <w:rsid w:val="00CB5E78"/>
  </w:style>
  <w:style w:type="character" w:customStyle="1" w:styleId="CommentTextChar">
    <w:name w:val="Comment Text Char"/>
    <w:basedOn w:val="DefaultParagraphFont"/>
    <w:link w:val="CommentText"/>
    <w:uiPriority w:val="99"/>
    <w:semiHidden/>
    <w:rsid w:val="00CB5E78"/>
  </w:style>
  <w:style w:type="paragraph" w:styleId="CommentSubject">
    <w:name w:val="annotation subject"/>
    <w:basedOn w:val="CommentText"/>
    <w:next w:val="CommentText"/>
    <w:link w:val="CommentSubjectChar"/>
    <w:uiPriority w:val="99"/>
    <w:semiHidden/>
    <w:unhideWhenUsed/>
    <w:rsid w:val="00CB5E78"/>
    <w:rPr>
      <w:b/>
      <w:bCs/>
    </w:rPr>
  </w:style>
  <w:style w:type="character" w:customStyle="1" w:styleId="CommentSubjectChar">
    <w:name w:val="Comment Subject Char"/>
    <w:basedOn w:val="CommentTextChar"/>
    <w:link w:val="CommentSubject"/>
    <w:uiPriority w:val="99"/>
    <w:semiHidden/>
    <w:rsid w:val="00CB5E78"/>
    <w:rPr>
      <w:b/>
      <w:bCs/>
    </w:rPr>
  </w:style>
  <w:style w:type="paragraph" w:styleId="Header">
    <w:name w:val="header"/>
    <w:basedOn w:val="Normal"/>
    <w:link w:val="HeaderChar"/>
    <w:uiPriority w:val="99"/>
    <w:unhideWhenUsed/>
    <w:rsid w:val="00CC364C"/>
    <w:pPr>
      <w:tabs>
        <w:tab w:val="center" w:pos="4680"/>
        <w:tab w:val="right" w:pos="9360"/>
      </w:tabs>
    </w:pPr>
  </w:style>
  <w:style w:type="character" w:customStyle="1" w:styleId="HeaderChar">
    <w:name w:val="Header Char"/>
    <w:basedOn w:val="DefaultParagraphFont"/>
    <w:link w:val="Header"/>
    <w:uiPriority w:val="99"/>
    <w:rsid w:val="00CC364C"/>
  </w:style>
  <w:style w:type="paragraph" w:styleId="Footer">
    <w:name w:val="footer"/>
    <w:basedOn w:val="Normal"/>
    <w:link w:val="FooterChar"/>
    <w:uiPriority w:val="99"/>
    <w:unhideWhenUsed/>
    <w:rsid w:val="00CC364C"/>
    <w:pPr>
      <w:tabs>
        <w:tab w:val="center" w:pos="4680"/>
        <w:tab w:val="right" w:pos="9360"/>
      </w:tabs>
    </w:pPr>
  </w:style>
  <w:style w:type="character" w:customStyle="1" w:styleId="FooterChar">
    <w:name w:val="Footer Char"/>
    <w:basedOn w:val="DefaultParagraphFont"/>
    <w:link w:val="Footer"/>
    <w:uiPriority w:val="99"/>
    <w:rsid w:val="00CC364C"/>
  </w:style>
  <w:style w:type="paragraph" w:styleId="Revision">
    <w:name w:val="Revision"/>
    <w:hidden/>
    <w:uiPriority w:val="99"/>
    <w:semiHidden/>
    <w:rsid w:val="006A285F"/>
  </w:style>
  <w:style w:type="paragraph" w:styleId="FootnoteText">
    <w:name w:val="footnote text"/>
    <w:basedOn w:val="Normal"/>
    <w:link w:val="FootnoteTextChar"/>
    <w:uiPriority w:val="99"/>
    <w:semiHidden/>
    <w:unhideWhenUsed/>
    <w:rsid w:val="00D75075"/>
  </w:style>
  <w:style w:type="character" w:customStyle="1" w:styleId="FootnoteTextChar">
    <w:name w:val="Footnote Text Char"/>
    <w:basedOn w:val="DefaultParagraphFont"/>
    <w:link w:val="FootnoteText"/>
    <w:uiPriority w:val="99"/>
    <w:semiHidden/>
    <w:rsid w:val="00D75075"/>
  </w:style>
  <w:style w:type="character" w:styleId="FootnoteReference">
    <w:name w:val="footnote reference"/>
    <w:basedOn w:val="DefaultParagraphFont"/>
    <w:uiPriority w:val="99"/>
    <w:semiHidden/>
    <w:unhideWhenUsed/>
    <w:rsid w:val="00D75075"/>
    <w:rPr>
      <w:vertAlign w:val="superscript"/>
    </w:rPr>
  </w:style>
  <w:style w:type="character" w:styleId="Hyperlink">
    <w:name w:val="Hyperlink"/>
    <w:basedOn w:val="DefaultParagraphFont"/>
    <w:uiPriority w:val="99"/>
    <w:unhideWhenUsed/>
    <w:rsid w:val="00233E78"/>
    <w:rPr>
      <w:color w:val="0000FF" w:themeColor="hyperlink"/>
      <w:u w:val="single"/>
    </w:rPr>
  </w:style>
  <w:style w:type="table" w:styleId="TableGrid">
    <w:name w:val="Table Grid"/>
    <w:basedOn w:val="TableNormal"/>
    <w:uiPriority w:val="59"/>
    <w:rsid w:val="0064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7689">
      <w:bodyDiv w:val="1"/>
      <w:marLeft w:val="0"/>
      <w:marRight w:val="0"/>
      <w:marTop w:val="0"/>
      <w:marBottom w:val="0"/>
      <w:divBdr>
        <w:top w:val="none" w:sz="0" w:space="0" w:color="auto"/>
        <w:left w:val="none" w:sz="0" w:space="0" w:color="auto"/>
        <w:bottom w:val="none" w:sz="0" w:space="0" w:color="auto"/>
        <w:right w:val="none" w:sz="0" w:space="0" w:color="auto"/>
      </w:divBdr>
    </w:div>
    <w:div w:id="184639544">
      <w:bodyDiv w:val="1"/>
      <w:marLeft w:val="0"/>
      <w:marRight w:val="0"/>
      <w:marTop w:val="0"/>
      <w:marBottom w:val="0"/>
      <w:divBdr>
        <w:top w:val="none" w:sz="0" w:space="0" w:color="auto"/>
        <w:left w:val="none" w:sz="0" w:space="0" w:color="auto"/>
        <w:bottom w:val="none" w:sz="0" w:space="0" w:color="auto"/>
        <w:right w:val="none" w:sz="0" w:space="0" w:color="auto"/>
      </w:divBdr>
    </w:div>
    <w:div w:id="503790159">
      <w:bodyDiv w:val="1"/>
      <w:marLeft w:val="0"/>
      <w:marRight w:val="0"/>
      <w:marTop w:val="0"/>
      <w:marBottom w:val="0"/>
      <w:divBdr>
        <w:top w:val="none" w:sz="0" w:space="0" w:color="auto"/>
        <w:left w:val="none" w:sz="0" w:space="0" w:color="auto"/>
        <w:bottom w:val="none" w:sz="0" w:space="0" w:color="auto"/>
        <w:right w:val="none" w:sz="0" w:space="0" w:color="auto"/>
      </w:divBdr>
    </w:div>
    <w:div w:id="1242371538">
      <w:bodyDiv w:val="1"/>
      <w:marLeft w:val="0"/>
      <w:marRight w:val="0"/>
      <w:marTop w:val="0"/>
      <w:marBottom w:val="0"/>
      <w:divBdr>
        <w:top w:val="none" w:sz="0" w:space="0" w:color="auto"/>
        <w:left w:val="none" w:sz="0" w:space="0" w:color="auto"/>
        <w:bottom w:val="none" w:sz="0" w:space="0" w:color="auto"/>
        <w:right w:val="none" w:sz="0" w:space="0" w:color="auto"/>
      </w:divBdr>
    </w:div>
    <w:div w:id="1408728510">
      <w:bodyDiv w:val="1"/>
      <w:marLeft w:val="0"/>
      <w:marRight w:val="0"/>
      <w:marTop w:val="0"/>
      <w:marBottom w:val="0"/>
      <w:divBdr>
        <w:top w:val="none" w:sz="0" w:space="0" w:color="auto"/>
        <w:left w:val="none" w:sz="0" w:space="0" w:color="auto"/>
        <w:bottom w:val="none" w:sz="0" w:space="0" w:color="auto"/>
        <w:right w:val="none" w:sz="0" w:space="0" w:color="auto"/>
      </w:divBdr>
    </w:div>
    <w:div w:id="1418211124">
      <w:bodyDiv w:val="1"/>
      <w:marLeft w:val="0"/>
      <w:marRight w:val="0"/>
      <w:marTop w:val="0"/>
      <w:marBottom w:val="0"/>
      <w:divBdr>
        <w:top w:val="none" w:sz="0" w:space="0" w:color="auto"/>
        <w:left w:val="none" w:sz="0" w:space="0" w:color="auto"/>
        <w:bottom w:val="none" w:sz="0" w:space="0" w:color="auto"/>
        <w:right w:val="none" w:sz="0" w:space="0" w:color="auto"/>
      </w:divBdr>
    </w:div>
    <w:div w:id="1999337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cpuc.ca.gov" TargetMode="External"/><Relationship Id="rId14" Type="http://schemas.openxmlformats.org/officeDocument/2006/relationships/header" Target="header3.xm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CE9D-9091-4018-A6F5-4102F469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Sazedur</dc:creator>
  <cp:lastModifiedBy>Cheung, Marina</cp:lastModifiedBy>
  <cp:revision>4</cp:revision>
  <cp:lastPrinted>2018-06-28T15:57:00Z</cp:lastPrinted>
  <dcterms:created xsi:type="dcterms:W3CDTF">2018-07-05T21:11:00Z</dcterms:created>
  <dcterms:modified xsi:type="dcterms:W3CDTF">2018-07-05T22:25:00Z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oFAAoY+b3dyoaiTu7a2oPkYrKEw1RSTF0iMo9a2XrETeKEyVNAelhD2ugwr3M8OM+3gKvVQ1aziT3w2T
vTvzK4kUlb/Z/SLWFoEcXSjInQ05rLLScmWxmf9AlB36XYsOVamHwx95LU3wLpiTvTvzK4kUlb/Z
/SLWFoEcXSjInQ05rLLScmWxmf9AlE07QR9gLQAPtk++laT028uMclvYUyKDWufVYnd4mwGrxWwQ
mE0EF3+HRw0L3n+lx</vt:lpwstr>
  </property>
  <property fmtid="{D5CDD505-2E9C-101B-9397-08002B2CF9AE}" pid="3" name="MAIL_MSG_ID2">
    <vt:lpwstr>AJzpawtjJhGv4/Uc1ARaJUJXjo+eN6nDVTC1PiXnr4iRk5h5ZIiFgfXjapz
/A3ASSl0kdr7o0P2v2RbZGjaAIMV4068Of71IwsLLfChOAog</vt:lpwstr>
  </property>
  <property fmtid="{D5CDD505-2E9C-101B-9397-08002B2CF9AE}" pid="4" name="RESPONSE_SENDER_NAME">
    <vt:lpwstr>sAAAGYoQX4c3X/KNn2DL+dzq9FOXsLHq8Pnz8XrL0CgMGrY=</vt:lpwstr>
  </property>
  <property fmtid="{D5CDD505-2E9C-101B-9397-08002B2CF9AE}" pid="5" name="EMAIL_OWNER_ADDRESS">
    <vt:lpwstr>4AAAv2pPQheLA5Xvg5lWlXESk+KXDVUyhTOhi36q1rtmSarWqOSnSqp0JQ==</vt:lpwstr>
  </property>
</Properties>
</file>