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611F" w:rsidRDefault="00D6611F">
      <w:pPr>
        <w:spacing w:before="10" w:line="260" w:lineRule="exact"/>
        <w:rPr>
          <w:sz w:val="26"/>
          <w:szCs w:val="26"/>
        </w:rPr>
      </w:pPr>
      <w:bookmarkStart w:id="0" w:name="_GoBack"/>
      <w:bookmarkEnd w:id="0"/>
    </w:p>
    <w:p w:rsidR="00D6611F" w:rsidRDefault="00490173">
      <w:pPr>
        <w:spacing w:line="300" w:lineRule="exact"/>
        <w:ind w:left="823" w:right="848"/>
        <w:jc w:val="center"/>
        <w:rPr>
          <w:rFonts w:ascii="Palatino Linotype" w:eastAsia="Palatino Linotype" w:hAnsi="Palatino Linotype" w:cs="Palatino Linotype"/>
          <w:sz w:val="24"/>
          <w:szCs w:val="24"/>
        </w:rPr>
      </w:pPr>
      <w:r>
        <w:rPr>
          <w:rFonts w:ascii="Palatino Linotype" w:eastAsia="Palatino Linotype" w:hAnsi="Palatino Linotype" w:cs="Palatino Linotype"/>
          <w:b/>
          <w:position w:val="1"/>
          <w:sz w:val="24"/>
          <w:szCs w:val="24"/>
        </w:rPr>
        <w:t>PUB</w:t>
      </w:r>
      <w:r>
        <w:rPr>
          <w:rFonts w:ascii="Palatino Linotype" w:eastAsia="Palatino Linotype" w:hAnsi="Palatino Linotype" w:cs="Palatino Linotype"/>
          <w:b/>
          <w:spacing w:val="1"/>
          <w:position w:val="1"/>
          <w:sz w:val="24"/>
          <w:szCs w:val="24"/>
        </w:rPr>
        <w:t>L</w:t>
      </w:r>
      <w:r>
        <w:rPr>
          <w:rFonts w:ascii="Palatino Linotype" w:eastAsia="Palatino Linotype" w:hAnsi="Palatino Linotype" w:cs="Palatino Linotype"/>
          <w:b/>
          <w:position w:val="1"/>
          <w:sz w:val="24"/>
          <w:szCs w:val="24"/>
        </w:rPr>
        <w:t>IC U</w:t>
      </w:r>
      <w:r>
        <w:rPr>
          <w:rFonts w:ascii="Palatino Linotype" w:eastAsia="Palatino Linotype" w:hAnsi="Palatino Linotype" w:cs="Palatino Linotype"/>
          <w:b/>
          <w:spacing w:val="1"/>
          <w:position w:val="1"/>
          <w:sz w:val="24"/>
          <w:szCs w:val="24"/>
        </w:rPr>
        <w:t>T</w:t>
      </w:r>
      <w:r>
        <w:rPr>
          <w:rFonts w:ascii="Palatino Linotype" w:eastAsia="Palatino Linotype" w:hAnsi="Palatino Linotype" w:cs="Palatino Linotype"/>
          <w:b/>
          <w:position w:val="1"/>
          <w:sz w:val="24"/>
          <w:szCs w:val="24"/>
        </w:rPr>
        <w:t>I</w:t>
      </w:r>
      <w:r>
        <w:rPr>
          <w:rFonts w:ascii="Palatino Linotype" w:eastAsia="Palatino Linotype" w:hAnsi="Palatino Linotype" w:cs="Palatino Linotype"/>
          <w:b/>
          <w:spacing w:val="1"/>
          <w:position w:val="1"/>
          <w:sz w:val="24"/>
          <w:szCs w:val="24"/>
        </w:rPr>
        <w:t>L</w:t>
      </w:r>
      <w:r>
        <w:rPr>
          <w:rFonts w:ascii="Palatino Linotype" w:eastAsia="Palatino Linotype" w:hAnsi="Palatino Linotype" w:cs="Palatino Linotype"/>
          <w:b/>
          <w:spacing w:val="-2"/>
          <w:position w:val="1"/>
          <w:sz w:val="24"/>
          <w:szCs w:val="24"/>
        </w:rPr>
        <w:t>I</w:t>
      </w:r>
      <w:r>
        <w:rPr>
          <w:rFonts w:ascii="Palatino Linotype" w:eastAsia="Palatino Linotype" w:hAnsi="Palatino Linotype" w:cs="Palatino Linotype"/>
          <w:b/>
          <w:position w:val="1"/>
          <w:sz w:val="24"/>
          <w:szCs w:val="24"/>
        </w:rPr>
        <w:t>TI</w:t>
      </w:r>
      <w:r>
        <w:rPr>
          <w:rFonts w:ascii="Palatino Linotype" w:eastAsia="Palatino Linotype" w:hAnsi="Palatino Linotype" w:cs="Palatino Linotype"/>
          <w:b/>
          <w:spacing w:val="1"/>
          <w:position w:val="1"/>
          <w:sz w:val="24"/>
          <w:szCs w:val="24"/>
        </w:rPr>
        <w:t>E</w:t>
      </w:r>
      <w:r>
        <w:rPr>
          <w:rFonts w:ascii="Palatino Linotype" w:eastAsia="Palatino Linotype" w:hAnsi="Palatino Linotype" w:cs="Palatino Linotype"/>
          <w:b/>
          <w:position w:val="1"/>
          <w:sz w:val="24"/>
          <w:szCs w:val="24"/>
        </w:rPr>
        <w:t xml:space="preserve">S </w:t>
      </w:r>
      <w:r>
        <w:rPr>
          <w:rFonts w:ascii="Palatino Linotype" w:eastAsia="Palatino Linotype" w:hAnsi="Palatino Linotype" w:cs="Palatino Linotype"/>
          <w:b/>
          <w:spacing w:val="-3"/>
          <w:position w:val="1"/>
          <w:sz w:val="24"/>
          <w:szCs w:val="24"/>
        </w:rPr>
        <w:t>C</w:t>
      </w:r>
      <w:r>
        <w:rPr>
          <w:rFonts w:ascii="Palatino Linotype" w:eastAsia="Palatino Linotype" w:hAnsi="Palatino Linotype" w:cs="Palatino Linotype"/>
          <w:b/>
          <w:spacing w:val="-1"/>
          <w:position w:val="1"/>
          <w:sz w:val="24"/>
          <w:szCs w:val="24"/>
        </w:rPr>
        <w:t>O</w:t>
      </w:r>
      <w:r>
        <w:rPr>
          <w:rFonts w:ascii="Palatino Linotype" w:eastAsia="Palatino Linotype" w:hAnsi="Palatino Linotype" w:cs="Palatino Linotype"/>
          <w:b/>
          <w:position w:val="1"/>
          <w:sz w:val="24"/>
          <w:szCs w:val="24"/>
        </w:rPr>
        <w:t>MMISSI</w:t>
      </w:r>
      <w:r>
        <w:rPr>
          <w:rFonts w:ascii="Palatino Linotype" w:eastAsia="Palatino Linotype" w:hAnsi="Palatino Linotype" w:cs="Palatino Linotype"/>
          <w:b/>
          <w:spacing w:val="-1"/>
          <w:position w:val="1"/>
          <w:sz w:val="24"/>
          <w:szCs w:val="24"/>
        </w:rPr>
        <w:t>O</w:t>
      </w:r>
      <w:r>
        <w:rPr>
          <w:rFonts w:ascii="Palatino Linotype" w:eastAsia="Palatino Linotype" w:hAnsi="Palatino Linotype" w:cs="Palatino Linotype"/>
          <w:b/>
          <w:position w:val="1"/>
          <w:sz w:val="24"/>
          <w:szCs w:val="24"/>
        </w:rPr>
        <w:t>N</w:t>
      </w:r>
      <w:r>
        <w:rPr>
          <w:rFonts w:ascii="Palatino Linotype" w:eastAsia="Palatino Linotype" w:hAnsi="Palatino Linotype" w:cs="Palatino Linotype"/>
          <w:b/>
          <w:spacing w:val="-1"/>
          <w:position w:val="1"/>
          <w:sz w:val="24"/>
          <w:szCs w:val="24"/>
        </w:rPr>
        <w:t xml:space="preserve"> </w:t>
      </w:r>
      <w:r>
        <w:rPr>
          <w:rFonts w:ascii="Palatino Linotype" w:eastAsia="Palatino Linotype" w:hAnsi="Palatino Linotype" w:cs="Palatino Linotype"/>
          <w:b/>
          <w:position w:val="1"/>
          <w:sz w:val="24"/>
          <w:szCs w:val="24"/>
        </w:rPr>
        <w:t>OF T</w:t>
      </w:r>
      <w:r>
        <w:rPr>
          <w:rFonts w:ascii="Palatino Linotype" w:eastAsia="Palatino Linotype" w:hAnsi="Palatino Linotype" w:cs="Palatino Linotype"/>
          <w:b/>
          <w:spacing w:val="2"/>
          <w:position w:val="1"/>
          <w:sz w:val="24"/>
          <w:szCs w:val="24"/>
        </w:rPr>
        <w:t>H</w:t>
      </w:r>
      <w:r>
        <w:rPr>
          <w:rFonts w:ascii="Palatino Linotype" w:eastAsia="Palatino Linotype" w:hAnsi="Palatino Linotype" w:cs="Palatino Linotype"/>
          <w:b/>
          <w:position w:val="1"/>
          <w:sz w:val="24"/>
          <w:szCs w:val="24"/>
        </w:rPr>
        <w:t>E</w:t>
      </w:r>
      <w:r>
        <w:rPr>
          <w:rFonts w:ascii="Palatino Linotype" w:eastAsia="Palatino Linotype" w:hAnsi="Palatino Linotype" w:cs="Palatino Linotype"/>
          <w:b/>
          <w:spacing w:val="1"/>
          <w:position w:val="1"/>
          <w:sz w:val="24"/>
          <w:szCs w:val="24"/>
        </w:rPr>
        <w:t xml:space="preserve"> </w:t>
      </w:r>
      <w:r>
        <w:rPr>
          <w:rFonts w:ascii="Palatino Linotype" w:eastAsia="Palatino Linotype" w:hAnsi="Palatino Linotype" w:cs="Palatino Linotype"/>
          <w:b/>
          <w:position w:val="1"/>
          <w:sz w:val="24"/>
          <w:szCs w:val="24"/>
        </w:rPr>
        <w:t>ST</w:t>
      </w:r>
      <w:r>
        <w:rPr>
          <w:rFonts w:ascii="Palatino Linotype" w:eastAsia="Palatino Linotype" w:hAnsi="Palatino Linotype" w:cs="Palatino Linotype"/>
          <w:b/>
          <w:spacing w:val="1"/>
          <w:position w:val="1"/>
          <w:sz w:val="24"/>
          <w:szCs w:val="24"/>
        </w:rPr>
        <w:t>A</w:t>
      </w:r>
      <w:r>
        <w:rPr>
          <w:rFonts w:ascii="Palatino Linotype" w:eastAsia="Palatino Linotype" w:hAnsi="Palatino Linotype" w:cs="Palatino Linotype"/>
          <w:b/>
          <w:spacing w:val="-2"/>
          <w:position w:val="1"/>
          <w:sz w:val="24"/>
          <w:szCs w:val="24"/>
        </w:rPr>
        <w:t>T</w:t>
      </w:r>
      <w:r>
        <w:rPr>
          <w:rFonts w:ascii="Palatino Linotype" w:eastAsia="Palatino Linotype" w:hAnsi="Palatino Linotype" w:cs="Palatino Linotype"/>
          <w:b/>
          <w:position w:val="1"/>
          <w:sz w:val="24"/>
          <w:szCs w:val="24"/>
        </w:rPr>
        <w:t>E</w:t>
      </w:r>
      <w:r>
        <w:rPr>
          <w:rFonts w:ascii="Palatino Linotype" w:eastAsia="Palatino Linotype" w:hAnsi="Palatino Linotype" w:cs="Palatino Linotype"/>
          <w:b/>
          <w:spacing w:val="1"/>
          <w:position w:val="1"/>
          <w:sz w:val="24"/>
          <w:szCs w:val="24"/>
        </w:rPr>
        <w:t xml:space="preserve"> </w:t>
      </w:r>
      <w:r>
        <w:rPr>
          <w:rFonts w:ascii="Palatino Linotype" w:eastAsia="Palatino Linotype" w:hAnsi="Palatino Linotype" w:cs="Palatino Linotype"/>
          <w:b/>
          <w:position w:val="1"/>
          <w:sz w:val="24"/>
          <w:szCs w:val="24"/>
        </w:rPr>
        <w:t>OF CALIF</w:t>
      </w:r>
      <w:r>
        <w:rPr>
          <w:rFonts w:ascii="Palatino Linotype" w:eastAsia="Palatino Linotype" w:hAnsi="Palatino Linotype" w:cs="Palatino Linotype"/>
          <w:b/>
          <w:spacing w:val="-2"/>
          <w:position w:val="1"/>
          <w:sz w:val="24"/>
          <w:szCs w:val="24"/>
        </w:rPr>
        <w:t>O</w:t>
      </w:r>
      <w:r>
        <w:rPr>
          <w:rFonts w:ascii="Palatino Linotype" w:eastAsia="Palatino Linotype" w:hAnsi="Palatino Linotype" w:cs="Palatino Linotype"/>
          <w:b/>
          <w:spacing w:val="-1"/>
          <w:position w:val="1"/>
          <w:sz w:val="24"/>
          <w:szCs w:val="24"/>
        </w:rPr>
        <w:t>RN</w:t>
      </w:r>
      <w:r>
        <w:rPr>
          <w:rFonts w:ascii="Palatino Linotype" w:eastAsia="Palatino Linotype" w:hAnsi="Palatino Linotype" w:cs="Palatino Linotype"/>
          <w:b/>
          <w:position w:val="1"/>
          <w:sz w:val="24"/>
          <w:szCs w:val="24"/>
        </w:rPr>
        <w:t>IA</w:t>
      </w:r>
    </w:p>
    <w:p w:rsidR="00D6611F" w:rsidRDefault="00D6611F">
      <w:pPr>
        <w:spacing w:before="2" w:line="120" w:lineRule="exact"/>
        <w:rPr>
          <w:sz w:val="12"/>
          <w:szCs w:val="12"/>
        </w:rPr>
      </w:pPr>
    </w:p>
    <w:p w:rsidR="00D6611F" w:rsidRDefault="00D6611F">
      <w:pPr>
        <w:spacing w:line="200" w:lineRule="exact"/>
      </w:pPr>
    </w:p>
    <w:p w:rsidR="00D6611F" w:rsidRDefault="00490173">
      <w:pPr>
        <w:ind w:left="340"/>
        <w:rPr>
          <w:rFonts w:ascii="Palatino Linotype" w:eastAsia="Palatino Linotype" w:hAnsi="Palatino Linotype" w:cs="Palatino Linotype"/>
          <w:sz w:val="24"/>
          <w:szCs w:val="24"/>
        </w:rPr>
      </w:pPr>
      <w:r>
        <w:rPr>
          <w:rFonts w:ascii="Palatino Linotype" w:eastAsia="Palatino Linotype" w:hAnsi="Palatino Linotype" w:cs="Palatino Linotype"/>
          <w:b/>
          <w:sz w:val="24"/>
          <w:szCs w:val="24"/>
        </w:rPr>
        <w:t>Commun</w:t>
      </w:r>
      <w:r>
        <w:rPr>
          <w:rFonts w:ascii="Palatino Linotype" w:eastAsia="Palatino Linotype" w:hAnsi="Palatino Linotype" w:cs="Palatino Linotype"/>
          <w:b/>
          <w:spacing w:val="-1"/>
          <w:sz w:val="24"/>
          <w:szCs w:val="24"/>
        </w:rPr>
        <w:t>ic</w:t>
      </w:r>
      <w:r>
        <w:rPr>
          <w:rFonts w:ascii="Palatino Linotype" w:eastAsia="Palatino Linotype" w:hAnsi="Palatino Linotype" w:cs="Palatino Linotype"/>
          <w:b/>
          <w:sz w:val="24"/>
          <w:szCs w:val="24"/>
        </w:rPr>
        <w:t>a</w:t>
      </w:r>
      <w:r>
        <w:rPr>
          <w:rFonts w:ascii="Palatino Linotype" w:eastAsia="Palatino Linotype" w:hAnsi="Palatino Linotype" w:cs="Palatino Linotype"/>
          <w:b/>
          <w:spacing w:val="-1"/>
          <w:sz w:val="24"/>
          <w:szCs w:val="24"/>
        </w:rPr>
        <w:t>t</w:t>
      </w:r>
      <w:r>
        <w:rPr>
          <w:rFonts w:ascii="Palatino Linotype" w:eastAsia="Palatino Linotype" w:hAnsi="Palatino Linotype" w:cs="Palatino Linotype"/>
          <w:b/>
          <w:sz w:val="24"/>
          <w:szCs w:val="24"/>
        </w:rPr>
        <w:t>ions</w:t>
      </w:r>
      <w:r>
        <w:rPr>
          <w:rFonts w:ascii="Palatino Linotype" w:eastAsia="Palatino Linotype" w:hAnsi="Palatino Linotype" w:cs="Palatino Linotype"/>
          <w:b/>
          <w:spacing w:val="-1"/>
          <w:sz w:val="24"/>
          <w:szCs w:val="24"/>
        </w:rPr>
        <w:t xml:space="preserve"> </w:t>
      </w:r>
      <w:r>
        <w:rPr>
          <w:rFonts w:ascii="Palatino Linotype" w:eastAsia="Palatino Linotype" w:hAnsi="Palatino Linotype" w:cs="Palatino Linotype"/>
          <w:b/>
          <w:spacing w:val="2"/>
          <w:sz w:val="24"/>
          <w:szCs w:val="24"/>
        </w:rPr>
        <w:t>D</w:t>
      </w:r>
      <w:r>
        <w:rPr>
          <w:rFonts w:ascii="Palatino Linotype" w:eastAsia="Palatino Linotype" w:hAnsi="Palatino Linotype" w:cs="Palatino Linotype"/>
          <w:b/>
          <w:sz w:val="24"/>
          <w:szCs w:val="24"/>
        </w:rPr>
        <w:t>ivi</w:t>
      </w:r>
      <w:r>
        <w:rPr>
          <w:rFonts w:ascii="Palatino Linotype" w:eastAsia="Palatino Linotype" w:hAnsi="Palatino Linotype" w:cs="Palatino Linotype"/>
          <w:b/>
          <w:spacing w:val="-1"/>
          <w:sz w:val="24"/>
          <w:szCs w:val="24"/>
        </w:rPr>
        <w:t>s</w:t>
      </w:r>
      <w:r>
        <w:rPr>
          <w:rFonts w:ascii="Palatino Linotype" w:eastAsia="Palatino Linotype" w:hAnsi="Palatino Linotype" w:cs="Palatino Linotype"/>
          <w:b/>
          <w:sz w:val="24"/>
          <w:szCs w:val="24"/>
        </w:rPr>
        <w:t xml:space="preserve">ion                                                            </w:t>
      </w:r>
      <w:r>
        <w:rPr>
          <w:rFonts w:ascii="Palatino Linotype" w:eastAsia="Palatino Linotype" w:hAnsi="Palatino Linotype" w:cs="Palatino Linotype"/>
          <w:b/>
          <w:spacing w:val="-1"/>
          <w:sz w:val="24"/>
          <w:szCs w:val="24"/>
        </w:rPr>
        <w:t>R</w:t>
      </w:r>
      <w:r>
        <w:rPr>
          <w:rFonts w:ascii="Palatino Linotype" w:eastAsia="Palatino Linotype" w:hAnsi="Palatino Linotype" w:cs="Palatino Linotype"/>
          <w:b/>
          <w:spacing w:val="1"/>
          <w:sz w:val="24"/>
          <w:szCs w:val="24"/>
        </w:rPr>
        <w:t>E</w:t>
      </w:r>
      <w:r>
        <w:rPr>
          <w:rFonts w:ascii="Palatino Linotype" w:eastAsia="Palatino Linotype" w:hAnsi="Palatino Linotype" w:cs="Palatino Linotype"/>
          <w:b/>
          <w:sz w:val="24"/>
          <w:szCs w:val="24"/>
        </w:rPr>
        <w:t>S</w:t>
      </w:r>
      <w:r>
        <w:rPr>
          <w:rFonts w:ascii="Palatino Linotype" w:eastAsia="Palatino Linotype" w:hAnsi="Palatino Linotype" w:cs="Palatino Linotype"/>
          <w:b/>
          <w:spacing w:val="-1"/>
          <w:sz w:val="24"/>
          <w:szCs w:val="24"/>
        </w:rPr>
        <w:t>O</w:t>
      </w:r>
      <w:r>
        <w:rPr>
          <w:rFonts w:ascii="Palatino Linotype" w:eastAsia="Palatino Linotype" w:hAnsi="Palatino Linotype" w:cs="Palatino Linotype"/>
          <w:b/>
          <w:spacing w:val="1"/>
          <w:sz w:val="24"/>
          <w:szCs w:val="24"/>
        </w:rPr>
        <w:t>L</w:t>
      </w:r>
      <w:r>
        <w:rPr>
          <w:rFonts w:ascii="Palatino Linotype" w:eastAsia="Palatino Linotype" w:hAnsi="Palatino Linotype" w:cs="Palatino Linotype"/>
          <w:b/>
          <w:sz w:val="24"/>
          <w:szCs w:val="24"/>
        </w:rPr>
        <w:t>U</w:t>
      </w:r>
      <w:r>
        <w:rPr>
          <w:rFonts w:ascii="Palatino Linotype" w:eastAsia="Palatino Linotype" w:hAnsi="Palatino Linotype" w:cs="Palatino Linotype"/>
          <w:b/>
          <w:spacing w:val="1"/>
          <w:sz w:val="24"/>
          <w:szCs w:val="24"/>
        </w:rPr>
        <w:t>T</w:t>
      </w:r>
      <w:r>
        <w:rPr>
          <w:rFonts w:ascii="Palatino Linotype" w:eastAsia="Palatino Linotype" w:hAnsi="Palatino Linotype" w:cs="Palatino Linotype"/>
          <w:b/>
          <w:sz w:val="24"/>
          <w:szCs w:val="24"/>
        </w:rPr>
        <w:t>ION</w:t>
      </w:r>
      <w:r>
        <w:rPr>
          <w:rFonts w:ascii="Palatino Linotype" w:eastAsia="Palatino Linotype" w:hAnsi="Palatino Linotype" w:cs="Palatino Linotype"/>
          <w:b/>
          <w:spacing w:val="-1"/>
          <w:sz w:val="24"/>
          <w:szCs w:val="24"/>
        </w:rPr>
        <w:t xml:space="preserve"> </w:t>
      </w:r>
      <w:r>
        <w:rPr>
          <w:rFonts w:ascii="Palatino Linotype" w:eastAsia="Palatino Linotype" w:hAnsi="Palatino Linotype" w:cs="Palatino Linotype"/>
          <w:b/>
          <w:spacing w:val="2"/>
          <w:sz w:val="24"/>
          <w:szCs w:val="24"/>
        </w:rPr>
        <w:t>T</w:t>
      </w:r>
      <w:r>
        <w:rPr>
          <w:rFonts w:ascii="Palatino Linotype" w:eastAsia="Palatino Linotype" w:hAnsi="Palatino Linotype" w:cs="Palatino Linotype"/>
          <w:b/>
          <w:spacing w:val="-1"/>
          <w:sz w:val="24"/>
          <w:szCs w:val="24"/>
        </w:rPr>
        <w:t>-</w:t>
      </w:r>
      <w:r w:rsidR="00357AF4">
        <w:rPr>
          <w:rFonts w:ascii="Palatino Linotype" w:eastAsia="Palatino Linotype" w:hAnsi="Palatino Linotype" w:cs="Palatino Linotype"/>
          <w:b/>
          <w:spacing w:val="-1"/>
          <w:sz w:val="24"/>
          <w:szCs w:val="24"/>
        </w:rPr>
        <w:t xml:space="preserve"> </w:t>
      </w:r>
      <w:r w:rsidR="00966C1E">
        <w:rPr>
          <w:rFonts w:ascii="Palatino Linotype" w:eastAsia="Palatino Linotype" w:hAnsi="Palatino Linotype" w:cs="Palatino Linotype"/>
          <w:b/>
          <w:spacing w:val="-1"/>
          <w:sz w:val="24"/>
          <w:szCs w:val="24"/>
        </w:rPr>
        <w:t>176</w:t>
      </w:r>
      <w:r w:rsidR="00F82A45">
        <w:rPr>
          <w:rFonts w:ascii="Palatino Linotype" w:eastAsia="Palatino Linotype" w:hAnsi="Palatino Linotype" w:cs="Palatino Linotype"/>
          <w:b/>
          <w:spacing w:val="-1"/>
          <w:sz w:val="24"/>
          <w:szCs w:val="24"/>
        </w:rPr>
        <w:t>26</w:t>
      </w:r>
      <w:r w:rsidR="00357AF4">
        <w:rPr>
          <w:rFonts w:ascii="Palatino Linotype" w:eastAsia="Palatino Linotype" w:hAnsi="Palatino Linotype" w:cs="Palatino Linotype"/>
          <w:b/>
          <w:spacing w:val="-1"/>
          <w:sz w:val="24"/>
          <w:szCs w:val="24"/>
        </w:rPr>
        <w:t xml:space="preserve"> </w:t>
      </w:r>
    </w:p>
    <w:p w:rsidR="00D6611F" w:rsidRPr="00695571" w:rsidRDefault="00490173" w:rsidP="00695571">
      <w:pPr>
        <w:tabs>
          <w:tab w:val="left" w:pos="1440"/>
        </w:tabs>
        <w:ind w:left="340"/>
        <w:rPr>
          <w:rFonts w:ascii="Palatino Linotype" w:eastAsia="Palatino Linotype" w:hAnsi="Palatino Linotype" w:cs="Palatino Linotype"/>
          <w:sz w:val="24"/>
          <w:szCs w:val="24"/>
        </w:rPr>
      </w:pPr>
      <w:r>
        <w:rPr>
          <w:rFonts w:ascii="Palatino Linotype" w:eastAsia="Palatino Linotype" w:hAnsi="Palatino Linotype" w:cs="Palatino Linotype"/>
          <w:b/>
          <w:sz w:val="24"/>
          <w:szCs w:val="24"/>
        </w:rPr>
        <w:t>Carr</w:t>
      </w:r>
      <w:r>
        <w:rPr>
          <w:rFonts w:ascii="Palatino Linotype" w:eastAsia="Palatino Linotype" w:hAnsi="Palatino Linotype" w:cs="Palatino Linotype"/>
          <w:b/>
          <w:spacing w:val="-1"/>
          <w:sz w:val="24"/>
          <w:szCs w:val="24"/>
        </w:rPr>
        <w:t>i</w:t>
      </w:r>
      <w:r>
        <w:rPr>
          <w:rFonts w:ascii="Palatino Linotype" w:eastAsia="Palatino Linotype" w:hAnsi="Palatino Linotype" w:cs="Palatino Linotype"/>
          <w:b/>
          <w:sz w:val="24"/>
          <w:szCs w:val="24"/>
        </w:rPr>
        <w:t>er Ove</w:t>
      </w:r>
      <w:r>
        <w:rPr>
          <w:rFonts w:ascii="Palatino Linotype" w:eastAsia="Palatino Linotype" w:hAnsi="Palatino Linotype" w:cs="Palatino Linotype"/>
          <w:b/>
          <w:spacing w:val="1"/>
          <w:sz w:val="24"/>
          <w:szCs w:val="24"/>
        </w:rPr>
        <w:t>r</w:t>
      </w:r>
      <w:r>
        <w:rPr>
          <w:rFonts w:ascii="Palatino Linotype" w:eastAsia="Palatino Linotype" w:hAnsi="Palatino Linotype" w:cs="Palatino Linotype"/>
          <w:b/>
          <w:spacing w:val="-1"/>
          <w:sz w:val="24"/>
          <w:szCs w:val="24"/>
        </w:rPr>
        <w:t>s</w:t>
      </w:r>
      <w:r>
        <w:rPr>
          <w:rFonts w:ascii="Palatino Linotype" w:eastAsia="Palatino Linotype" w:hAnsi="Palatino Linotype" w:cs="Palatino Linotype"/>
          <w:b/>
          <w:sz w:val="24"/>
          <w:szCs w:val="24"/>
        </w:rPr>
        <w:t>ight</w:t>
      </w:r>
      <w:r>
        <w:rPr>
          <w:rFonts w:ascii="Palatino Linotype" w:eastAsia="Palatino Linotype" w:hAnsi="Palatino Linotype" w:cs="Palatino Linotype"/>
          <w:b/>
          <w:spacing w:val="-1"/>
          <w:sz w:val="24"/>
          <w:szCs w:val="24"/>
        </w:rPr>
        <w:t xml:space="preserve"> </w:t>
      </w:r>
      <w:r>
        <w:rPr>
          <w:rFonts w:ascii="Palatino Linotype" w:eastAsia="Palatino Linotype" w:hAnsi="Palatino Linotype" w:cs="Palatino Linotype"/>
          <w:b/>
          <w:spacing w:val="2"/>
          <w:sz w:val="24"/>
          <w:szCs w:val="24"/>
        </w:rPr>
        <w:t>a</w:t>
      </w:r>
      <w:r>
        <w:rPr>
          <w:rFonts w:ascii="Palatino Linotype" w:eastAsia="Palatino Linotype" w:hAnsi="Palatino Linotype" w:cs="Palatino Linotype"/>
          <w:b/>
          <w:sz w:val="24"/>
          <w:szCs w:val="24"/>
        </w:rPr>
        <w:t>nd Pro</w:t>
      </w:r>
      <w:r>
        <w:rPr>
          <w:rFonts w:ascii="Palatino Linotype" w:eastAsia="Palatino Linotype" w:hAnsi="Palatino Linotype" w:cs="Palatino Linotype"/>
          <w:b/>
          <w:spacing w:val="1"/>
          <w:sz w:val="24"/>
          <w:szCs w:val="24"/>
        </w:rPr>
        <w:t>g</w:t>
      </w:r>
      <w:r>
        <w:rPr>
          <w:rFonts w:ascii="Palatino Linotype" w:eastAsia="Palatino Linotype" w:hAnsi="Palatino Linotype" w:cs="Palatino Linotype"/>
          <w:b/>
          <w:sz w:val="24"/>
          <w:szCs w:val="24"/>
        </w:rPr>
        <w:t xml:space="preserve">rams </w:t>
      </w:r>
      <w:r>
        <w:rPr>
          <w:rFonts w:ascii="Palatino Linotype" w:eastAsia="Palatino Linotype" w:hAnsi="Palatino Linotype" w:cs="Palatino Linotype"/>
          <w:b/>
          <w:spacing w:val="-1"/>
          <w:sz w:val="24"/>
          <w:szCs w:val="24"/>
        </w:rPr>
        <w:t>B</w:t>
      </w:r>
      <w:r>
        <w:rPr>
          <w:rFonts w:ascii="Palatino Linotype" w:eastAsia="Palatino Linotype" w:hAnsi="Palatino Linotype" w:cs="Palatino Linotype"/>
          <w:b/>
          <w:sz w:val="24"/>
          <w:szCs w:val="24"/>
        </w:rPr>
        <w:t>ran</w:t>
      </w:r>
      <w:r>
        <w:rPr>
          <w:rFonts w:ascii="Palatino Linotype" w:eastAsia="Palatino Linotype" w:hAnsi="Palatino Linotype" w:cs="Palatino Linotype"/>
          <w:b/>
          <w:spacing w:val="-1"/>
          <w:sz w:val="24"/>
          <w:szCs w:val="24"/>
        </w:rPr>
        <w:t>c</w:t>
      </w:r>
      <w:r>
        <w:rPr>
          <w:rFonts w:ascii="Palatino Linotype" w:eastAsia="Palatino Linotype" w:hAnsi="Palatino Linotype" w:cs="Palatino Linotype"/>
          <w:b/>
          <w:sz w:val="24"/>
          <w:szCs w:val="24"/>
        </w:rPr>
        <w:t xml:space="preserve">h                                    </w:t>
      </w:r>
      <w:r w:rsidR="003955C1">
        <w:rPr>
          <w:rFonts w:ascii="Palatino Linotype" w:eastAsia="Palatino Linotype" w:hAnsi="Palatino Linotype" w:cs="Palatino Linotype"/>
          <w:b/>
          <w:sz w:val="24"/>
          <w:szCs w:val="24"/>
        </w:rPr>
        <w:tab/>
        <w:t xml:space="preserve">         </w:t>
      </w:r>
      <w:r w:rsidR="00CB2F1D">
        <w:rPr>
          <w:rFonts w:ascii="Palatino Linotype" w:eastAsia="Palatino Linotype" w:hAnsi="Palatino Linotype" w:cs="Palatino Linotype"/>
          <w:b/>
          <w:sz w:val="24"/>
          <w:szCs w:val="24"/>
        </w:rPr>
        <w:t xml:space="preserve">August </w:t>
      </w:r>
      <w:r w:rsidR="00F82A45">
        <w:rPr>
          <w:rFonts w:ascii="Palatino Linotype" w:eastAsia="Palatino Linotype" w:hAnsi="Palatino Linotype" w:cs="Palatino Linotype"/>
          <w:b/>
          <w:sz w:val="24"/>
          <w:szCs w:val="24"/>
        </w:rPr>
        <w:t>23</w:t>
      </w:r>
      <w:r w:rsidR="00D60068">
        <w:rPr>
          <w:rFonts w:ascii="Palatino Linotype" w:eastAsia="Palatino Linotype" w:hAnsi="Palatino Linotype" w:cs="Palatino Linotype"/>
          <w:b/>
          <w:sz w:val="24"/>
          <w:szCs w:val="24"/>
        </w:rPr>
        <w:t>,</w:t>
      </w:r>
      <w:r w:rsidR="003C5075" w:rsidRPr="00695571">
        <w:rPr>
          <w:rFonts w:ascii="Palatino Linotype" w:eastAsia="Palatino Linotype" w:hAnsi="Palatino Linotype" w:cs="Palatino Linotype"/>
          <w:b/>
          <w:sz w:val="24"/>
          <w:szCs w:val="24"/>
        </w:rPr>
        <w:t xml:space="preserve"> </w:t>
      </w:r>
      <w:r w:rsidR="00F97255" w:rsidRPr="00695571">
        <w:rPr>
          <w:rFonts w:ascii="Palatino Linotype" w:eastAsia="Palatino Linotype" w:hAnsi="Palatino Linotype" w:cs="Palatino Linotype"/>
          <w:b/>
          <w:sz w:val="24"/>
          <w:szCs w:val="24"/>
        </w:rPr>
        <w:t>2018</w:t>
      </w:r>
    </w:p>
    <w:p w:rsidR="00D6611F" w:rsidRPr="00695571" w:rsidRDefault="00D6611F">
      <w:pPr>
        <w:spacing w:before="5" w:line="180" w:lineRule="exact"/>
        <w:rPr>
          <w:sz w:val="19"/>
          <w:szCs w:val="19"/>
        </w:rPr>
      </w:pPr>
    </w:p>
    <w:p w:rsidR="00D6611F" w:rsidRDefault="00D6611F">
      <w:pPr>
        <w:spacing w:line="200" w:lineRule="exact"/>
      </w:pPr>
    </w:p>
    <w:p w:rsidR="00D6611F" w:rsidRDefault="00D6611F">
      <w:pPr>
        <w:spacing w:line="200" w:lineRule="exact"/>
      </w:pPr>
    </w:p>
    <w:p w:rsidR="00D6611F" w:rsidRPr="003955C1" w:rsidRDefault="00FC3DEC" w:rsidP="00FC3DEC">
      <w:pPr>
        <w:spacing w:line="300" w:lineRule="exact"/>
        <w:ind w:left="2880" w:right="3665"/>
        <w:rPr>
          <w:rFonts w:ascii="Palatino Linotype" w:eastAsia="Palatino Linotype" w:hAnsi="Palatino Linotype" w:cs="Palatino Linotype"/>
          <w:sz w:val="24"/>
          <w:szCs w:val="24"/>
        </w:rPr>
      </w:pPr>
      <w:r w:rsidRPr="00FC3DEC">
        <w:rPr>
          <w:rFonts w:ascii="Palatino Linotype" w:eastAsia="Palatino Linotype" w:hAnsi="Palatino Linotype" w:cs="Palatino Linotype"/>
          <w:b/>
          <w:sz w:val="24"/>
          <w:szCs w:val="24"/>
        </w:rPr>
        <w:t xml:space="preserve">         </w:t>
      </w:r>
      <w:r w:rsidR="00490173" w:rsidRPr="003955C1">
        <w:rPr>
          <w:rFonts w:ascii="Palatino Linotype" w:eastAsia="Palatino Linotype" w:hAnsi="Palatino Linotype" w:cs="Palatino Linotype"/>
          <w:b/>
          <w:sz w:val="24"/>
          <w:szCs w:val="24"/>
          <w:u w:val="single"/>
        </w:rPr>
        <w:t>R</w:t>
      </w:r>
      <w:r w:rsidR="00490173" w:rsidRPr="003955C1">
        <w:rPr>
          <w:rFonts w:ascii="Palatino Linotype" w:eastAsia="Palatino Linotype" w:hAnsi="Palatino Linotype" w:cs="Palatino Linotype"/>
          <w:b/>
          <w:spacing w:val="-1"/>
          <w:sz w:val="24"/>
          <w:szCs w:val="24"/>
        </w:rPr>
        <w:t xml:space="preserve"> </w:t>
      </w:r>
      <w:r w:rsidR="00490173" w:rsidRPr="003955C1">
        <w:rPr>
          <w:rFonts w:ascii="Palatino Linotype" w:eastAsia="Palatino Linotype" w:hAnsi="Palatino Linotype" w:cs="Palatino Linotype"/>
          <w:b/>
          <w:sz w:val="24"/>
          <w:szCs w:val="24"/>
          <w:u w:val="single"/>
        </w:rPr>
        <w:t>E</w:t>
      </w:r>
      <w:r w:rsidR="00490173" w:rsidRPr="003955C1">
        <w:rPr>
          <w:rFonts w:ascii="Palatino Linotype" w:eastAsia="Palatino Linotype" w:hAnsi="Palatino Linotype" w:cs="Palatino Linotype"/>
          <w:b/>
          <w:spacing w:val="1"/>
          <w:sz w:val="24"/>
          <w:szCs w:val="24"/>
        </w:rPr>
        <w:t xml:space="preserve"> </w:t>
      </w:r>
      <w:r w:rsidR="00490173" w:rsidRPr="003955C1">
        <w:rPr>
          <w:rFonts w:ascii="Palatino Linotype" w:eastAsia="Palatino Linotype" w:hAnsi="Palatino Linotype" w:cs="Palatino Linotype"/>
          <w:b/>
          <w:sz w:val="24"/>
          <w:szCs w:val="24"/>
          <w:u w:val="single"/>
        </w:rPr>
        <w:t>S</w:t>
      </w:r>
      <w:r w:rsidR="00490173" w:rsidRPr="003955C1">
        <w:rPr>
          <w:rFonts w:ascii="Palatino Linotype" w:eastAsia="Palatino Linotype" w:hAnsi="Palatino Linotype" w:cs="Palatino Linotype"/>
          <w:b/>
          <w:sz w:val="24"/>
          <w:szCs w:val="24"/>
        </w:rPr>
        <w:t xml:space="preserve"> </w:t>
      </w:r>
      <w:r w:rsidR="00490173" w:rsidRPr="003955C1">
        <w:rPr>
          <w:rFonts w:ascii="Palatino Linotype" w:eastAsia="Palatino Linotype" w:hAnsi="Palatino Linotype" w:cs="Palatino Linotype"/>
          <w:b/>
          <w:sz w:val="24"/>
          <w:szCs w:val="24"/>
          <w:u w:val="single"/>
        </w:rPr>
        <w:t>O</w:t>
      </w:r>
      <w:r w:rsidR="00490173" w:rsidRPr="003955C1">
        <w:rPr>
          <w:rFonts w:ascii="Palatino Linotype" w:eastAsia="Palatino Linotype" w:hAnsi="Palatino Linotype" w:cs="Palatino Linotype"/>
          <w:b/>
          <w:spacing w:val="-1"/>
          <w:sz w:val="24"/>
          <w:szCs w:val="24"/>
        </w:rPr>
        <w:t xml:space="preserve"> </w:t>
      </w:r>
      <w:r w:rsidR="00490173" w:rsidRPr="003955C1">
        <w:rPr>
          <w:rFonts w:ascii="Palatino Linotype" w:eastAsia="Palatino Linotype" w:hAnsi="Palatino Linotype" w:cs="Palatino Linotype"/>
          <w:b/>
          <w:sz w:val="24"/>
          <w:szCs w:val="24"/>
          <w:u w:val="single"/>
        </w:rPr>
        <w:t>L</w:t>
      </w:r>
      <w:r w:rsidR="00490173" w:rsidRPr="003955C1">
        <w:rPr>
          <w:rFonts w:ascii="Palatino Linotype" w:eastAsia="Palatino Linotype" w:hAnsi="Palatino Linotype" w:cs="Palatino Linotype"/>
          <w:b/>
          <w:spacing w:val="1"/>
          <w:sz w:val="24"/>
          <w:szCs w:val="24"/>
        </w:rPr>
        <w:t xml:space="preserve"> </w:t>
      </w:r>
      <w:r w:rsidR="00490173" w:rsidRPr="003955C1">
        <w:rPr>
          <w:rFonts w:ascii="Palatino Linotype" w:eastAsia="Palatino Linotype" w:hAnsi="Palatino Linotype" w:cs="Palatino Linotype"/>
          <w:b/>
          <w:sz w:val="24"/>
          <w:szCs w:val="24"/>
          <w:u w:val="single"/>
        </w:rPr>
        <w:t>U</w:t>
      </w:r>
      <w:r w:rsidR="00490173" w:rsidRPr="003955C1">
        <w:rPr>
          <w:rFonts w:ascii="Palatino Linotype" w:eastAsia="Palatino Linotype" w:hAnsi="Palatino Linotype" w:cs="Palatino Linotype"/>
          <w:b/>
          <w:sz w:val="24"/>
          <w:szCs w:val="24"/>
        </w:rPr>
        <w:t xml:space="preserve"> </w:t>
      </w:r>
      <w:r w:rsidR="00490173" w:rsidRPr="003955C1">
        <w:rPr>
          <w:rFonts w:ascii="Palatino Linotype" w:eastAsia="Palatino Linotype" w:hAnsi="Palatino Linotype" w:cs="Palatino Linotype"/>
          <w:b/>
          <w:sz w:val="24"/>
          <w:szCs w:val="24"/>
          <w:u w:val="single"/>
        </w:rPr>
        <w:t>T</w:t>
      </w:r>
      <w:r w:rsidR="00490173" w:rsidRPr="003955C1">
        <w:rPr>
          <w:rFonts w:ascii="Palatino Linotype" w:eastAsia="Palatino Linotype" w:hAnsi="Palatino Linotype" w:cs="Palatino Linotype"/>
          <w:b/>
          <w:spacing w:val="1"/>
          <w:sz w:val="24"/>
          <w:szCs w:val="24"/>
        </w:rPr>
        <w:t xml:space="preserve"> </w:t>
      </w:r>
      <w:r w:rsidR="00490173" w:rsidRPr="003955C1">
        <w:rPr>
          <w:rFonts w:ascii="Palatino Linotype" w:eastAsia="Palatino Linotype" w:hAnsi="Palatino Linotype" w:cs="Palatino Linotype"/>
          <w:b/>
          <w:sz w:val="24"/>
          <w:szCs w:val="24"/>
          <w:u w:val="single"/>
        </w:rPr>
        <w:t>I</w:t>
      </w:r>
      <w:r w:rsidR="00490173" w:rsidRPr="003955C1">
        <w:rPr>
          <w:rFonts w:ascii="Palatino Linotype" w:eastAsia="Palatino Linotype" w:hAnsi="Palatino Linotype" w:cs="Palatino Linotype"/>
          <w:b/>
          <w:sz w:val="24"/>
          <w:szCs w:val="24"/>
        </w:rPr>
        <w:t xml:space="preserve"> </w:t>
      </w:r>
      <w:r w:rsidR="00490173" w:rsidRPr="003955C1">
        <w:rPr>
          <w:rFonts w:ascii="Palatino Linotype" w:eastAsia="Palatino Linotype" w:hAnsi="Palatino Linotype" w:cs="Palatino Linotype"/>
          <w:b/>
          <w:sz w:val="24"/>
          <w:szCs w:val="24"/>
          <w:u w:val="single"/>
        </w:rPr>
        <w:t>O</w:t>
      </w:r>
      <w:r w:rsidR="00490173" w:rsidRPr="003955C1">
        <w:rPr>
          <w:rFonts w:ascii="Palatino Linotype" w:eastAsia="Palatino Linotype" w:hAnsi="Palatino Linotype" w:cs="Palatino Linotype"/>
          <w:b/>
          <w:spacing w:val="-1"/>
          <w:sz w:val="24"/>
          <w:szCs w:val="24"/>
        </w:rPr>
        <w:t xml:space="preserve"> </w:t>
      </w:r>
      <w:r w:rsidR="00490173" w:rsidRPr="003955C1">
        <w:rPr>
          <w:rFonts w:ascii="Palatino Linotype" w:eastAsia="Palatino Linotype" w:hAnsi="Palatino Linotype" w:cs="Palatino Linotype"/>
          <w:b/>
          <w:sz w:val="24"/>
          <w:szCs w:val="24"/>
          <w:u w:val="single"/>
        </w:rPr>
        <w:t>N</w:t>
      </w:r>
    </w:p>
    <w:p w:rsidR="00D6611F" w:rsidRDefault="00D6611F">
      <w:pPr>
        <w:spacing w:before="6" w:line="140" w:lineRule="exact"/>
        <w:rPr>
          <w:sz w:val="14"/>
          <w:szCs w:val="14"/>
        </w:rPr>
      </w:pPr>
    </w:p>
    <w:p w:rsidR="00D6611F" w:rsidRDefault="00D6611F">
      <w:pPr>
        <w:spacing w:line="200" w:lineRule="exact"/>
      </w:pPr>
    </w:p>
    <w:p w:rsidR="00D6611F" w:rsidRDefault="00490173" w:rsidP="008D6077">
      <w:pPr>
        <w:pBdr>
          <w:bottom w:val="single" w:sz="4" w:space="1" w:color="auto"/>
        </w:pBdr>
        <w:spacing w:line="300" w:lineRule="exact"/>
        <w:ind w:left="820"/>
        <w:rPr>
          <w:rFonts w:ascii="Palatino Linotype" w:eastAsia="Palatino Linotype" w:hAnsi="Palatino Linotype" w:cs="Palatino Linotype"/>
          <w:sz w:val="24"/>
          <w:szCs w:val="24"/>
        </w:rPr>
      </w:pPr>
      <w:r>
        <w:rPr>
          <w:rFonts w:ascii="Palatino Linotype" w:eastAsia="Palatino Linotype" w:hAnsi="Palatino Linotype" w:cs="Palatino Linotype"/>
          <w:b/>
          <w:spacing w:val="-1"/>
          <w:position w:val="1"/>
          <w:sz w:val="24"/>
          <w:szCs w:val="24"/>
        </w:rPr>
        <w:t>R</w:t>
      </w:r>
      <w:r w:rsidR="003955C1">
        <w:rPr>
          <w:rFonts w:ascii="Palatino Linotype" w:eastAsia="Palatino Linotype" w:hAnsi="Palatino Linotype" w:cs="Palatino Linotype"/>
          <w:b/>
          <w:spacing w:val="-1"/>
          <w:position w:val="1"/>
          <w:sz w:val="24"/>
          <w:szCs w:val="24"/>
        </w:rPr>
        <w:t>ESOLUTION</w:t>
      </w:r>
      <w:r>
        <w:rPr>
          <w:rFonts w:ascii="Palatino Linotype" w:eastAsia="Palatino Linotype" w:hAnsi="Palatino Linotype" w:cs="Palatino Linotype"/>
          <w:b/>
          <w:position w:val="1"/>
          <w:sz w:val="24"/>
          <w:szCs w:val="24"/>
        </w:rPr>
        <w:t xml:space="preserve"> </w:t>
      </w:r>
      <w:r>
        <w:rPr>
          <w:rFonts w:ascii="Palatino Linotype" w:eastAsia="Palatino Linotype" w:hAnsi="Palatino Linotype" w:cs="Palatino Linotype"/>
          <w:b/>
          <w:spacing w:val="1"/>
          <w:position w:val="1"/>
          <w:sz w:val="24"/>
          <w:szCs w:val="24"/>
        </w:rPr>
        <w:t>T</w:t>
      </w:r>
      <w:r>
        <w:rPr>
          <w:rFonts w:ascii="Palatino Linotype" w:eastAsia="Palatino Linotype" w:hAnsi="Palatino Linotype" w:cs="Palatino Linotype"/>
          <w:b/>
          <w:spacing w:val="-1"/>
          <w:position w:val="1"/>
          <w:sz w:val="24"/>
          <w:szCs w:val="24"/>
        </w:rPr>
        <w:t>-</w:t>
      </w:r>
      <w:r w:rsidR="00966C1E">
        <w:rPr>
          <w:rFonts w:ascii="Palatino Linotype" w:eastAsia="Palatino Linotype" w:hAnsi="Palatino Linotype" w:cs="Palatino Linotype"/>
          <w:b/>
          <w:spacing w:val="-1"/>
          <w:position w:val="1"/>
          <w:sz w:val="24"/>
          <w:szCs w:val="24"/>
        </w:rPr>
        <w:t>176</w:t>
      </w:r>
      <w:r w:rsidR="00F82A45">
        <w:rPr>
          <w:rFonts w:ascii="Palatino Linotype" w:eastAsia="Palatino Linotype" w:hAnsi="Palatino Linotype" w:cs="Palatino Linotype"/>
          <w:b/>
          <w:spacing w:val="-1"/>
          <w:position w:val="1"/>
          <w:sz w:val="24"/>
          <w:szCs w:val="24"/>
        </w:rPr>
        <w:t>26</w:t>
      </w:r>
      <w:r w:rsidR="00C76322">
        <w:rPr>
          <w:rFonts w:ascii="Palatino Linotype" w:eastAsia="Palatino Linotype" w:hAnsi="Palatino Linotype" w:cs="Palatino Linotype"/>
          <w:b/>
          <w:spacing w:val="-1"/>
          <w:position w:val="1"/>
          <w:sz w:val="24"/>
          <w:szCs w:val="24"/>
        </w:rPr>
        <w:t>,</w:t>
      </w:r>
      <w:r>
        <w:rPr>
          <w:rFonts w:ascii="Palatino Linotype" w:eastAsia="Palatino Linotype" w:hAnsi="Palatino Linotype" w:cs="Palatino Linotype"/>
          <w:b/>
          <w:position w:val="1"/>
          <w:sz w:val="24"/>
          <w:szCs w:val="24"/>
        </w:rPr>
        <w:t xml:space="preserve"> </w:t>
      </w:r>
      <w:r w:rsidR="00D60068">
        <w:rPr>
          <w:rFonts w:ascii="Palatino Linotype" w:eastAsia="Palatino Linotype" w:hAnsi="Palatino Linotype" w:cs="Palatino Linotype"/>
          <w:b/>
          <w:position w:val="1"/>
          <w:sz w:val="24"/>
          <w:szCs w:val="24"/>
        </w:rPr>
        <w:t>Cal</w:t>
      </w:r>
      <w:r w:rsidR="00F82A45">
        <w:rPr>
          <w:rFonts w:ascii="Palatino Linotype" w:eastAsia="Palatino Linotype" w:hAnsi="Palatino Linotype" w:cs="Palatino Linotype"/>
          <w:b/>
          <w:position w:val="1"/>
          <w:sz w:val="24"/>
          <w:szCs w:val="24"/>
        </w:rPr>
        <w:t>averas</w:t>
      </w:r>
      <w:r w:rsidR="00D60068">
        <w:rPr>
          <w:rFonts w:ascii="Palatino Linotype" w:eastAsia="Palatino Linotype" w:hAnsi="Palatino Linotype" w:cs="Palatino Linotype"/>
          <w:b/>
          <w:position w:val="1"/>
          <w:sz w:val="24"/>
          <w:szCs w:val="24"/>
        </w:rPr>
        <w:t xml:space="preserve"> Telephone Company. </w:t>
      </w:r>
      <w:r w:rsidR="007F0059">
        <w:rPr>
          <w:rFonts w:ascii="Palatino Linotype" w:eastAsia="Palatino Linotype" w:hAnsi="Palatino Linotype" w:cs="Palatino Linotype"/>
          <w:position w:val="1"/>
          <w:sz w:val="24"/>
          <w:szCs w:val="24"/>
        </w:rPr>
        <w:t>Order</w:t>
      </w:r>
      <w:r w:rsidR="00D60068">
        <w:rPr>
          <w:rFonts w:ascii="Palatino Linotype" w:eastAsia="Palatino Linotype" w:hAnsi="Palatino Linotype" w:cs="Palatino Linotype"/>
          <w:position w:val="1"/>
          <w:sz w:val="24"/>
          <w:szCs w:val="24"/>
        </w:rPr>
        <w:t xml:space="preserve"> Authorizing </w:t>
      </w:r>
      <w:r w:rsidR="0019205A">
        <w:rPr>
          <w:rFonts w:ascii="Palatino Linotype" w:eastAsia="Palatino Linotype" w:hAnsi="Palatino Linotype" w:cs="Palatino Linotype"/>
          <w:position w:val="1"/>
          <w:sz w:val="24"/>
          <w:szCs w:val="24"/>
        </w:rPr>
        <w:t xml:space="preserve">a </w:t>
      </w:r>
      <w:r w:rsidR="007F0059">
        <w:rPr>
          <w:rFonts w:ascii="Palatino Linotype" w:eastAsia="Palatino Linotype" w:hAnsi="Palatino Linotype" w:cs="Palatino Linotype"/>
          <w:position w:val="1"/>
          <w:sz w:val="24"/>
          <w:szCs w:val="24"/>
        </w:rPr>
        <w:t xml:space="preserve">Reduction </w:t>
      </w:r>
      <w:r w:rsidR="00C75FA4">
        <w:rPr>
          <w:rFonts w:ascii="Palatino Linotype" w:eastAsia="Palatino Linotype" w:hAnsi="Palatino Linotype" w:cs="Palatino Linotype"/>
          <w:position w:val="1"/>
          <w:sz w:val="24"/>
          <w:szCs w:val="24"/>
        </w:rPr>
        <w:t xml:space="preserve">of </w:t>
      </w:r>
      <w:r w:rsidR="00AC7379">
        <w:rPr>
          <w:rFonts w:ascii="Palatino Linotype" w:eastAsia="Palatino Linotype" w:hAnsi="Palatino Linotype" w:cs="Palatino Linotype"/>
          <w:position w:val="1"/>
          <w:sz w:val="24"/>
          <w:szCs w:val="24"/>
        </w:rPr>
        <w:t>$</w:t>
      </w:r>
      <w:r w:rsidR="00740B8F">
        <w:rPr>
          <w:rFonts w:ascii="Palatino Linotype" w:eastAsia="Palatino Linotype" w:hAnsi="Palatino Linotype" w:cs="Palatino Linotype"/>
          <w:position w:val="1"/>
          <w:sz w:val="24"/>
          <w:szCs w:val="24"/>
        </w:rPr>
        <w:t>196,389</w:t>
      </w:r>
      <w:r w:rsidR="00AC7379">
        <w:rPr>
          <w:rFonts w:ascii="Palatino Linotype" w:eastAsia="Palatino Linotype" w:hAnsi="Palatino Linotype" w:cs="Palatino Linotype"/>
          <w:position w:val="1"/>
          <w:sz w:val="24"/>
          <w:szCs w:val="24"/>
        </w:rPr>
        <w:t xml:space="preserve"> </w:t>
      </w:r>
      <w:r w:rsidR="00C75FA4">
        <w:rPr>
          <w:rFonts w:ascii="Palatino Linotype" w:eastAsia="Palatino Linotype" w:hAnsi="Palatino Linotype" w:cs="Palatino Linotype"/>
          <w:position w:val="1"/>
          <w:sz w:val="24"/>
          <w:szCs w:val="24"/>
        </w:rPr>
        <w:t xml:space="preserve">in Adopted Revenue Requirement </w:t>
      </w:r>
      <w:r w:rsidR="00425342">
        <w:rPr>
          <w:rFonts w:ascii="Palatino Linotype" w:eastAsia="Palatino Linotype" w:hAnsi="Palatino Linotype" w:cs="Palatino Linotype"/>
          <w:position w:val="1"/>
          <w:sz w:val="24"/>
          <w:szCs w:val="24"/>
        </w:rPr>
        <w:t xml:space="preserve">for </w:t>
      </w:r>
      <w:r w:rsidR="00425342" w:rsidRPr="00425342">
        <w:rPr>
          <w:rFonts w:ascii="Palatino Linotype" w:eastAsia="Palatino Linotype" w:hAnsi="Palatino Linotype" w:cs="Palatino Linotype"/>
          <w:position w:val="1"/>
          <w:sz w:val="24"/>
          <w:szCs w:val="24"/>
        </w:rPr>
        <w:t xml:space="preserve">Test Year 2018 </w:t>
      </w:r>
      <w:r w:rsidR="00C75FA4">
        <w:rPr>
          <w:rFonts w:ascii="Palatino Linotype" w:eastAsia="Palatino Linotype" w:hAnsi="Palatino Linotype" w:cs="Palatino Linotype"/>
          <w:position w:val="1"/>
          <w:sz w:val="24"/>
          <w:szCs w:val="24"/>
        </w:rPr>
        <w:t xml:space="preserve">and a Corresponding Reduction </w:t>
      </w:r>
      <w:r w:rsidR="007F0059">
        <w:rPr>
          <w:rFonts w:ascii="Palatino Linotype" w:eastAsia="Palatino Linotype" w:hAnsi="Palatino Linotype" w:cs="Palatino Linotype"/>
          <w:position w:val="1"/>
          <w:sz w:val="24"/>
          <w:szCs w:val="24"/>
        </w:rPr>
        <w:t xml:space="preserve">of </w:t>
      </w:r>
      <w:r w:rsidR="00AC7379">
        <w:rPr>
          <w:rFonts w:ascii="Palatino Linotype" w:eastAsia="Palatino Linotype" w:hAnsi="Palatino Linotype" w:cs="Palatino Linotype"/>
          <w:position w:val="1"/>
          <w:sz w:val="24"/>
          <w:szCs w:val="24"/>
        </w:rPr>
        <w:t>$1</w:t>
      </w:r>
      <w:r w:rsidR="00740B8F">
        <w:rPr>
          <w:rFonts w:ascii="Palatino Linotype" w:eastAsia="Palatino Linotype" w:hAnsi="Palatino Linotype" w:cs="Palatino Linotype"/>
          <w:position w:val="1"/>
          <w:sz w:val="24"/>
          <w:szCs w:val="24"/>
        </w:rPr>
        <w:t>96,389</w:t>
      </w:r>
      <w:r w:rsidR="00E24DAE" w:rsidRPr="00C51C6E">
        <w:rPr>
          <w:rFonts w:ascii="Palatino Linotype" w:eastAsia="Palatino Linotype" w:hAnsi="Palatino Linotype" w:cs="Palatino Linotype"/>
          <w:position w:val="1"/>
          <w:sz w:val="24"/>
          <w:szCs w:val="24"/>
        </w:rPr>
        <w:t xml:space="preserve"> </w:t>
      </w:r>
      <w:r w:rsidR="007F0059">
        <w:rPr>
          <w:rFonts w:ascii="Palatino Linotype" w:eastAsia="Palatino Linotype" w:hAnsi="Palatino Linotype" w:cs="Palatino Linotype"/>
          <w:position w:val="1"/>
          <w:sz w:val="24"/>
          <w:szCs w:val="24"/>
        </w:rPr>
        <w:t>in California High Cost Fund</w:t>
      </w:r>
      <w:r w:rsidR="008B3FC5">
        <w:rPr>
          <w:rFonts w:ascii="Palatino Linotype" w:eastAsia="Palatino Linotype" w:hAnsi="Palatino Linotype" w:cs="Palatino Linotype"/>
          <w:position w:val="1"/>
          <w:sz w:val="24"/>
          <w:szCs w:val="24"/>
        </w:rPr>
        <w:t>-</w:t>
      </w:r>
      <w:r w:rsidR="007F0059">
        <w:rPr>
          <w:rFonts w:ascii="Palatino Linotype" w:eastAsia="Palatino Linotype" w:hAnsi="Palatino Linotype" w:cs="Palatino Linotype"/>
          <w:position w:val="1"/>
          <w:sz w:val="24"/>
          <w:szCs w:val="24"/>
        </w:rPr>
        <w:t>A S</w:t>
      </w:r>
      <w:r w:rsidR="00E24DAE">
        <w:rPr>
          <w:rFonts w:ascii="Palatino Linotype" w:eastAsia="Palatino Linotype" w:hAnsi="Palatino Linotype" w:cs="Palatino Linotype"/>
          <w:position w:val="1"/>
          <w:sz w:val="24"/>
          <w:szCs w:val="24"/>
        </w:rPr>
        <w:t>upport</w:t>
      </w:r>
      <w:r w:rsidR="00C75FA4">
        <w:rPr>
          <w:rFonts w:ascii="Palatino Linotype" w:eastAsia="Palatino Linotype" w:hAnsi="Palatino Linotype" w:cs="Palatino Linotype"/>
          <w:position w:val="1"/>
          <w:sz w:val="24"/>
          <w:szCs w:val="24"/>
        </w:rPr>
        <w:t xml:space="preserve"> for </w:t>
      </w:r>
      <w:r w:rsidR="00966C1E">
        <w:rPr>
          <w:rFonts w:ascii="Palatino Linotype" w:eastAsia="Palatino Linotype" w:hAnsi="Palatino Linotype" w:cs="Palatino Linotype"/>
          <w:position w:val="1"/>
          <w:sz w:val="24"/>
          <w:szCs w:val="24"/>
        </w:rPr>
        <w:t xml:space="preserve">Test Year </w:t>
      </w:r>
      <w:r w:rsidR="00C75FA4">
        <w:rPr>
          <w:rFonts w:ascii="Palatino Linotype" w:eastAsia="Palatino Linotype" w:hAnsi="Palatino Linotype" w:cs="Palatino Linotype"/>
          <w:position w:val="1"/>
          <w:sz w:val="24"/>
          <w:szCs w:val="24"/>
        </w:rPr>
        <w:t>2018</w:t>
      </w:r>
      <w:r w:rsidR="004B4815">
        <w:rPr>
          <w:rFonts w:ascii="Palatino Linotype" w:eastAsia="Palatino Linotype" w:hAnsi="Palatino Linotype" w:cs="Palatino Linotype"/>
          <w:position w:val="1"/>
          <w:sz w:val="24"/>
          <w:szCs w:val="24"/>
        </w:rPr>
        <w:t xml:space="preserve"> to flow through changes resulting from the Tax Cuts and Jobs Act of 2017</w:t>
      </w:r>
      <w:r w:rsidR="00C75FA4">
        <w:rPr>
          <w:rFonts w:ascii="Palatino Linotype" w:eastAsia="Palatino Linotype" w:hAnsi="Palatino Linotype" w:cs="Palatino Linotype"/>
          <w:position w:val="1"/>
          <w:sz w:val="24"/>
          <w:szCs w:val="24"/>
        </w:rPr>
        <w:t>.</w:t>
      </w:r>
    </w:p>
    <w:p w:rsidR="00D6611F" w:rsidRDefault="00D6611F">
      <w:pPr>
        <w:spacing w:line="200" w:lineRule="exact"/>
      </w:pPr>
    </w:p>
    <w:p w:rsidR="0033110F" w:rsidRDefault="0033110F">
      <w:pPr>
        <w:spacing w:line="300" w:lineRule="exact"/>
        <w:ind w:left="100"/>
        <w:rPr>
          <w:rFonts w:ascii="Palatino Linotype" w:eastAsia="Palatino Linotype" w:hAnsi="Palatino Linotype" w:cs="Palatino Linotype"/>
          <w:b/>
          <w:position w:val="1"/>
          <w:sz w:val="24"/>
          <w:szCs w:val="24"/>
          <w:u w:val="single"/>
        </w:rPr>
      </w:pPr>
    </w:p>
    <w:p w:rsidR="00D6611F" w:rsidRPr="005D3F3F" w:rsidRDefault="00490173">
      <w:pPr>
        <w:spacing w:line="300" w:lineRule="exact"/>
        <w:ind w:left="100"/>
        <w:rPr>
          <w:rFonts w:ascii="Palatino Linotype" w:eastAsia="Palatino Linotype" w:hAnsi="Palatino Linotype" w:cs="Palatino Linotype"/>
          <w:sz w:val="24"/>
          <w:szCs w:val="24"/>
          <w:u w:val="single"/>
        </w:rPr>
      </w:pPr>
      <w:r w:rsidRPr="005D3F3F">
        <w:rPr>
          <w:rFonts w:ascii="Palatino Linotype" w:eastAsia="Palatino Linotype" w:hAnsi="Palatino Linotype" w:cs="Palatino Linotype"/>
          <w:b/>
          <w:position w:val="1"/>
          <w:sz w:val="24"/>
          <w:szCs w:val="24"/>
          <w:u w:val="single"/>
        </w:rPr>
        <w:t>S</w:t>
      </w:r>
      <w:r w:rsidR="005D3F3F" w:rsidRPr="005D3F3F">
        <w:rPr>
          <w:rFonts w:ascii="Palatino Linotype" w:eastAsia="Palatino Linotype" w:hAnsi="Palatino Linotype" w:cs="Palatino Linotype"/>
          <w:b/>
          <w:position w:val="1"/>
          <w:sz w:val="24"/>
          <w:szCs w:val="24"/>
          <w:u w:val="single"/>
        </w:rPr>
        <w:t>UMMARY</w:t>
      </w:r>
    </w:p>
    <w:p w:rsidR="00D6611F" w:rsidRDefault="00D6611F">
      <w:pPr>
        <w:spacing w:before="7" w:line="120" w:lineRule="exact"/>
        <w:rPr>
          <w:sz w:val="12"/>
          <w:szCs w:val="12"/>
        </w:rPr>
      </w:pPr>
    </w:p>
    <w:p w:rsidR="00A155FB" w:rsidRDefault="00A155FB" w:rsidP="007B56B5">
      <w:pPr>
        <w:ind w:left="100" w:right="82"/>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 xml:space="preserve">This </w:t>
      </w:r>
      <w:r w:rsidR="00853715">
        <w:rPr>
          <w:rFonts w:ascii="Palatino Linotype" w:eastAsia="Palatino Linotype" w:hAnsi="Palatino Linotype" w:cs="Palatino Linotype"/>
          <w:sz w:val="24"/>
          <w:szCs w:val="24"/>
        </w:rPr>
        <w:t>R</w:t>
      </w:r>
      <w:r>
        <w:rPr>
          <w:rFonts w:ascii="Palatino Linotype" w:eastAsia="Palatino Linotype" w:hAnsi="Palatino Linotype" w:cs="Palatino Linotype"/>
          <w:sz w:val="24"/>
          <w:szCs w:val="24"/>
        </w:rPr>
        <w:t xml:space="preserve">esolution </w:t>
      </w:r>
      <w:r w:rsidR="004B4815">
        <w:rPr>
          <w:rFonts w:ascii="Palatino Linotype" w:eastAsia="Palatino Linotype" w:hAnsi="Palatino Linotype" w:cs="Palatino Linotype"/>
          <w:sz w:val="24"/>
          <w:szCs w:val="24"/>
        </w:rPr>
        <w:t>flows through revenue requirement and California</w:t>
      </w:r>
      <w:r w:rsidR="004B4815" w:rsidRPr="004B4815">
        <w:rPr>
          <w:rFonts w:ascii="Palatino Linotype" w:eastAsia="Palatino Linotype" w:hAnsi="Palatino Linotype" w:cs="Palatino Linotype"/>
          <w:sz w:val="24"/>
          <w:szCs w:val="24"/>
        </w:rPr>
        <w:t xml:space="preserve"> </w:t>
      </w:r>
      <w:r w:rsidR="004B4815">
        <w:rPr>
          <w:rFonts w:ascii="Palatino Linotype" w:eastAsia="Palatino Linotype" w:hAnsi="Palatino Linotype" w:cs="Palatino Linotype"/>
          <w:sz w:val="24"/>
          <w:szCs w:val="24"/>
        </w:rPr>
        <w:t xml:space="preserve">High Cost Fund-A changes from the Tax Cuts and Jobs Act of 2017, which became effective on January 1, 2018.  Specifically, this resolution </w:t>
      </w:r>
      <w:r>
        <w:rPr>
          <w:rFonts w:ascii="Palatino Linotype" w:eastAsia="Palatino Linotype" w:hAnsi="Palatino Linotype" w:cs="Palatino Linotype"/>
          <w:sz w:val="24"/>
          <w:szCs w:val="24"/>
        </w:rPr>
        <w:t xml:space="preserve">adopts a revised revenue requirement of </w:t>
      </w:r>
      <w:r w:rsidR="00AC7379">
        <w:rPr>
          <w:rFonts w:ascii="Palatino Linotype" w:eastAsia="Palatino Linotype" w:hAnsi="Palatino Linotype" w:cs="Palatino Linotype"/>
          <w:sz w:val="24"/>
          <w:szCs w:val="24"/>
        </w:rPr>
        <w:t>$</w:t>
      </w:r>
      <w:r w:rsidR="00740B8F">
        <w:rPr>
          <w:rFonts w:ascii="Palatino Linotype" w:eastAsia="Palatino Linotype" w:hAnsi="Palatino Linotype" w:cs="Palatino Linotype"/>
          <w:sz w:val="24"/>
          <w:szCs w:val="24"/>
        </w:rPr>
        <w:t xml:space="preserve">6,003,765 </w:t>
      </w:r>
      <w:r>
        <w:rPr>
          <w:rFonts w:ascii="Palatino Linotype" w:eastAsia="Palatino Linotype" w:hAnsi="Palatino Linotype" w:cs="Palatino Linotype"/>
          <w:sz w:val="24"/>
          <w:szCs w:val="24"/>
        </w:rPr>
        <w:t xml:space="preserve">for </w:t>
      </w:r>
      <w:r w:rsidR="00F46D1F">
        <w:rPr>
          <w:rFonts w:ascii="Palatino Linotype" w:eastAsia="Palatino Linotype" w:hAnsi="Palatino Linotype" w:cs="Palatino Linotype"/>
          <w:sz w:val="24"/>
          <w:szCs w:val="24"/>
        </w:rPr>
        <w:t>Calaveras</w:t>
      </w:r>
      <w:r>
        <w:rPr>
          <w:rFonts w:ascii="Palatino Linotype" w:eastAsia="Palatino Linotype" w:hAnsi="Palatino Linotype" w:cs="Palatino Linotype"/>
          <w:sz w:val="24"/>
          <w:szCs w:val="24"/>
        </w:rPr>
        <w:t xml:space="preserve"> Telephone Company’s Test Year 2018, and a corresponding revised California </w:t>
      </w:r>
      <w:bookmarkStart w:id="1" w:name="_Hlk517858737"/>
      <w:r>
        <w:rPr>
          <w:rFonts w:ascii="Palatino Linotype" w:eastAsia="Palatino Linotype" w:hAnsi="Palatino Linotype" w:cs="Palatino Linotype"/>
          <w:sz w:val="24"/>
          <w:szCs w:val="24"/>
        </w:rPr>
        <w:t xml:space="preserve">High Cost Fund-A </w:t>
      </w:r>
      <w:bookmarkEnd w:id="1"/>
      <w:r>
        <w:rPr>
          <w:rFonts w:ascii="Palatino Linotype" w:eastAsia="Palatino Linotype" w:hAnsi="Palatino Linotype" w:cs="Palatino Linotype"/>
          <w:sz w:val="24"/>
          <w:szCs w:val="24"/>
        </w:rPr>
        <w:t xml:space="preserve">support amount of </w:t>
      </w:r>
      <w:r w:rsidR="00AC7379">
        <w:rPr>
          <w:rFonts w:ascii="Palatino Linotype" w:eastAsia="Palatino Linotype" w:hAnsi="Palatino Linotype" w:cs="Palatino Linotype"/>
          <w:sz w:val="24"/>
          <w:szCs w:val="24"/>
        </w:rPr>
        <w:t>$</w:t>
      </w:r>
      <w:r w:rsidR="00740B8F">
        <w:rPr>
          <w:rFonts w:ascii="Palatino Linotype" w:eastAsia="Palatino Linotype" w:hAnsi="Palatino Linotype" w:cs="Palatino Linotype"/>
          <w:sz w:val="24"/>
          <w:szCs w:val="24"/>
        </w:rPr>
        <w:t>2,736,510</w:t>
      </w:r>
      <w:r>
        <w:rPr>
          <w:rFonts w:ascii="Palatino Linotype" w:eastAsia="Palatino Linotype" w:hAnsi="Palatino Linotype" w:cs="Palatino Linotype"/>
          <w:sz w:val="24"/>
          <w:szCs w:val="24"/>
        </w:rPr>
        <w:t xml:space="preserve">, resulting </w:t>
      </w:r>
      <w:r w:rsidR="00EF1F82">
        <w:rPr>
          <w:rFonts w:ascii="Palatino Linotype" w:eastAsia="Palatino Linotype" w:hAnsi="Palatino Linotype" w:cs="Palatino Linotype"/>
          <w:sz w:val="24"/>
          <w:szCs w:val="24"/>
        </w:rPr>
        <w:t xml:space="preserve">in </w:t>
      </w:r>
      <w:r>
        <w:rPr>
          <w:rFonts w:ascii="Palatino Linotype" w:eastAsia="Palatino Linotype" w:hAnsi="Palatino Linotype" w:cs="Palatino Linotype"/>
          <w:sz w:val="24"/>
          <w:szCs w:val="24"/>
        </w:rPr>
        <w:t xml:space="preserve">a reduction of </w:t>
      </w:r>
      <w:r w:rsidR="00AC7379">
        <w:rPr>
          <w:rFonts w:ascii="Palatino Linotype" w:eastAsia="Palatino Linotype" w:hAnsi="Palatino Linotype" w:cs="Palatino Linotype"/>
          <w:sz w:val="24"/>
          <w:szCs w:val="24"/>
        </w:rPr>
        <w:t>$</w:t>
      </w:r>
      <w:r w:rsidR="00740B8F">
        <w:rPr>
          <w:rFonts w:ascii="Palatino Linotype" w:eastAsia="Palatino Linotype" w:hAnsi="Palatino Linotype" w:cs="Palatino Linotype"/>
          <w:sz w:val="24"/>
          <w:szCs w:val="24"/>
        </w:rPr>
        <w:t>196,389</w:t>
      </w:r>
      <w:r>
        <w:rPr>
          <w:rFonts w:ascii="Palatino Linotype" w:eastAsia="Palatino Linotype" w:hAnsi="Palatino Linotype" w:cs="Palatino Linotype"/>
          <w:sz w:val="24"/>
          <w:szCs w:val="24"/>
        </w:rPr>
        <w:t xml:space="preserve"> </w:t>
      </w:r>
      <w:bookmarkStart w:id="2" w:name="_Hlk517875493"/>
      <w:r w:rsidR="004B4815">
        <w:rPr>
          <w:rFonts w:ascii="Palatino Linotype" w:eastAsia="Palatino Linotype" w:hAnsi="Palatino Linotype" w:cs="Palatino Linotype"/>
          <w:sz w:val="24"/>
          <w:szCs w:val="24"/>
        </w:rPr>
        <w:t>in California High Cost Fund-A support for 2018</w:t>
      </w:r>
      <w:bookmarkEnd w:id="2"/>
      <w:r w:rsidR="00340383">
        <w:rPr>
          <w:rFonts w:ascii="Palatino Linotype" w:eastAsia="Palatino Linotype" w:hAnsi="Palatino Linotype" w:cs="Palatino Linotype"/>
          <w:sz w:val="24"/>
          <w:szCs w:val="24"/>
        </w:rPr>
        <w:t>.</w:t>
      </w:r>
    </w:p>
    <w:p w:rsidR="004C59CE" w:rsidRDefault="004C59CE" w:rsidP="008D6077">
      <w:pPr>
        <w:ind w:right="140"/>
        <w:rPr>
          <w:rFonts w:ascii="Palatino Linotype" w:eastAsia="Palatino Linotype" w:hAnsi="Palatino Linotype" w:cs="Palatino Linotype"/>
          <w:sz w:val="24"/>
          <w:szCs w:val="24"/>
        </w:rPr>
      </w:pPr>
    </w:p>
    <w:p w:rsidR="00D6611F" w:rsidRPr="005D3F3F" w:rsidRDefault="00490173" w:rsidP="007B56B5">
      <w:pPr>
        <w:ind w:left="100" w:right="82"/>
        <w:rPr>
          <w:rFonts w:ascii="Palatino Linotype" w:eastAsia="Palatino Linotype" w:hAnsi="Palatino Linotype" w:cs="Palatino Linotype"/>
          <w:b/>
          <w:sz w:val="24"/>
          <w:szCs w:val="24"/>
          <w:u w:val="single"/>
        </w:rPr>
      </w:pPr>
      <w:r w:rsidRPr="005D3F3F">
        <w:rPr>
          <w:rFonts w:ascii="Palatino Linotype" w:eastAsia="Palatino Linotype" w:hAnsi="Palatino Linotype" w:cs="Palatino Linotype"/>
          <w:b/>
          <w:sz w:val="24"/>
          <w:szCs w:val="24"/>
          <w:u w:val="single"/>
        </w:rPr>
        <w:t>B</w:t>
      </w:r>
      <w:r w:rsidR="005D3F3F" w:rsidRPr="005D3F3F">
        <w:rPr>
          <w:rFonts w:ascii="Palatino Linotype" w:eastAsia="Palatino Linotype" w:hAnsi="Palatino Linotype" w:cs="Palatino Linotype"/>
          <w:b/>
          <w:sz w:val="24"/>
          <w:szCs w:val="24"/>
          <w:u w:val="single"/>
        </w:rPr>
        <w:t>ACKGROUND</w:t>
      </w:r>
    </w:p>
    <w:p w:rsidR="00D6611F" w:rsidRDefault="00D6611F">
      <w:pPr>
        <w:spacing w:before="7" w:line="120" w:lineRule="exact"/>
        <w:rPr>
          <w:sz w:val="12"/>
          <w:szCs w:val="12"/>
        </w:rPr>
      </w:pPr>
    </w:p>
    <w:p w:rsidR="00C145B8" w:rsidRDefault="005E476D" w:rsidP="006F2102">
      <w:pPr>
        <w:ind w:left="100" w:right="62"/>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 xml:space="preserve">The </w:t>
      </w:r>
      <w:r w:rsidR="006F2102">
        <w:rPr>
          <w:rFonts w:ascii="Palatino Linotype" w:eastAsia="Palatino Linotype" w:hAnsi="Palatino Linotype" w:cs="Palatino Linotype"/>
          <w:sz w:val="24"/>
          <w:szCs w:val="24"/>
        </w:rPr>
        <w:t>California High Cost Fun</w:t>
      </w:r>
      <w:r w:rsidR="00D6549C">
        <w:rPr>
          <w:rFonts w:ascii="Palatino Linotype" w:eastAsia="Palatino Linotype" w:hAnsi="Palatino Linotype" w:cs="Palatino Linotype"/>
          <w:sz w:val="24"/>
          <w:szCs w:val="24"/>
        </w:rPr>
        <w:t>d</w:t>
      </w:r>
      <w:r w:rsidR="006F2102">
        <w:rPr>
          <w:rFonts w:ascii="Palatino Linotype" w:eastAsia="Palatino Linotype" w:hAnsi="Palatino Linotype" w:cs="Palatino Linotype"/>
          <w:sz w:val="24"/>
          <w:szCs w:val="24"/>
        </w:rPr>
        <w:t>-A (</w:t>
      </w:r>
      <w:r>
        <w:rPr>
          <w:rFonts w:ascii="Palatino Linotype" w:eastAsia="Palatino Linotype" w:hAnsi="Palatino Linotype" w:cs="Palatino Linotype"/>
          <w:sz w:val="24"/>
          <w:szCs w:val="24"/>
        </w:rPr>
        <w:t>CHCF-A</w:t>
      </w:r>
      <w:r w:rsidR="006F2102">
        <w:rPr>
          <w:rFonts w:ascii="Palatino Linotype" w:eastAsia="Palatino Linotype" w:hAnsi="Palatino Linotype" w:cs="Palatino Linotype"/>
          <w:sz w:val="24"/>
          <w:szCs w:val="24"/>
        </w:rPr>
        <w:t>)</w:t>
      </w:r>
      <w:r>
        <w:rPr>
          <w:rFonts w:ascii="Palatino Linotype" w:eastAsia="Palatino Linotype" w:hAnsi="Palatino Linotype" w:cs="Palatino Linotype"/>
          <w:sz w:val="24"/>
          <w:szCs w:val="24"/>
        </w:rPr>
        <w:t xml:space="preserve"> program operates in accordance with </w:t>
      </w:r>
      <w:r w:rsidR="00C145B8">
        <w:rPr>
          <w:rFonts w:ascii="Palatino Linotype" w:eastAsia="Palatino Linotype" w:hAnsi="Palatino Linotype" w:cs="Palatino Linotype"/>
          <w:spacing w:val="-1"/>
          <w:sz w:val="24"/>
          <w:szCs w:val="24"/>
        </w:rPr>
        <w:t>Pu</w:t>
      </w:r>
      <w:r w:rsidR="00C145B8">
        <w:rPr>
          <w:rFonts w:ascii="Palatino Linotype" w:eastAsia="Palatino Linotype" w:hAnsi="Palatino Linotype" w:cs="Palatino Linotype"/>
          <w:sz w:val="24"/>
          <w:szCs w:val="24"/>
        </w:rPr>
        <w:t>b</w:t>
      </w:r>
      <w:r w:rsidR="00C145B8">
        <w:rPr>
          <w:rFonts w:ascii="Palatino Linotype" w:eastAsia="Palatino Linotype" w:hAnsi="Palatino Linotype" w:cs="Palatino Linotype"/>
          <w:spacing w:val="1"/>
          <w:sz w:val="24"/>
          <w:szCs w:val="24"/>
        </w:rPr>
        <w:t>l</w:t>
      </w:r>
      <w:r w:rsidR="00C145B8">
        <w:rPr>
          <w:rFonts w:ascii="Palatino Linotype" w:eastAsia="Palatino Linotype" w:hAnsi="Palatino Linotype" w:cs="Palatino Linotype"/>
          <w:sz w:val="24"/>
          <w:szCs w:val="24"/>
        </w:rPr>
        <w:t>ic</w:t>
      </w:r>
      <w:r w:rsidR="00C145B8">
        <w:rPr>
          <w:rFonts w:ascii="Palatino Linotype" w:eastAsia="Palatino Linotype" w:hAnsi="Palatino Linotype" w:cs="Palatino Linotype"/>
          <w:spacing w:val="-1"/>
          <w:sz w:val="24"/>
          <w:szCs w:val="24"/>
        </w:rPr>
        <w:t xml:space="preserve"> </w:t>
      </w:r>
      <w:r w:rsidR="00C145B8">
        <w:rPr>
          <w:rFonts w:ascii="Palatino Linotype" w:eastAsia="Palatino Linotype" w:hAnsi="Palatino Linotype" w:cs="Palatino Linotype"/>
          <w:sz w:val="24"/>
          <w:szCs w:val="24"/>
        </w:rPr>
        <w:t>U</w:t>
      </w:r>
      <w:r w:rsidR="00C145B8">
        <w:rPr>
          <w:rFonts w:ascii="Palatino Linotype" w:eastAsia="Palatino Linotype" w:hAnsi="Palatino Linotype" w:cs="Palatino Linotype"/>
          <w:spacing w:val="1"/>
          <w:sz w:val="24"/>
          <w:szCs w:val="24"/>
        </w:rPr>
        <w:t>t</w:t>
      </w:r>
      <w:r w:rsidR="00C145B8">
        <w:rPr>
          <w:rFonts w:ascii="Palatino Linotype" w:eastAsia="Palatino Linotype" w:hAnsi="Palatino Linotype" w:cs="Palatino Linotype"/>
          <w:spacing w:val="-3"/>
          <w:sz w:val="24"/>
          <w:szCs w:val="24"/>
        </w:rPr>
        <w:t>i</w:t>
      </w:r>
      <w:r w:rsidR="00C145B8">
        <w:rPr>
          <w:rFonts w:ascii="Palatino Linotype" w:eastAsia="Palatino Linotype" w:hAnsi="Palatino Linotype" w:cs="Palatino Linotype"/>
          <w:spacing w:val="2"/>
          <w:sz w:val="24"/>
          <w:szCs w:val="24"/>
        </w:rPr>
        <w:t>l</w:t>
      </w:r>
      <w:r w:rsidR="00C145B8">
        <w:rPr>
          <w:rFonts w:ascii="Palatino Linotype" w:eastAsia="Palatino Linotype" w:hAnsi="Palatino Linotype" w:cs="Palatino Linotype"/>
          <w:spacing w:val="-3"/>
          <w:sz w:val="24"/>
          <w:szCs w:val="24"/>
        </w:rPr>
        <w:t>i</w:t>
      </w:r>
      <w:r w:rsidR="00C145B8">
        <w:rPr>
          <w:rFonts w:ascii="Palatino Linotype" w:eastAsia="Palatino Linotype" w:hAnsi="Palatino Linotype" w:cs="Palatino Linotype"/>
          <w:spacing w:val="3"/>
          <w:sz w:val="24"/>
          <w:szCs w:val="24"/>
        </w:rPr>
        <w:t>t</w:t>
      </w:r>
      <w:r w:rsidR="00C145B8">
        <w:rPr>
          <w:rFonts w:ascii="Palatino Linotype" w:eastAsia="Palatino Linotype" w:hAnsi="Palatino Linotype" w:cs="Palatino Linotype"/>
          <w:spacing w:val="-3"/>
          <w:sz w:val="24"/>
          <w:szCs w:val="24"/>
        </w:rPr>
        <w:t>i</w:t>
      </w:r>
      <w:r w:rsidR="00C145B8">
        <w:rPr>
          <w:rFonts w:ascii="Palatino Linotype" w:eastAsia="Palatino Linotype" w:hAnsi="Palatino Linotype" w:cs="Palatino Linotype"/>
          <w:sz w:val="24"/>
          <w:szCs w:val="24"/>
        </w:rPr>
        <w:t>es</w:t>
      </w:r>
      <w:r w:rsidR="00C145B8">
        <w:rPr>
          <w:rFonts w:ascii="Palatino Linotype" w:eastAsia="Palatino Linotype" w:hAnsi="Palatino Linotype" w:cs="Palatino Linotype"/>
          <w:spacing w:val="1"/>
          <w:sz w:val="24"/>
          <w:szCs w:val="24"/>
        </w:rPr>
        <w:t xml:space="preserve"> </w:t>
      </w:r>
      <w:r w:rsidR="00C145B8">
        <w:rPr>
          <w:rFonts w:ascii="Palatino Linotype" w:eastAsia="Palatino Linotype" w:hAnsi="Palatino Linotype" w:cs="Palatino Linotype"/>
          <w:sz w:val="24"/>
          <w:szCs w:val="24"/>
        </w:rPr>
        <w:t>(</w:t>
      </w:r>
      <w:r w:rsidR="00C145B8">
        <w:rPr>
          <w:rFonts w:ascii="Palatino Linotype" w:eastAsia="Palatino Linotype" w:hAnsi="Palatino Linotype" w:cs="Palatino Linotype"/>
          <w:spacing w:val="-2"/>
          <w:sz w:val="24"/>
          <w:szCs w:val="24"/>
        </w:rPr>
        <w:t>P</w:t>
      </w:r>
      <w:r w:rsidR="00C145B8">
        <w:rPr>
          <w:rFonts w:ascii="Palatino Linotype" w:eastAsia="Palatino Linotype" w:hAnsi="Palatino Linotype" w:cs="Palatino Linotype"/>
          <w:sz w:val="24"/>
          <w:szCs w:val="24"/>
        </w:rPr>
        <w:t>.U.)</w:t>
      </w:r>
      <w:r w:rsidR="00C145B8">
        <w:rPr>
          <w:rFonts w:ascii="Palatino Linotype" w:eastAsia="Palatino Linotype" w:hAnsi="Palatino Linotype" w:cs="Palatino Linotype"/>
          <w:spacing w:val="2"/>
          <w:sz w:val="24"/>
          <w:szCs w:val="24"/>
        </w:rPr>
        <w:t xml:space="preserve"> </w:t>
      </w:r>
      <w:r w:rsidR="00C145B8">
        <w:rPr>
          <w:rFonts w:ascii="Palatino Linotype" w:eastAsia="Palatino Linotype" w:hAnsi="Palatino Linotype" w:cs="Palatino Linotype"/>
          <w:sz w:val="24"/>
          <w:szCs w:val="24"/>
        </w:rPr>
        <w:t>C</w:t>
      </w:r>
      <w:r w:rsidR="00C145B8">
        <w:rPr>
          <w:rFonts w:ascii="Palatino Linotype" w:eastAsia="Palatino Linotype" w:hAnsi="Palatino Linotype" w:cs="Palatino Linotype"/>
          <w:spacing w:val="1"/>
          <w:sz w:val="24"/>
          <w:szCs w:val="24"/>
        </w:rPr>
        <w:t>o</w:t>
      </w:r>
      <w:r w:rsidR="00C145B8">
        <w:rPr>
          <w:rFonts w:ascii="Palatino Linotype" w:eastAsia="Palatino Linotype" w:hAnsi="Palatino Linotype" w:cs="Palatino Linotype"/>
          <w:sz w:val="24"/>
          <w:szCs w:val="24"/>
        </w:rPr>
        <w:t>de § 275.6</w:t>
      </w:r>
      <w:r>
        <w:rPr>
          <w:rFonts w:ascii="Palatino Linotype" w:eastAsia="Palatino Linotype" w:hAnsi="Palatino Linotype" w:cs="Palatino Linotype"/>
          <w:sz w:val="24"/>
          <w:szCs w:val="24"/>
        </w:rPr>
        <w:t>.</w:t>
      </w:r>
      <w:r w:rsidR="006F2102">
        <w:rPr>
          <w:rFonts w:ascii="Palatino Linotype" w:eastAsia="Palatino Linotype" w:hAnsi="Palatino Linotype" w:cs="Palatino Linotype"/>
          <w:sz w:val="24"/>
          <w:szCs w:val="24"/>
        </w:rPr>
        <w:t xml:space="preserve">  </w:t>
      </w:r>
      <w:r>
        <w:rPr>
          <w:rFonts w:ascii="Palatino Linotype" w:eastAsia="Palatino Linotype" w:hAnsi="Palatino Linotype" w:cs="Palatino Linotype"/>
          <w:sz w:val="24"/>
          <w:szCs w:val="24"/>
        </w:rPr>
        <w:t>This statute</w:t>
      </w:r>
      <w:r w:rsidR="00C145B8">
        <w:rPr>
          <w:rFonts w:ascii="Palatino Linotype" w:eastAsia="Palatino Linotype" w:hAnsi="Palatino Linotype" w:cs="Palatino Linotype"/>
          <w:sz w:val="24"/>
          <w:szCs w:val="24"/>
        </w:rPr>
        <w:t xml:space="preserve"> </w:t>
      </w:r>
      <w:r w:rsidR="00C145B8">
        <w:rPr>
          <w:rFonts w:ascii="Palatino Linotype" w:eastAsia="Palatino Linotype" w:hAnsi="Palatino Linotype" w:cs="Palatino Linotype"/>
          <w:spacing w:val="1"/>
          <w:sz w:val="24"/>
          <w:szCs w:val="24"/>
        </w:rPr>
        <w:t>r</w:t>
      </w:r>
      <w:r w:rsidR="00C145B8">
        <w:rPr>
          <w:rFonts w:ascii="Palatino Linotype" w:eastAsia="Palatino Linotype" w:hAnsi="Palatino Linotype" w:cs="Palatino Linotype"/>
          <w:sz w:val="24"/>
          <w:szCs w:val="24"/>
        </w:rPr>
        <w:t>equ</w:t>
      </w:r>
      <w:r w:rsidR="00C145B8">
        <w:rPr>
          <w:rFonts w:ascii="Palatino Linotype" w:eastAsia="Palatino Linotype" w:hAnsi="Palatino Linotype" w:cs="Palatino Linotype"/>
          <w:spacing w:val="-3"/>
          <w:sz w:val="24"/>
          <w:szCs w:val="24"/>
        </w:rPr>
        <w:t>i</w:t>
      </w:r>
      <w:r w:rsidR="00C145B8">
        <w:rPr>
          <w:rFonts w:ascii="Palatino Linotype" w:eastAsia="Palatino Linotype" w:hAnsi="Palatino Linotype" w:cs="Palatino Linotype"/>
          <w:spacing w:val="1"/>
          <w:sz w:val="24"/>
          <w:szCs w:val="24"/>
        </w:rPr>
        <w:t>r</w:t>
      </w:r>
      <w:r w:rsidR="00C145B8">
        <w:rPr>
          <w:rFonts w:ascii="Palatino Linotype" w:eastAsia="Palatino Linotype" w:hAnsi="Palatino Linotype" w:cs="Palatino Linotype"/>
          <w:sz w:val="24"/>
          <w:szCs w:val="24"/>
        </w:rPr>
        <w:t>es the C</w:t>
      </w:r>
      <w:r w:rsidR="00C145B8">
        <w:rPr>
          <w:rFonts w:ascii="Palatino Linotype" w:eastAsia="Palatino Linotype" w:hAnsi="Palatino Linotype" w:cs="Palatino Linotype"/>
          <w:spacing w:val="1"/>
          <w:sz w:val="24"/>
          <w:szCs w:val="24"/>
        </w:rPr>
        <w:t>o</w:t>
      </w:r>
      <w:r w:rsidR="00C145B8">
        <w:rPr>
          <w:rFonts w:ascii="Palatino Linotype" w:eastAsia="Palatino Linotype" w:hAnsi="Palatino Linotype" w:cs="Palatino Linotype"/>
          <w:sz w:val="24"/>
          <w:szCs w:val="24"/>
        </w:rPr>
        <w:t>m</w:t>
      </w:r>
      <w:r w:rsidR="00C145B8">
        <w:rPr>
          <w:rFonts w:ascii="Palatino Linotype" w:eastAsia="Palatino Linotype" w:hAnsi="Palatino Linotype" w:cs="Palatino Linotype"/>
          <w:spacing w:val="-1"/>
          <w:sz w:val="24"/>
          <w:szCs w:val="24"/>
        </w:rPr>
        <w:t>m</w:t>
      </w:r>
      <w:r w:rsidR="00C145B8">
        <w:rPr>
          <w:rFonts w:ascii="Palatino Linotype" w:eastAsia="Palatino Linotype" w:hAnsi="Palatino Linotype" w:cs="Palatino Linotype"/>
          <w:sz w:val="24"/>
          <w:szCs w:val="24"/>
        </w:rPr>
        <w:t>i</w:t>
      </w:r>
      <w:r w:rsidR="00C145B8">
        <w:rPr>
          <w:rFonts w:ascii="Palatino Linotype" w:eastAsia="Palatino Linotype" w:hAnsi="Palatino Linotype" w:cs="Palatino Linotype"/>
          <w:spacing w:val="-1"/>
          <w:sz w:val="24"/>
          <w:szCs w:val="24"/>
        </w:rPr>
        <w:t>s</w:t>
      </w:r>
      <w:r w:rsidR="00C145B8">
        <w:rPr>
          <w:rFonts w:ascii="Palatino Linotype" w:eastAsia="Palatino Linotype" w:hAnsi="Palatino Linotype" w:cs="Palatino Linotype"/>
          <w:spacing w:val="1"/>
          <w:sz w:val="24"/>
          <w:szCs w:val="24"/>
        </w:rPr>
        <w:t>s</w:t>
      </w:r>
      <w:r w:rsidR="00C145B8">
        <w:rPr>
          <w:rFonts w:ascii="Palatino Linotype" w:eastAsia="Palatino Linotype" w:hAnsi="Palatino Linotype" w:cs="Palatino Linotype"/>
          <w:spacing w:val="-3"/>
          <w:sz w:val="24"/>
          <w:szCs w:val="24"/>
        </w:rPr>
        <w:t>i</w:t>
      </w:r>
      <w:r w:rsidR="00C145B8">
        <w:rPr>
          <w:rFonts w:ascii="Palatino Linotype" w:eastAsia="Palatino Linotype" w:hAnsi="Palatino Linotype" w:cs="Palatino Linotype"/>
          <w:spacing w:val="1"/>
          <w:sz w:val="24"/>
          <w:szCs w:val="24"/>
        </w:rPr>
        <w:t>o</w:t>
      </w:r>
      <w:r w:rsidR="00C145B8">
        <w:rPr>
          <w:rFonts w:ascii="Palatino Linotype" w:eastAsia="Palatino Linotype" w:hAnsi="Palatino Linotype" w:cs="Palatino Linotype"/>
          <w:sz w:val="24"/>
          <w:szCs w:val="24"/>
        </w:rPr>
        <w:t>n to</w:t>
      </w:r>
      <w:r w:rsidR="00C145B8">
        <w:rPr>
          <w:rFonts w:ascii="Palatino Linotype" w:eastAsia="Palatino Linotype" w:hAnsi="Palatino Linotype" w:cs="Palatino Linotype"/>
          <w:spacing w:val="1"/>
          <w:sz w:val="24"/>
          <w:szCs w:val="24"/>
        </w:rPr>
        <w:t xml:space="preserve"> </w:t>
      </w:r>
      <w:r w:rsidR="00C145B8">
        <w:rPr>
          <w:rFonts w:ascii="Palatino Linotype" w:eastAsia="Palatino Linotype" w:hAnsi="Palatino Linotype" w:cs="Palatino Linotype"/>
          <w:sz w:val="24"/>
          <w:szCs w:val="24"/>
        </w:rPr>
        <w:t>i</w:t>
      </w:r>
      <w:r w:rsidR="00C145B8">
        <w:rPr>
          <w:rFonts w:ascii="Palatino Linotype" w:eastAsia="Palatino Linotype" w:hAnsi="Palatino Linotype" w:cs="Palatino Linotype"/>
          <w:spacing w:val="-1"/>
          <w:sz w:val="24"/>
          <w:szCs w:val="24"/>
        </w:rPr>
        <w:t>m</w:t>
      </w:r>
      <w:r w:rsidR="00C145B8">
        <w:rPr>
          <w:rFonts w:ascii="Palatino Linotype" w:eastAsia="Palatino Linotype" w:hAnsi="Palatino Linotype" w:cs="Palatino Linotype"/>
          <w:spacing w:val="2"/>
          <w:sz w:val="24"/>
          <w:szCs w:val="24"/>
        </w:rPr>
        <w:t>p</w:t>
      </w:r>
      <w:r w:rsidR="00C145B8">
        <w:rPr>
          <w:rFonts w:ascii="Palatino Linotype" w:eastAsia="Palatino Linotype" w:hAnsi="Palatino Linotype" w:cs="Palatino Linotype"/>
          <w:sz w:val="24"/>
          <w:szCs w:val="24"/>
        </w:rPr>
        <w:t>le</w:t>
      </w:r>
      <w:r w:rsidR="00C145B8">
        <w:rPr>
          <w:rFonts w:ascii="Palatino Linotype" w:eastAsia="Palatino Linotype" w:hAnsi="Palatino Linotype" w:cs="Palatino Linotype"/>
          <w:spacing w:val="-1"/>
          <w:sz w:val="24"/>
          <w:szCs w:val="24"/>
        </w:rPr>
        <w:t>m</w:t>
      </w:r>
      <w:r w:rsidR="00C145B8">
        <w:rPr>
          <w:rFonts w:ascii="Palatino Linotype" w:eastAsia="Palatino Linotype" w:hAnsi="Palatino Linotype" w:cs="Palatino Linotype"/>
          <w:sz w:val="24"/>
          <w:szCs w:val="24"/>
        </w:rPr>
        <w:t xml:space="preserve">ent </w:t>
      </w:r>
      <w:r>
        <w:rPr>
          <w:rFonts w:ascii="Palatino Linotype" w:eastAsia="Palatino Linotype" w:hAnsi="Palatino Linotype" w:cs="Palatino Linotype"/>
          <w:spacing w:val="1"/>
          <w:sz w:val="24"/>
          <w:szCs w:val="24"/>
        </w:rPr>
        <w:t>a</w:t>
      </w:r>
      <w:r>
        <w:rPr>
          <w:rFonts w:ascii="Palatino Linotype" w:eastAsia="Palatino Linotype" w:hAnsi="Palatino Linotype" w:cs="Palatino Linotype"/>
          <w:sz w:val="24"/>
          <w:szCs w:val="24"/>
        </w:rPr>
        <w:t xml:space="preserve"> </w:t>
      </w:r>
      <w:r w:rsidR="00C145B8">
        <w:rPr>
          <w:rFonts w:ascii="Palatino Linotype" w:eastAsia="Palatino Linotype" w:hAnsi="Palatino Linotype" w:cs="Palatino Linotype"/>
          <w:sz w:val="24"/>
          <w:szCs w:val="24"/>
        </w:rPr>
        <w:t>p</w:t>
      </w:r>
      <w:r w:rsidR="00C145B8">
        <w:rPr>
          <w:rFonts w:ascii="Palatino Linotype" w:eastAsia="Palatino Linotype" w:hAnsi="Palatino Linotype" w:cs="Palatino Linotype"/>
          <w:spacing w:val="1"/>
          <w:sz w:val="24"/>
          <w:szCs w:val="24"/>
        </w:rPr>
        <w:t>ro</w:t>
      </w:r>
      <w:r w:rsidR="00C145B8">
        <w:rPr>
          <w:rFonts w:ascii="Palatino Linotype" w:eastAsia="Palatino Linotype" w:hAnsi="Palatino Linotype" w:cs="Palatino Linotype"/>
          <w:spacing w:val="-1"/>
          <w:sz w:val="24"/>
          <w:szCs w:val="24"/>
        </w:rPr>
        <w:t>g</w:t>
      </w:r>
      <w:r w:rsidR="00C145B8">
        <w:rPr>
          <w:rFonts w:ascii="Palatino Linotype" w:eastAsia="Palatino Linotype" w:hAnsi="Palatino Linotype" w:cs="Palatino Linotype"/>
          <w:spacing w:val="1"/>
          <w:sz w:val="24"/>
          <w:szCs w:val="24"/>
        </w:rPr>
        <w:t>r</w:t>
      </w:r>
      <w:r w:rsidR="00C145B8">
        <w:rPr>
          <w:rFonts w:ascii="Palatino Linotype" w:eastAsia="Palatino Linotype" w:hAnsi="Palatino Linotype" w:cs="Palatino Linotype"/>
          <w:sz w:val="24"/>
          <w:szCs w:val="24"/>
        </w:rPr>
        <w:t>am</w:t>
      </w:r>
      <w:r w:rsidR="00C145B8">
        <w:rPr>
          <w:rFonts w:ascii="Palatino Linotype" w:eastAsia="Palatino Linotype" w:hAnsi="Palatino Linotype" w:cs="Palatino Linotype"/>
          <w:spacing w:val="-1"/>
          <w:sz w:val="24"/>
          <w:szCs w:val="24"/>
        </w:rPr>
        <w:t xml:space="preserve"> </w:t>
      </w:r>
      <w:r w:rsidR="00C145B8">
        <w:rPr>
          <w:rFonts w:ascii="Palatino Linotype" w:eastAsia="Palatino Linotype" w:hAnsi="Palatino Linotype" w:cs="Palatino Linotype"/>
          <w:spacing w:val="1"/>
          <w:sz w:val="24"/>
          <w:szCs w:val="24"/>
        </w:rPr>
        <w:t>t</w:t>
      </w:r>
      <w:r w:rsidR="00C145B8">
        <w:rPr>
          <w:rFonts w:ascii="Palatino Linotype" w:eastAsia="Palatino Linotype" w:hAnsi="Palatino Linotype" w:cs="Palatino Linotype"/>
          <w:sz w:val="24"/>
          <w:szCs w:val="24"/>
        </w:rPr>
        <w:t>o</w:t>
      </w:r>
      <w:r w:rsidR="00C145B8">
        <w:rPr>
          <w:rFonts w:ascii="Palatino Linotype" w:eastAsia="Palatino Linotype" w:hAnsi="Palatino Linotype" w:cs="Palatino Linotype"/>
          <w:spacing w:val="-2"/>
          <w:sz w:val="24"/>
          <w:szCs w:val="24"/>
        </w:rPr>
        <w:t xml:space="preserve"> </w:t>
      </w:r>
      <w:r w:rsidR="00C145B8">
        <w:rPr>
          <w:rFonts w:ascii="Palatino Linotype" w:eastAsia="Palatino Linotype" w:hAnsi="Palatino Linotype" w:cs="Palatino Linotype"/>
          <w:spacing w:val="1"/>
          <w:sz w:val="24"/>
          <w:szCs w:val="24"/>
        </w:rPr>
        <w:t>r</w:t>
      </w:r>
      <w:r w:rsidR="00C145B8">
        <w:rPr>
          <w:rFonts w:ascii="Palatino Linotype" w:eastAsia="Palatino Linotype" w:hAnsi="Palatino Linotype" w:cs="Palatino Linotype"/>
          <w:sz w:val="24"/>
          <w:szCs w:val="24"/>
        </w:rPr>
        <w:t>ed</w:t>
      </w:r>
      <w:r w:rsidR="00C145B8">
        <w:rPr>
          <w:rFonts w:ascii="Palatino Linotype" w:eastAsia="Palatino Linotype" w:hAnsi="Palatino Linotype" w:cs="Palatino Linotype"/>
          <w:spacing w:val="-1"/>
          <w:sz w:val="24"/>
          <w:szCs w:val="24"/>
        </w:rPr>
        <w:t>uc</w:t>
      </w:r>
      <w:r w:rsidR="00C145B8">
        <w:rPr>
          <w:rFonts w:ascii="Palatino Linotype" w:eastAsia="Palatino Linotype" w:hAnsi="Palatino Linotype" w:cs="Palatino Linotype"/>
          <w:sz w:val="24"/>
          <w:szCs w:val="24"/>
        </w:rPr>
        <w:t xml:space="preserve">e any </w:t>
      </w:r>
      <w:r w:rsidR="00C145B8">
        <w:rPr>
          <w:rFonts w:ascii="Palatino Linotype" w:eastAsia="Palatino Linotype" w:hAnsi="Palatino Linotype" w:cs="Palatino Linotype"/>
          <w:spacing w:val="1"/>
          <w:sz w:val="24"/>
          <w:szCs w:val="24"/>
        </w:rPr>
        <w:t>r</w:t>
      </w:r>
      <w:r w:rsidR="00C145B8">
        <w:rPr>
          <w:rFonts w:ascii="Palatino Linotype" w:eastAsia="Palatino Linotype" w:hAnsi="Palatino Linotype" w:cs="Palatino Linotype"/>
          <w:sz w:val="24"/>
          <w:szCs w:val="24"/>
        </w:rPr>
        <w:t>a</w:t>
      </w:r>
      <w:r w:rsidR="00C145B8">
        <w:rPr>
          <w:rFonts w:ascii="Palatino Linotype" w:eastAsia="Palatino Linotype" w:hAnsi="Palatino Linotype" w:cs="Palatino Linotype"/>
          <w:spacing w:val="1"/>
          <w:sz w:val="24"/>
          <w:szCs w:val="24"/>
        </w:rPr>
        <w:t>t</w:t>
      </w:r>
      <w:r w:rsidR="00C145B8">
        <w:rPr>
          <w:rFonts w:ascii="Palatino Linotype" w:eastAsia="Palatino Linotype" w:hAnsi="Palatino Linotype" w:cs="Palatino Linotype"/>
          <w:sz w:val="24"/>
          <w:szCs w:val="24"/>
        </w:rPr>
        <w:t>e d</w:t>
      </w:r>
      <w:r w:rsidR="00C145B8">
        <w:rPr>
          <w:rFonts w:ascii="Palatino Linotype" w:eastAsia="Palatino Linotype" w:hAnsi="Palatino Linotype" w:cs="Palatino Linotype"/>
          <w:spacing w:val="-3"/>
          <w:sz w:val="24"/>
          <w:szCs w:val="24"/>
        </w:rPr>
        <w:t>i</w:t>
      </w:r>
      <w:r w:rsidR="00C145B8">
        <w:rPr>
          <w:rFonts w:ascii="Palatino Linotype" w:eastAsia="Palatino Linotype" w:hAnsi="Palatino Linotype" w:cs="Palatino Linotype"/>
          <w:spacing w:val="-1"/>
          <w:sz w:val="24"/>
          <w:szCs w:val="24"/>
        </w:rPr>
        <w:t>s</w:t>
      </w:r>
      <w:r w:rsidR="00C145B8">
        <w:rPr>
          <w:rFonts w:ascii="Palatino Linotype" w:eastAsia="Palatino Linotype" w:hAnsi="Palatino Linotype" w:cs="Palatino Linotype"/>
          <w:sz w:val="24"/>
          <w:szCs w:val="24"/>
        </w:rPr>
        <w:t>pa</w:t>
      </w:r>
      <w:r w:rsidR="00C145B8">
        <w:rPr>
          <w:rFonts w:ascii="Palatino Linotype" w:eastAsia="Palatino Linotype" w:hAnsi="Palatino Linotype" w:cs="Palatino Linotype"/>
          <w:spacing w:val="1"/>
          <w:sz w:val="24"/>
          <w:szCs w:val="24"/>
        </w:rPr>
        <w:t>r</w:t>
      </w:r>
      <w:r w:rsidR="00C145B8">
        <w:rPr>
          <w:rFonts w:ascii="Palatino Linotype" w:eastAsia="Palatino Linotype" w:hAnsi="Palatino Linotype" w:cs="Palatino Linotype"/>
          <w:spacing w:val="-3"/>
          <w:sz w:val="24"/>
          <w:szCs w:val="24"/>
        </w:rPr>
        <w:t>i</w:t>
      </w:r>
      <w:r w:rsidR="00C145B8">
        <w:rPr>
          <w:rFonts w:ascii="Palatino Linotype" w:eastAsia="Palatino Linotype" w:hAnsi="Palatino Linotype" w:cs="Palatino Linotype"/>
          <w:spacing w:val="1"/>
          <w:sz w:val="24"/>
          <w:szCs w:val="24"/>
        </w:rPr>
        <w:t>t</w:t>
      </w:r>
      <w:r w:rsidR="00C145B8">
        <w:rPr>
          <w:rFonts w:ascii="Palatino Linotype" w:eastAsia="Palatino Linotype" w:hAnsi="Palatino Linotype" w:cs="Palatino Linotype"/>
          <w:sz w:val="24"/>
          <w:szCs w:val="24"/>
        </w:rPr>
        <w:t>y</w:t>
      </w:r>
      <w:r w:rsidR="00C145B8">
        <w:rPr>
          <w:rFonts w:ascii="Palatino Linotype" w:eastAsia="Palatino Linotype" w:hAnsi="Palatino Linotype" w:cs="Palatino Linotype"/>
          <w:spacing w:val="3"/>
          <w:sz w:val="24"/>
          <w:szCs w:val="24"/>
        </w:rPr>
        <w:t xml:space="preserve"> </w:t>
      </w:r>
      <w:r w:rsidR="00C145B8">
        <w:rPr>
          <w:rFonts w:ascii="Palatino Linotype" w:eastAsia="Palatino Linotype" w:hAnsi="Palatino Linotype" w:cs="Palatino Linotype"/>
          <w:spacing w:val="-3"/>
          <w:sz w:val="24"/>
          <w:szCs w:val="24"/>
        </w:rPr>
        <w:t>between</w:t>
      </w:r>
      <w:r w:rsidR="00C145B8">
        <w:rPr>
          <w:rFonts w:ascii="Palatino Linotype" w:eastAsia="Palatino Linotype" w:hAnsi="Palatino Linotype" w:cs="Palatino Linotype"/>
          <w:sz w:val="24"/>
          <w:szCs w:val="24"/>
        </w:rPr>
        <w:t xml:space="preserve"> r</w:t>
      </w:r>
      <w:r w:rsidR="00C145B8">
        <w:rPr>
          <w:rFonts w:ascii="Palatino Linotype" w:eastAsia="Palatino Linotype" w:hAnsi="Palatino Linotype" w:cs="Palatino Linotype"/>
          <w:spacing w:val="-1"/>
          <w:sz w:val="24"/>
          <w:szCs w:val="24"/>
        </w:rPr>
        <w:t>u</w:t>
      </w:r>
      <w:r w:rsidR="00C145B8">
        <w:rPr>
          <w:rFonts w:ascii="Palatino Linotype" w:eastAsia="Palatino Linotype" w:hAnsi="Palatino Linotype" w:cs="Palatino Linotype"/>
          <w:spacing w:val="1"/>
          <w:sz w:val="24"/>
          <w:szCs w:val="24"/>
        </w:rPr>
        <w:t>r</w:t>
      </w:r>
      <w:r w:rsidR="00C145B8">
        <w:rPr>
          <w:rFonts w:ascii="Palatino Linotype" w:eastAsia="Palatino Linotype" w:hAnsi="Palatino Linotype" w:cs="Palatino Linotype"/>
          <w:sz w:val="24"/>
          <w:szCs w:val="24"/>
        </w:rPr>
        <w:t>al and urban a</w:t>
      </w:r>
      <w:r w:rsidR="00C145B8">
        <w:rPr>
          <w:rFonts w:ascii="Palatino Linotype" w:eastAsia="Palatino Linotype" w:hAnsi="Palatino Linotype" w:cs="Palatino Linotype"/>
          <w:spacing w:val="1"/>
          <w:sz w:val="24"/>
          <w:szCs w:val="24"/>
        </w:rPr>
        <w:t>r</w:t>
      </w:r>
      <w:r w:rsidR="00C145B8">
        <w:rPr>
          <w:rFonts w:ascii="Palatino Linotype" w:eastAsia="Palatino Linotype" w:hAnsi="Palatino Linotype" w:cs="Palatino Linotype"/>
          <w:sz w:val="24"/>
          <w:szCs w:val="24"/>
        </w:rPr>
        <w:t>eas</w:t>
      </w:r>
      <w:r w:rsidR="00C145B8">
        <w:rPr>
          <w:rFonts w:ascii="Palatino Linotype" w:eastAsia="Palatino Linotype" w:hAnsi="Palatino Linotype" w:cs="Palatino Linotype"/>
          <w:spacing w:val="-1"/>
          <w:sz w:val="24"/>
          <w:szCs w:val="24"/>
        </w:rPr>
        <w:t xml:space="preserve"> c</w:t>
      </w:r>
      <w:r w:rsidR="00C145B8">
        <w:rPr>
          <w:rFonts w:ascii="Palatino Linotype" w:eastAsia="Palatino Linotype" w:hAnsi="Palatino Linotype" w:cs="Palatino Linotype"/>
          <w:sz w:val="24"/>
          <w:szCs w:val="24"/>
        </w:rPr>
        <w:t>har</w:t>
      </w:r>
      <w:r w:rsidR="00C145B8">
        <w:rPr>
          <w:rFonts w:ascii="Palatino Linotype" w:eastAsia="Palatino Linotype" w:hAnsi="Palatino Linotype" w:cs="Palatino Linotype"/>
          <w:spacing w:val="1"/>
          <w:sz w:val="24"/>
          <w:szCs w:val="24"/>
        </w:rPr>
        <w:t>g</w:t>
      </w:r>
      <w:r w:rsidR="00C145B8">
        <w:rPr>
          <w:rFonts w:ascii="Palatino Linotype" w:eastAsia="Palatino Linotype" w:hAnsi="Palatino Linotype" w:cs="Palatino Linotype"/>
          <w:sz w:val="24"/>
          <w:szCs w:val="24"/>
        </w:rPr>
        <w:t xml:space="preserve">ed </w:t>
      </w:r>
      <w:r w:rsidR="00C145B8">
        <w:rPr>
          <w:rFonts w:ascii="Palatino Linotype" w:eastAsia="Palatino Linotype" w:hAnsi="Palatino Linotype" w:cs="Palatino Linotype"/>
          <w:spacing w:val="-1"/>
          <w:sz w:val="24"/>
          <w:szCs w:val="24"/>
        </w:rPr>
        <w:t>b</w:t>
      </w:r>
      <w:r w:rsidR="00C145B8">
        <w:rPr>
          <w:rFonts w:ascii="Palatino Linotype" w:eastAsia="Palatino Linotype" w:hAnsi="Palatino Linotype" w:cs="Palatino Linotype"/>
          <w:sz w:val="24"/>
          <w:szCs w:val="24"/>
        </w:rPr>
        <w:t>y</w:t>
      </w:r>
      <w:r w:rsidR="00C145B8">
        <w:rPr>
          <w:rFonts w:ascii="Palatino Linotype" w:eastAsia="Palatino Linotype" w:hAnsi="Palatino Linotype" w:cs="Palatino Linotype"/>
          <w:spacing w:val="1"/>
          <w:sz w:val="24"/>
          <w:szCs w:val="24"/>
        </w:rPr>
        <w:t xml:space="preserve"> </w:t>
      </w:r>
      <w:r>
        <w:rPr>
          <w:rFonts w:ascii="Palatino Linotype" w:eastAsia="Palatino Linotype" w:hAnsi="Palatino Linotype" w:cs="Palatino Linotype"/>
          <w:spacing w:val="-1"/>
          <w:sz w:val="24"/>
          <w:szCs w:val="24"/>
        </w:rPr>
        <w:t>S</w:t>
      </w:r>
      <w:r w:rsidR="00C145B8">
        <w:rPr>
          <w:rFonts w:ascii="Palatino Linotype" w:eastAsia="Palatino Linotype" w:hAnsi="Palatino Linotype" w:cs="Palatino Linotype"/>
          <w:sz w:val="24"/>
          <w:szCs w:val="24"/>
        </w:rPr>
        <w:t>ma</w:t>
      </w:r>
      <w:r w:rsidR="00C145B8">
        <w:rPr>
          <w:rFonts w:ascii="Palatino Linotype" w:eastAsia="Palatino Linotype" w:hAnsi="Palatino Linotype" w:cs="Palatino Linotype"/>
          <w:spacing w:val="-1"/>
          <w:sz w:val="24"/>
          <w:szCs w:val="24"/>
        </w:rPr>
        <w:t>l</w:t>
      </w:r>
      <w:r w:rsidR="00C145B8">
        <w:rPr>
          <w:rFonts w:ascii="Palatino Linotype" w:eastAsia="Palatino Linotype" w:hAnsi="Palatino Linotype" w:cs="Palatino Linotype"/>
          <w:sz w:val="24"/>
          <w:szCs w:val="24"/>
        </w:rPr>
        <w:t xml:space="preserve">l </w:t>
      </w:r>
      <w:r>
        <w:rPr>
          <w:rFonts w:ascii="Palatino Linotype" w:eastAsia="Palatino Linotype" w:hAnsi="Palatino Linotype" w:cs="Palatino Linotype"/>
          <w:sz w:val="24"/>
          <w:szCs w:val="24"/>
        </w:rPr>
        <w:t>Incumbent Local Exchange Carriers (hereafter referred to as Small ILECs)</w:t>
      </w:r>
      <w:r w:rsidR="00C145B8">
        <w:rPr>
          <w:rFonts w:ascii="Palatino Linotype" w:eastAsia="Palatino Linotype" w:hAnsi="Palatino Linotype" w:cs="Palatino Linotype"/>
          <w:spacing w:val="-1"/>
          <w:sz w:val="24"/>
          <w:szCs w:val="24"/>
        </w:rPr>
        <w:t xml:space="preserve"> </w:t>
      </w:r>
      <w:r w:rsidR="00C145B8">
        <w:rPr>
          <w:rFonts w:ascii="Palatino Linotype" w:eastAsia="Palatino Linotype" w:hAnsi="Palatino Linotype" w:cs="Palatino Linotype"/>
          <w:spacing w:val="1"/>
          <w:sz w:val="24"/>
          <w:szCs w:val="24"/>
        </w:rPr>
        <w:t>t</w:t>
      </w:r>
      <w:r w:rsidR="00C145B8">
        <w:rPr>
          <w:rFonts w:ascii="Palatino Linotype" w:eastAsia="Palatino Linotype" w:hAnsi="Palatino Linotype" w:cs="Palatino Linotype"/>
          <w:sz w:val="24"/>
          <w:szCs w:val="24"/>
        </w:rPr>
        <w:t>hat a</w:t>
      </w:r>
      <w:r w:rsidR="00C145B8">
        <w:rPr>
          <w:rFonts w:ascii="Palatino Linotype" w:eastAsia="Palatino Linotype" w:hAnsi="Palatino Linotype" w:cs="Palatino Linotype"/>
          <w:spacing w:val="1"/>
          <w:sz w:val="24"/>
          <w:szCs w:val="24"/>
        </w:rPr>
        <w:t>r</w:t>
      </w:r>
      <w:r w:rsidR="00C145B8">
        <w:rPr>
          <w:rFonts w:ascii="Palatino Linotype" w:eastAsia="Palatino Linotype" w:hAnsi="Palatino Linotype" w:cs="Palatino Linotype"/>
          <w:sz w:val="24"/>
          <w:szCs w:val="24"/>
        </w:rPr>
        <w:t xml:space="preserve">e </w:t>
      </w:r>
      <w:r w:rsidR="00C145B8">
        <w:rPr>
          <w:rFonts w:ascii="Palatino Linotype" w:eastAsia="Palatino Linotype" w:hAnsi="Palatino Linotype" w:cs="Palatino Linotype"/>
          <w:spacing w:val="-1"/>
          <w:sz w:val="24"/>
          <w:szCs w:val="24"/>
        </w:rPr>
        <w:t>su</w:t>
      </w:r>
      <w:r w:rsidR="00C145B8">
        <w:rPr>
          <w:rFonts w:ascii="Palatino Linotype" w:eastAsia="Palatino Linotype" w:hAnsi="Palatino Linotype" w:cs="Palatino Linotype"/>
          <w:sz w:val="24"/>
          <w:szCs w:val="24"/>
        </w:rPr>
        <w:t xml:space="preserve">bject </w:t>
      </w:r>
      <w:r w:rsidR="00C145B8">
        <w:rPr>
          <w:rFonts w:ascii="Palatino Linotype" w:eastAsia="Palatino Linotype" w:hAnsi="Palatino Linotype" w:cs="Palatino Linotype"/>
          <w:spacing w:val="1"/>
          <w:sz w:val="24"/>
          <w:szCs w:val="24"/>
        </w:rPr>
        <w:t>t</w:t>
      </w:r>
      <w:r w:rsidR="00C145B8">
        <w:rPr>
          <w:rFonts w:ascii="Palatino Linotype" w:eastAsia="Palatino Linotype" w:hAnsi="Palatino Linotype" w:cs="Palatino Linotype"/>
          <w:sz w:val="24"/>
          <w:szCs w:val="24"/>
        </w:rPr>
        <w:t>o</w:t>
      </w:r>
      <w:r w:rsidR="00C145B8">
        <w:rPr>
          <w:rFonts w:ascii="Palatino Linotype" w:eastAsia="Palatino Linotype" w:hAnsi="Palatino Linotype" w:cs="Palatino Linotype"/>
          <w:spacing w:val="1"/>
          <w:sz w:val="24"/>
          <w:szCs w:val="24"/>
        </w:rPr>
        <w:t xml:space="preserve"> r</w:t>
      </w:r>
      <w:r w:rsidR="00C145B8">
        <w:rPr>
          <w:rFonts w:ascii="Palatino Linotype" w:eastAsia="Palatino Linotype" w:hAnsi="Palatino Linotype" w:cs="Palatino Linotype"/>
          <w:spacing w:val="-2"/>
          <w:sz w:val="24"/>
          <w:szCs w:val="24"/>
        </w:rPr>
        <w:t>a</w:t>
      </w:r>
      <w:r w:rsidR="00C145B8">
        <w:rPr>
          <w:rFonts w:ascii="Palatino Linotype" w:eastAsia="Palatino Linotype" w:hAnsi="Palatino Linotype" w:cs="Palatino Linotype"/>
          <w:spacing w:val="1"/>
          <w:sz w:val="24"/>
          <w:szCs w:val="24"/>
        </w:rPr>
        <w:t>t</w:t>
      </w:r>
      <w:r w:rsidR="00C145B8">
        <w:rPr>
          <w:rFonts w:ascii="Palatino Linotype" w:eastAsia="Palatino Linotype" w:hAnsi="Palatino Linotype" w:cs="Palatino Linotype"/>
          <w:spacing w:val="4"/>
          <w:sz w:val="24"/>
          <w:szCs w:val="24"/>
        </w:rPr>
        <w:t>e</w:t>
      </w:r>
      <w:r w:rsidR="00C145B8">
        <w:rPr>
          <w:rFonts w:ascii="Palatino Linotype" w:eastAsia="Palatino Linotype" w:hAnsi="Palatino Linotype" w:cs="Palatino Linotype"/>
          <w:spacing w:val="-1"/>
          <w:sz w:val="24"/>
          <w:szCs w:val="24"/>
        </w:rPr>
        <w:t>-</w:t>
      </w:r>
      <w:r w:rsidR="00C145B8">
        <w:rPr>
          <w:rFonts w:ascii="Palatino Linotype" w:eastAsia="Palatino Linotype" w:hAnsi="Palatino Linotype" w:cs="Palatino Linotype"/>
          <w:spacing w:val="1"/>
          <w:sz w:val="24"/>
          <w:szCs w:val="24"/>
        </w:rPr>
        <w:t>o</w:t>
      </w:r>
      <w:r w:rsidR="00C145B8">
        <w:rPr>
          <w:rFonts w:ascii="Palatino Linotype" w:eastAsia="Palatino Linotype" w:hAnsi="Palatino Linotype" w:cs="Palatino Linotype"/>
          <w:spacing w:val="-1"/>
          <w:sz w:val="24"/>
          <w:szCs w:val="24"/>
        </w:rPr>
        <w:t>f-</w:t>
      </w:r>
      <w:r w:rsidR="00C145B8">
        <w:rPr>
          <w:rFonts w:ascii="Palatino Linotype" w:eastAsia="Palatino Linotype" w:hAnsi="Palatino Linotype" w:cs="Palatino Linotype"/>
          <w:spacing w:val="1"/>
          <w:sz w:val="24"/>
          <w:szCs w:val="24"/>
        </w:rPr>
        <w:t>r</w:t>
      </w:r>
      <w:r w:rsidR="00C145B8">
        <w:rPr>
          <w:rFonts w:ascii="Palatino Linotype" w:eastAsia="Palatino Linotype" w:hAnsi="Palatino Linotype" w:cs="Palatino Linotype"/>
          <w:sz w:val="24"/>
          <w:szCs w:val="24"/>
        </w:rPr>
        <w:t>e</w:t>
      </w:r>
      <w:r w:rsidR="00C145B8">
        <w:rPr>
          <w:rFonts w:ascii="Palatino Linotype" w:eastAsia="Palatino Linotype" w:hAnsi="Palatino Linotype" w:cs="Palatino Linotype"/>
          <w:spacing w:val="1"/>
          <w:sz w:val="24"/>
          <w:szCs w:val="24"/>
        </w:rPr>
        <w:t>t</w:t>
      </w:r>
      <w:r w:rsidR="00C145B8">
        <w:rPr>
          <w:rFonts w:ascii="Palatino Linotype" w:eastAsia="Palatino Linotype" w:hAnsi="Palatino Linotype" w:cs="Palatino Linotype"/>
          <w:spacing w:val="-1"/>
          <w:sz w:val="24"/>
          <w:szCs w:val="24"/>
        </w:rPr>
        <w:t>u</w:t>
      </w:r>
      <w:r w:rsidR="00C145B8">
        <w:rPr>
          <w:rFonts w:ascii="Palatino Linotype" w:eastAsia="Palatino Linotype" w:hAnsi="Palatino Linotype" w:cs="Palatino Linotype"/>
          <w:spacing w:val="1"/>
          <w:sz w:val="24"/>
          <w:szCs w:val="24"/>
        </w:rPr>
        <w:t>r</w:t>
      </w:r>
      <w:r w:rsidR="00C145B8">
        <w:rPr>
          <w:rFonts w:ascii="Palatino Linotype" w:eastAsia="Palatino Linotype" w:hAnsi="Palatino Linotype" w:cs="Palatino Linotype"/>
          <w:sz w:val="24"/>
          <w:szCs w:val="24"/>
        </w:rPr>
        <w:t>n</w:t>
      </w:r>
      <w:r w:rsidR="00C145B8">
        <w:rPr>
          <w:rFonts w:ascii="Palatino Linotype" w:eastAsia="Palatino Linotype" w:hAnsi="Palatino Linotype" w:cs="Palatino Linotype"/>
          <w:spacing w:val="-3"/>
          <w:sz w:val="24"/>
          <w:szCs w:val="24"/>
        </w:rPr>
        <w:t xml:space="preserve"> </w:t>
      </w:r>
      <w:r w:rsidR="00C145B8">
        <w:rPr>
          <w:rFonts w:ascii="Palatino Linotype" w:eastAsia="Palatino Linotype" w:hAnsi="Palatino Linotype" w:cs="Palatino Linotype"/>
          <w:spacing w:val="1"/>
          <w:sz w:val="24"/>
          <w:szCs w:val="24"/>
        </w:rPr>
        <w:t>r</w:t>
      </w:r>
      <w:r w:rsidR="00C145B8">
        <w:rPr>
          <w:rFonts w:ascii="Palatino Linotype" w:eastAsia="Palatino Linotype" w:hAnsi="Palatino Linotype" w:cs="Palatino Linotype"/>
          <w:sz w:val="24"/>
          <w:szCs w:val="24"/>
        </w:rPr>
        <w:t>e</w:t>
      </w:r>
      <w:r w:rsidR="00C145B8">
        <w:rPr>
          <w:rFonts w:ascii="Palatino Linotype" w:eastAsia="Palatino Linotype" w:hAnsi="Palatino Linotype" w:cs="Palatino Linotype"/>
          <w:spacing w:val="1"/>
          <w:sz w:val="24"/>
          <w:szCs w:val="24"/>
        </w:rPr>
        <w:t>g</w:t>
      </w:r>
      <w:r w:rsidR="00C145B8">
        <w:rPr>
          <w:rFonts w:ascii="Palatino Linotype" w:eastAsia="Palatino Linotype" w:hAnsi="Palatino Linotype" w:cs="Palatino Linotype"/>
          <w:spacing w:val="-1"/>
          <w:sz w:val="24"/>
          <w:szCs w:val="24"/>
        </w:rPr>
        <w:t>u</w:t>
      </w:r>
      <w:r w:rsidR="00C145B8">
        <w:rPr>
          <w:rFonts w:ascii="Palatino Linotype" w:eastAsia="Palatino Linotype" w:hAnsi="Palatino Linotype" w:cs="Palatino Linotype"/>
          <w:sz w:val="24"/>
          <w:szCs w:val="24"/>
        </w:rPr>
        <w:t>lat</w:t>
      </w:r>
      <w:r w:rsidR="00C145B8">
        <w:rPr>
          <w:rFonts w:ascii="Palatino Linotype" w:eastAsia="Palatino Linotype" w:hAnsi="Palatino Linotype" w:cs="Palatino Linotype"/>
          <w:spacing w:val="-3"/>
          <w:sz w:val="24"/>
          <w:szCs w:val="24"/>
        </w:rPr>
        <w:t>i</w:t>
      </w:r>
      <w:r w:rsidR="00C145B8">
        <w:rPr>
          <w:rFonts w:ascii="Palatino Linotype" w:eastAsia="Palatino Linotype" w:hAnsi="Palatino Linotype" w:cs="Palatino Linotype"/>
          <w:spacing w:val="1"/>
          <w:sz w:val="24"/>
          <w:szCs w:val="24"/>
        </w:rPr>
        <w:t>o</w:t>
      </w:r>
      <w:r w:rsidR="00C145B8">
        <w:rPr>
          <w:rFonts w:ascii="Palatino Linotype" w:eastAsia="Palatino Linotype" w:hAnsi="Palatino Linotype" w:cs="Palatino Linotype"/>
          <w:sz w:val="24"/>
          <w:szCs w:val="24"/>
        </w:rPr>
        <w:t>n.</w:t>
      </w:r>
    </w:p>
    <w:p w:rsidR="00C145B8" w:rsidRDefault="00C145B8" w:rsidP="00766AB8">
      <w:pPr>
        <w:ind w:left="100" w:right="82"/>
        <w:rPr>
          <w:rFonts w:ascii="Palatino Linotype" w:eastAsia="Palatino Linotype" w:hAnsi="Palatino Linotype" w:cs="Palatino Linotype"/>
          <w:sz w:val="24"/>
          <w:szCs w:val="24"/>
        </w:rPr>
      </w:pPr>
    </w:p>
    <w:p w:rsidR="00D85CED" w:rsidRDefault="00D6549C" w:rsidP="00D85CED">
      <w:pPr>
        <w:ind w:left="100" w:right="82"/>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 xml:space="preserve">Decision (D.) </w:t>
      </w:r>
      <w:r w:rsidR="00C2602F">
        <w:rPr>
          <w:rFonts w:ascii="Palatino Linotype" w:eastAsia="Palatino Linotype" w:hAnsi="Palatino Linotype" w:cs="Palatino Linotype"/>
          <w:sz w:val="24"/>
          <w:szCs w:val="24"/>
        </w:rPr>
        <w:t>18-04-006</w:t>
      </w:r>
      <w:r>
        <w:rPr>
          <w:rFonts w:ascii="Palatino Linotype" w:eastAsia="Palatino Linotype" w:hAnsi="Palatino Linotype" w:cs="Palatino Linotype"/>
          <w:sz w:val="24"/>
          <w:szCs w:val="24"/>
        </w:rPr>
        <w:t xml:space="preserve"> approved an all-party Settlement Agreement in </w:t>
      </w:r>
      <w:r w:rsidR="00F46D1F">
        <w:rPr>
          <w:rFonts w:ascii="Palatino Linotype" w:eastAsia="Palatino Linotype" w:hAnsi="Palatino Linotype" w:cs="Palatino Linotype"/>
          <w:sz w:val="24"/>
          <w:szCs w:val="24"/>
        </w:rPr>
        <w:t>Calaveras</w:t>
      </w:r>
      <w:r w:rsidR="0019205A">
        <w:rPr>
          <w:rFonts w:ascii="Palatino Linotype" w:eastAsia="Palatino Linotype" w:hAnsi="Palatino Linotype" w:cs="Palatino Linotype"/>
          <w:sz w:val="24"/>
          <w:szCs w:val="24"/>
        </w:rPr>
        <w:t xml:space="preserve"> Telephone Company</w:t>
      </w:r>
      <w:r>
        <w:rPr>
          <w:rFonts w:ascii="Palatino Linotype" w:eastAsia="Palatino Linotype" w:hAnsi="Palatino Linotype" w:cs="Palatino Linotype"/>
          <w:sz w:val="24"/>
          <w:szCs w:val="24"/>
        </w:rPr>
        <w:t>’s</w:t>
      </w:r>
      <w:r w:rsidR="0019205A">
        <w:rPr>
          <w:rFonts w:ascii="Palatino Linotype" w:eastAsia="Palatino Linotype" w:hAnsi="Palatino Linotype" w:cs="Palatino Linotype"/>
          <w:sz w:val="24"/>
          <w:szCs w:val="24"/>
        </w:rPr>
        <w:t xml:space="preserve"> (</w:t>
      </w:r>
      <w:r w:rsidR="00F46D1F">
        <w:rPr>
          <w:rFonts w:ascii="Palatino Linotype" w:eastAsia="Palatino Linotype" w:hAnsi="Palatino Linotype" w:cs="Palatino Linotype"/>
          <w:sz w:val="24"/>
          <w:szCs w:val="24"/>
        </w:rPr>
        <w:t>Calaveras</w:t>
      </w:r>
      <w:r w:rsidR="0019205A">
        <w:rPr>
          <w:rFonts w:ascii="Palatino Linotype" w:eastAsia="Palatino Linotype" w:hAnsi="Palatino Linotype" w:cs="Palatino Linotype"/>
          <w:sz w:val="24"/>
          <w:szCs w:val="24"/>
        </w:rPr>
        <w:t xml:space="preserve">) </w:t>
      </w:r>
      <w:r w:rsidR="00D85CED">
        <w:rPr>
          <w:rFonts w:ascii="Palatino Linotype" w:eastAsia="Palatino Linotype" w:hAnsi="Palatino Linotype" w:cs="Palatino Linotype"/>
          <w:sz w:val="24"/>
          <w:szCs w:val="24"/>
        </w:rPr>
        <w:t xml:space="preserve">general rate case (GRC) for rates effective </w:t>
      </w:r>
      <w:r w:rsidR="00546552">
        <w:rPr>
          <w:rFonts w:ascii="Palatino Linotype" w:eastAsia="Palatino Linotype" w:hAnsi="Palatino Linotype" w:cs="Palatino Linotype"/>
          <w:sz w:val="24"/>
          <w:szCs w:val="24"/>
        </w:rPr>
        <w:br/>
      </w:r>
      <w:r w:rsidR="00981F82">
        <w:rPr>
          <w:rFonts w:ascii="Palatino Linotype" w:eastAsia="Palatino Linotype" w:hAnsi="Palatino Linotype" w:cs="Palatino Linotype"/>
          <w:sz w:val="24"/>
          <w:szCs w:val="24"/>
        </w:rPr>
        <w:t>Ma</w:t>
      </w:r>
      <w:r w:rsidR="00D85CED">
        <w:rPr>
          <w:rFonts w:ascii="Palatino Linotype" w:eastAsia="Palatino Linotype" w:hAnsi="Palatino Linotype" w:cs="Palatino Linotype"/>
          <w:sz w:val="24"/>
          <w:szCs w:val="24"/>
        </w:rPr>
        <w:t xml:space="preserve">y 1, 2018.  This decision’s Ordering Paragraph (O.P.) 8 required </w:t>
      </w:r>
      <w:r w:rsidR="00F46D1F">
        <w:rPr>
          <w:rFonts w:ascii="Palatino Linotype" w:eastAsia="Palatino Linotype" w:hAnsi="Palatino Linotype" w:cs="Palatino Linotype"/>
          <w:sz w:val="24"/>
          <w:szCs w:val="24"/>
        </w:rPr>
        <w:t>Calaveras</w:t>
      </w:r>
      <w:r w:rsidR="00D85CED">
        <w:rPr>
          <w:rFonts w:ascii="Palatino Linotype" w:eastAsia="Palatino Linotype" w:hAnsi="Palatino Linotype" w:cs="Palatino Linotype"/>
          <w:sz w:val="24"/>
          <w:szCs w:val="24"/>
        </w:rPr>
        <w:t xml:space="preserve"> to submit an advice letter </w:t>
      </w:r>
      <w:r w:rsidR="00427C9C">
        <w:rPr>
          <w:rFonts w:ascii="Palatino Linotype" w:eastAsia="Palatino Linotype" w:hAnsi="Palatino Linotype" w:cs="Palatino Linotype"/>
          <w:sz w:val="24"/>
          <w:szCs w:val="24"/>
        </w:rPr>
        <w:t>with a revised revenue requirement reflecting changes to the income tax rate after the all-party settlement agreement was submitted</w:t>
      </w:r>
      <w:r w:rsidR="00D85CED">
        <w:rPr>
          <w:rFonts w:ascii="Palatino Linotype" w:eastAsia="Palatino Linotype" w:hAnsi="Palatino Linotype" w:cs="Palatino Linotype"/>
          <w:sz w:val="24"/>
          <w:szCs w:val="24"/>
        </w:rPr>
        <w:t>.</w:t>
      </w:r>
      <w:r w:rsidR="00A866FE" w:rsidRPr="00A866FE">
        <w:rPr>
          <w:rStyle w:val="FootnoteReference"/>
          <w:rFonts w:ascii="Palatino Linotype" w:eastAsia="Palatino Linotype" w:hAnsi="Palatino Linotype" w:cs="Palatino Linotype"/>
          <w:sz w:val="24"/>
          <w:szCs w:val="24"/>
        </w:rPr>
        <w:t xml:space="preserve"> </w:t>
      </w:r>
      <w:r w:rsidR="00A866FE">
        <w:rPr>
          <w:rStyle w:val="FootnoteReference"/>
          <w:rFonts w:ascii="Palatino Linotype" w:eastAsia="Palatino Linotype" w:hAnsi="Palatino Linotype" w:cs="Palatino Linotype"/>
          <w:sz w:val="24"/>
          <w:szCs w:val="24"/>
        </w:rPr>
        <w:footnoteReference w:id="1"/>
      </w:r>
    </w:p>
    <w:p w:rsidR="00D85CED" w:rsidRDefault="00D85CED" w:rsidP="00D85CED">
      <w:pPr>
        <w:ind w:left="100" w:right="82"/>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lastRenderedPageBreak/>
        <w:t>The Tax Cut and Jobs Act of 2017 (TCJA) was signed into law on December 22, 2017</w:t>
      </w:r>
      <w:r w:rsidR="00B41BB8">
        <w:rPr>
          <w:rFonts w:ascii="Palatino Linotype" w:eastAsia="Palatino Linotype" w:hAnsi="Palatino Linotype" w:cs="Palatino Linotype"/>
          <w:sz w:val="24"/>
          <w:szCs w:val="24"/>
        </w:rPr>
        <w:t>,</w:t>
      </w:r>
      <w:r>
        <w:rPr>
          <w:rFonts w:ascii="Palatino Linotype" w:eastAsia="Palatino Linotype" w:hAnsi="Palatino Linotype" w:cs="Palatino Linotype"/>
          <w:sz w:val="24"/>
          <w:szCs w:val="24"/>
        </w:rPr>
        <w:t xml:space="preserve"> and became effective January 1, 2018.  Among other things, the TCJA reduced the top corporate income tax rate from 35% to 21%.</w:t>
      </w:r>
      <w:r>
        <w:rPr>
          <w:rStyle w:val="FootnoteReference"/>
          <w:rFonts w:ascii="Palatino Linotype" w:eastAsia="Palatino Linotype" w:hAnsi="Palatino Linotype" w:cs="Palatino Linotype"/>
          <w:sz w:val="24"/>
          <w:szCs w:val="24"/>
        </w:rPr>
        <w:footnoteReference w:id="2"/>
      </w:r>
    </w:p>
    <w:p w:rsidR="00D85CED" w:rsidRDefault="00D85CED" w:rsidP="00766AB8">
      <w:pPr>
        <w:ind w:left="100" w:right="82"/>
        <w:rPr>
          <w:rFonts w:ascii="Palatino Linotype" w:eastAsia="Palatino Linotype" w:hAnsi="Palatino Linotype" w:cs="Palatino Linotype"/>
          <w:sz w:val="24"/>
          <w:szCs w:val="24"/>
        </w:rPr>
      </w:pPr>
    </w:p>
    <w:p w:rsidR="00A866FE" w:rsidRDefault="00EF2CD0" w:rsidP="00A866FE">
      <w:pPr>
        <w:ind w:left="100" w:right="140"/>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O</w:t>
      </w:r>
      <w:r w:rsidR="00D85CED">
        <w:rPr>
          <w:rFonts w:ascii="Palatino Linotype" w:eastAsia="Palatino Linotype" w:hAnsi="Palatino Linotype" w:cs="Palatino Linotype"/>
          <w:sz w:val="24"/>
          <w:szCs w:val="24"/>
        </w:rPr>
        <w:t xml:space="preserve">n </w:t>
      </w:r>
      <w:r>
        <w:rPr>
          <w:rFonts w:ascii="Palatino Linotype" w:eastAsia="Palatino Linotype" w:hAnsi="Palatino Linotype" w:cs="Palatino Linotype"/>
          <w:sz w:val="24"/>
          <w:szCs w:val="24"/>
        </w:rPr>
        <w:t>May 25</w:t>
      </w:r>
      <w:r w:rsidR="00D85CED">
        <w:rPr>
          <w:rFonts w:ascii="Palatino Linotype" w:eastAsia="Palatino Linotype" w:hAnsi="Palatino Linotype" w:cs="Palatino Linotype"/>
          <w:sz w:val="24"/>
          <w:szCs w:val="24"/>
        </w:rPr>
        <w:t xml:space="preserve">, 2018, </w:t>
      </w:r>
      <w:r w:rsidR="00F46D1F">
        <w:rPr>
          <w:rFonts w:ascii="Palatino Linotype" w:eastAsia="Palatino Linotype" w:hAnsi="Palatino Linotype" w:cs="Palatino Linotype"/>
          <w:sz w:val="24"/>
          <w:szCs w:val="24"/>
        </w:rPr>
        <w:t>Calaveras</w:t>
      </w:r>
      <w:r w:rsidR="00D85CED">
        <w:rPr>
          <w:rFonts w:ascii="Palatino Linotype" w:eastAsia="Palatino Linotype" w:hAnsi="Palatino Linotype" w:cs="Palatino Linotype"/>
          <w:sz w:val="24"/>
          <w:szCs w:val="24"/>
        </w:rPr>
        <w:t xml:space="preserve"> filed a Tier 2 Advice Letter (AL) 3</w:t>
      </w:r>
      <w:r>
        <w:rPr>
          <w:rFonts w:ascii="Palatino Linotype" w:eastAsia="Palatino Linotype" w:hAnsi="Palatino Linotype" w:cs="Palatino Linotype"/>
          <w:sz w:val="24"/>
          <w:szCs w:val="24"/>
        </w:rPr>
        <w:t>63</w:t>
      </w:r>
      <w:r w:rsidR="006F5528">
        <w:rPr>
          <w:rFonts w:ascii="Palatino Linotype" w:eastAsia="Palatino Linotype" w:hAnsi="Palatino Linotype" w:cs="Palatino Linotype"/>
          <w:sz w:val="24"/>
          <w:szCs w:val="24"/>
        </w:rPr>
        <w:t xml:space="preserve"> </w:t>
      </w:r>
      <w:r w:rsidR="00A866FE">
        <w:rPr>
          <w:rFonts w:ascii="Palatino Linotype" w:eastAsia="Palatino Linotype" w:hAnsi="Palatino Linotype" w:cs="Palatino Linotype"/>
          <w:sz w:val="24"/>
          <w:szCs w:val="24"/>
        </w:rPr>
        <w:t xml:space="preserve">proposing an adjustment in its revenue requirement applicable to taxable operating revenue to reflect the impact of the TCJA. </w:t>
      </w:r>
      <w:r w:rsidR="003D0295">
        <w:rPr>
          <w:rFonts w:ascii="Palatino Linotype" w:eastAsia="Palatino Linotype" w:hAnsi="Palatino Linotype" w:cs="Palatino Linotype"/>
          <w:sz w:val="24"/>
          <w:szCs w:val="24"/>
        </w:rPr>
        <w:t xml:space="preserve"> </w:t>
      </w:r>
      <w:r w:rsidR="00A866FE">
        <w:rPr>
          <w:rFonts w:ascii="Palatino Linotype" w:eastAsia="Palatino Linotype" w:hAnsi="Palatino Linotype" w:cs="Palatino Linotype"/>
          <w:sz w:val="24"/>
          <w:szCs w:val="24"/>
        </w:rPr>
        <w:t xml:space="preserve">Specifically, </w:t>
      </w:r>
      <w:r w:rsidR="00F46D1F">
        <w:rPr>
          <w:rFonts w:ascii="Palatino Linotype" w:eastAsia="Palatino Linotype" w:hAnsi="Palatino Linotype" w:cs="Palatino Linotype"/>
          <w:sz w:val="24"/>
          <w:szCs w:val="24"/>
        </w:rPr>
        <w:t>Calaveras</w:t>
      </w:r>
      <w:r w:rsidR="00A866FE">
        <w:rPr>
          <w:rFonts w:ascii="Palatino Linotype" w:eastAsia="Palatino Linotype" w:hAnsi="Palatino Linotype" w:cs="Palatino Linotype"/>
          <w:sz w:val="24"/>
          <w:szCs w:val="24"/>
        </w:rPr>
        <w:t xml:space="preserve"> proposed a $</w:t>
      </w:r>
      <w:r w:rsidR="006F5528">
        <w:rPr>
          <w:rFonts w:ascii="Palatino Linotype" w:eastAsia="Palatino Linotype" w:hAnsi="Palatino Linotype" w:cs="Palatino Linotype"/>
          <w:sz w:val="24"/>
          <w:szCs w:val="24"/>
        </w:rPr>
        <w:t>180,292</w:t>
      </w:r>
      <w:r w:rsidR="00A866FE">
        <w:rPr>
          <w:rFonts w:ascii="Palatino Linotype" w:eastAsia="Palatino Linotype" w:hAnsi="Palatino Linotype" w:cs="Palatino Linotype"/>
          <w:sz w:val="24"/>
          <w:szCs w:val="24"/>
        </w:rPr>
        <w:t xml:space="preserve"> decrease from the approved revenue requirement of $</w:t>
      </w:r>
      <w:r w:rsidR="006F5528">
        <w:rPr>
          <w:rFonts w:ascii="Palatino Linotype" w:eastAsia="Palatino Linotype" w:hAnsi="Palatino Linotype" w:cs="Palatino Linotype"/>
          <w:sz w:val="24"/>
          <w:szCs w:val="24"/>
        </w:rPr>
        <w:t>6,200,154</w:t>
      </w:r>
      <w:r w:rsidR="00A866FE">
        <w:rPr>
          <w:rFonts w:ascii="Palatino Linotype" w:eastAsia="Palatino Linotype" w:hAnsi="Palatino Linotype" w:cs="Palatino Linotype"/>
          <w:sz w:val="24"/>
          <w:szCs w:val="24"/>
        </w:rPr>
        <w:t xml:space="preserve"> and an equal $</w:t>
      </w:r>
      <w:r w:rsidR="006F5528">
        <w:rPr>
          <w:rFonts w:ascii="Palatino Linotype" w:eastAsia="Palatino Linotype" w:hAnsi="Palatino Linotype" w:cs="Palatino Linotype"/>
          <w:sz w:val="24"/>
          <w:szCs w:val="24"/>
        </w:rPr>
        <w:t>180,292</w:t>
      </w:r>
      <w:r w:rsidR="00A866FE">
        <w:rPr>
          <w:rFonts w:ascii="Palatino Linotype" w:eastAsia="Palatino Linotype" w:hAnsi="Palatino Linotype" w:cs="Palatino Linotype"/>
          <w:sz w:val="24"/>
          <w:szCs w:val="24"/>
        </w:rPr>
        <w:t xml:space="preserve"> decrease from the CHCF-A support of $</w:t>
      </w:r>
      <w:r w:rsidR="006F5528">
        <w:rPr>
          <w:rFonts w:ascii="Palatino Linotype" w:eastAsia="Palatino Linotype" w:hAnsi="Palatino Linotype" w:cs="Palatino Linotype"/>
          <w:sz w:val="24"/>
          <w:szCs w:val="24"/>
        </w:rPr>
        <w:t>2,932,899</w:t>
      </w:r>
      <w:r w:rsidR="00A866FE">
        <w:rPr>
          <w:rFonts w:ascii="Palatino Linotype" w:eastAsia="Palatino Linotype" w:hAnsi="Palatino Linotype" w:cs="Palatino Linotype"/>
          <w:sz w:val="24"/>
          <w:szCs w:val="24"/>
        </w:rPr>
        <w:t xml:space="preserve"> approved in D.</w:t>
      </w:r>
      <w:r w:rsidR="00C2602F">
        <w:rPr>
          <w:rFonts w:ascii="Palatino Linotype" w:eastAsia="Palatino Linotype" w:hAnsi="Palatino Linotype" w:cs="Palatino Linotype"/>
          <w:sz w:val="24"/>
          <w:szCs w:val="24"/>
        </w:rPr>
        <w:t>18-04-006</w:t>
      </w:r>
      <w:r w:rsidR="00A866FE">
        <w:rPr>
          <w:rFonts w:ascii="Palatino Linotype" w:eastAsia="Palatino Linotype" w:hAnsi="Palatino Linotype" w:cs="Palatino Linotype"/>
          <w:sz w:val="24"/>
          <w:szCs w:val="24"/>
        </w:rPr>
        <w:t>, resulting in a revenue requirement of $</w:t>
      </w:r>
      <w:r w:rsidR="006F5528">
        <w:rPr>
          <w:rFonts w:ascii="Palatino Linotype" w:eastAsia="Palatino Linotype" w:hAnsi="Palatino Linotype" w:cs="Palatino Linotype"/>
          <w:sz w:val="24"/>
          <w:szCs w:val="24"/>
        </w:rPr>
        <w:t>6,0</w:t>
      </w:r>
      <w:r w:rsidR="00337415">
        <w:rPr>
          <w:rFonts w:ascii="Palatino Linotype" w:eastAsia="Palatino Linotype" w:hAnsi="Palatino Linotype" w:cs="Palatino Linotype"/>
          <w:sz w:val="24"/>
          <w:szCs w:val="24"/>
        </w:rPr>
        <w:t>19,862 a</w:t>
      </w:r>
      <w:r w:rsidR="00A866FE">
        <w:rPr>
          <w:rFonts w:ascii="Palatino Linotype" w:eastAsia="Palatino Linotype" w:hAnsi="Palatino Linotype" w:cs="Palatino Linotype"/>
          <w:sz w:val="24"/>
          <w:szCs w:val="24"/>
        </w:rPr>
        <w:t>nd CHCF-A support of $</w:t>
      </w:r>
      <w:r w:rsidR="006F5528">
        <w:rPr>
          <w:rFonts w:ascii="Palatino Linotype" w:eastAsia="Palatino Linotype" w:hAnsi="Palatino Linotype" w:cs="Palatino Linotype"/>
          <w:sz w:val="24"/>
          <w:szCs w:val="24"/>
        </w:rPr>
        <w:t>2,</w:t>
      </w:r>
      <w:r w:rsidR="00337415">
        <w:rPr>
          <w:rFonts w:ascii="Palatino Linotype" w:eastAsia="Palatino Linotype" w:hAnsi="Palatino Linotype" w:cs="Palatino Linotype"/>
          <w:sz w:val="24"/>
          <w:szCs w:val="24"/>
        </w:rPr>
        <w:t>752,607</w:t>
      </w:r>
      <w:r w:rsidR="00A866FE">
        <w:rPr>
          <w:rFonts w:ascii="Palatino Linotype" w:eastAsia="Palatino Linotype" w:hAnsi="Palatino Linotype" w:cs="Palatino Linotype"/>
          <w:sz w:val="24"/>
          <w:szCs w:val="24"/>
        </w:rPr>
        <w:t xml:space="preserve">.  </w:t>
      </w:r>
      <w:r w:rsidR="00F46D1F">
        <w:rPr>
          <w:rFonts w:ascii="Palatino Linotype" w:eastAsia="Palatino Linotype" w:hAnsi="Palatino Linotype" w:cs="Palatino Linotype"/>
          <w:sz w:val="24"/>
          <w:szCs w:val="24"/>
        </w:rPr>
        <w:t>Calaveras</w:t>
      </w:r>
      <w:r w:rsidR="00A866FE">
        <w:rPr>
          <w:rFonts w:ascii="Palatino Linotype" w:eastAsia="Palatino Linotype" w:hAnsi="Palatino Linotype" w:cs="Palatino Linotype"/>
          <w:sz w:val="24"/>
          <w:szCs w:val="24"/>
        </w:rPr>
        <w:t xml:space="preserve"> did not propose any other adjustments.</w:t>
      </w:r>
      <w:r w:rsidR="004F0B34">
        <w:rPr>
          <w:rFonts w:ascii="Palatino Linotype" w:eastAsia="Palatino Linotype" w:hAnsi="Palatino Linotype" w:cs="Palatino Linotype"/>
          <w:sz w:val="24"/>
          <w:szCs w:val="24"/>
        </w:rPr>
        <w:t xml:space="preserve"> </w:t>
      </w:r>
      <w:r w:rsidR="004F0B34">
        <w:rPr>
          <w:rStyle w:val="FootnoteReference"/>
          <w:rFonts w:ascii="Palatino Linotype" w:eastAsia="Palatino Linotype" w:hAnsi="Palatino Linotype" w:cs="Palatino Linotype"/>
          <w:sz w:val="24"/>
          <w:szCs w:val="24"/>
        </w:rPr>
        <w:footnoteReference w:id="3"/>
      </w:r>
    </w:p>
    <w:p w:rsidR="00D85CED" w:rsidRDefault="00D85CED" w:rsidP="00766AB8">
      <w:pPr>
        <w:ind w:left="100" w:right="82"/>
        <w:rPr>
          <w:rFonts w:ascii="Palatino Linotype" w:eastAsia="Palatino Linotype" w:hAnsi="Palatino Linotype" w:cs="Palatino Linotype"/>
          <w:sz w:val="24"/>
          <w:szCs w:val="24"/>
        </w:rPr>
      </w:pPr>
    </w:p>
    <w:p w:rsidR="00E07A4F" w:rsidRPr="009A316F" w:rsidRDefault="000D223F" w:rsidP="00E07A4F">
      <w:pPr>
        <w:ind w:left="100" w:right="401"/>
        <w:rPr>
          <w:rFonts w:ascii="Palatino Linotype" w:eastAsia="Palatino Linotype" w:hAnsi="Palatino Linotype" w:cs="Palatino Linotype"/>
          <w:b/>
          <w:sz w:val="24"/>
          <w:szCs w:val="24"/>
          <w:u w:val="single"/>
        </w:rPr>
      </w:pPr>
      <w:r w:rsidRPr="009A316F">
        <w:rPr>
          <w:rFonts w:ascii="Palatino Linotype" w:eastAsia="Palatino Linotype" w:hAnsi="Palatino Linotype" w:cs="Palatino Linotype"/>
          <w:b/>
          <w:sz w:val="24"/>
          <w:szCs w:val="24"/>
          <w:u w:val="single"/>
        </w:rPr>
        <w:t>Notice/Protest</w:t>
      </w:r>
    </w:p>
    <w:p w:rsidR="000D223F" w:rsidRDefault="000D223F" w:rsidP="00E07A4F">
      <w:pPr>
        <w:ind w:left="100" w:right="401"/>
        <w:rPr>
          <w:rFonts w:ascii="Palatino Linotype" w:eastAsia="Palatino Linotype" w:hAnsi="Palatino Linotype" w:cs="Palatino Linotype"/>
          <w:sz w:val="24"/>
          <w:szCs w:val="24"/>
        </w:rPr>
      </w:pPr>
    </w:p>
    <w:p w:rsidR="007C372D" w:rsidRDefault="000D223F" w:rsidP="00141C00">
      <w:pPr>
        <w:ind w:left="100" w:right="401"/>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The Commission Daily Calendar published Notice of AL 3</w:t>
      </w:r>
      <w:r w:rsidR="006B590B">
        <w:rPr>
          <w:rFonts w:ascii="Palatino Linotype" w:eastAsia="Palatino Linotype" w:hAnsi="Palatino Linotype" w:cs="Palatino Linotype"/>
          <w:sz w:val="24"/>
          <w:szCs w:val="24"/>
        </w:rPr>
        <w:t>63</w:t>
      </w:r>
      <w:r>
        <w:rPr>
          <w:rFonts w:ascii="Palatino Linotype" w:eastAsia="Palatino Linotype" w:hAnsi="Palatino Linotype" w:cs="Palatino Linotype"/>
          <w:sz w:val="24"/>
          <w:szCs w:val="24"/>
        </w:rPr>
        <w:t xml:space="preserve"> on </w:t>
      </w:r>
      <w:r w:rsidR="009F7A99">
        <w:rPr>
          <w:rFonts w:ascii="Palatino Linotype" w:eastAsia="Palatino Linotype" w:hAnsi="Palatino Linotype" w:cs="Palatino Linotype"/>
          <w:sz w:val="24"/>
          <w:szCs w:val="24"/>
        </w:rPr>
        <w:t>June 1</w:t>
      </w:r>
      <w:r>
        <w:rPr>
          <w:rFonts w:ascii="Palatino Linotype" w:eastAsia="Palatino Linotype" w:hAnsi="Palatino Linotype" w:cs="Palatino Linotype"/>
          <w:sz w:val="24"/>
          <w:szCs w:val="24"/>
        </w:rPr>
        <w:t>,</w:t>
      </w:r>
      <w:r w:rsidR="00460204">
        <w:rPr>
          <w:rFonts w:ascii="Palatino Linotype" w:eastAsia="Palatino Linotype" w:hAnsi="Palatino Linotype" w:cs="Palatino Linotype"/>
          <w:sz w:val="24"/>
          <w:szCs w:val="24"/>
        </w:rPr>
        <w:t xml:space="preserve"> </w:t>
      </w:r>
      <w:r>
        <w:rPr>
          <w:rFonts w:ascii="Palatino Linotype" w:eastAsia="Palatino Linotype" w:hAnsi="Palatino Linotype" w:cs="Palatino Linotype"/>
          <w:sz w:val="24"/>
          <w:szCs w:val="24"/>
        </w:rPr>
        <w:t>2018.</w:t>
      </w:r>
      <w:r w:rsidR="00492B24">
        <w:rPr>
          <w:rFonts w:ascii="Palatino Linotype" w:eastAsia="Palatino Linotype" w:hAnsi="Palatino Linotype" w:cs="Palatino Linotype"/>
          <w:sz w:val="24"/>
          <w:szCs w:val="24"/>
        </w:rPr>
        <w:t xml:space="preserve">  </w:t>
      </w:r>
      <w:r w:rsidR="001D418D">
        <w:rPr>
          <w:rFonts w:ascii="Palatino Linotype" w:eastAsia="Palatino Linotype" w:hAnsi="Palatino Linotype" w:cs="Palatino Linotype"/>
          <w:sz w:val="24"/>
          <w:szCs w:val="24"/>
        </w:rPr>
        <w:t>N</w:t>
      </w:r>
      <w:r w:rsidR="00492B24">
        <w:rPr>
          <w:rFonts w:ascii="Palatino Linotype" w:eastAsia="Palatino Linotype" w:hAnsi="Palatino Linotype" w:cs="Palatino Linotype"/>
          <w:sz w:val="24"/>
          <w:szCs w:val="24"/>
        </w:rPr>
        <w:t>o protests</w:t>
      </w:r>
      <w:r w:rsidR="00F06B84">
        <w:rPr>
          <w:rFonts w:ascii="Palatino Linotype" w:eastAsia="Palatino Linotype" w:hAnsi="Palatino Linotype" w:cs="Palatino Linotype"/>
          <w:sz w:val="24"/>
          <w:szCs w:val="24"/>
        </w:rPr>
        <w:t xml:space="preserve"> were received</w:t>
      </w:r>
      <w:r w:rsidR="007C372D">
        <w:rPr>
          <w:rFonts w:ascii="Palatino Linotype" w:eastAsia="Palatino Linotype" w:hAnsi="Palatino Linotype" w:cs="Palatino Linotype"/>
          <w:sz w:val="24"/>
          <w:szCs w:val="24"/>
        </w:rPr>
        <w:t>.</w:t>
      </w:r>
    </w:p>
    <w:p w:rsidR="00650ED8" w:rsidRDefault="00650ED8" w:rsidP="00460204">
      <w:pPr>
        <w:ind w:left="100" w:right="401"/>
        <w:rPr>
          <w:rFonts w:ascii="Palatino Linotype" w:eastAsia="Palatino Linotype" w:hAnsi="Palatino Linotype" w:cs="Palatino Linotype"/>
          <w:sz w:val="24"/>
          <w:szCs w:val="24"/>
        </w:rPr>
      </w:pPr>
    </w:p>
    <w:p w:rsidR="00D6611F" w:rsidRPr="005D3F3F" w:rsidRDefault="00490173">
      <w:pPr>
        <w:ind w:left="100"/>
        <w:rPr>
          <w:rFonts w:ascii="Palatino Linotype" w:eastAsia="Palatino Linotype" w:hAnsi="Palatino Linotype" w:cs="Palatino Linotype"/>
          <w:b/>
          <w:sz w:val="24"/>
          <w:szCs w:val="24"/>
          <w:u w:val="single"/>
        </w:rPr>
      </w:pPr>
      <w:r w:rsidRPr="005D3F3F">
        <w:rPr>
          <w:rFonts w:ascii="Palatino Linotype" w:eastAsia="Palatino Linotype" w:hAnsi="Palatino Linotype" w:cs="Palatino Linotype"/>
          <w:b/>
          <w:sz w:val="24"/>
          <w:szCs w:val="24"/>
          <w:u w:val="single"/>
        </w:rPr>
        <w:t>D</w:t>
      </w:r>
      <w:r w:rsidR="005D3F3F" w:rsidRPr="005D3F3F">
        <w:rPr>
          <w:rFonts w:ascii="Palatino Linotype" w:eastAsia="Palatino Linotype" w:hAnsi="Palatino Linotype" w:cs="Palatino Linotype"/>
          <w:b/>
          <w:sz w:val="24"/>
          <w:szCs w:val="24"/>
          <w:u w:val="single"/>
        </w:rPr>
        <w:t>ISCUSSION</w:t>
      </w:r>
    </w:p>
    <w:p w:rsidR="00D517BA" w:rsidRDefault="00D517BA">
      <w:pPr>
        <w:ind w:left="100"/>
        <w:rPr>
          <w:rFonts w:ascii="Palatino Linotype" w:eastAsia="Palatino Linotype" w:hAnsi="Palatino Linotype" w:cs="Palatino Linotype"/>
          <w:b/>
          <w:sz w:val="24"/>
          <w:szCs w:val="24"/>
        </w:rPr>
      </w:pPr>
    </w:p>
    <w:p w:rsidR="00D517BA" w:rsidRPr="00141C00" w:rsidRDefault="00A30233">
      <w:pPr>
        <w:ind w:left="100"/>
        <w:rPr>
          <w:rFonts w:ascii="Palatino Linotype" w:eastAsia="Palatino Linotype" w:hAnsi="Palatino Linotype" w:cs="Palatino Linotype"/>
          <w:sz w:val="24"/>
          <w:szCs w:val="24"/>
          <w:u w:val="single"/>
        </w:rPr>
      </w:pPr>
      <w:r>
        <w:rPr>
          <w:rFonts w:ascii="Palatino Linotype" w:eastAsia="Palatino Linotype" w:hAnsi="Palatino Linotype" w:cs="Palatino Linotype"/>
          <w:sz w:val="24"/>
          <w:szCs w:val="24"/>
          <w:u w:val="single"/>
        </w:rPr>
        <w:t xml:space="preserve">Staff’s Review of </w:t>
      </w:r>
      <w:r w:rsidR="00F46D1F">
        <w:rPr>
          <w:rFonts w:ascii="Palatino Linotype" w:eastAsia="Palatino Linotype" w:hAnsi="Palatino Linotype" w:cs="Palatino Linotype"/>
          <w:sz w:val="24"/>
          <w:szCs w:val="24"/>
          <w:u w:val="single"/>
        </w:rPr>
        <w:t>Calavera</w:t>
      </w:r>
      <w:r w:rsidR="0027782D">
        <w:rPr>
          <w:rFonts w:ascii="Palatino Linotype" w:eastAsia="Palatino Linotype" w:hAnsi="Palatino Linotype" w:cs="Palatino Linotype"/>
          <w:sz w:val="24"/>
          <w:szCs w:val="24"/>
          <w:u w:val="single"/>
        </w:rPr>
        <w:t>s’</w:t>
      </w:r>
      <w:r w:rsidR="00D517BA">
        <w:rPr>
          <w:rFonts w:ascii="Palatino Linotype" w:eastAsia="Palatino Linotype" w:hAnsi="Palatino Linotype" w:cs="Palatino Linotype"/>
          <w:sz w:val="24"/>
          <w:szCs w:val="24"/>
          <w:u w:val="single"/>
        </w:rPr>
        <w:t xml:space="preserve"> Methodology</w:t>
      </w:r>
    </w:p>
    <w:p w:rsidR="00CF6688" w:rsidRDefault="00CF6688" w:rsidP="0007738D">
      <w:pPr>
        <w:ind w:right="401"/>
        <w:rPr>
          <w:rFonts w:ascii="Palatino Linotype" w:eastAsia="Palatino Linotype" w:hAnsi="Palatino Linotype" w:cs="Palatino Linotype"/>
          <w:sz w:val="24"/>
          <w:szCs w:val="24"/>
        </w:rPr>
      </w:pPr>
    </w:p>
    <w:p w:rsidR="00650ED8" w:rsidRDefault="00F46D1F" w:rsidP="00165079">
      <w:pPr>
        <w:ind w:left="100" w:right="401"/>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Calaveras</w:t>
      </w:r>
      <w:r w:rsidR="008D470E">
        <w:rPr>
          <w:rFonts w:ascii="Palatino Linotype" w:eastAsia="Palatino Linotype" w:hAnsi="Palatino Linotype" w:cs="Palatino Linotype"/>
          <w:sz w:val="24"/>
          <w:szCs w:val="24"/>
        </w:rPr>
        <w:t xml:space="preserve"> calculated the </w:t>
      </w:r>
      <w:r w:rsidR="00CC04EC">
        <w:rPr>
          <w:rFonts w:ascii="Palatino Linotype" w:eastAsia="Palatino Linotype" w:hAnsi="Palatino Linotype" w:cs="Palatino Linotype"/>
          <w:sz w:val="24"/>
          <w:szCs w:val="24"/>
        </w:rPr>
        <w:t xml:space="preserve">new </w:t>
      </w:r>
      <w:r w:rsidR="008D470E">
        <w:rPr>
          <w:rFonts w:ascii="Palatino Linotype" w:eastAsia="Palatino Linotype" w:hAnsi="Palatino Linotype" w:cs="Palatino Linotype"/>
          <w:sz w:val="24"/>
          <w:szCs w:val="24"/>
        </w:rPr>
        <w:t xml:space="preserve">federal income </w:t>
      </w:r>
      <w:r w:rsidR="00165079">
        <w:rPr>
          <w:rFonts w:ascii="Palatino Linotype" w:eastAsia="Palatino Linotype" w:hAnsi="Palatino Linotype" w:cs="Palatino Linotype"/>
          <w:sz w:val="24"/>
          <w:szCs w:val="24"/>
        </w:rPr>
        <w:t xml:space="preserve">tax </w:t>
      </w:r>
      <w:r w:rsidR="00CC04EC">
        <w:rPr>
          <w:rFonts w:ascii="Palatino Linotype" w:eastAsia="Palatino Linotype" w:hAnsi="Palatino Linotype" w:cs="Palatino Linotype"/>
          <w:sz w:val="24"/>
          <w:szCs w:val="24"/>
        </w:rPr>
        <w:t xml:space="preserve">by adjusting the </w:t>
      </w:r>
      <w:r w:rsidR="00B347E9">
        <w:rPr>
          <w:rFonts w:ascii="Palatino Linotype" w:eastAsia="Palatino Linotype" w:hAnsi="Palatino Linotype" w:cs="Palatino Linotype"/>
          <w:sz w:val="24"/>
          <w:szCs w:val="24"/>
        </w:rPr>
        <w:t>operating tax expense and</w:t>
      </w:r>
      <w:r w:rsidR="00CC04EC">
        <w:rPr>
          <w:rFonts w:ascii="Palatino Linotype" w:eastAsia="Palatino Linotype" w:hAnsi="Palatino Linotype" w:cs="Palatino Linotype"/>
          <w:sz w:val="24"/>
          <w:szCs w:val="24"/>
        </w:rPr>
        <w:t xml:space="preserve"> deferred (income) tax</w:t>
      </w:r>
      <w:r w:rsidR="00327962">
        <w:rPr>
          <w:rFonts w:ascii="Palatino Linotype" w:eastAsia="Palatino Linotype" w:hAnsi="Palatino Linotype" w:cs="Palatino Linotype"/>
          <w:sz w:val="24"/>
          <w:szCs w:val="24"/>
        </w:rPr>
        <w:t xml:space="preserve"> reserve at the new 21% tax rate </w:t>
      </w:r>
      <w:r w:rsidR="00CC04EC">
        <w:rPr>
          <w:rFonts w:ascii="Palatino Linotype" w:eastAsia="Palatino Linotype" w:hAnsi="Palatino Linotype" w:cs="Palatino Linotype"/>
          <w:sz w:val="24"/>
          <w:szCs w:val="24"/>
        </w:rPr>
        <w:t xml:space="preserve">and </w:t>
      </w:r>
      <w:r w:rsidR="00D712BC">
        <w:rPr>
          <w:rFonts w:ascii="Palatino Linotype" w:eastAsia="Palatino Linotype" w:hAnsi="Palatino Linotype" w:cs="Palatino Linotype"/>
          <w:sz w:val="24"/>
          <w:szCs w:val="24"/>
        </w:rPr>
        <w:t>appl</w:t>
      </w:r>
      <w:r w:rsidR="00F06B84">
        <w:rPr>
          <w:rFonts w:ascii="Palatino Linotype" w:eastAsia="Palatino Linotype" w:hAnsi="Palatino Linotype" w:cs="Palatino Linotype"/>
          <w:sz w:val="24"/>
          <w:szCs w:val="24"/>
        </w:rPr>
        <w:t>ied</w:t>
      </w:r>
      <w:r w:rsidR="00D712BC">
        <w:rPr>
          <w:rFonts w:ascii="Palatino Linotype" w:eastAsia="Palatino Linotype" w:hAnsi="Palatino Linotype" w:cs="Palatino Linotype"/>
          <w:sz w:val="24"/>
          <w:szCs w:val="24"/>
        </w:rPr>
        <w:t xml:space="preserve"> </w:t>
      </w:r>
      <w:r w:rsidR="00165079">
        <w:rPr>
          <w:rFonts w:ascii="Palatino Linotype" w:eastAsia="Palatino Linotype" w:hAnsi="Palatino Linotype" w:cs="Palatino Linotype"/>
          <w:sz w:val="24"/>
          <w:szCs w:val="24"/>
        </w:rPr>
        <w:t xml:space="preserve">this </w:t>
      </w:r>
      <w:r w:rsidR="00B347E9">
        <w:rPr>
          <w:rFonts w:ascii="Palatino Linotype" w:eastAsia="Palatino Linotype" w:hAnsi="Palatino Linotype" w:cs="Palatino Linotype"/>
          <w:sz w:val="24"/>
          <w:szCs w:val="24"/>
        </w:rPr>
        <w:t xml:space="preserve">adjustment to reduce the level of CHCF-A operating revenues.  </w:t>
      </w:r>
      <w:r w:rsidR="00D712BC">
        <w:rPr>
          <w:rFonts w:ascii="Palatino Linotype" w:eastAsia="Palatino Linotype" w:hAnsi="Palatino Linotype" w:cs="Palatino Linotype"/>
          <w:sz w:val="24"/>
          <w:szCs w:val="24"/>
        </w:rPr>
        <w:t xml:space="preserve">Under </w:t>
      </w:r>
      <w:r>
        <w:rPr>
          <w:rFonts w:ascii="Palatino Linotype" w:eastAsia="Palatino Linotype" w:hAnsi="Palatino Linotype" w:cs="Palatino Linotype"/>
          <w:sz w:val="24"/>
          <w:szCs w:val="24"/>
        </w:rPr>
        <w:t>Calavera</w:t>
      </w:r>
      <w:r w:rsidR="0027782D">
        <w:rPr>
          <w:rFonts w:ascii="Palatino Linotype" w:eastAsia="Palatino Linotype" w:hAnsi="Palatino Linotype" w:cs="Palatino Linotype"/>
          <w:sz w:val="24"/>
          <w:szCs w:val="24"/>
        </w:rPr>
        <w:t>s’</w:t>
      </w:r>
      <w:r w:rsidR="00D712BC">
        <w:rPr>
          <w:rFonts w:ascii="Palatino Linotype" w:eastAsia="Palatino Linotype" w:hAnsi="Palatino Linotype" w:cs="Palatino Linotype"/>
          <w:sz w:val="24"/>
          <w:szCs w:val="24"/>
        </w:rPr>
        <w:t xml:space="preserve"> method, </w:t>
      </w:r>
      <w:r w:rsidR="00AA33DC">
        <w:rPr>
          <w:rFonts w:ascii="Palatino Linotype" w:eastAsia="Palatino Linotype" w:hAnsi="Palatino Linotype" w:cs="Palatino Linotype"/>
          <w:sz w:val="24"/>
          <w:szCs w:val="24"/>
        </w:rPr>
        <w:t>the</w:t>
      </w:r>
      <w:r w:rsidR="00D712BC">
        <w:rPr>
          <w:rFonts w:ascii="Palatino Linotype" w:eastAsia="Palatino Linotype" w:hAnsi="Palatino Linotype" w:cs="Palatino Linotype"/>
          <w:sz w:val="24"/>
          <w:szCs w:val="24"/>
        </w:rPr>
        <w:t xml:space="preserve"> </w:t>
      </w:r>
      <w:r w:rsidR="00CC04EC">
        <w:rPr>
          <w:rFonts w:ascii="Palatino Linotype" w:eastAsia="Palatino Linotype" w:hAnsi="Palatino Linotype" w:cs="Palatino Linotype"/>
          <w:sz w:val="24"/>
          <w:szCs w:val="24"/>
        </w:rPr>
        <w:t xml:space="preserve">recalculated income tax </w:t>
      </w:r>
      <w:r w:rsidR="00117F9C">
        <w:rPr>
          <w:rFonts w:ascii="Palatino Linotype" w:eastAsia="Palatino Linotype" w:hAnsi="Palatino Linotype" w:cs="Palatino Linotype"/>
          <w:sz w:val="24"/>
          <w:szCs w:val="24"/>
        </w:rPr>
        <w:t>caused</w:t>
      </w:r>
      <w:r w:rsidR="00CC04EC">
        <w:rPr>
          <w:rFonts w:ascii="Palatino Linotype" w:eastAsia="Palatino Linotype" w:hAnsi="Palatino Linotype" w:cs="Palatino Linotype"/>
          <w:sz w:val="24"/>
          <w:szCs w:val="24"/>
        </w:rPr>
        <w:t xml:space="preserve"> a $</w:t>
      </w:r>
      <w:r w:rsidR="00337415">
        <w:rPr>
          <w:rFonts w:ascii="Palatino Linotype" w:eastAsia="Palatino Linotype" w:hAnsi="Palatino Linotype" w:cs="Palatino Linotype"/>
          <w:sz w:val="24"/>
          <w:szCs w:val="24"/>
        </w:rPr>
        <w:t>180,292</w:t>
      </w:r>
      <w:r w:rsidR="00CC04EC">
        <w:rPr>
          <w:rFonts w:ascii="Palatino Linotype" w:eastAsia="Palatino Linotype" w:hAnsi="Palatino Linotype" w:cs="Palatino Linotype"/>
          <w:sz w:val="24"/>
          <w:szCs w:val="24"/>
        </w:rPr>
        <w:t xml:space="preserve"> reduction in </w:t>
      </w:r>
      <w:r>
        <w:rPr>
          <w:rFonts w:ascii="Palatino Linotype" w:eastAsia="Palatino Linotype" w:hAnsi="Palatino Linotype" w:cs="Palatino Linotype"/>
          <w:sz w:val="24"/>
          <w:szCs w:val="24"/>
        </w:rPr>
        <w:t>Calavera</w:t>
      </w:r>
      <w:r w:rsidR="0027782D">
        <w:rPr>
          <w:rFonts w:ascii="Palatino Linotype" w:eastAsia="Palatino Linotype" w:hAnsi="Palatino Linotype" w:cs="Palatino Linotype"/>
          <w:sz w:val="24"/>
          <w:szCs w:val="24"/>
        </w:rPr>
        <w:t>s’</w:t>
      </w:r>
      <w:r w:rsidR="00CC04EC">
        <w:rPr>
          <w:rFonts w:ascii="Palatino Linotype" w:eastAsia="Palatino Linotype" w:hAnsi="Palatino Linotype" w:cs="Palatino Linotype"/>
          <w:sz w:val="24"/>
          <w:szCs w:val="24"/>
        </w:rPr>
        <w:t xml:space="preserve"> revenue requirement for </w:t>
      </w:r>
      <w:r w:rsidR="00165079">
        <w:rPr>
          <w:rFonts w:ascii="Palatino Linotype" w:eastAsia="Palatino Linotype" w:hAnsi="Palatino Linotype" w:cs="Palatino Linotype"/>
          <w:sz w:val="24"/>
          <w:szCs w:val="24"/>
        </w:rPr>
        <w:t xml:space="preserve">TY </w:t>
      </w:r>
      <w:r w:rsidR="00CC04EC">
        <w:rPr>
          <w:rFonts w:ascii="Palatino Linotype" w:eastAsia="Palatino Linotype" w:hAnsi="Palatino Linotype" w:cs="Palatino Linotype"/>
          <w:sz w:val="24"/>
          <w:szCs w:val="24"/>
        </w:rPr>
        <w:t>2018</w:t>
      </w:r>
      <w:r w:rsidR="0041656C">
        <w:rPr>
          <w:rFonts w:ascii="Palatino Linotype" w:eastAsia="Palatino Linotype" w:hAnsi="Palatino Linotype" w:cs="Palatino Linotype"/>
          <w:sz w:val="24"/>
          <w:szCs w:val="24"/>
        </w:rPr>
        <w:t xml:space="preserve"> </w:t>
      </w:r>
      <w:r w:rsidR="00AA33DC">
        <w:rPr>
          <w:rFonts w:ascii="Palatino Linotype" w:eastAsia="Palatino Linotype" w:hAnsi="Palatino Linotype" w:cs="Palatino Linotype"/>
          <w:sz w:val="24"/>
          <w:szCs w:val="24"/>
        </w:rPr>
        <w:t>from $</w:t>
      </w:r>
      <w:r w:rsidR="00337415">
        <w:rPr>
          <w:rFonts w:ascii="Palatino Linotype" w:eastAsia="Palatino Linotype" w:hAnsi="Palatino Linotype" w:cs="Palatino Linotype"/>
          <w:sz w:val="24"/>
          <w:szCs w:val="24"/>
        </w:rPr>
        <w:t>6,200,154</w:t>
      </w:r>
      <w:r w:rsidR="00AA33DC">
        <w:rPr>
          <w:rFonts w:ascii="Palatino Linotype" w:eastAsia="Palatino Linotype" w:hAnsi="Palatino Linotype" w:cs="Palatino Linotype"/>
          <w:sz w:val="24"/>
          <w:szCs w:val="24"/>
        </w:rPr>
        <w:t xml:space="preserve"> </w:t>
      </w:r>
      <w:r w:rsidR="00165079">
        <w:rPr>
          <w:rFonts w:ascii="Palatino Linotype" w:eastAsia="Palatino Linotype" w:hAnsi="Palatino Linotype" w:cs="Palatino Linotype"/>
          <w:sz w:val="24"/>
          <w:szCs w:val="24"/>
        </w:rPr>
        <w:t xml:space="preserve">to </w:t>
      </w:r>
      <w:r w:rsidR="008D470E">
        <w:rPr>
          <w:rFonts w:ascii="Palatino Linotype" w:eastAsia="Palatino Linotype" w:hAnsi="Palatino Linotype" w:cs="Palatino Linotype"/>
          <w:sz w:val="24"/>
          <w:szCs w:val="24"/>
        </w:rPr>
        <w:t>$</w:t>
      </w:r>
      <w:r w:rsidR="00337415">
        <w:rPr>
          <w:rFonts w:ascii="Palatino Linotype" w:eastAsia="Palatino Linotype" w:hAnsi="Palatino Linotype" w:cs="Palatino Linotype"/>
          <w:sz w:val="24"/>
          <w:szCs w:val="24"/>
        </w:rPr>
        <w:t>6,019,862</w:t>
      </w:r>
      <w:r w:rsidR="00AA33DC">
        <w:rPr>
          <w:rFonts w:ascii="Palatino Linotype" w:eastAsia="Palatino Linotype" w:hAnsi="Palatino Linotype" w:cs="Palatino Linotype"/>
          <w:sz w:val="24"/>
          <w:szCs w:val="24"/>
        </w:rPr>
        <w:t xml:space="preserve">, and the equal amount of reduction in </w:t>
      </w:r>
      <w:r>
        <w:rPr>
          <w:rFonts w:ascii="Palatino Linotype" w:eastAsia="Palatino Linotype" w:hAnsi="Palatino Linotype" w:cs="Palatino Linotype"/>
          <w:sz w:val="24"/>
          <w:szCs w:val="24"/>
        </w:rPr>
        <w:t>Calavera</w:t>
      </w:r>
      <w:r w:rsidR="0027782D">
        <w:rPr>
          <w:rFonts w:ascii="Palatino Linotype" w:eastAsia="Palatino Linotype" w:hAnsi="Palatino Linotype" w:cs="Palatino Linotype"/>
          <w:sz w:val="24"/>
          <w:szCs w:val="24"/>
        </w:rPr>
        <w:t>s’</w:t>
      </w:r>
      <w:r w:rsidR="00AA33DC">
        <w:rPr>
          <w:rFonts w:ascii="Palatino Linotype" w:eastAsia="Palatino Linotype" w:hAnsi="Palatino Linotype" w:cs="Palatino Linotype"/>
          <w:sz w:val="24"/>
          <w:szCs w:val="24"/>
        </w:rPr>
        <w:t xml:space="preserve"> CHCF-A support for TY 2018 from $</w:t>
      </w:r>
      <w:r w:rsidR="00337415">
        <w:rPr>
          <w:rFonts w:ascii="Palatino Linotype" w:eastAsia="Palatino Linotype" w:hAnsi="Palatino Linotype" w:cs="Palatino Linotype"/>
          <w:sz w:val="24"/>
          <w:szCs w:val="24"/>
        </w:rPr>
        <w:t>2,932,899</w:t>
      </w:r>
      <w:r w:rsidR="00AA33DC">
        <w:rPr>
          <w:rFonts w:ascii="Palatino Linotype" w:eastAsia="Palatino Linotype" w:hAnsi="Palatino Linotype" w:cs="Palatino Linotype"/>
          <w:sz w:val="24"/>
          <w:szCs w:val="24"/>
        </w:rPr>
        <w:t xml:space="preserve"> to $</w:t>
      </w:r>
      <w:r w:rsidR="00337415">
        <w:rPr>
          <w:rFonts w:ascii="Palatino Linotype" w:eastAsia="Palatino Linotype" w:hAnsi="Palatino Linotype" w:cs="Palatino Linotype"/>
          <w:sz w:val="24"/>
          <w:szCs w:val="24"/>
        </w:rPr>
        <w:t>2,752,607</w:t>
      </w:r>
      <w:r w:rsidR="00141C00">
        <w:rPr>
          <w:rFonts w:ascii="Palatino Linotype" w:eastAsia="Palatino Linotype" w:hAnsi="Palatino Linotype" w:cs="Palatino Linotype"/>
          <w:sz w:val="24"/>
          <w:szCs w:val="24"/>
        </w:rPr>
        <w:t>.</w:t>
      </w:r>
    </w:p>
    <w:p w:rsidR="002F182C" w:rsidRDefault="002F182C" w:rsidP="00766660">
      <w:pPr>
        <w:ind w:right="401"/>
        <w:rPr>
          <w:rFonts w:ascii="Palatino Linotype" w:eastAsia="Palatino Linotype" w:hAnsi="Palatino Linotype" w:cs="Palatino Linotype"/>
          <w:sz w:val="24"/>
          <w:szCs w:val="24"/>
        </w:rPr>
      </w:pPr>
    </w:p>
    <w:p w:rsidR="00A30233" w:rsidRDefault="00F46D1F" w:rsidP="00650ED8">
      <w:pPr>
        <w:ind w:left="100" w:right="401"/>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Calaveras</w:t>
      </w:r>
      <w:r w:rsidR="00F06B84">
        <w:rPr>
          <w:rFonts w:ascii="Palatino Linotype" w:eastAsia="Palatino Linotype" w:hAnsi="Palatino Linotype" w:cs="Palatino Linotype"/>
          <w:sz w:val="24"/>
          <w:szCs w:val="24"/>
        </w:rPr>
        <w:t>’</w:t>
      </w:r>
      <w:r w:rsidR="00650ED8">
        <w:rPr>
          <w:rFonts w:ascii="Palatino Linotype" w:eastAsia="Palatino Linotype" w:hAnsi="Palatino Linotype" w:cs="Palatino Linotype"/>
          <w:sz w:val="24"/>
          <w:szCs w:val="24"/>
        </w:rPr>
        <w:t xml:space="preserve"> </w:t>
      </w:r>
      <w:r w:rsidR="00F06B84">
        <w:rPr>
          <w:rFonts w:ascii="Palatino Linotype" w:eastAsia="Palatino Linotype" w:hAnsi="Palatino Linotype" w:cs="Palatino Linotype"/>
          <w:sz w:val="24"/>
          <w:szCs w:val="24"/>
        </w:rPr>
        <w:t xml:space="preserve">methodology </w:t>
      </w:r>
      <w:r w:rsidR="00A30233">
        <w:rPr>
          <w:rFonts w:ascii="Palatino Linotype" w:eastAsia="Palatino Linotype" w:hAnsi="Palatino Linotype" w:cs="Palatino Linotype"/>
          <w:sz w:val="24"/>
          <w:szCs w:val="24"/>
        </w:rPr>
        <w:t xml:space="preserve">ignores </w:t>
      </w:r>
      <w:r w:rsidR="00650ED8">
        <w:rPr>
          <w:rFonts w:ascii="Palatino Linotype" w:eastAsia="Palatino Linotype" w:hAnsi="Palatino Linotype" w:cs="Palatino Linotype"/>
          <w:sz w:val="24"/>
          <w:szCs w:val="24"/>
        </w:rPr>
        <w:t xml:space="preserve">the </w:t>
      </w:r>
      <w:r w:rsidR="00AA100D">
        <w:rPr>
          <w:rFonts w:ascii="Palatino Linotype" w:eastAsia="Palatino Linotype" w:hAnsi="Palatino Linotype" w:cs="Palatino Linotype"/>
          <w:sz w:val="24"/>
          <w:szCs w:val="24"/>
        </w:rPr>
        <w:t xml:space="preserve">full </w:t>
      </w:r>
      <w:r w:rsidR="00650ED8">
        <w:rPr>
          <w:rFonts w:ascii="Palatino Linotype" w:eastAsia="Palatino Linotype" w:hAnsi="Palatino Linotype" w:cs="Palatino Linotype"/>
          <w:sz w:val="24"/>
          <w:szCs w:val="24"/>
        </w:rPr>
        <w:t xml:space="preserve">impact on deferred </w:t>
      </w:r>
      <w:r w:rsidR="00A30233">
        <w:rPr>
          <w:rFonts w:ascii="Palatino Linotype" w:eastAsia="Palatino Linotype" w:hAnsi="Palatino Linotype" w:cs="Palatino Linotype"/>
          <w:sz w:val="24"/>
          <w:szCs w:val="24"/>
        </w:rPr>
        <w:t xml:space="preserve">income </w:t>
      </w:r>
      <w:r w:rsidR="00650ED8">
        <w:rPr>
          <w:rFonts w:ascii="Palatino Linotype" w:eastAsia="Palatino Linotype" w:hAnsi="Palatino Linotype" w:cs="Palatino Linotype"/>
          <w:sz w:val="24"/>
          <w:szCs w:val="24"/>
        </w:rPr>
        <w:t xml:space="preserve">taxes </w:t>
      </w:r>
      <w:r w:rsidR="00A30233">
        <w:rPr>
          <w:rFonts w:ascii="Palatino Linotype" w:eastAsia="Palatino Linotype" w:hAnsi="Palatino Linotype" w:cs="Palatino Linotype"/>
          <w:sz w:val="24"/>
          <w:szCs w:val="24"/>
        </w:rPr>
        <w:t xml:space="preserve">and </w:t>
      </w:r>
      <w:r w:rsidR="00650ED8">
        <w:rPr>
          <w:rFonts w:ascii="Palatino Linotype" w:eastAsia="Palatino Linotype" w:hAnsi="Palatino Linotype" w:cs="Palatino Linotype"/>
          <w:sz w:val="24"/>
          <w:szCs w:val="24"/>
        </w:rPr>
        <w:t xml:space="preserve">is incorrect on two fronts.  First, </w:t>
      </w:r>
      <w:r>
        <w:rPr>
          <w:rFonts w:ascii="Palatino Linotype" w:eastAsia="Palatino Linotype" w:hAnsi="Palatino Linotype" w:cs="Palatino Linotype"/>
          <w:sz w:val="24"/>
          <w:szCs w:val="24"/>
        </w:rPr>
        <w:t>Calavera</w:t>
      </w:r>
      <w:r w:rsidR="0027782D">
        <w:rPr>
          <w:rFonts w:ascii="Palatino Linotype" w:eastAsia="Palatino Linotype" w:hAnsi="Palatino Linotype" w:cs="Palatino Linotype"/>
          <w:sz w:val="24"/>
          <w:szCs w:val="24"/>
        </w:rPr>
        <w:t>s’</w:t>
      </w:r>
      <w:r w:rsidR="00650ED8">
        <w:rPr>
          <w:rFonts w:ascii="Palatino Linotype" w:eastAsia="Palatino Linotype" w:hAnsi="Palatino Linotype" w:cs="Palatino Linotype"/>
          <w:sz w:val="24"/>
          <w:szCs w:val="24"/>
        </w:rPr>
        <w:t xml:space="preserve"> method omits the return of </w:t>
      </w:r>
      <w:r w:rsidR="00650ED8" w:rsidRPr="000147B8">
        <w:rPr>
          <w:rFonts w:ascii="Palatino Linotype" w:eastAsia="Palatino Linotype" w:hAnsi="Palatino Linotype" w:cs="Palatino Linotype"/>
          <w:i/>
          <w:sz w:val="24"/>
          <w:szCs w:val="24"/>
        </w:rPr>
        <w:t>any</w:t>
      </w:r>
      <w:r w:rsidR="00650ED8">
        <w:rPr>
          <w:rFonts w:ascii="Palatino Linotype" w:eastAsia="Palatino Linotype" w:hAnsi="Palatino Linotype" w:cs="Palatino Linotype"/>
          <w:sz w:val="24"/>
          <w:szCs w:val="24"/>
        </w:rPr>
        <w:t xml:space="preserve"> excess deferred taxes to ratepayers.  Second, </w:t>
      </w:r>
      <w:r>
        <w:rPr>
          <w:rFonts w:ascii="Palatino Linotype" w:eastAsia="Palatino Linotype" w:hAnsi="Palatino Linotype" w:cs="Palatino Linotype"/>
          <w:sz w:val="24"/>
          <w:szCs w:val="24"/>
        </w:rPr>
        <w:t>Calavera</w:t>
      </w:r>
      <w:r w:rsidR="0027782D">
        <w:rPr>
          <w:rFonts w:ascii="Palatino Linotype" w:eastAsia="Palatino Linotype" w:hAnsi="Palatino Linotype" w:cs="Palatino Linotype"/>
          <w:sz w:val="24"/>
          <w:szCs w:val="24"/>
        </w:rPr>
        <w:t>s’</w:t>
      </w:r>
      <w:r w:rsidR="00650ED8">
        <w:rPr>
          <w:rFonts w:ascii="Palatino Linotype" w:eastAsia="Palatino Linotype" w:hAnsi="Palatino Linotype" w:cs="Palatino Linotype"/>
          <w:sz w:val="24"/>
          <w:szCs w:val="24"/>
        </w:rPr>
        <w:t xml:space="preserve"> method does not address excess deferred taxes from the rate base reduction.</w:t>
      </w:r>
    </w:p>
    <w:p w:rsidR="00A30233" w:rsidRDefault="00A30233" w:rsidP="00650ED8">
      <w:pPr>
        <w:ind w:left="100" w:right="401"/>
        <w:rPr>
          <w:rFonts w:ascii="Palatino Linotype" w:eastAsia="Palatino Linotype" w:hAnsi="Palatino Linotype" w:cs="Palatino Linotype"/>
          <w:sz w:val="24"/>
          <w:szCs w:val="24"/>
        </w:rPr>
      </w:pPr>
    </w:p>
    <w:p w:rsidR="00A30233" w:rsidRDefault="00A30233" w:rsidP="00A30233">
      <w:pPr>
        <w:ind w:left="100" w:right="401"/>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 xml:space="preserve">Deferred </w:t>
      </w:r>
      <w:r w:rsidR="00C42E00">
        <w:rPr>
          <w:rFonts w:ascii="Palatino Linotype" w:eastAsia="Palatino Linotype" w:hAnsi="Palatino Linotype" w:cs="Palatino Linotype"/>
          <w:sz w:val="24"/>
          <w:szCs w:val="24"/>
        </w:rPr>
        <w:t>i</w:t>
      </w:r>
      <w:r>
        <w:rPr>
          <w:rFonts w:ascii="Palatino Linotype" w:eastAsia="Palatino Linotype" w:hAnsi="Palatino Linotype" w:cs="Palatino Linotype"/>
          <w:sz w:val="24"/>
          <w:szCs w:val="24"/>
        </w:rPr>
        <w:t xml:space="preserve">ncome </w:t>
      </w:r>
      <w:r w:rsidR="00C42E00">
        <w:rPr>
          <w:rFonts w:ascii="Palatino Linotype" w:eastAsia="Palatino Linotype" w:hAnsi="Palatino Linotype" w:cs="Palatino Linotype"/>
          <w:sz w:val="24"/>
          <w:szCs w:val="24"/>
        </w:rPr>
        <w:t xml:space="preserve">taxes </w:t>
      </w:r>
      <w:r>
        <w:rPr>
          <w:rFonts w:ascii="Palatino Linotype" w:eastAsia="Palatino Linotype" w:hAnsi="Palatino Linotype" w:cs="Palatino Linotype"/>
          <w:sz w:val="24"/>
          <w:szCs w:val="24"/>
        </w:rPr>
        <w:t xml:space="preserve">for ratemaking represent funds that ratepayers have provided to the utility for income taxes presumably to be paid in the future, due to timing differences between straight line depreciation for ratemaking and accelerated depreciation for income tax filings.  Through 2017, </w:t>
      </w:r>
      <w:r w:rsidR="008F442D">
        <w:rPr>
          <w:rFonts w:ascii="Palatino Linotype" w:eastAsia="Palatino Linotype" w:hAnsi="Palatino Linotype" w:cs="Palatino Linotype"/>
          <w:sz w:val="24"/>
          <w:szCs w:val="24"/>
        </w:rPr>
        <w:t xml:space="preserve">Calaveras </w:t>
      </w:r>
      <w:r>
        <w:rPr>
          <w:rFonts w:ascii="Palatino Linotype" w:eastAsia="Palatino Linotype" w:hAnsi="Palatino Linotype" w:cs="Palatino Linotype"/>
          <w:sz w:val="24"/>
          <w:szCs w:val="24"/>
        </w:rPr>
        <w:t xml:space="preserve">accumulated </w:t>
      </w:r>
      <w:r w:rsidR="008F442D">
        <w:rPr>
          <w:rFonts w:ascii="Palatino Linotype" w:eastAsia="Palatino Linotype" w:hAnsi="Palatino Linotype" w:cs="Palatino Linotype"/>
          <w:sz w:val="24"/>
          <w:szCs w:val="24"/>
        </w:rPr>
        <w:t xml:space="preserve">a fund </w:t>
      </w:r>
      <w:r w:rsidR="008F442D">
        <w:rPr>
          <w:rFonts w:ascii="Palatino Linotype" w:eastAsia="Palatino Linotype" w:hAnsi="Palatino Linotype" w:cs="Palatino Linotype"/>
          <w:sz w:val="24"/>
          <w:szCs w:val="24"/>
        </w:rPr>
        <w:lastRenderedPageBreak/>
        <w:t xml:space="preserve">balance </w:t>
      </w:r>
      <w:r>
        <w:rPr>
          <w:rFonts w:ascii="Palatino Linotype" w:eastAsia="Palatino Linotype" w:hAnsi="Palatino Linotype" w:cs="Palatino Linotype"/>
          <w:sz w:val="24"/>
          <w:szCs w:val="24"/>
        </w:rPr>
        <w:t xml:space="preserve">using the prevailing tax rate of 34%.  Once the federal income tax rate was reduced to 21%, </w:t>
      </w:r>
      <w:r w:rsidR="00965CCC">
        <w:rPr>
          <w:rFonts w:ascii="Palatino Linotype" w:eastAsia="Palatino Linotype" w:hAnsi="Palatino Linotype" w:cs="Palatino Linotype"/>
          <w:sz w:val="24"/>
          <w:szCs w:val="24"/>
        </w:rPr>
        <w:t>a lower amount of</w:t>
      </w:r>
      <w:r>
        <w:rPr>
          <w:rFonts w:ascii="Palatino Linotype" w:eastAsia="Palatino Linotype" w:hAnsi="Palatino Linotype" w:cs="Palatino Linotype"/>
          <w:sz w:val="24"/>
          <w:szCs w:val="24"/>
        </w:rPr>
        <w:t xml:space="preserve"> ratepayer funds </w:t>
      </w:r>
      <w:r w:rsidR="00D73A82">
        <w:rPr>
          <w:rFonts w:ascii="Palatino Linotype" w:eastAsia="Palatino Linotype" w:hAnsi="Palatino Linotype" w:cs="Palatino Linotype"/>
          <w:sz w:val="24"/>
          <w:szCs w:val="24"/>
        </w:rPr>
        <w:t>is</w:t>
      </w:r>
      <w:r>
        <w:rPr>
          <w:rFonts w:ascii="Palatino Linotype" w:eastAsia="Palatino Linotype" w:hAnsi="Palatino Linotype" w:cs="Palatino Linotype"/>
          <w:sz w:val="24"/>
          <w:szCs w:val="24"/>
        </w:rPr>
        <w:t xml:space="preserve"> needed to pay those future tax liabilities, and thus these excess funds should be returned to </w:t>
      </w:r>
      <w:r w:rsidR="00F46D1F">
        <w:rPr>
          <w:rFonts w:ascii="Palatino Linotype" w:eastAsia="Palatino Linotype" w:hAnsi="Palatino Linotype" w:cs="Palatino Linotype"/>
          <w:sz w:val="24"/>
          <w:szCs w:val="24"/>
        </w:rPr>
        <w:t>Calavera</w:t>
      </w:r>
      <w:r w:rsidR="0027782D">
        <w:rPr>
          <w:rFonts w:ascii="Palatino Linotype" w:eastAsia="Palatino Linotype" w:hAnsi="Palatino Linotype" w:cs="Palatino Linotype"/>
          <w:sz w:val="24"/>
          <w:szCs w:val="24"/>
        </w:rPr>
        <w:t>s’</w:t>
      </w:r>
      <w:r>
        <w:rPr>
          <w:rFonts w:ascii="Palatino Linotype" w:eastAsia="Palatino Linotype" w:hAnsi="Palatino Linotype" w:cs="Palatino Linotype"/>
          <w:sz w:val="24"/>
          <w:szCs w:val="24"/>
        </w:rPr>
        <w:t xml:space="preserve"> ratepayers.</w:t>
      </w:r>
    </w:p>
    <w:p w:rsidR="00650ED8" w:rsidRDefault="00650ED8" w:rsidP="00650ED8">
      <w:pPr>
        <w:ind w:left="100" w:right="401"/>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 xml:space="preserve"> </w:t>
      </w:r>
    </w:p>
    <w:p w:rsidR="00650ED8" w:rsidRDefault="00650ED8" w:rsidP="00650ED8">
      <w:pPr>
        <w:ind w:left="100" w:right="401"/>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 xml:space="preserve">Furthermore, </w:t>
      </w:r>
      <w:r w:rsidR="00F46D1F">
        <w:rPr>
          <w:rFonts w:ascii="Palatino Linotype" w:eastAsia="Palatino Linotype" w:hAnsi="Palatino Linotype" w:cs="Palatino Linotype"/>
          <w:sz w:val="24"/>
          <w:szCs w:val="24"/>
        </w:rPr>
        <w:t>Calavera</w:t>
      </w:r>
      <w:r w:rsidR="0027782D">
        <w:rPr>
          <w:rFonts w:ascii="Palatino Linotype" w:eastAsia="Palatino Linotype" w:hAnsi="Palatino Linotype" w:cs="Palatino Linotype"/>
          <w:sz w:val="24"/>
          <w:szCs w:val="24"/>
        </w:rPr>
        <w:t>s’</w:t>
      </w:r>
      <w:r>
        <w:rPr>
          <w:rFonts w:ascii="Palatino Linotype" w:eastAsia="Palatino Linotype" w:hAnsi="Palatino Linotype" w:cs="Palatino Linotype"/>
          <w:sz w:val="24"/>
          <w:szCs w:val="24"/>
        </w:rPr>
        <w:t xml:space="preserve"> methodology </w:t>
      </w:r>
      <w:r w:rsidR="008F442D">
        <w:rPr>
          <w:rFonts w:ascii="Palatino Linotype" w:eastAsia="Palatino Linotype" w:hAnsi="Palatino Linotype" w:cs="Palatino Linotype"/>
          <w:sz w:val="24"/>
          <w:szCs w:val="24"/>
        </w:rPr>
        <w:t>is</w:t>
      </w:r>
      <w:r>
        <w:rPr>
          <w:rFonts w:ascii="Palatino Linotype" w:eastAsia="Palatino Linotype" w:hAnsi="Palatino Linotype" w:cs="Palatino Linotype"/>
          <w:sz w:val="24"/>
          <w:szCs w:val="24"/>
        </w:rPr>
        <w:t xml:space="preserve"> contrary to </w:t>
      </w:r>
      <w:r w:rsidR="008A1092">
        <w:rPr>
          <w:rFonts w:ascii="Palatino Linotype" w:eastAsia="Palatino Linotype" w:hAnsi="Palatino Linotype" w:cs="Palatino Linotype"/>
          <w:sz w:val="24"/>
          <w:szCs w:val="24"/>
        </w:rPr>
        <w:t>Internal Revenue Service (IRS)</w:t>
      </w:r>
      <w:r w:rsidR="00E75294">
        <w:rPr>
          <w:rFonts w:ascii="Palatino Linotype" w:eastAsia="Palatino Linotype" w:hAnsi="Palatino Linotype" w:cs="Palatino Linotype"/>
          <w:sz w:val="24"/>
          <w:szCs w:val="24"/>
        </w:rPr>
        <w:t xml:space="preserve"> </w:t>
      </w:r>
      <w:r>
        <w:rPr>
          <w:rFonts w:ascii="Palatino Linotype" w:eastAsia="Palatino Linotype" w:hAnsi="Palatino Linotype" w:cs="Palatino Linotype"/>
          <w:sz w:val="24"/>
          <w:szCs w:val="24"/>
        </w:rPr>
        <w:t>normalization rules</w:t>
      </w:r>
      <w:bookmarkStart w:id="3" w:name="_Hlk517875559"/>
      <w:r w:rsidR="004B4815">
        <w:rPr>
          <w:rFonts w:ascii="Palatino Linotype" w:eastAsia="Palatino Linotype" w:hAnsi="Palatino Linotype" w:cs="Palatino Linotype"/>
          <w:sz w:val="24"/>
          <w:szCs w:val="24"/>
        </w:rPr>
        <w:t xml:space="preserve">, as </w:t>
      </w:r>
      <w:r w:rsidR="00F46D1F">
        <w:rPr>
          <w:rFonts w:ascii="Palatino Linotype" w:eastAsia="Palatino Linotype" w:hAnsi="Palatino Linotype" w:cs="Palatino Linotype"/>
          <w:sz w:val="24"/>
          <w:szCs w:val="24"/>
        </w:rPr>
        <w:t>Calavera</w:t>
      </w:r>
      <w:r w:rsidR="0027782D">
        <w:rPr>
          <w:rFonts w:ascii="Palatino Linotype" w:eastAsia="Palatino Linotype" w:hAnsi="Palatino Linotype" w:cs="Palatino Linotype"/>
          <w:sz w:val="24"/>
          <w:szCs w:val="24"/>
        </w:rPr>
        <w:t>s’</w:t>
      </w:r>
      <w:r w:rsidR="004B4815">
        <w:rPr>
          <w:rFonts w:ascii="Palatino Linotype" w:eastAsia="Palatino Linotype" w:hAnsi="Palatino Linotype" w:cs="Palatino Linotype"/>
          <w:sz w:val="24"/>
          <w:szCs w:val="24"/>
        </w:rPr>
        <w:t xml:space="preserve"> method effectively reduces the excess tax reserve to zero instantly</w:t>
      </w:r>
      <w:r>
        <w:rPr>
          <w:rFonts w:ascii="Palatino Linotype" w:eastAsia="Palatino Linotype" w:hAnsi="Palatino Linotype" w:cs="Palatino Linotype"/>
          <w:sz w:val="24"/>
          <w:szCs w:val="24"/>
        </w:rPr>
        <w:t xml:space="preserve">. </w:t>
      </w:r>
      <w:r w:rsidR="00AC7379">
        <w:rPr>
          <w:rFonts w:ascii="Palatino Linotype" w:eastAsia="Palatino Linotype" w:hAnsi="Palatino Linotype" w:cs="Palatino Linotype"/>
          <w:sz w:val="24"/>
          <w:szCs w:val="24"/>
        </w:rPr>
        <w:t xml:space="preserve"> </w:t>
      </w:r>
      <w:r w:rsidR="004B4815">
        <w:rPr>
          <w:rFonts w:ascii="Palatino Linotype" w:eastAsia="Palatino Linotype" w:hAnsi="Palatino Linotype" w:cs="Palatino Linotype"/>
          <w:sz w:val="24"/>
          <w:szCs w:val="24"/>
        </w:rPr>
        <w:t>Under normalization rules</w:t>
      </w:r>
      <w:r w:rsidR="00E75294">
        <w:rPr>
          <w:rFonts w:ascii="Palatino Linotype" w:eastAsia="Palatino Linotype" w:hAnsi="Palatino Linotype" w:cs="Palatino Linotype"/>
          <w:sz w:val="24"/>
          <w:szCs w:val="24"/>
        </w:rPr>
        <w:t>, excess deferred</w:t>
      </w:r>
      <w:r w:rsidR="000861D3">
        <w:rPr>
          <w:rFonts w:ascii="Palatino Linotype" w:eastAsia="Palatino Linotype" w:hAnsi="Palatino Linotype" w:cs="Palatino Linotype"/>
          <w:sz w:val="24"/>
          <w:szCs w:val="24"/>
        </w:rPr>
        <w:t xml:space="preserve"> </w:t>
      </w:r>
      <w:r w:rsidR="00E75294">
        <w:rPr>
          <w:rFonts w:ascii="Palatino Linotype" w:eastAsia="Palatino Linotype" w:hAnsi="Palatino Linotype" w:cs="Palatino Linotype"/>
          <w:sz w:val="24"/>
          <w:szCs w:val="24"/>
        </w:rPr>
        <w:t xml:space="preserve">taxes </w:t>
      </w:r>
      <w:r w:rsidR="000861D3">
        <w:rPr>
          <w:rFonts w:ascii="Palatino Linotype" w:eastAsia="Palatino Linotype" w:hAnsi="Palatino Linotype" w:cs="Palatino Linotype"/>
          <w:sz w:val="24"/>
          <w:szCs w:val="24"/>
        </w:rPr>
        <w:t xml:space="preserve">should instead </w:t>
      </w:r>
      <w:r w:rsidR="00E75294">
        <w:rPr>
          <w:rFonts w:ascii="Palatino Linotype" w:eastAsia="Palatino Linotype" w:hAnsi="Palatino Linotype" w:cs="Palatino Linotype"/>
          <w:sz w:val="24"/>
          <w:szCs w:val="24"/>
        </w:rPr>
        <w:t xml:space="preserve">be flowed through ratably over the life of the timing difference that gave rise to the excess.  </w:t>
      </w:r>
      <w:r w:rsidR="000861D3">
        <w:rPr>
          <w:rFonts w:ascii="Palatino Linotype" w:eastAsia="Palatino Linotype" w:hAnsi="Palatino Linotype" w:cs="Palatino Linotype"/>
          <w:sz w:val="24"/>
          <w:szCs w:val="24"/>
        </w:rPr>
        <w:t>Consequently</w:t>
      </w:r>
      <w:r w:rsidR="006D51A4">
        <w:rPr>
          <w:rFonts w:ascii="Palatino Linotype" w:eastAsia="Palatino Linotype" w:hAnsi="Palatino Linotype" w:cs="Palatino Linotype"/>
          <w:sz w:val="24"/>
          <w:szCs w:val="24"/>
        </w:rPr>
        <w:t>, the impact of reducing past accumulated excess deferred taxes should increase the projected tax savings</w:t>
      </w:r>
      <w:r w:rsidR="00A30233">
        <w:rPr>
          <w:rFonts w:ascii="Palatino Linotype" w:eastAsia="Palatino Linotype" w:hAnsi="Palatino Linotype" w:cs="Palatino Linotype"/>
          <w:sz w:val="24"/>
          <w:szCs w:val="24"/>
        </w:rPr>
        <w:t>.</w:t>
      </w:r>
      <w:bookmarkEnd w:id="3"/>
    </w:p>
    <w:p w:rsidR="00F31895" w:rsidRDefault="00F31895" w:rsidP="00165079">
      <w:pPr>
        <w:ind w:left="100" w:right="401"/>
        <w:rPr>
          <w:rFonts w:ascii="Palatino Linotype" w:eastAsia="Palatino Linotype" w:hAnsi="Palatino Linotype" w:cs="Palatino Linotype"/>
          <w:sz w:val="24"/>
          <w:szCs w:val="24"/>
        </w:rPr>
      </w:pPr>
    </w:p>
    <w:p w:rsidR="00F06B84" w:rsidRDefault="00F06B84" w:rsidP="00F06B84">
      <w:pPr>
        <w:ind w:left="100" w:right="401"/>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 xml:space="preserve">In May 2018, the Small ILECs submitted a letter to the Communications Division’s Director, citing a material change in the National Exchange Carrier Association’s (NECA) interpretation of how federal rules are to apply to deferred tax calculations in light of the TCJA. </w:t>
      </w:r>
      <w:r>
        <w:rPr>
          <w:rStyle w:val="FootnoteReference"/>
          <w:rFonts w:ascii="Palatino Linotype" w:eastAsia="Palatino Linotype" w:hAnsi="Palatino Linotype" w:cs="Palatino Linotype"/>
          <w:sz w:val="24"/>
          <w:szCs w:val="24"/>
        </w:rPr>
        <w:footnoteReference w:id="4"/>
      </w:r>
      <w:r>
        <w:rPr>
          <w:rFonts w:ascii="Palatino Linotype" w:eastAsia="Palatino Linotype" w:hAnsi="Palatino Linotype" w:cs="Palatino Linotype"/>
          <w:sz w:val="24"/>
          <w:szCs w:val="24"/>
        </w:rPr>
        <w:t xml:space="preserve">  NECA works with the Federal Communications Commission (FCC) and is responsible for interpreting federal separations and accounting requirements.  The letter revised/updated previous guidance that it provided to carriers in a January 2018 letter.  The new NECA interpretation instead requires regulated utilities to “follow the normalization method of accounting and flow back the excess deferred taxes ratably over the life of the timing difference that gave rise to the excess.”</w:t>
      </w:r>
    </w:p>
    <w:p w:rsidR="00F06B84" w:rsidRDefault="00F06B84" w:rsidP="00F31895">
      <w:pPr>
        <w:ind w:left="100" w:right="401"/>
        <w:rPr>
          <w:rFonts w:ascii="Palatino Linotype" w:eastAsia="Palatino Linotype" w:hAnsi="Palatino Linotype" w:cs="Palatino Linotype"/>
          <w:sz w:val="24"/>
          <w:szCs w:val="24"/>
        </w:rPr>
      </w:pPr>
    </w:p>
    <w:p w:rsidR="00D717B6" w:rsidRDefault="002B203C" w:rsidP="00F31895">
      <w:pPr>
        <w:ind w:left="100" w:right="401"/>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T</w:t>
      </w:r>
      <w:r w:rsidR="007C372D">
        <w:rPr>
          <w:rFonts w:ascii="Palatino Linotype" w:eastAsia="Palatino Linotype" w:hAnsi="Palatino Linotype" w:cs="Palatino Linotype"/>
          <w:sz w:val="24"/>
          <w:szCs w:val="24"/>
        </w:rPr>
        <w:t>h</w:t>
      </w:r>
      <w:r w:rsidR="00946DEB">
        <w:rPr>
          <w:rFonts w:ascii="Palatino Linotype" w:eastAsia="Palatino Linotype" w:hAnsi="Palatino Linotype" w:cs="Palatino Linotype"/>
          <w:sz w:val="24"/>
          <w:szCs w:val="24"/>
        </w:rPr>
        <w:t>e</w:t>
      </w:r>
      <w:r w:rsidR="007C372D">
        <w:rPr>
          <w:rFonts w:ascii="Palatino Linotype" w:eastAsia="Palatino Linotype" w:hAnsi="Palatino Linotype" w:cs="Palatino Linotype"/>
          <w:sz w:val="24"/>
          <w:szCs w:val="24"/>
        </w:rPr>
        <w:t>re</w:t>
      </w:r>
      <w:r w:rsidR="00A30233">
        <w:rPr>
          <w:rFonts w:ascii="Palatino Linotype" w:eastAsia="Palatino Linotype" w:hAnsi="Palatino Linotype" w:cs="Palatino Linotype"/>
          <w:sz w:val="24"/>
          <w:szCs w:val="24"/>
        </w:rPr>
        <w:t xml:space="preserve">fore, Staff concludes that </w:t>
      </w:r>
      <w:r w:rsidR="007C372D">
        <w:rPr>
          <w:rFonts w:ascii="Palatino Linotype" w:eastAsia="Palatino Linotype" w:hAnsi="Palatino Linotype" w:cs="Palatino Linotype"/>
          <w:sz w:val="24"/>
          <w:szCs w:val="24"/>
        </w:rPr>
        <w:t xml:space="preserve">a further reduction in </w:t>
      </w:r>
      <w:r w:rsidR="00F46D1F">
        <w:rPr>
          <w:rFonts w:ascii="Palatino Linotype" w:eastAsia="Palatino Linotype" w:hAnsi="Palatino Linotype" w:cs="Palatino Linotype"/>
          <w:sz w:val="24"/>
          <w:szCs w:val="24"/>
        </w:rPr>
        <w:t>Calavera</w:t>
      </w:r>
      <w:r w:rsidR="0027782D">
        <w:rPr>
          <w:rFonts w:ascii="Palatino Linotype" w:eastAsia="Palatino Linotype" w:hAnsi="Palatino Linotype" w:cs="Palatino Linotype"/>
          <w:sz w:val="24"/>
          <w:szCs w:val="24"/>
        </w:rPr>
        <w:t>s’</w:t>
      </w:r>
      <w:r w:rsidR="00A30233">
        <w:rPr>
          <w:rFonts w:ascii="Palatino Linotype" w:eastAsia="Palatino Linotype" w:hAnsi="Palatino Linotype" w:cs="Palatino Linotype"/>
          <w:sz w:val="24"/>
          <w:szCs w:val="24"/>
        </w:rPr>
        <w:t xml:space="preserve"> </w:t>
      </w:r>
      <w:r w:rsidR="007C372D">
        <w:rPr>
          <w:rFonts w:ascii="Palatino Linotype" w:eastAsia="Palatino Linotype" w:hAnsi="Palatino Linotype" w:cs="Palatino Linotype"/>
          <w:sz w:val="24"/>
          <w:szCs w:val="24"/>
        </w:rPr>
        <w:t xml:space="preserve">revenue requirement </w:t>
      </w:r>
      <w:r w:rsidR="008F442D">
        <w:rPr>
          <w:rFonts w:ascii="Palatino Linotype" w:eastAsia="Palatino Linotype" w:hAnsi="Palatino Linotype" w:cs="Palatino Linotype"/>
          <w:sz w:val="24"/>
          <w:szCs w:val="24"/>
        </w:rPr>
        <w:t xml:space="preserve">is needed </w:t>
      </w:r>
      <w:r w:rsidR="00946DEB">
        <w:rPr>
          <w:rFonts w:ascii="Palatino Linotype" w:eastAsia="Palatino Linotype" w:hAnsi="Palatino Linotype" w:cs="Palatino Linotype"/>
          <w:sz w:val="24"/>
          <w:szCs w:val="24"/>
        </w:rPr>
        <w:t xml:space="preserve">to account for the </w:t>
      </w:r>
      <w:r w:rsidR="006D51A4">
        <w:rPr>
          <w:rFonts w:ascii="Palatino Linotype" w:eastAsia="Palatino Linotype" w:hAnsi="Palatino Linotype" w:cs="Palatino Linotype"/>
          <w:sz w:val="24"/>
          <w:szCs w:val="24"/>
        </w:rPr>
        <w:t xml:space="preserve">change in </w:t>
      </w:r>
      <w:r w:rsidR="00946DEB">
        <w:rPr>
          <w:rFonts w:ascii="Palatino Linotype" w:eastAsia="Palatino Linotype" w:hAnsi="Palatino Linotype" w:cs="Palatino Linotype"/>
          <w:sz w:val="24"/>
          <w:szCs w:val="24"/>
        </w:rPr>
        <w:t xml:space="preserve">excess deferred taxes </w:t>
      </w:r>
      <w:r w:rsidR="008F442D">
        <w:rPr>
          <w:rFonts w:ascii="Palatino Linotype" w:eastAsia="Palatino Linotype" w:hAnsi="Palatino Linotype" w:cs="Palatino Linotype"/>
          <w:sz w:val="24"/>
          <w:szCs w:val="24"/>
        </w:rPr>
        <w:t xml:space="preserve">consistent with </w:t>
      </w:r>
      <w:r w:rsidR="00946DEB">
        <w:rPr>
          <w:rFonts w:ascii="Palatino Linotype" w:eastAsia="Palatino Linotype" w:hAnsi="Palatino Linotype" w:cs="Palatino Linotype"/>
          <w:sz w:val="24"/>
          <w:szCs w:val="24"/>
        </w:rPr>
        <w:t>normalization rules</w:t>
      </w:r>
      <w:r w:rsidR="0094333D">
        <w:rPr>
          <w:rFonts w:ascii="Palatino Linotype" w:eastAsia="Palatino Linotype" w:hAnsi="Palatino Linotype" w:cs="Palatino Linotype"/>
          <w:sz w:val="24"/>
          <w:szCs w:val="24"/>
        </w:rPr>
        <w:t>.</w:t>
      </w:r>
      <w:r w:rsidR="0094333D">
        <w:rPr>
          <w:rStyle w:val="FootnoteReference"/>
          <w:rFonts w:ascii="Palatino Linotype" w:eastAsia="Palatino Linotype" w:hAnsi="Palatino Linotype" w:cs="Palatino Linotype"/>
          <w:sz w:val="24"/>
          <w:szCs w:val="24"/>
        </w:rPr>
        <w:footnoteReference w:id="5"/>
      </w:r>
      <w:r w:rsidR="0094333D">
        <w:rPr>
          <w:rFonts w:ascii="Palatino Linotype" w:eastAsia="Palatino Linotype" w:hAnsi="Palatino Linotype" w:cs="Palatino Linotype"/>
          <w:sz w:val="24"/>
          <w:szCs w:val="24"/>
        </w:rPr>
        <w:t xml:space="preserve"> </w:t>
      </w:r>
      <w:r w:rsidR="007C372D">
        <w:rPr>
          <w:rFonts w:ascii="Palatino Linotype" w:eastAsia="Palatino Linotype" w:hAnsi="Palatino Linotype" w:cs="Palatino Linotype"/>
          <w:sz w:val="24"/>
          <w:szCs w:val="24"/>
        </w:rPr>
        <w:t xml:space="preserve">  NECA’s revised interpretation </w:t>
      </w:r>
      <w:r w:rsidR="00351034">
        <w:rPr>
          <w:rFonts w:ascii="Palatino Linotype" w:eastAsia="Palatino Linotype" w:hAnsi="Palatino Linotype" w:cs="Palatino Linotype"/>
          <w:sz w:val="24"/>
          <w:szCs w:val="24"/>
        </w:rPr>
        <w:t xml:space="preserve">of the federal tax change and deferred taxes </w:t>
      </w:r>
      <w:r w:rsidR="007C372D">
        <w:rPr>
          <w:rFonts w:ascii="Palatino Linotype" w:eastAsia="Palatino Linotype" w:hAnsi="Palatino Linotype" w:cs="Palatino Linotype"/>
          <w:sz w:val="24"/>
          <w:szCs w:val="24"/>
        </w:rPr>
        <w:t xml:space="preserve">supports </w:t>
      </w:r>
      <w:r w:rsidR="00007156">
        <w:rPr>
          <w:rFonts w:ascii="Palatino Linotype" w:eastAsia="Palatino Linotype" w:hAnsi="Palatino Linotype" w:cs="Palatino Linotype"/>
          <w:sz w:val="24"/>
          <w:szCs w:val="24"/>
        </w:rPr>
        <w:t>the</w:t>
      </w:r>
      <w:r w:rsidR="007C372D">
        <w:rPr>
          <w:rFonts w:ascii="Palatino Linotype" w:eastAsia="Palatino Linotype" w:hAnsi="Palatino Linotype" w:cs="Palatino Linotype"/>
          <w:sz w:val="24"/>
          <w:szCs w:val="24"/>
        </w:rPr>
        <w:t xml:space="preserve"> adjustment </w:t>
      </w:r>
      <w:r w:rsidR="00007156">
        <w:rPr>
          <w:rFonts w:ascii="Palatino Linotype" w:eastAsia="Palatino Linotype" w:hAnsi="Palatino Linotype" w:cs="Palatino Linotype"/>
          <w:sz w:val="24"/>
          <w:szCs w:val="24"/>
        </w:rPr>
        <w:t>as well</w:t>
      </w:r>
      <w:r w:rsidR="007C372D">
        <w:rPr>
          <w:rFonts w:ascii="Palatino Linotype" w:eastAsia="Palatino Linotype" w:hAnsi="Palatino Linotype" w:cs="Palatino Linotype"/>
          <w:sz w:val="24"/>
          <w:szCs w:val="24"/>
        </w:rPr>
        <w:t xml:space="preserve">.  </w:t>
      </w:r>
      <w:r w:rsidR="007C372D" w:rsidRPr="0035010B">
        <w:rPr>
          <w:rFonts w:ascii="Palatino Linotype" w:eastAsia="Palatino Linotype" w:hAnsi="Palatino Linotype" w:cs="Palatino Linotype"/>
          <w:sz w:val="24"/>
          <w:szCs w:val="24"/>
        </w:rPr>
        <w:t xml:space="preserve">Moreover, we have consulted with the Energy and Water Divisions </w:t>
      </w:r>
      <w:r w:rsidR="00BD4CB7">
        <w:rPr>
          <w:rFonts w:ascii="Palatino Linotype" w:eastAsia="Palatino Linotype" w:hAnsi="Palatino Linotype" w:cs="Palatino Linotype"/>
          <w:sz w:val="24"/>
          <w:szCs w:val="24"/>
        </w:rPr>
        <w:t>to develop</w:t>
      </w:r>
      <w:r w:rsidR="00D717B6" w:rsidRPr="0035010B">
        <w:rPr>
          <w:rFonts w:ascii="Palatino Linotype" w:eastAsia="Palatino Linotype" w:hAnsi="Palatino Linotype" w:cs="Palatino Linotype"/>
          <w:sz w:val="24"/>
          <w:szCs w:val="24"/>
        </w:rPr>
        <w:t xml:space="preserve"> consensus that deferred taxes should be </w:t>
      </w:r>
      <w:r w:rsidR="00D7374C">
        <w:rPr>
          <w:rFonts w:ascii="Palatino Linotype" w:eastAsia="Palatino Linotype" w:hAnsi="Palatino Linotype" w:cs="Palatino Linotype"/>
          <w:sz w:val="24"/>
          <w:szCs w:val="24"/>
        </w:rPr>
        <w:t xml:space="preserve">further </w:t>
      </w:r>
      <w:r w:rsidR="00D717B6" w:rsidRPr="0035010B">
        <w:rPr>
          <w:rFonts w:ascii="Palatino Linotype" w:eastAsia="Palatino Linotype" w:hAnsi="Palatino Linotype" w:cs="Palatino Linotype"/>
          <w:sz w:val="24"/>
          <w:szCs w:val="24"/>
        </w:rPr>
        <w:t>adjusted</w:t>
      </w:r>
      <w:r w:rsidR="00007156">
        <w:rPr>
          <w:rFonts w:ascii="Palatino Linotype" w:eastAsia="Palatino Linotype" w:hAnsi="Palatino Linotype" w:cs="Palatino Linotype"/>
          <w:sz w:val="24"/>
          <w:szCs w:val="24"/>
        </w:rPr>
        <w:t xml:space="preserve"> consistent with the methodology described here</w:t>
      </w:r>
      <w:r w:rsidR="00D717B6" w:rsidRPr="0035010B">
        <w:rPr>
          <w:rFonts w:ascii="Palatino Linotype" w:eastAsia="Palatino Linotype" w:hAnsi="Palatino Linotype" w:cs="Palatino Linotype"/>
          <w:sz w:val="24"/>
          <w:szCs w:val="24"/>
        </w:rPr>
        <w:t>.</w:t>
      </w:r>
      <w:r w:rsidR="000842CA">
        <w:rPr>
          <w:rFonts w:ascii="Palatino Linotype" w:eastAsia="Palatino Linotype" w:hAnsi="Palatino Linotype" w:cs="Palatino Linotype"/>
          <w:sz w:val="24"/>
          <w:szCs w:val="24"/>
        </w:rPr>
        <w:t xml:space="preserve"> </w:t>
      </w:r>
      <w:r w:rsidR="0096028C">
        <w:rPr>
          <w:rStyle w:val="FootnoteReference"/>
          <w:rFonts w:ascii="Palatino Linotype" w:eastAsia="Palatino Linotype" w:hAnsi="Palatino Linotype" w:cs="Palatino Linotype"/>
          <w:sz w:val="24"/>
          <w:szCs w:val="24"/>
        </w:rPr>
        <w:footnoteReference w:id="6"/>
      </w:r>
    </w:p>
    <w:p w:rsidR="00F31895" w:rsidRDefault="00F31895" w:rsidP="00F31895">
      <w:pPr>
        <w:ind w:left="100" w:right="401"/>
        <w:rPr>
          <w:rFonts w:ascii="Palatino Linotype" w:eastAsia="Palatino Linotype" w:hAnsi="Palatino Linotype" w:cs="Palatino Linotype"/>
          <w:sz w:val="24"/>
          <w:szCs w:val="24"/>
        </w:rPr>
      </w:pPr>
    </w:p>
    <w:p w:rsidR="00141C00" w:rsidRPr="0035010B" w:rsidRDefault="00141C00" w:rsidP="00F31895">
      <w:pPr>
        <w:ind w:left="100" w:right="401"/>
        <w:rPr>
          <w:rFonts w:ascii="Palatino Linotype" w:eastAsia="Palatino Linotype" w:hAnsi="Palatino Linotype" w:cs="Palatino Linotype"/>
          <w:sz w:val="24"/>
          <w:szCs w:val="24"/>
          <w:u w:val="single"/>
        </w:rPr>
      </w:pPr>
      <w:r w:rsidRPr="0035010B">
        <w:rPr>
          <w:rFonts w:ascii="Palatino Linotype" w:eastAsia="Palatino Linotype" w:hAnsi="Palatino Linotype" w:cs="Palatino Linotype"/>
          <w:sz w:val="24"/>
          <w:szCs w:val="24"/>
          <w:u w:val="single"/>
        </w:rPr>
        <w:t>Staff’s Calculation</w:t>
      </w:r>
    </w:p>
    <w:p w:rsidR="00141C00" w:rsidRDefault="00141C00" w:rsidP="00F31895">
      <w:pPr>
        <w:ind w:left="100" w:right="401"/>
        <w:rPr>
          <w:rFonts w:ascii="Palatino Linotype" w:eastAsia="Palatino Linotype" w:hAnsi="Palatino Linotype" w:cs="Palatino Linotype"/>
          <w:sz w:val="24"/>
          <w:szCs w:val="24"/>
        </w:rPr>
      </w:pPr>
    </w:p>
    <w:p w:rsidR="00650ED8" w:rsidRDefault="009D5B00" w:rsidP="0099122A">
      <w:pPr>
        <w:ind w:left="100" w:right="401"/>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Staff re</w:t>
      </w:r>
      <w:r w:rsidR="00965CCC">
        <w:rPr>
          <w:rFonts w:ascii="Palatino Linotype" w:eastAsia="Palatino Linotype" w:hAnsi="Palatino Linotype" w:cs="Palatino Linotype"/>
          <w:sz w:val="24"/>
          <w:szCs w:val="24"/>
        </w:rPr>
        <w:t>calculated the tax impact of th</w:t>
      </w:r>
      <w:r>
        <w:rPr>
          <w:rFonts w:ascii="Palatino Linotype" w:eastAsia="Palatino Linotype" w:hAnsi="Palatino Linotype" w:cs="Palatino Linotype"/>
          <w:sz w:val="24"/>
          <w:szCs w:val="24"/>
        </w:rPr>
        <w:t xml:space="preserve">e TCJA to include the </w:t>
      </w:r>
      <w:r w:rsidR="00AA100D">
        <w:rPr>
          <w:rFonts w:ascii="Palatino Linotype" w:eastAsia="Palatino Linotype" w:hAnsi="Palatino Linotype" w:cs="Palatino Linotype"/>
          <w:sz w:val="24"/>
          <w:szCs w:val="24"/>
        </w:rPr>
        <w:t xml:space="preserve">excess </w:t>
      </w:r>
      <w:r>
        <w:rPr>
          <w:rFonts w:ascii="Palatino Linotype" w:eastAsia="Palatino Linotype" w:hAnsi="Palatino Linotype" w:cs="Palatino Linotype"/>
          <w:sz w:val="24"/>
          <w:szCs w:val="24"/>
        </w:rPr>
        <w:t xml:space="preserve">deferred tax impact. </w:t>
      </w:r>
      <w:r w:rsidR="00946DEB">
        <w:rPr>
          <w:rFonts w:ascii="Palatino Linotype" w:eastAsia="Palatino Linotype" w:hAnsi="Palatino Linotype" w:cs="Palatino Linotype"/>
          <w:sz w:val="24"/>
          <w:szCs w:val="24"/>
        </w:rPr>
        <w:t xml:space="preserve">Prior to the enactment of the TCJA, </w:t>
      </w:r>
      <w:r w:rsidR="00F46D1F">
        <w:rPr>
          <w:rFonts w:ascii="Palatino Linotype" w:eastAsia="Palatino Linotype" w:hAnsi="Palatino Linotype" w:cs="Palatino Linotype"/>
          <w:sz w:val="24"/>
          <w:szCs w:val="24"/>
        </w:rPr>
        <w:t>Calavera</w:t>
      </w:r>
      <w:r w:rsidR="0027782D">
        <w:rPr>
          <w:rFonts w:ascii="Palatino Linotype" w:eastAsia="Palatino Linotype" w:hAnsi="Palatino Linotype" w:cs="Palatino Linotype"/>
          <w:sz w:val="24"/>
          <w:szCs w:val="24"/>
        </w:rPr>
        <w:t>s’</w:t>
      </w:r>
      <w:r w:rsidR="00946DEB">
        <w:rPr>
          <w:rFonts w:ascii="Palatino Linotype" w:eastAsia="Palatino Linotype" w:hAnsi="Palatino Linotype" w:cs="Palatino Linotype"/>
          <w:sz w:val="24"/>
          <w:szCs w:val="24"/>
        </w:rPr>
        <w:t xml:space="preserve"> deferred income tax liability balance was $</w:t>
      </w:r>
      <w:r w:rsidR="0027782D">
        <w:rPr>
          <w:rFonts w:ascii="Palatino Linotype" w:eastAsia="Palatino Linotype" w:hAnsi="Palatino Linotype" w:cs="Palatino Linotype"/>
          <w:sz w:val="24"/>
          <w:szCs w:val="24"/>
        </w:rPr>
        <w:t>145,643</w:t>
      </w:r>
      <w:r w:rsidR="00946DEB">
        <w:rPr>
          <w:rFonts w:ascii="Palatino Linotype" w:eastAsia="Palatino Linotype" w:hAnsi="Palatino Linotype" w:cs="Palatino Linotype"/>
          <w:sz w:val="24"/>
          <w:szCs w:val="24"/>
        </w:rPr>
        <w:t>.  On January 1, 2018, the new tax rate of 21% resulted in deferred income tax of $</w:t>
      </w:r>
      <w:r w:rsidR="0027782D">
        <w:rPr>
          <w:rFonts w:ascii="Palatino Linotype" w:eastAsia="Palatino Linotype" w:hAnsi="Palatino Linotype" w:cs="Palatino Linotype"/>
          <w:sz w:val="24"/>
          <w:szCs w:val="24"/>
        </w:rPr>
        <w:t>89,956</w:t>
      </w:r>
      <w:r w:rsidR="00946DEB">
        <w:rPr>
          <w:rFonts w:ascii="Palatino Linotype" w:eastAsia="Palatino Linotype" w:hAnsi="Palatino Linotype" w:cs="Palatino Linotype"/>
          <w:sz w:val="24"/>
          <w:szCs w:val="24"/>
        </w:rPr>
        <w:t xml:space="preserve"> </w:t>
      </w:r>
      <w:r w:rsidR="00D7374C">
        <w:rPr>
          <w:rFonts w:ascii="Palatino Linotype" w:eastAsia="Palatino Linotype" w:hAnsi="Palatino Linotype" w:cs="Palatino Linotype"/>
          <w:sz w:val="24"/>
          <w:szCs w:val="24"/>
        </w:rPr>
        <w:t xml:space="preserve">causing </w:t>
      </w:r>
      <w:r w:rsidR="006F11DF">
        <w:rPr>
          <w:rFonts w:ascii="Palatino Linotype" w:eastAsia="Palatino Linotype" w:hAnsi="Palatino Linotype" w:cs="Palatino Linotype"/>
          <w:sz w:val="24"/>
          <w:szCs w:val="24"/>
        </w:rPr>
        <w:t xml:space="preserve">an </w:t>
      </w:r>
      <w:r w:rsidR="00946DEB">
        <w:rPr>
          <w:rFonts w:ascii="Palatino Linotype" w:eastAsia="Palatino Linotype" w:hAnsi="Palatino Linotype" w:cs="Palatino Linotype"/>
          <w:sz w:val="24"/>
          <w:szCs w:val="24"/>
        </w:rPr>
        <w:t>excess</w:t>
      </w:r>
      <w:r w:rsidR="00965CCC">
        <w:rPr>
          <w:rFonts w:ascii="Palatino Linotype" w:eastAsia="Palatino Linotype" w:hAnsi="Palatino Linotype" w:cs="Palatino Linotype"/>
          <w:sz w:val="24"/>
          <w:szCs w:val="24"/>
        </w:rPr>
        <w:t xml:space="preserve"> deferred tax reserve of $</w:t>
      </w:r>
      <w:r w:rsidR="0027782D">
        <w:rPr>
          <w:rFonts w:ascii="Palatino Linotype" w:eastAsia="Palatino Linotype" w:hAnsi="Palatino Linotype" w:cs="Palatino Linotype"/>
          <w:sz w:val="24"/>
          <w:szCs w:val="24"/>
        </w:rPr>
        <w:t>55,687</w:t>
      </w:r>
      <w:r w:rsidR="00946DEB">
        <w:rPr>
          <w:rFonts w:ascii="Palatino Linotype" w:eastAsia="Palatino Linotype" w:hAnsi="Palatino Linotype" w:cs="Palatino Linotype"/>
          <w:sz w:val="24"/>
          <w:szCs w:val="24"/>
        </w:rPr>
        <w:t xml:space="preserve">. </w:t>
      </w:r>
      <w:r w:rsidR="006F11DF">
        <w:rPr>
          <w:rFonts w:ascii="Palatino Linotype" w:eastAsia="Palatino Linotype" w:hAnsi="Palatino Linotype" w:cs="Palatino Linotype"/>
          <w:sz w:val="24"/>
          <w:szCs w:val="24"/>
        </w:rPr>
        <w:t xml:space="preserve"> </w:t>
      </w:r>
      <w:r w:rsidR="00965CCC">
        <w:rPr>
          <w:rFonts w:ascii="Palatino Linotype" w:eastAsia="Palatino Linotype" w:hAnsi="Palatino Linotype" w:cs="Palatino Linotype"/>
          <w:sz w:val="24"/>
          <w:szCs w:val="24"/>
        </w:rPr>
        <w:t>This $</w:t>
      </w:r>
      <w:r w:rsidR="0027782D">
        <w:rPr>
          <w:rFonts w:ascii="Palatino Linotype" w:eastAsia="Palatino Linotype" w:hAnsi="Palatino Linotype" w:cs="Palatino Linotype"/>
          <w:sz w:val="24"/>
          <w:szCs w:val="24"/>
        </w:rPr>
        <w:t>55,687</w:t>
      </w:r>
      <w:r w:rsidR="00EF5492">
        <w:rPr>
          <w:rFonts w:ascii="Palatino Linotype" w:eastAsia="Palatino Linotype" w:hAnsi="Palatino Linotype" w:cs="Palatino Linotype"/>
          <w:sz w:val="24"/>
          <w:szCs w:val="24"/>
        </w:rPr>
        <w:t xml:space="preserve"> should be returned to ratepayers ratably over the remaining life of the assets </w:t>
      </w:r>
      <w:r w:rsidR="00EF5492">
        <w:rPr>
          <w:rFonts w:ascii="Palatino Linotype" w:eastAsia="Palatino Linotype" w:hAnsi="Palatino Linotype" w:cs="Palatino Linotype"/>
          <w:sz w:val="24"/>
          <w:szCs w:val="24"/>
        </w:rPr>
        <w:lastRenderedPageBreak/>
        <w:t xml:space="preserve">that gave rise to the excess tax reserve balance.  </w:t>
      </w:r>
      <w:r w:rsidR="006F11DF">
        <w:rPr>
          <w:rFonts w:ascii="Palatino Linotype" w:eastAsia="Palatino Linotype" w:hAnsi="Palatino Linotype" w:cs="Palatino Linotype"/>
          <w:sz w:val="24"/>
          <w:szCs w:val="24"/>
        </w:rPr>
        <w:t>The</w:t>
      </w:r>
      <w:r w:rsidR="000C3961">
        <w:rPr>
          <w:rFonts w:ascii="Palatino Linotype" w:eastAsia="Palatino Linotype" w:hAnsi="Palatino Linotype" w:cs="Palatino Linotype"/>
          <w:sz w:val="24"/>
          <w:szCs w:val="24"/>
        </w:rPr>
        <w:t xml:space="preserve"> TCJA </w:t>
      </w:r>
      <w:r w:rsidR="006F11DF">
        <w:rPr>
          <w:rFonts w:ascii="Palatino Linotype" w:eastAsia="Palatino Linotype" w:hAnsi="Palatino Linotype" w:cs="Palatino Linotype"/>
          <w:sz w:val="24"/>
          <w:szCs w:val="24"/>
        </w:rPr>
        <w:t xml:space="preserve">provides guidance for the return of the excess deferred tax reserve </w:t>
      </w:r>
      <w:r w:rsidR="000C3961">
        <w:rPr>
          <w:rFonts w:ascii="Palatino Linotype" w:eastAsia="Palatino Linotype" w:hAnsi="Palatino Linotype" w:cs="Palatino Linotype"/>
          <w:sz w:val="24"/>
          <w:szCs w:val="24"/>
        </w:rPr>
        <w:t>under</w:t>
      </w:r>
      <w:r w:rsidR="006F11DF">
        <w:rPr>
          <w:rFonts w:ascii="Palatino Linotype" w:eastAsia="Palatino Linotype" w:hAnsi="Palatino Linotype" w:cs="Palatino Linotype"/>
          <w:sz w:val="24"/>
          <w:szCs w:val="24"/>
        </w:rPr>
        <w:t xml:space="preserve"> normalization rules.</w:t>
      </w:r>
      <w:r w:rsidR="009A316F">
        <w:rPr>
          <w:rFonts w:ascii="Palatino Linotype" w:eastAsia="Palatino Linotype" w:hAnsi="Palatino Linotype" w:cs="Palatino Linotype"/>
          <w:sz w:val="24"/>
          <w:szCs w:val="24"/>
        </w:rPr>
        <w:t xml:space="preserve"> </w:t>
      </w:r>
      <w:r w:rsidR="006F11DF">
        <w:rPr>
          <w:rStyle w:val="FootnoteReference"/>
          <w:rFonts w:ascii="Palatino Linotype" w:eastAsia="Palatino Linotype" w:hAnsi="Palatino Linotype" w:cs="Palatino Linotype"/>
          <w:sz w:val="24"/>
          <w:szCs w:val="24"/>
        </w:rPr>
        <w:footnoteReference w:id="7"/>
      </w:r>
      <w:r w:rsidR="006F11DF">
        <w:rPr>
          <w:rFonts w:ascii="Palatino Linotype" w:eastAsia="Palatino Linotype" w:hAnsi="Palatino Linotype" w:cs="Palatino Linotype"/>
          <w:sz w:val="24"/>
          <w:szCs w:val="24"/>
        </w:rPr>
        <w:t xml:space="preserve">  In summary, the </w:t>
      </w:r>
      <w:r w:rsidR="000C3961">
        <w:rPr>
          <w:rFonts w:ascii="Palatino Linotype" w:eastAsia="Palatino Linotype" w:hAnsi="Palatino Linotype" w:cs="Palatino Linotype"/>
          <w:sz w:val="24"/>
          <w:szCs w:val="24"/>
        </w:rPr>
        <w:t xml:space="preserve">TCJA </w:t>
      </w:r>
      <w:r w:rsidR="006F11DF">
        <w:rPr>
          <w:rFonts w:ascii="Palatino Linotype" w:eastAsia="Palatino Linotype" w:hAnsi="Palatino Linotype" w:cs="Palatino Linotype"/>
          <w:sz w:val="24"/>
          <w:szCs w:val="24"/>
        </w:rPr>
        <w:t>rules say that if the excess deferred taxes are to be reduced, they should be reduced no faster than using the average rate assumption method (ARAM).</w:t>
      </w:r>
      <w:r w:rsidR="009A316F">
        <w:rPr>
          <w:rFonts w:ascii="Palatino Linotype" w:eastAsia="Palatino Linotype" w:hAnsi="Palatino Linotype" w:cs="Palatino Linotype"/>
          <w:sz w:val="24"/>
          <w:szCs w:val="24"/>
        </w:rPr>
        <w:t xml:space="preserve"> </w:t>
      </w:r>
      <w:r w:rsidR="00887E46">
        <w:rPr>
          <w:rStyle w:val="FootnoteReference"/>
          <w:rFonts w:ascii="Palatino Linotype" w:eastAsia="Palatino Linotype" w:hAnsi="Palatino Linotype" w:cs="Palatino Linotype"/>
          <w:sz w:val="24"/>
          <w:szCs w:val="24"/>
        </w:rPr>
        <w:footnoteReference w:id="8"/>
      </w:r>
      <w:r w:rsidR="006F11DF">
        <w:rPr>
          <w:rFonts w:ascii="Palatino Linotype" w:eastAsia="Palatino Linotype" w:hAnsi="Palatino Linotype" w:cs="Palatino Linotype"/>
          <w:sz w:val="24"/>
          <w:szCs w:val="24"/>
        </w:rPr>
        <w:t xml:space="preserve"> </w:t>
      </w:r>
    </w:p>
    <w:p w:rsidR="00DB7743" w:rsidRDefault="00DB7743" w:rsidP="0099122A">
      <w:pPr>
        <w:ind w:left="100" w:right="401"/>
        <w:rPr>
          <w:rFonts w:ascii="Palatino Linotype" w:eastAsia="Palatino Linotype" w:hAnsi="Palatino Linotype" w:cs="Palatino Linotype"/>
          <w:sz w:val="24"/>
          <w:szCs w:val="24"/>
        </w:rPr>
      </w:pPr>
    </w:p>
    <w:p w:rsidR="006F11DF" w:rsidRDefault="005439B3" w:rsidP="0099122A">
      <w:pPr>
        <w:ind w:left="100" w:right="401"/>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 xml:space="preserve">Accordingly, </w:t>
      </w:r>
      <w:r w:rsidR="00B61DD1">
        <w:rPr>
          <w:rFonts w:ascii="Palatino Linotype" w:eastAsia="Palatino Linotype" w:hAnsi="Palatino Linotype" w:cs="Palatino Linotype"/>
          <w:sz w:val="24"/>
          <w:szCs w:val="24"/>
        </w:rPr>
        <w:t>S</w:t>
      </w:r>
      <w:r w:rsidR="00600AD8">
        <w:rPr>
          <w:rFonts w:ascii="Palatino Linotype" w:eastAsia="Palatino Linotype" w:hAnsi="Palatino Linotype" w:cs="Palatino Linotype"/>
          <w:sz w:val="24"/>
          <w:szCs w:val="24"/>
        </w:rPr>
        <w:t xml:space="preserve">taff </w:t>
      </w:r>
      <w:r w:rsidR="00430E28">
        <w:rPr>
          <w:rFonts w:ascii="Palatino Linotype" w:eastAsia="Palatino Linotype" w:hAnsi="Palatino Linotype" w:cs="Palatino Linotype"/>
          <w:sz w:val="24"/>
          <w:szCs w:val="24"/>
        </w:rPr>
        <w:t xml:space="preserve">has adjusted </w:t>
      </w:r>
      <w:r w:rsidR="00965CCC">
        <w:rPr>
          <w:rFonts w:ascii="Palatino Linotype" w:eastAsia="Palatino Linotype" w:hAnsi="Palatino Linotype" w:cs="Palatino Linotype"/>
          <w:sz w:val="24"/>
          <w:szCs w:val="24"/>
        </w:rPr>
        <w:t>the $</w:t>
      </w:r>
      <w:r w:rsidR="0027782D">
        <w:rPr>
          <w:rFonts w:ascii="Palatino Linotype" w:eastAsia="Palatino Linotype" w:hAnsi="Palatino Linotype" w:cs="Palatino Linotype"/>
          <w:sz w:val="24"/>
          <w:szCs w:val="24"/>
        </w:rPr>
        <w:t>55,687</w:t>
      </w:r>
      <w:r w:rsidR="006F11DF">
        <w:rPr>
          <w:rFonts w:ascii="Palatino Linotype" w:eastAsia="Palatino Linotype" w:hAnsi="Palatino Linotype" w:cs="Palatino Linotype"/>
          <w:sz w:val="24"/>
          <w:szCs w:val="24"/>
        </w:rPr>
        <w:t xml:space="preserve"> excess deferred </w:t>
      </w:r>
      <w:r w:rsidR="00B61DD1">
        <w:rPr>
          <w:rFonts w:ascii="Palatino Linotype" w:eastAsia="Palatino Linotype" w:hAnsi="Palatino Linotype" w:cs="Palatino Linotype"/>
          <w:sz w:val="24"/>
          <w:szCs w:val="24"/>
        </w:rPr>
        <w:t xml:space="preserve">income </w:t>
      </w:r>
      <w:r w:rsidR="006F11DF">
        <w:rPr>
          <w:rFonts w:ascii="Palatino Linotype" w:eastAsia="Palatino Linotype" w:hAnsi="Palatino Linotype" w:cs="Palatino Linotype"/>
          <w:sz w:val="24"/>
          <w:szCs w:val="24"/>
        </w:rPr>
        <w:t xml:space="preserve">tax reserve </w:t>
      </w:r>
      <w:r w:rsidR="00430E28">
        <w:rPr>
          <w:rFonts w:ascii="Palatino Linotype" w:eastAsia="Palatino Linotype" w:hAnsi="Palatino Linotype" w:cs="Palatino Linotype"/>
          <w:sz w:val="24"/>
          <w:szCs w:val="24"/>
        </w:rPr>
        <w:t xml:space="preserve">and </w:t>
      </w:r>
      <w:r w:rsidR="006F11DF">
        <w:rPr>
          <w:rFonts w:ascii="Palatino Linotype" w:eastAsia="Palatino Linotype" w:hAnsi="Palatino Linotype" w:cs="Palatino Linotype"/>
          <w:sz w:val="24"/>
          <w:szCs w:val="24"/>
        </w:rPr>
        <w:t xml:space="preserve">returned </w:t>
      </w:r>
      <w:r w:rsidR="00430E28">
        <w:rPr>
          <w:rFonts w:ascii="Palatino Linotype" w:eastAsia="Palatino Linotype" w:hAnsi="Palatino Linotype" w:cs="Palatino Linotype"/>
          <w:sz w:val="24"/>
          <w:szCs w:val="24"/>
        </w:rPr>
        <w:t xml:space="preserve">it </w:t>
      </w:r>
      <w:r w:rsidR="006F11DF">
        <w:rPr>
          <w:rFonts w:ascii="Palatino Linotype" w:eastAsia="Palatino Linotype" w:hAnsi="Palatino Linotype" w:cs="Palatino Linotype"/>
          <w:sz w:val="24"/>
          <w:szCs w:val="24"/>
        </w:rPr>
        <w:t>to ratepayers over the weighted average of the</w:t>
      </w:r>
      <w:r w:rsidR="00600AD8">
        <w:rPr>
          <w:rFonts w:ascii="Palatino Linotype" w:eastAsia="Palatino Linotype" w:hAnsi="Palatino Linotype" w:cs="Palatino Linotype"/>
          <w:sz w:val="24"/>
          <w:szCs w:val="24"/>
        </w:rPr>
        <w:t xml:space="preserve"> remaining</w:t>
      </w:r>
      <w:r w:rsidR="006F11DF">
        <w:rPr>
          <w:rFonts w:ascii="Palatino Linotype" w:eastAsia="Palatino Linotype" w:hAnsi="Palatino Linotype" w:cs="Palatino Linotype"/>
          <w:sz w:val="24"/>
          <w:szCs w:val="24"/>
        </w:rPr>
        <w:t xml:space="preserve"> useful life of </w:t>
      </w:r>
      <w:r w:rsidR="00F46D1F">
        <w:rPr>
          <w:rFonts w:ascii="Palatino Linotype" w:eastAsia="Palatino Linotype" w:hAnsi="Palatino Linotype" w:cs="Palatino Linotype"/>
          <w:sz w:val="24"/>
          <w:szCs w:val="24"/>
        </w:rPr>
        <w:t>Calavera</w:t>
      </w:r>
      <w:r w:rsidR="0027782D">
        <w:rPr>
          <w:rFonts w:ascii="Palatino Linotype" w:eastAsia="Palatino Linotype" w:hAnsi="Palatino Linotype" w:cs="Palatino Linotype"/>
          <w:sz w:val="24"/>
          <w:szCs w:val="24"/>
        </w:rPr>
        <w:t>s’</w:t>
      </w:r>
      <w:r w:rsidR="00600AD8">
        <w:rPr>
          <w:rFonts w:ascii="Palatino Linotype" w:eastAsia="Palatino Linotype" w:hAnsi="Palatino Linotype" w:cs="Palatino Linotype"/>
          <w:sz w:val="24"/>
          <w:szCs w:val="24"/>
        </w:rPr>
        <w:t xml:space="preserve"> depreciable </w:t>
      </w:r>
      <w:r w:rsidR="006F11DF">
        <w:rPr>
          <w:rFonts w:ascii="Palatino Linotype" w:eastAsia="Palatino Linotype" w:hAnsi="Palatino Linotype" w:cs="Palatino Linotype"/>
          <w:sz w:val="24"/>
          <w:szCs w:val="24"/>
        </w:rPr>
        <w:t>assets</w:t>
      </w:r>
      <w:r w:rsidR="00600AD8">
        <w:rPr>
          <w:rFonts w:ascii="Palatino Linotype" w:eastAsia="Palatino Linotype" w:hAnsi="Palatino Linotype" w:cs="Palatino Linotype"/>
          <w:sz w:val="24"/>
          <w:szCs w:val="24"/>
        </w:rPr>
        <w:t xml:space="preserve"> as of December 31, 2017</w:t>
      </w:r>
      <w:r w:rsidR="006F11DF">
        <w:rPr>
          <w:rFonts w:ascii="Palatino Linotype" w:eastAsia="Palatino Linotype" w:hAnsi="Palatino Linotype" w:cs="Palatino Linotype"/>
          <w:sz w:val="24"/>
          <w:szCs w:val="24"/>
        </w:rPr>
        <w:t xml:space="preserve">.  </w:t>
      </w:r>
      <w:r w:rsidR="00600AD8">
        <w:rPr>
          <w:rFonts w:ascii="Palatino Linotype" w:eastAsia="Palatino Linotype" w:hAnsi="Palatino Linotype" w:cs="Palatino Linotype"/>
          <w:sz w:val="24"/>
          <w:szCs w:val="24"/>
        </w:rPr>
        <w:t>Appropriately</w:t>
      </w:r>
      <w:r w:rsidR="006F11DF">
        <w:rPr>
          <w:rFonts w:ascii="Palatino Linotype" w:eastAsia="Palatino Linotype" w:hAnsi="Palatino Linotype" w:cs="Palatino Linotype"/>
          <w:sz w:val="24"/>
          <w:szCs w:val="24"/>
        </w:rPr>
        <w:t xml:space="preserve">, </w:t>
      </w:r>
      <w:r w:rsidR="00600AD8">
        <w:rPr>
          <w:rFonts w:ascii="Palatino Linotype" w:eastAsia="Palatino Linotype" w:hAnsi="Palatino Linotype" w:cs="Palatino Linotype"/>
          <w:sz w:val="24"/>
          <w:szCs w:val="24"/>
        </w:rPr>
        <w:t xml:space="preserve">as the excess deferred tax reserve is returned to </w:t>
      </w:r>
      <w:r w:rsidR="00F46D1F">
        <w:rPr>
          <w:rFonts w:ascii="Palatino Linotype" w:eastAsia="Palatino Linotype" w:hAnsi="Palatino Linotype" w:cs="Palatino Linotype"/>
          <w:sz w:val="24"/>
          <w:szCs w:val="24"/>
        </w:rPr>
        <w:t>Calavera</w:t>
      </w:r>
      <w:r w:rsidR="0027782D">
        <w:rPr>
          <w:rFonts w:ascii="Palatino Linotype" w:eastAsia="Palatino Linotype" w:hAnsi="Palatino Linotype" w:cs="Palatino Linotype"/>
          <w:sz w:val="24"/>
          <w:szCs w:val="24"/>
        </w:rPr>
        <w:t>s’</w:t>
      </w:r>
      <w:r w:rsidR="00600AD8">
        <w:rPr>
          <w:rFonts w:ascii="Palatino Linotype" w:eastAsia="Palatino Linotype" w:hAnsi="Palatino Linotype" w:cs="Palatino Linotype"/>
          <w:sz w:val="24"/>
          <w:szCs w:val="24"/>
        </w:rPr>
        <w:t xml:space="preserve"> ratepayers, rate base will be incrementally increased </w:t>
      </w:r>
      <w:r w:rsidR="00AC7379">
        <w:rPr>
          <w:rFonts w:ascii="Palatino Linotype" w:eastAsia="Palatino Linotype" w:hAnsi="Palatino Linotype" w:cs="Palatino Linotype"/>
          <w:sz w:val="24"/>
          <w:szCs w:val="24"/>
        </w:rPr>
        <w:t>by $</w:t>
      </w:r>
      <w:r w:rsidR="0027782D">
        <w:rPr>
          <w:rFonts w:ascii="Palatino Linotype" w:eastAsia="Palatino Linotype" w:hAnsi="Palatino Linotype" w:cs="Palatino Linotype"/>
          <w:sz w:val="24"/>
          <w:szCs w:val="24"/>
        </w:rPr>
        <w:t>10,507</w:t>
      </w:r>
      <w:r w:rsidR="00AC7379">
        <w:rPr>
          <w:rFonts w:ascii="Palatino Linotype" w:eastAsia="Palatino Linotype" w:hAnsi="Palatino Linotype" w:cs="Palatino Linotype"/>
          <w:sz w:val="24"/>
          <w:szCs w:val="24"/>
        </w:rPr>
        <w:t xml:space="preserve"> per year </w:t>
      </w:r>
      <w:r w:rsidR="00600AD8">
        <w:rPr>
          <w:rFonts w:ascii="Palatino Linotype" w:eastAsia="Palatino Linotype" w:hAnsi="Palatino Linotype" w:cs="Palatino Linotype"/>
          <w:sz w:val="24"/>
          <w:szCs w:val="24"/>
        </w:rPr>
        <w:t>(</w:t>
      </w:r>
      <w:r w:rsidR="000F3AED">
        <w:rPr>
          <w:rFonts w:ascii="Palatino Linotype" w:eastAsia="Palatino Linotype" w:hAnsi="Palatino Linotype" w:cs="Palatino Linotype"/>
          <w:sz w:val="24"/>
          <w:szCs w:val="24"/>
        </w:rPr>
        <w:t xml:space="preserve">as </w:t>
      </w:r>
      <w:r w:rsidR="00965CCC">
        <w:rPr>
          <w:rFonts w:ascii="Palatino Linotype" w:eastAsia="Palatino Linotype" w:hAnsi="Palatino Linotype" w:cs="Palatino Linotype"/>
          <w:sz w:val="24"/>
          <w:szCs w:val="24"/>
        </w:rPr>
        <w:t>the $</w:t>
      </w:r>
      <w:r w:rsidR="0027782D">
        <w:rPr>
          <w:rFonts w:ascii="Palatino Linotype" w:eastAsia="Palatino Linotype" w:hAnsi="Palatino Linotype" w:cs="Palatino Linotype"/>
          <w:sz w:val="24"/>
          <w:szCs w:val="24"/>
        </w:rPr>
        <w:t>55,687</w:t>
      </w:r>
      <w:r w:rsidR="00600AD8">
        <w:rPr>
          <w:rFonts w:ascii="Palatino Linotype" w:eastAsia="Palatino Linotype" w:hAnsi="Palatino Linotype" w:cs="Palatino Linotype"/>
          <w:sz w:val="24"/>
          <w:szCs w:val="24"/>
        </w:rPr>
        <w:t xml:space="preserve"> excess </w:t>
      </w:r>
      <w:r w:rsidR="000F3AED">
        <w:rPr>
          <w:rFonts w:ascii="Palatino Linotype" w:eastAsia="Palatino Linotype" w:hAnsi="Palatino Linotype" w:cs="Palatino Linotype"/>
          <w:sz w:val="24"/>
          <w:szCs w:val="24"/>
        </w:rPr>
        <w:t>remaining in</w:t>
      </w:r>
      <w:r w:rsidR="00600AD8">
        <w:rPr>
          <w:rFonts w:ascii="Palatino Linotype" w:eastAsia="Palatino Linotype" w:hAnsi="Palatino Linotype" w:cs="Palatino Linotype"/>
          <w:sz w:val="24"/>
          <w:szCs w:val="24"/>
        </w:rPr>
        <w:t xml:space="preserve"> the deferred tax account will be </w:t>
      </w:r>
      <w:r w:rsidR="00F866F0">
        <w:rPr>
          <w:rFonts w:ascii="Palatino Linotype" w:eastAsia="Palatino Linotype" w:hAnsi="Palatino Linotype" w:cs="Palatino Linotype"/>
          <w:sz w:val="24"/>
          <w:szCs w:val="24"/>
        </w:rPr>
        <w:t xml:space="preserve">incrementally </w:t>
      </w:r>
      <w:r w:rsidR="00600AD8">
        <w:rPr>
          <w:rFonts w:ascii="Palatino Linotype" w:eastAsia="Palatino Linotype" w:hAnsi="Palatino Linotype" w:cs="Palatino Linotype"/>
          <w:sz w:val="24"/>
          <w:szCs w:val="24"/>
        </w:rPr>
        <w:t>decreased as it is returned</w:t>
      </w:r>
      <w:r w:rsidR="00EF5492">
        <w:rPr>
          <w:rFonts w:ascii="Palatino Linotype" w:eastAsia="Palatino Linotype" w:hAnsi="Palatino Linotype" w:cs="Palatino Linotype"/>
          <w:sz w:val="24"/>
          <w:szCs w:val="24"/>
        </w:rPr>
        <w:t xml:space="preserve"> to ratepayers</w:t>
      </w:r>
      <w:r w:rsidR="00600AD8">
        <w:rPr>
          <w:rFonts w:ascii="Palatino Linotype" w:eastAsia="Palatino Linotype" w:hAnsi="Palatino Linotype" w:cs="Palatino Linotype"/>
          <w:sz w:val="24"/>
          <w:szCs w:val="24"/>
        </w:rPr>
        <w:t>).</w:t>
      </w:r>
    </w:p>
    <w:p w:rsidR="00600AD8" w:rsidRDefault="00600AD8" w:rsidP="0099122A">
      <w:pPr>
        <w:ind w:left="100" w:right="401"/>
        <w:rPr>
          <w:rFonts w:ascii="Palatino Linotype" w:eastAsia="Palatino Linotype" w:hAnsi="Palatino Linotype" w:cs="Palatino Linotype"/>
          <w:sz w:val="24"/>
          <w:szCs w:val="24"/>
        </w:rPr>
      </w:pPr>
    </w:p>
    <w:p w:rsidR="00D15A06" w:rsidRDefault="00D717B6" w:rsidP="00CF6688">
      <w:pPr>
        <w:ind w:left="100" w:right="401"/>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 xml:space="preserve">To calculate the additional increment for </w:t>
      </w:r>
      <w:r w:rsidR="00AA100D">
        <w:rPr>
          <w:rFonts w:ascii="Palatino Linotype" w:eastAsia="Palatino Linotype" w:hAnsi="Palatino Linotype" w:cs="Palatino Linotype"/>
          <w:sz w:val="24"/>
          <w:szCs w:val="24"/>
        </w:rPr>
        <w:t xml:space="preserve">excess </w:t>
      </w:r>
      <w:r>
        <w:rPr>
          <w:rFonts w:ascii="Palatino Linotype" w:eastAsia="Palatino Linotype" w:hAnsi="Palatino Linotype" w:cs="Palatino Linotype"/>
          <w:sz w:val="24"/>
          <w:szCs w:val="24"/>
        </w:rPr>
        <w:t xml:space="preserve">deferred tax, </w:t>
      </w:r>
      <w:r w:rsidR="00FF0A56">
        <w:rPr>
          <w:rFonts w:ascii="Palatino Linotype" w:eastAsia="Palatino Linotype" w:hAnsi="Palatino Linotype" w:cs="Palatino Linotype"/>
          <w:sz w:val="24"/>
          <w:szCs w:val="24"/>
        </w:rPr>
        <w:t xml:space="preserve">Staff </w:t>
      </w:r>
      <w:r w:rsidR="00C26191">
        <w:rPr>
          <w:rFonts w:ascii="Palatino Linotype" w:eastAsia="Palatino Linotype" w:hAnsi="Palatino Linotype" w:cs="Palatino Linotype"/>
          <w:sz w:val="24"/>
          <w:szCs w:val="24"/>
        </w:rPr>
        <w:t xml:space="preserve">relied on </w:t>
      </w:r>
      <w:r w:rsidR="00323513">
        <w:rPr>
          <w:rFonts w:ascii="Palatino Linotype" w:eastAsia="Palatino Linotype" w:hAnsi="Palatino Linotype" w:cs="Palatino Linotype"/>
          <w:sz w:val="24"/>
          <w:szCs w:val="24"/>
        </w:rPr>
        <w:t>the</w:t>
      </w:r>
      <w:r w:rsidR="0058439D">
        <w:rPr>
          <w:rFonts w:ascii="Palatino Linotype" w:eastAsia="Palatino Linotype" w:hAnsi="Palatino Linotype" w:cs="Palatino Linotype"/>
          <w:sz w:val="24"/>
          <w:szCs w:val="24"/>
        </w:rPr>
        <w:t xml:space="preserve"> weighted average remaining life of </w:t>
      </w:r>
      <w:r w:rsidR="00F46D1F">
        <w:rPr>
          <w:rFonts w:ascii="Palatino Linotype" w:eastAsia="Palatino Linotype" w:hAnsi="Palatino Linotype" w:cs="Palatino Linotype"/>
          <w:sz w:val="24"/>
          <w:szCs w:val="24"/>
        </w:rPr>
        <w:t>Calaveras</w:t>
      </w:r>
      <w:r w:rsidR="00323513">
        <w:rPr>
          <w:rFonts w:ascii="Palatino Linotype" w:eastAsia="Palatino Linotype" w:hAnsi="Palatino Linotype" w:cs="Palatino Linotype"/>
          <w:sz w:val="24"/>
          <w:szCs w:val="24"/>
        </w:rPr>
        <w:t xml:space="preserve">’ </w:t>
      </w:r>
      <w:r w:rsidR="0058439D">
        <w:rPr>
          <w:rFonts w:ascii="Palatino Linotype" w:eastAsia="Palatino Linotype" w:hAnsi="Palatino Linotype" w:cs="Palatino Linotype"/>
          <w:sz w:val="24"/>
          <w:szCs w:val="24"/>
        </w:rPr>
        <w:t>depreciable assets</w:t>
      </w:r>
      <w:r w:rsidR="00323513">
        <w:rPr>
          <w:rFonts w:ascii="Palatino Linotype" w:eastAsia="Palatino Linotype" w:hAnsi="Palatino Linotype" w:cs="Palatino Linotype"/>
          <w:sz w:val="24"/>
          <w:szCs w:val="24"/>
        </w:rPr>
        <w:t>,</w:t>
      </w:r>
      <w:r w:rsidR="008A032F">
        <w:rPr>
          <w:rFonts w:ascii="Palatino Linotype" w:eastAsia="Palatino Linotype" w:hAnsi="Palatino Linotype" w:cs="Palatino Linotype"/>
          <w:sz w:val="24"/>
          <w:szCs w:val="24"/>
        </w:rPr>
        <w:t xml:space="preserve"> which is 5.3 years based on a June 19, 2018, data request response from the company</w:t>
      </w:r>
      <w:r w:rsidR="0058439D">
        <w:rPr>
          <w:rFonts w:ascii="Palatino Linotype" w:eastAsia="Palatino Linotype" w:hAnsi="Palatino Linotype" w:cs="Palatino Linotype"/>
          <w:sz w:val="24"/>
          <w:szCs w:val="24"/>
        </w:rPr>
        <w:t xml:space="preserve">.  </w:t>
      </w:r>
      <w:r w:rsidR="001F5DE7">
        <w:rPr>
          <w:rFonts w:ascii="Palatino Linotype" w:eastAsia="Palatino Linotype" w:hAnsi="Palatino Linotype" w:cs="Palatino Linotype"/>
          <w:sz w:val="24"/>
          <w:szCs w:val="24"/>
        </w:rPr>
        <w:t>S</w:t>
      </w:r>
      <w:r w:rsidR="0058439D">
        <w:rPr>
          <w:rFonts w:ascii="Palatino Linotype" w:eastAsia="Palatino Linotype" w:hAnsi="Palatino Linotype" w:cs="Palatino Linotype"/>
          <w:sz w:val="24"/>
          <w:szCs w:val="24"/>
        </w:rPr>
        <w:t xml:space="preserve">taff amortized the excess deferred </w:t>
      </w:r>
      <w:r w:rsidR="001F5DE7">
        <w:rPr>
          <w:rFonts w:ascii="Palatino Linotype" w:eastAsia="Palatino Linotype" w:hAnsi="Palatino Linotype" w:cs="Palatino Linotype"/>
          <w:sz w:val="24"/>
          <w:szCs w:val="24"/>
        </w:rPr>
        <w:t xml:space="preserve">income </w:t>
      </w:r>
      <w:r w:rsidR="0058439D">
        <w:rPr>
          <w:rFonts w:ascii="Palatino Linotype" w:eastAsia="Palatino Linotype" w:hAnsi="Palatino Linotype" w:cs="Palatino Linotype"/>
          <w:sz w:val="24"/>
          <w:szCs w:val="24"/>
        </w:rPr>
        <w:t>tax reserve</w:t>
      </w:r>
      <w:r w:rsidR="00323513">
        <w:rPr>
          <w:rFonts w:ascii="Palatino Linotype" w:eastAsia="Palatino Linotype" w:hAnsi="Palatino Linotype" w:cs="Palatino Linotype"/>
          <w:sz w:val="24"/>
          <w:szCs w:val="24"/>
        </w:rPr>
        <w:t xml:space="preserve"> of $</w:t>
      </w:r>
      <w:r w:rsidR="00DF58C0">
        <w:rPr>
          <w:rFonts w:ascii="Palatino Linotype" w:eastAsia="Palatino Linotype" w:hAnsi="Palatino Linotype" w:cs="Palatino Linotype"/>
          <w:sz w:val="24"/>
          <w:szCs w:val="24"/>
        </w:rPr>
        <w:t>55,687</w:t>
      </w:r>
      <w:r w:rsidR="00EA5445">
        <w:rPr>
          <w:rFonts w:ascii="Palatino Linotype" w:eastAsia="Palatino Linotype" w:hAnsi="Palatino Linotype" w:cs="Palatino Linotype"/>
          <w:sz w:val="24"/>
          <w:szCs w:val="24"/>
        </w:rPr>
        <w:t>,</w:t>
      </w:r>
      <w:r w:rsidR="0058439D">
        <w:rPr>
          <w:rFonts w:ascii="Palatino Linotype" w:eastAsia="Palatino Linotype" w:hAnsi="Palatino Linotype" w:cs="Palatino Linotype"/>
          <w:sz w:val="24"/>
          <w:szCs w:val="24"/>
        </w:rPr>
        <w:t xml:space="preserve"> </w:t>
      </w:r>
      <w:r w:rsidR="00165079">
        <w:rPr>
          <w:rFonts w:ascii="Palatino Linotype" w:eastAsia="Palatino Linotype" w:hAnsi="Palatino Linotype" w:cs="Palatino Linotype"/>
          <w:sz w:val="24"/>
          <w:szCs w:val="24"/>
        </w:rPr>
        <w:t>divid</w:t>
      </w:r>
      <w:r w:rsidR="00B61DD1">
        <w:rPr>
          <w:rFonts w:ascii="Palatino Linotype" w:eastAsia="Palatino Linotype" w:hAnsi="Palatino Linotype" w:cs="Palatino Linotype"/>
          <w:sz w:val="24"/>
          <w:szCs w:val="24"/>
        </w:rPr>
        <w:t>ing</w:t>
      </w:r>
      <w:r w:rsidR="00165079">
        <w:rPr>
          <w:rFonts w:ascii="Palatino Linotype" w:eastAsia="Palatino Linotype" w:hAnsi="Palatino Linotype" w:cs="Palatino Linotype"/>
          <w:sz w:val="24"/>
          <w:szCs w:val="24"/>
        </w:rPr>
        <w:t xml:space="preserve"> that amount by </w:t>
      </w:r>
      <w:r w:rsidR="00714363">
        <w:rPr>
          <w:rFonts w:ascii="Palatino Linotype" w:eastAsia="Palatino Linotype" w:hAnsi="Palatino Linotype" w:cs="Palatino Linotype"/>
          <w:sz w:val="24"/>
          <w:szCs w:val="24"/>
        </w:rPr>
        <w:t>5.3</w:t>
      </w:r>
      <w:r w:rsidR="0058439D">
        <w:rPr>
          <w:rFonts w:ascii="Palatino Linotype" w:eastAsia="Palatino Linotype" w:hAnsi="Palatino Linotype" w:cs="Palatino Linotype"/>
          <w:sz w:val="24"/>
          <w:szCs w:val="24"/>
        </w:rPr>
        <w:t xml:space="preserve"> years </w:t>
      </w:r>
      <w:r w:rsidR="0088595C">
        <w:rPr>
          <w:rFonts w:ascii="Palatino Linotype" w:eastAsia="Palatino Linotype" w:hAnsi="Palatino Linotype" w:cs="Palatino Linotype"/>
          <w:sz w:val="24"/>
          <w:szCs w:val="24"/>
        </w:rPr>
        <w:t xml:space="preserve">to </w:t>
      </w:r>
      <w:r w:rsidR="00165079">
        <w:rPr>
          <w:rFonts w:ascii="Palatino Linotype" w:eastAsia="Palatino Linotype" w:hAnsi="Palatino Linotype" w:cs="Palatino Linotype"/>
          <w:sz w:val="24"/>
          <w:szCs w:val="24"/>
        </w:rPr>
        <w:t>arrive at</w:t>
      </w:r>
      <w:r w:rsidR="0088595C">
        <w:rPr>
          <w:rFonts w:ascii="Palatino Linotype" w:eastAsia="Palatino Linotype" w:hAnsi="Palatino Linotype" w:cs="Palatino Linotype"/>
          <w:sz w:val="24"/>
          <w:szCs w:val="24"/>
        </w:rPr>
        <w:t xml:space="preserve"> </w:t>
      </w:r>
      <w:r w:rsidR="00EA5445">
        <w:rPr>
          <w:rFonts w:ascii="Palatino Linotype" w:eastAsia="Palatino Linotype" w:hAnsi="Palatino Linotype" w:cs="Palatino Linotype"/>
          <w:sz w:val="24"/>
          <w:szCs w:val="24"/>
        </w:rPr>
        <w:t xml:space="preserve">a credit of </w:t>
      </w:r>
      <w:r w:rsidR="00D05CFC">
        <w:rPr>
          <w:rFonts w:ascii="Palatino Linotype" w:eastAsia="Palatino Linotype" w:hAnsi="Palatino Linotype" w:cs="Palatino Linotype"/>
          <w:sz w:val="24"/>
          <w:szCs w:val="24"/>
        </w:rPr>
        <w:t>$</w:t>
      </w:r>
      <w:r w:rsidR="00714363">
        <w:rPr>
          <w:rFonts w:ascii="Palatino Linotype" w:eastAsia="Palatino Linotype" w:hAnsi="Palatino Linotype" w:cs="Palatino Linotype"/>
          <w:sz w:val="24"/>
          <w:szCs w:val="24"/>
        </w:rPr>
        <w:t>10,507</w:t>
      </w:r>
      <w:r w:rsidR="00153FB8">
        <w:rPr>
          <w:rFonts w:ascii="Palatino Linotype" w:eastAsia="Palatino Linotype" w:hAnsi="Palatino Linotype" w:cs="Palatino Linotype"/>
          <w:sz w:val="24"/>
          <w:szCs w:val="24"/>
        </w:rPr>
        <w:t xml:space="preserve"> per year beginning </w:t>
      </w:r>
      <w:r w:rsidR="007B56B5">
        <w:rPr>
          <w:rFonts w:ascii="Palatino Linotype" w:eastAsia="Palatino Linotype" w:hAnsi="Palatino Linotype" w:cs="Palatino Linotype"/>
          <w:sz w:val="24"/>
          <w:szCs w:val="24"/>
        </w:rPr>
        <w:t>TY</w:t>
      </w:r>
      <w:r w:rsidR="00153FB8">
        <w:rPr>
          <w:rFonts w:ascii="Palatino Linotype" w:eastAsia="Palatino Linotype" w:hAnsi="Palatino Linotype" w:cs="Palatino Linotype"/>
          <w:sz w:val="24"/>
          <w:szCs w:val="24"/>
        </w:rPr>
        <w:t xml:space="preserve"> 2018.</w:t>
      </w:r>
      <w:r w:rsidR="001F5DE7">
        <w:rPr>
          <w:rFonts w:ascii="Palatino Linotype" w:eastAsia="Palatino Linotype" w:hAnsi="Palatino Linotype" w:cs="Palatino Linotype"/>
          <w:sz w:val="24"/>
          <w:szCs w:val="24"/>
        </w:rPr>
        <w:t xml:space="preserve">  </w:t>
      </w:r>
      <w:r w:rsidR="00751881">
        <w:rPr>
          <w:rFonts w:ascii="Palatino Linotype" w:eastAsia="Palatino Linotype" w:hAnsi="Palatino Linotype" w:cs="Palatino Linotype"/>
          <w:sz w:val="24"/>
          <w:szCs w:val="24"/>
        </w:rPr>
        <w:t xml:space="preserve">Staff added this </w:t>
      </w:r>
      <w:r w:rsidR="008A032F">
        <w:rPr>
          <w:rFonts w:ascii="Palatino Linotype" w:eastAsia="Palatino Linotype" w:hAnsi="Palatino Linotype" w:cs="Palatino Linotype"/>
          <w:sz w:val="24"/>
          <w:szCs w:val="24"/>
        </w:rPr>
        <w:t xml:space="preserve">amount </w:t>
      </w:r>
      <w:r w:rsidR="00751881">
        <w:rPr>
          <w:rFonts w:ascii="Palatino Linotype" w:eastAsia="Palatino Linotype" w:hAnsi="Palatino Linotype" w:cs="Palatino Linotype"/>
          <w:sz w:val="24"/>
          <w:szCs w:val="24"/>
        </w:rPr>
        <w:t xml:space="preserve">as a credit to the federal tax </w:t>
      </w:r>
      <w:r w:rsidR="008A032F">
        <w:rPr>
          <w:rFonts w:ascii="Palatino Linotype" w:eastAsia="Palatino Linotype" w:hAnsi="Palatino Linotype" w:cs="Palatino Linotype"/>
          <w:sz w:val="24"/>
          <w:szCs w:val="24"/>
        </w:rPr>
        <w:t>obligation</w:t>
      </w:r>
      <w:r w:rsidR="00751881">
        <w:rPr>
          <w:rFonts w:ascii="Palatino Linotype" w:eastAsia="Palatino Linotype" w:hAnsi="Palatino Linotype" w:cs="Palatino Linotype"/>
          <w:sz w:val="24"/>
          <w:szCs w:val="24"/>
        </w:rPr>
        <w:t>.</w:t>
      </w:r>
    </w:p>
    <w:p w:rsidR="00D15A06" w:rsidRDefault="00D15A06" w:rsidP="00CF6688">
      <w:pPr>
        <w:ind w:left="100" w:right="401"/>
        <w:rPr>
          <w:rFonts w:ascii="Palatino Linotype" w:eastAsia="Palatino Linotype" w:hAnsi="Palatino Linotype" w:cs="Palatino Linotype"/>
          <w:sz w:val="24"/>
          <w:szCs w:val="24"/>
        </w:rPr>
      </w:pPr>
    </w:p>
    <w:p w:rsidR="00695BE0" w:rsidRDefault="00F41F1A" w:rsidP="00CF6688">
      <w:pPr>
        <w:ind w:left="100" w:right="401"/>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Staff incorporated its methodology and updated</w:t>
      </w:r>
      <w:r w:rsidR="00AB3D09">
        <w:rPr>
          <w:rFonts w:ascii="Palatino Linotype" w:eastAsia="Palatino Linotype" w:hAnsi="Palatino Linotype" w:cs="Palatino Linotype"/>
          <w:sz w:val="24"/>
          <w:szCs w:val="24"/>
        </w:rPr>
        <w:t xml:space="preserve"> the effects of excess deferred tax by line item, </w:t>
      </w:r>
      <w:r>
        <w:rPr>
          <w:rFonts w:ascii="Palatino Linotype" w:eastAsia="Palatino Linotype" w:hAnsi="Palatino Linotype" w:cs="Palatino Linotype"/>
          <w:sz w:val="24"/>
          <w:szCs w:val="24"/>
        </w:rPr>
        <w:t>which</w:t>
      </w:r>
      <w:r w:rsidR="00CC6F05">
        <w:rPr>
          <w:rFonts w:ascii="Palatino Linotype" w:eastAsia="Palatino Linotype" w:hAnsi="Palatino Linotype" w:cs="Palatino Linotype"/>
          <w:sz w:val="24"/>
          <w:szCs w:val="24"/>
        </w:rPr>
        <w:t xml:space="preserve"> </w:t>
      </w:r>
      <w:r w:rsidR="00260344">
        <w:rPr>
          <w:rFonts w:ascii="Palatino Linotype" w:eastAsia="Palatino Linotype" w:hAnsi="Palatino Linotype" w:cs="Palatino Linotype"/>
          <w:sz w:val="24"/>
          <w:szCs w:val="24"/>
        </w:rPr>
        <w:t>required</w:t>
      </w:r>
      <w:r w:rsidR="00D15A06">
        <w:rPr>
          <w:rFonts w:ascii="Palatino Linotype" w:eastAsia="Palatino Linotype" w:hAnsi="Palatino Linotype" w:cs="Palatino Linotype"/>
          <w:sz w:val="24"/>
          <w:szCs w:val="24"/>
        </w:rPr>
        <w:t xml:space="preserve"> </w:t>
      </w:r>
      <w:r w:rsidR="00ED4EF8">
        <w:rPr>
          <w:rFonts w:ascii="Palatino Linotype" w:eastAsia="Palatino Linotype" w:hAnsi="Palatino Linotype" w:cs="Palatino Linotype"/>
          <w:sz w:val="24"/>
          <w:szCs w:val="24"/>
        </w:rPr>
        <w:t xml:space="preserve">further </w:t>
      </w:r>
      <w:r w:rsidR="00D15A06">
        <w:rPr>
          <w:rFonts w:ascii="Palatino Linotype" w:eastAsia="Palatino Linotype" w:hAnsi="Palatino Linotype" w:cs="Palatino Linotype"/>
          <w:sz w:val="24"/>
          <w:szCs w:val="24"/>
        </w:rPr>
        <w:t xml:space="preserve">steps </w:t>
      </w:r>
      <w:r w:rsidR="00CC6F05">
        <w:rPr>
          <w:rFonts w:ascii="Palatino Linotype" w:eastAsia="Palatino Linotype" w:hAnsi="Palatino Linotype" w:cs="Palatino Linotype"/>
          <w:sz w:val="24"/>
          <w:szCs w:val="24"/>
        </w:rPr>
        <w:t xml:space="preserve">to reconcile the Results of Operations Table </w:t>
      </w:r>
      <w:r w:rsidR="008A032F">
        <w:rPr>
          <w:rFonts w:ascii="Palatino Linotype" w:eastAsia="Palatino Linotype" w:hAnsi="Palatino Linotype" w:cs="Palatino Linotype"/>
          <w:sz w:val="24"/>
          <w:szCs w:val="24"/>
        </w:rPr>
        <w:t>(see</w:t>
      </w:r>
      <w:r w:rsidR="00CC6F05">
        <w:rPr>
          <w:rFonts w:ascii="Palatino Linotype" w:eastAsia="Palatino Linotype" w:hAnsi="Palatino Linotype" w:cs="Palatino Linotype"/>
          <w:sz w:val="24"/>
          <w:szCs w:val="24"/>
        </w:rPr>
        <w:t xml:space="preserve"> Appendix A</w:t>
      </w:r>
      <w:r w:rsidR="00ED4EF8">
        <w:rPr>
          <w:rFonts w:ascii="Palatino Linotype" w:eastAsia="Palatino Linotype" w:hAnsi="Palatino Linotype" w:cs="Palatino Linotype"/>
          <w:sz w:val="24"/>
          <w:szCs w:val="24"/>
        </w:rPr>
        <w:t xml:space="preserve"> column C</w:t>
      </w:r>
      <w:r w:rsidR="008A032F">
        <w:rPr>
          <w:rFonts w:ascii="Palatino Linotype" w:eastAsia="Palatino Linotype" w:hAnsi="Palatino Linotype" w:cs="Palatino Linotype"/>
          <w:sz w:val="24"/>
          <w:szCs w:val="24"/>
        </w:rPr>
        <w:t>)</w:t>
      </w:r>
      <w:r w:rsidR="00CC6F05">
        <w:rPr>
          <w:rFonts w:ascii="Palatino Linotype" w:eastAsia="Palatino Linotype" w:hAnsi="Palatino Linotype" w:cs="Palatino Linotype"/>
          <w:sz w:val="24"/>
          <w:szCs w:val="24"/>
        </w:rPr>
        <w:t xml:space="preserve">, so that the </w:t>
      </w:r>
      <w:r w:rsidR="00D15A06">
        <w:rPr>
          <w:rFonts w:ascii="Palatino Linotype" w:eastAsia="Palatino Linotype" w:hAnsi="Palatino Linotype" w:cs="Palatino Linotype"/>
          <w:sz w:val="24"/>
          <w:szCs w:val="24"/>
        </w:rPr>
        <w:t>T</w:t>
      </w:r>
      <w:r w:rsidR="00CC6F05">
        <w:rPr>
          <w:rFonts w:ascii="Palatino Linotype" w:eastAsia="Palatino Linotype" w:hAnsi="Palatino Linotype" w:cs="Palatino Linotype"/>
          <w:sz w:val="24"/>
          <w:szCs w:val="24"/>
        </w:rPr>
        <w:t xml:space="preserve">otal </w:t>
      </w:r>
      <w:r w:rsidR="00F33374">
        <w:rPr>
          <w:rFonts w:ascii="Palatino Linotype" w:eastAsia="Palatino Linotype" w:hAnsi="Palatino Linotype" w:cs="Palatino Linotype"/>
          <w:sz w:val="24"/>
          <w:szCs w:val="24"/>
        </w:rPr>
        <w:t>(</w:t>
      </w:r>
      <w:r w:rsidR="00D15A06">
        <w:rPr>
          <w:rFonts w:ascii="Palatino Linotype" w:eastAsia="Palatino Linotype" w:hAnsi="Palatino Linotype" w:cs="Palatino Linotype"/>
          <w:sz w:val="24"/>
          <w:szCs w:val="24"/>
        </w:rPr>
        <w:t>R</w:t>
      </w:r>
      <w:r w:rsidR="00CC6F05">
        <w:rPr>
          <w:rFonts w:ascii="Palatino Linotype" w:eastAsia="Palatino Linotype" w:hAnsi="Palatino Linotype" w:cs="Palatino Linotype"/>
          <w:sz w:val="24"/>
          <w:szCs w:val="24"/>
        </w:rPr>
        <w:t xml:space="preserve">evenue </w:t>
      </w:r>
      <w:r w:rsidR="00D15A06">
        <w:rPr>
          <w:rFonts w:ascii="Palatino Linotype" w:eastAsia="Palatino Linotype" w:hAnsi="Palatino Linotype" w:cs="Palatino Linotype"/>
          <w:sz w:val="24"/>
          <w:szCs w:val="24"/>
        </w:rPr>
        <w:t>R</w:t>
      </w:r>
      <w:r w:rsidR="00CC6F05">
        <w:rPr>
          <w:rFonts w:ascii="Palatino Linotype" w:eastAsia="Palatino Linotype" w:hAnsi="Palatino Linotype" w:cs="Palatino Linotype"/>
          <w:sz w:val="24"/>
          <w:szCs w:val="24"/>
        </w:rPr>
        <w:t>equirement</w:t>
      </w:r>
      <w:r w:rsidR="00F33374">
        <w:rPr>
          <w:rFonts w:ascii="Palatino Linotype" w:eastAsia="Palatino Linotype" w:hAnsi="Palatino Linotype" w:cs="Palatino Linotype"/>
          <w:sz w:val="24"/>
          <w:szCs w:val="24"/>
        </w:rPr>
        <w:t>)</w:t>
      </w:r>
      <w:r w:rsidR="00695BE0">
        <w:rPr>
          <w:rFonts w:ascii="Palatino Linotype" w:eastAsia="Palatino Linotype" w:hAnsi="Palatino Linotype" w:cs="Palatino Linotype"/>
          <w:sz w:val="24"/>
          <w:szCs w:val="24"/>
        </w:rPr>
        <w:t xml:space="preserve"> of $</w:t>
      </w:r>
      <w:r w:rsidR="00DF58C0">
        <w:rPr>
          <w:rFonts w:ascii="Palatino Linotype" w:eastAsia="Palatino Linotype" w:hAnsi="Palatino Linotype" w:cs="Palatino Linotype"/>
          <w:sz w:val="24"/>
          <w:szCs w:val="24"/>
        </w:rPr>
        <w:t>6,003,765</w:t>
      </w:r>
      <w:r w:rsidR="00695BE0">
        <w:rPr>
          <w:rFonts w:ascii="Palatino Linotype" w:eastAsia="Palatino Linotype" w:hAnsi="Palatino Linotype" w:cs="Palatino Linotype"/>
          <w:sz w:val="24"/>
          <w:szCs w:val="24"/>
        </w:rPr>
        <w:t xml:space="preserve"> </w:t>
      </w:r>
      <w:r w:rsidR="00CC6F05">
        <w:rPr>
          <w:rFonts w:ascii="Palatino Linotype" w:eastAsia="Palatino Linotype" w:hAnsi="Palatino Linotype" w:cs="Palatino Linotype"/>
          <w:sz w:val="24"/>
          <w:szCs w:val="24"/>
        </w:rPr>
        <w:t xml:space="preserve">(line </w:t>
      </w:r>
      <w:r w:rsidR="0051251D">
        <w:rPr>
          <w:rFonts w:ascii="Palatino Linotype" w:eastAsia="Palatino Linotype" w:hAnsi="Palatino Linotype" w:cs="Palatino Linotype"/>
          <w:sz w:val="24"/>
          <w:szCs w:val="24"/>
        </w:rPr>
        <w:t>7</w:t>
      </w:r>
      <w:r w:rsidR="00CC6F05">
        <w:rPr>
          <w:rFonts w:ascii="Palatino Linotype" w:eastAsia="Palatino Linotype" w:hAnsi="Palatino Linotype" w:cs="Palatino Linotype"/>
          <w:sz w:val="24"/>
          <w:szCs w:val="24"/>
        </w:rPr>
        <w:t xml:space="preserve">) </w:t>
      </w:r>
      <w:r w:rsidR="00BE7E12">
        <w:rPr>
          <w:rFonts w:ascii="Palatino Linotype" w:eastAsia="Palatino Linotype" w:hAnsi="Palatino Linotype" w:cs="Palatino Linotype"/>
          <w:sz w:val="24"/>
          <w:szCs w:val="24"/>
        </w:rPr>
        <w:t>equals</w:t>
      </w:r>
      <w:r w:rsidR="00260344">
        <w:rPr>
          <w:rFonts w:ascii="Palatino Linotype" w:eastAsia="Palatino Linotype" w:hAnsi="Palatino Linotype" w:cs="Palatino Linotype"/>
          <w:sz w:val="24"/>
          <w:szCs w:val="24"/>
        </w:rPr>
        <w:t xml:space="preserve"> </w:t>
      </w:r>
      <w:r w:rsidR="00CC6F05">
        <w:rPr>
          <w:rFonts w:ascii="Palatino Linotype" w:eastAsia="Palatino Linotype" w:hAnsi="Palatino Linotype" w:cs="Palatino Linotype"/>
          <w:sz w:val="24"/>
          <w:szCs w:val="24"/>
        </w:rPr>
        <w:t xml:space="preserve">the sum of </w:t>
      </w:r>
      <w:r w:rsidR="00D15A06">
        <w:rPr>
          <w:rFonts w:ascii="Palatino Linotype" w:eastAsia="Palatino Linotype" w:hAnsi="Palatino Linotype" w:cs="Palatino Linotype"/>
          <w:sz w:val="24"/>
          <w:szCs w:val="24"/>
        </w:rPr>
        <w:t>Total O</w:t>
      </w:r>
      <w:r w:rsidR="00CC6F05">
        <w:rPr>
          <w:rFonts w:ascii="Palatino Linotype" w:eastAsia="Palatino Linotype" w:hAnsi="Palatino Linotype" w:cs="Palatino Linotype"/>
          <w:sz w:val="24"/>
          <w:szCs w:val="24"/>
        </w:rPr>
        <w:t xml:space="preserve">perating </w:t>
      </w:r>
      <w:r w:rsidR="00D15A06">
        <w:rPr>
          <w:rFonts w:ascii="Palatino Linotype" w:eastAsia="Palatino Linotype" w:hAnsi="Palatino Linotype" w:cs="Palatino Linotype"/>
          <w:sz w:val="24"/>
          <w:szCs w:val="24"/>
        </w:rPr>
        <w:t>E</w:t>
      </w:r>
      <w:r w:rsidR="00CC6F05">
        <w:rPr>
          <w:rFonts w:ascii="Palatino Linotype" w:eastAsia="Palatino Linotype" w:hAnsi="Palatino Linotype" w:cs="Palatino Linotype"/>
          <w:sz w:val="24"/>
          <w:szCs w:val="24"/>
        </w:rPr>
        <w:t>xpenses</w:t>
      </w:r>
      <w:r w:rsidR="00695BE0">
        <w:rPr>
          <w:rFonts w:ascii="Palatino Linotype" w:eastAsia="Palatino Linotype" w:hAnsi="Palatino Linotype" w:cs="Palatino Linotype"/>
          <w:sz w:val="24"/>
          <w:szCs w:val="24"/>
        </w:rPr>
        <w:t xml:space="preserve"> of $</w:t>
      </w:r>
      <w:r w:rsidR="009D07AB">
        <w:rPr>
          <w:rFonts w:ascii="Palatino Linotype" w:eastAsia="Palatino Linotype" w:hAnsi="Palatino Linotype" w:cs="Palatino Linotype"/>
          <w:sz w:val="24"/>
          <w:szCs w:val="24"/>
        </w:rPr>
        <w:t>5,31</w:t>
      </w:r>
      <w:r w:rsidR="00DF58C0">
        <w:rPr>
          <w:rFonts w:ascii="Palatino Linotype" w:eastAsia="Palatino Linotype" w:hAnsi="Palatino Linotype" w:cs="Palatino Linotype"/>
          <w:sz w:val="24"/>
          <w:szCs w:val="24"/>
        </w:rPr>
        <w:t>5,524</w:t>
      </w:r>
      <w:r w:rsidR="00AB3D09">
        <w:rPr>
          <w:rFonts w:ascii="Palatino Linotype" w:eastAsia="Palatino Linotype" w:hAnsi="Palatino Linotype" w:cs="Palatino Linotype"/>
          <w:sz w:val="24"/>
          <w:szCs w:val="24"/>
        </w:rPr>
        <w:t xml:space="preserve"> (</w:t>
      </w:r>
      <w:r w:rsidR="00CC6F05">
        <w:rPr>
          <w:rFonts w:ascii="Palatino Linotype" w:eastAsia="Palatino Linotype" w:hAnsi="Palatino Linotype" w:cs="Palatino Linotype"/>
          <w:sz w:val="24"/>
          <w:szCs w:val="24"/>
        </w:rPr>
        <w:t>line 1</w:t>
      </w:r>
      <w:r w:rsidR="009D07AB">
        <w:rPr>
          <w:rFonts w:ascii="Palatino Linotype" w:eastAsia="Palatino Linotype" w:hAnsi="Palatino Linotype" w:cs="Palatino Linotype"/>
          <w:sz w:val="24"/>
          <w:szCs w:val="24"/>
        </w:rPr>
        <w:t>7</w:t>
      </w:r>
      <w:r w:rsidR="00D15A06">
        <w:rPr>
          <w:rFonts w:ascii="Palatino Linotype" w:eastAsia="Palatino Linotype" w:hAnsi="Palatino Linotype" w:cs="Palatino Linotype"/>
          <w:sz w:val="24"/>
          <w:szCs w:val="24"/>
        </w:rPr>
        <w:t>)</w:t>
      </w:r>
      <w:r w:rsidR="00CC6F05">
        <w:rPr>
          <w:rFonts w:ascii="Palatino Linotype" w:eastAsia="Palatino Linotype" w:hAnsi="Palatino Linotype" w:cs="Palatino Linotype"/>
          <w:sz w:val="24"/>
          <w:szCs w:val="24"/>
        </w:rPr>
        <w:t xml:space="preserve"> plus Net Operating Income</w:t>
      </w:r>
      <w:r w:rsidR="00695BE0">
        <w:rPr>
          <w:rFonts w:ascii="Palatino Linotype" w:eastAsia="Palatino Linotype" w:hAnsi="Palatino Linotype" w:cs="Palatino Linotype"/>
          <w:sz w:val="24"/>
          <w:szCs w:val="24"/>
        </w:rPr>
        <w:t xml:space="preserve"> of $</w:t>
      </w:r>
      <w:r w:rsidR="009D07AB">
        <w:rPr>
          <w:rFonts w:ascii="Palatino Linotype" w:eastAsia="Palatino Linotype" w:hAnsi="Palatino Linotype" w:cs="Palatino Linotype"/>
          <w:sz w:val="24"/>
          <w:szCs w:val="24"/>
        </w:rPr>
        <w:t>688,241</w:t>
      </w:r>
      <w:r w:rsidR="007B2666">
        <w:rPr>
          <w:rFonts w:ascii="Palatino Linotype" w:eastAsia="Palatino Linotype" w:hAnsi="Palatino Linotype" w:cs="Palatino Linotype"/>
          <w:sz w:val="24"/>
          <w:szCs w:val="24"/>
        </w:rPr>
        <w:t xml:space="preserve"> (line 1</w:t>
      </w:r>
      <w:r w:rsidR="009D07AB">
        <w:rPr>
          <w:rFonts w:ascii="Palatino Linotype" w:eastAsia="Palatino Linotype" w:hAnsi="Palatino Linotype" w:cs="Palatino Linotype"/>
          <w:sz w:val="24"/>
          <w:szCs w:val="24"/>
        </w:rPr>
        <w:t>8</w:t>
      </w:r>
      <w:r w:rsidR="007B2666">
        <w:rPr>
          <w:rFonts w:ascii="Palatino Linotype" w:eastAsia="Palatino Linotype" w:hAnsi="Palatino Linotype" w:cs="Palatino Linotype"/>
          <w:sz w:val="24"/>
          <w:szCs w:val="24"/>
        </w:rPr>
        <w:t>)</w:t>
      </w:r>
      <w:r w:rsidR="00ED4EF8">
        <w:rPr>
          <w:rFonts w:ascii="Palatino Linotype" w:eastAsia="Palatino Linotype" w:hAnsi="Palatino Linotype" w:cs="Palatino Linotype"/>
          <w:sz w:val="24"/>
          <w:szCs w:val="24"/>
        </w:rPr>
        <w:t xml:space="preserve">, demonstrating </w:t>
      </w:r>
      <w:r w:rsidR="00A70806">
        <w:rPr>
          <w:rFonts w:ascii="Palatino Linotype" w:eastAsia="Palatino Linotype" w:hAnsi="Palatino Linotype" w:cs="Palatino Linotype"/>
          <w:sz w:val="24"/>
          <w:szCs w:val="24"/>
        </w:rPr>
        <w:t xml:space="preserve">proof of </w:t>
      </w:r>
      <w:r w:rsidR="00ED4EF8">
        <w:rPr>
          <w:rFonts w:ascii="Palatino Linotype" w:eastAsia="Palatino Linotype" w:hAnsi="Palatino Linotype" w:cs="Palatino Linotype"/>
          <w:sz w:val="24"/>
          <w:szCs w:val="24"/>
        </w:rPr>
        <w:t xml:space="preserve">a balanced </w:t>
      </w:r>
      <w:r w:rsidR="003512B7">
        <w:rPr>
          <w:rFonts w:ascii="Palatino Linotype" w:eastAsia="Palatino Linotype" w:hAnsi="Palatino Linotype" w:cs="Palatino Linotype"/>
          <w:sz w:val="24"/>
          <w:szCs w:val="24"/>
        </w:rPr>
        <w:t>result</w:t>
      </w:r>
      <w:r w:rsidR="00E62111">
        <w:rPr>
          <w:rFonts w:ascii="Palatino Linotype" w:eastAsia="Palatino Linotype" w:hAnsi="Palatino Linotype" w:cs="Palatino Linotype"/>
          <w:sz w:val="24"/>
          <w:szCs w:val="24"/>
        </w:rPr>
        <w:t>.  T</w:t>
      </w:r>
      <w:r w:rsidR="00DB7743">
        <w:rPr>
          <w:rFonts w:ascii="Palatino Linotype" w:eastAsia="Palatino Linotype" w:hAnsi="Palatino Linotype" w:cs="Palatino Linotype"/>
          <w:sz w:val="24"/>
          <w:szCs w:val="24"/>
        </w:rPr>
        <w:t>his process is outlined</w:t>
      </w:r>
      <w:r w:rsidR="00D13299">
        <w:rPr>
          <w:rFonts w:ascii="Palatino Linotype" w:eastAsia="Palatino Linotype" w:hAnsi="Palatino Linotype" w:cs="Palatino Linotype"/>
          <w:sz w:val="24"/>
          <w:szCs w:val="24"/>
        </w:rPr>
        <w:t xml:space="preserve"> Appendix C.</w:t>
      </w:r>
    </w:p>
    <w:p w:rsidR="00471D88" w:rsidRDefault="00CC6F05" w:rsidP="000546E5">
      <w:pPr>
        <w:ind w:left="100" w:right="401"/>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 xml:space="preserve"> </w:t>
      </w:r>
    </w:p>
    <w:p w:rsidR="005C18FE" w:rsidRPr="000546E5" w:rsidRDefault="00B76869" w:rsidP="000546E5">
      <w:pPr>
        <w:ind w:left="90" w:right="401"/>
        <w:rPr>
          <w:rFonts w:ascii="Palatino Linotype" w:eastAsia="Palatino Linotype" w:hAnsi="Palatino Linotype" w:cs="Palatino Linotype"/>
          <w:sz w:val="24"/>
          <w:szCs w:val="24"/>
        </w:rPr>
      </w:pPr>
      <w:r w:rsidRPr="000546E5">
        <w:rPr>
          <w:rFonts w:ascii="Palatino Linotype" w:eastAsia="Palatino Linotype" w:hAnsi="Palatino Linotype" w:cs="Palatino Linotype"/>
          <w:sz w:val="24"/>
          <w:szCs w:val="24"/>
        </w:rPr>
        <w:t>Therefore</w:t>
      </w:r>
      <w:r w:rsidR="006E389E" w:rsidRPr="000546E5">
        <w:rPr>
          <w:rFonts w:ascii="Palatino Linotype" w:eastAsia="Palatino Linotype" w:hAnsi="Palatino Linotype" w:cs="Palatino Linotype"/>
          <w:sz w:val="24"/>
          <w:szCs w:val="24"/>
        </w:rPr>
        <w:t>,</w:t>
      </w:r>
      <w:r w:rsidR="0056179F" w:rsidRPr="000546E5">
        <w:rPr>
          <w:rFonts w:ascii="Palatino Linotype" w:eastAsia="Palatino Linotype" w:hAnsi="Palatino Linotype" w:cs="Palatino Linotype"/>
          <w:sz w:val="24"/>
          <w:szCs w:val="24"/>
        </w:rPr>
        <w:t xml:space="preserve"> </w:t>
      </w:r>
      <w:r w:rsidR="00E87FC4" w:rsidRPr="000546E5">
        <w:rPr>
          <w:rFonts w:ascii="Palatino Linotype" w:eastAsia="Palatino Linotype" w:hAnsi="Palatino Linotype" w:cs="Palatino Linotype"/>
          <w:sz w:val="24"/>
          <w:szCs w:val="24"/>
        </w:rPr>
        <w:t>Staff proposes a further reduction of $</w:t>
      </w:r>
      <w:r w:rsidR="00342CA1" w:rsidRPr="000546E5">
        <w:rPr>
          <w:rFonts w:ascii="Palatino Linotype" w:eastAsia="Palatino Linotype" w:hAnsi="Palatino Linotype" w:cs="Palatino Linotype"/>
          <w:sz w:val="24"/>
          <w:szCs w:val="24"/>
        </w:rPr>
        <w:t>16,097</w:t>
      </w:r>
      <w:r w:rsidR="00E87FC4" w:rsidRPr="000546E5">
        <w:rPr>
          <w:rFonts w:ascii="Palatino Linotype" w:eastAsia="Palatino Linotype" w:hAnsi="Palatino Linotype" w:cs="Palatino Linotype"/>
          <w:sz w:val="24"/>
          <w:szCs w:val="24"/>
        </w:rPr>
        <w:t xml:space="preserve"> in </w:t>
      </w:r>
      <w:r w:rsidR="0056179F" w:rsidRPr="000546E5">
        <w:rPr>
          <w:rFonts w:ascii="Palatino Linotype" w:eastAsia="Palatino Linotype" w:hAnsi="Palatino Linotype" w:cs="Palatino Linotype"/>
          <w:sz w:val="24"/>
          <w:szCs w:val="24"/>
        </w:rPr>
        <w:t xml:space="preserve">revenue requirement for </w:t>
      </w:r>
      <w:r w:rsidR="009A316F">
        <w:rPr>
          <w:rFonts w:ascii="Palatino Linotype" w:eastAsia="Palatino Linotype" w:hAnsi="Palatino Linotype" w:cs="Palatino Linotype"/>
          <w:sz w:val="24"/>
          <w:szCs w:val="24"/>
        </w:rPr>
        <w:br/>
      </w:r>
      <w:r w:rsidR="007B56B5" w:rsidRPr="000546E5">
        <w:rPr>
          <w:rFonts w:ascii="Palatino Linotype" w:eastAsia="Palatino Linotype" w:hAnsi="Palatino Linotype" w:cs="Palatino Linotype"/>
          <w:sz w:val="24"/>
          <w:szCs w:val="24"/>
        </w:rPr>
        <w:t>TY</w:t>
      </w:r>
      <w:r w:rsidR="0056179F" w:rsidRPr="000546E5">
        <w:rPr>
          <w:rFonts w:ascii="Palatino Linotype" w:eastAsia="Palatino Linotype" w:hAnsi="Palatino Linotype" w:cs="Palatino Linotype"/>
          <w:sz w:val="24"/>
          <w:szCs w:val="24"/>
        </w:rPr>
        <w:t xml:space="preserve"> 2018</w:t>
      </w:r>
      <w:r w:rsidR="005407B6" w:rsidRPr="000546E5">
        <w:rPr>
          <w:rFonts w:ascii="Palatino Linotype" w:eastAsia="Palatino Linotype" w:hAnsi="Palatino Linotype" w:cs="Palatino Linotype"/>
          <w:sz w:val="24"/>
          <w:szCs w:val="24"/>
        </w:rPr>
        <w:t xml:space="preserve">, </w:t>
      </w:r>
      <w:r w:rsidR="00F33374" w:rsidRPr="000546E5">
        <w:rPr>
          <w:rFonts w:ascii="Palatino Linotype" w:eastAsia="Palatino Linotype" w:hAnsi="Palatino Linotype" w:cs="Palatino Linotype"/>
          <w:sz w:val="24"/>
          <w:szCs w:val="24"/>
        </w:rPr>
        <w:t>from $</w:t>
      </w:r>
      <w:r w:rsidR="00342CA1" w:rsidRPr="000546E5">
        <w:rPr>
          <w:rFonts w:ascii="Palatino Linotype" w:eastAsia="Palatino Linotype" w:hAnsi="Palatino Linotype" w:cs="Palatino Linotype"/>
          <w:sz w:val="24"/>
          <w:szCs w:val="24"/>
        </w:rPr>
        <w:t>6,019,862</w:t>
      </w:r>
      <w:r w:rsidR="005407B6" w:rsidRPr="000546E5">
        <w:rPr>
          <w:rFonts w:ascii="Palatino Linotype" w:eastAsia="Palatino Linotype" w:hAnsi="Palatino Linotype" w:cs="Palatino Linotype"/>
          <w:sz w:val="24"/>
          <w:szCs w:val="24"/>
        </w:rPr>
        <w:t xml:space="preserve"> to $</w:t>
      </w:r>
      <w:r w:rsidR="00342CA1" w:rsidRPr="000546E5">
        <w:rPr>
          <w:rFonts w:ascii="Palatino Linotype" w:eastAsia="Palatino Linotype" w:hAnsi="Palatino Linotype" w:cs="Palatino Linotype"/>
          <w:sz w:val="24"/>
          <w:szCs w:val="24"/>
        </w:rPr>
        <w:t>6,003,765</w:t>
      </w:r>
      <w:r w:rsidR="005407B6" w:rsidRPr="000546E5">
        <w:rPr>
          <w:rFonts w:ascii="Palatino Linotype" w:eastAsia="Palatino Linotype" w:hAnsi="Palatino Linotype" w:cs="Palatino Linotype"/>
          <w:sz w:val="24"/>
          <w:szCs w:val="24"/>
        </w:rPr>
        <w:t xml:space="preserve"> </w:t>
      </w:r>
      <w:r w:rsidR="00CC6F05" w:rsidRPr="000546E5">
        <w:rPr>
          <w:rFonts w:ascii="Palatino Linotype" w:eastAsia="Palatino Linotype" w:hAnsi="Palatino Linotype" w:cs="Palatino Linotype"/>
          <w:sz w:val="24"/>
          <w:szCs w:val="24"/>
        </w:rPr>
        <w:t>(</w:t>
      </w:r>
      <w:r w:rsidR="003E6085">
        <w:rPr>
          <w:rFonts w:ascii="Palatino Linotype" w:eastAsia="Palatino Linotype" w:hAnsi="Palatino Linotype" w:cs="Palatino Linotype"/>
          <w:sz w:val="24"/>
          <w:szCs w:val="24"/>
        </w:rPr>
        <w:t xml:space="preserve">Appendix A, </w:t>
      </w:r>
      <w:r w:rsidR="00CC6F05" w:rsidRPr="000546E5">
        <w:rPr>
          <w:rFonts w:ascii="Palatino Linotype" w:eastAsia="Palatino Linotype" w:hAnsi="Palatino Linotype" w:cs="Palatino Linotype"/>
          <w:sz w:val="24"/>
          <w:szCs w:val="24"/>
        </w:rPr>
        <w:t xml:space="preserve">line </w:t>
      </w:r>
      <w:r w:rsidR="00342CA1" w:rsidRPr="000546E5">
        <w:rPr>
          <w:rFonts w:ascii="Palatino Linotype" w:eastAsia="Palatino Linotype" w:hAnsi="Palatino Linotype" w:cs="Palatino Linotype"/>
          <w:sz w:val="24"/>
          <w:szCs w:val="24"/>
        </w:rPr>
        <w:t>7</w:t>
      </w:r>
      <w:r w:rsidR="00CC6F05" w:rsidRPr="000546E5">
        <w:rPr>
          <w:rFonts w:ascii="Palatino Linotype" w:eastAsia="Palatino Linotype" w:hAnsi="Palatino Linotype" w:cs="Palatino Linotype"/>
          <w:sz w:val="24"/>
          <w:szCs w:val="24"/>
        </w:rPr>
        <w:t xml:space="preserve">, </w:t>
      </w:r>
      <w:r w:rsidR="00F33374" w:rsidRPr="000546E5">
        <w:rPr>
          <w:rFonts w:ascii="Palatino Linotype" w:eastAsia="Palatino Linotype" w:hAnsi="Palatino Linotype" w:cs="Palatino Linotype"/>
          <w:sz w:val="24"/>
          <w:szCs w:val="24"/>
        </w:rPr>
        <w:t xml:space="preserve">comparing </w:t>
      </w:r>
      <w:r w:rsidR="00F46D1F" w:rsidRPr="000546E5">
        <w:rPr>
          <w:rFonts w:ascii="Palatino Linotype" w:eastAsia="Palatino Linotype" w:hAnsi="Palatino Linotype" w:cs="Palatino Linotype"/>
          <w:sz w:val="24"/>
          <w:szCs w:val="24"/>
        </w:rPr>
        <w:t>Calavera</w:t>
      </w:r>
      <w:r w:rsidR="0027782D" w:rsidRPr="000546E5">
        <w:rPr>
          <w:rFonts w:ascii="Palatino Linotype" w:eastAsia="Palatino Linotype" w:hAnsi="Palatino Linotype" w:cs="Palatino Linotype"/>
          <w:sz w:val="24"/>
          <w:szCs w:val="24"/>
        </w:rPr>
        <w:t>s’</w:t>
      </w:r>
      <w:r w:rsidR="00275F53" w:rsidRPr="000546E5">
        <w:rPr>
          <w:rFonts w:ascii="Palatino Linotype" w:eastAsia="Palatino Linotype" w:hAnsi="Palatino Linotype" w:cs="Palatino Linotype"/>
          <w:sz w:val="24"/>
          <w:szCs w:val="24"/>
        </w:rPr>
        <w:t xml:space="preserve"> proposal in </w:t>
      </w:r>
      <w:r w:rsidR="00CC6F05" w:rsidRPr="000546E5">
        <w:rPr>
          <w:rFonts w:ascii="Palatino Linotype" w:eastAsia="Palatino Linotype" w:hAnsi="Palatino Linotype" w:cs="Palatino Linotype"/>
          <w:sz w:val="24"/>
          <w:szCs w:val="24"/>
        </w:rPr>
        <w:t>column B</w:t>
      </w:r>
      <w:r w:rsidR="00F33374" w:rsidRPr="000546E5">
        <w:rPr>
          <w:rFonts w:ascii="Palatino Linotype" w:eastAsia="Palatino Linotype" w:hAnsi="Palatino Linotype" w:cs="Palatino Linotype"/>
          <w:sz w:val="24"/>
          <w:szCs w:val="24"/>
        </w:rPr>
        <w:t xml:space="preserve"> and </w:t>
      </w:r>
      <w:r w:rsidR="00275F53" w:rsidRPr="000546E5">
        <w:rPr>
          <w:rFonts w:ascii="Palatino Linotype" w:eastAsia="Palatino Linotype" w:hAnsi="Palatino Linotype" w:cs="Palatino Linotype"/>
          <w:sz w:val="24"/>
          <w:szCs w:val="24"/>
        </w:rPr>
        <w:t xml:space="preserve">Staff’s </w:t>
      </w:r>
      <w:r w:rsidR="00D51F1E" w:rsidRPr="000546E5">
        <w:rPr>
          <w:rFonts w:ascii="Palatino Linotype" w:eastAsia="Palatino Linotype" w:hAnsi="Palatino Linotype" w:cs="Palatino Linotype"/>
          <w:sz w:val="24"/>
          <w:szCs w:val="24"/>
        </w:rPr>
        <w:t>result</w:t>
      </w:r>
      <w:r w:rsidR="00275F53" w:rsidRPr="000546E5">
        <w:rPr>
          <w:rFonts w:ascii="Palatino Linotype" w:eastAsia="Palatino Linotype" w:hAnsi="Palatino Linotype" w:cs="Palatino Linotype"/>
          <w:sz w:val="24"/>
          <w:szCs w:val="24"/>
        </w:rPr>
        <w:t xml:space="preserve"> in column </w:t>
      </w:r>
      <w:r w:rsidR="00F33374" w:rsidRPr="000546E5">
        <w:rPr>
          <w:rFonts w:ascii="Palatino Linotype" w:eastAsia="Palatino Linotype" w:hAnsi="Palatino Linotype" w:cs="Palatino Linotype"/>
          <w:sz w:val="24"/>
          <w:szCs w:val="24"/>
        </w:rPr>
        <w:t>C</w:t>
      </w:r>
      <w:r w:rsidR="00CC6F05" w:rsidRPr="000546E5">
        <w:rPr>
          <w:rFonts w:ascii="Palatino Linotype" w:eastAsia="Palatino Linotype" w:hAnsi="Palatino Linotype" w:cs="Palatino Linotype"/>
          <w:sz w:val="24"/>
          <w:szCs w:val="24"/>
        </w:rPr>
        <w:t>)</w:t>
      </w:r>
      <w:r w:rsidR="00471D88">
        <w:rPr>
          <w:rFonts w:ascii="Palatino Linotype" w:eastAsia="Palatino Linotype" w:hAnsi="Palatino Linotype" w:cs="Palatino Linotype"/>
          <w:sz w:val="24"/>
          <w:szCs w:val="24"/>
        </w:rPr>
        <w:t xml:space="preserve">.  </w:t>
      </w:r>
      <w:r w:rsidR="00E87FC4" w:rsidRPr="000546E5">
        <w:rPr>
          <w:rFonts w:ascii="Palatino Linotype" w:eastAsia="Palatino Linotype" w:hAnsi="Palatino Linotype" w:cs="Palatino Linotype"/>
          <w:sz w:val="24"/>
          <w:szCs w:val="24"/>
        </w:rPr>
        <w:t xml:space="preserve">Staff </w:t>
      </w:r>
      <w:r w:rsidR="00471D88">
        <w:rPr>
          <w:rFonts w:ascii="Palatino Linotype" w:eastAsia="Palatino Linotype" w:hAnsi="Palatino Linotype" w:cs="Palatino Linotype"/>
          <w:sz w:val="24"/>
          <w:szCs w:val="24"/>
        </w:rPr>
        <w:t xml:space="preserve">also </w:t>
      </w:r>
      <w:r w:rsidR="00E87FC4" w:rsidRPr="000546E5">
        <w:rPr>
          <w:rFonts w:ascii="Palatino Linotype" w:eastAsia="Palatino Linotype" w:hAnsi="Palatino Linotype" w:cs="Palatino Linotype"/>
          <w:sz w:val="24"/>
          <w:szCs w:val="24"/>
        </w:rPr>
        <w:t xml:space="preserve">proposes a further reduction in </w:t>
      </w:r>
      <w:r w:rsidR="006E389E" w:rsidRPr="000546E5">
        <w:rPr>
          <w:rFonts w:ascii="Palatino Linotype" w:eastAsia="Palatino Linotype" w:hAnsi="Palatino Linotype" w:cs="Palatino Linotype"/>
          <w:sz w:val="24"/>
          <w:szCs w:val="24"/>
        </w:rPr>
        <w:t xml:space="preserve">CHCF-A support by an equal </w:t>
      </w:r>
      <w:r w:rsidR="00275F53" w:rsidRPr="000546E5">
        <w:rPr>
          <w:rFonts w:ascii="Palatino Linotype" w:eastAsia="Palatino Linotype" w:hAnsi="Palatino Linotype" w:cs="Palatino Linotype"/>
          <w:sz w:val="24"/>
          <w:szCs w:val="24"/>
        </w:rPr>
        <w:t xml:space="preserve">additional </w:t>
      </w:r>
      <w:r w:rsidR="006E389E" w:rsidRPr="000546E5">
        <w:rPr>
          <w:rFonts w:ascii="Palatino Linotype" w:eastAsia="Palatino Linotype" w:hAnsi="Palatino Linotype" w:cs="Palatino Linotype"/>
          <w:sz w:val="24"/>
          <w:szCs w:val="24"/>
        </w:rPr>
        <w:t>amount, from $</w:t>
      </w:r>
      <w:r w:rsidR="00342CA1" w:rsidRPr="000546E5">
        <w:rPr>
          <w:rFonts w:ascii="Palatino Linotype" w:eastAsia="Palatino Linotype" w:hAnsi="Palatino Linotype" w:cs="Palatino Linotype"/>
          <w:sz w:val="24"/>
          <w:szCs w:val="24"/>
        </w:rPr>
        <w:t>2,752,607</w:t>
      </w:r>
      <w:r w:rsidR="006E389E" w:rsidRPr="000546E5">
        <w:rPr>
          <w:rFonts w:ascii="Palatino Linotype" w:eastAsia="Palatino Linotype" w:hAnsi="Palatino Linotype" w:cs="Palatino Linotype"/>
          <w:sz w:val="24"/>
          <w:szCs w:val="24"/>
        </w:rPr>
        <w:t xml:space="preserve"> to $</w:t>
      </w:r>
      <w:r w:rsidR="00342CA1" w:rsidRPr="000546E5">
        <w:rPr>
          <w:rFonts w:ascii="Palatino Linotype" w:eastAsia="Palatino Linotype" w:hAnsi="Palatino Linotype" w:cs="Palatino Linotype"/>
          <w:sz w:val="24"/>
          <w:szCs w:val="24"/>
        </w:rPr>
        <w:t>2,736,510</w:t>
      </w:r>
      <w:r w:rsidR="00242960" w:rsidRPr="000546E5">
        <w:rPr>
          <w:rFonts w:ascii="Palatino Linotype" w:eastAsia="Palatino Linotype" w:hAnsi="Palatino Linotype" w:cs="Palatino Linotype"/>
          <w:sz w:val="24"/>
          <w:szCs w:val="24"/>
        </w:rPr>
        <w:t xml:space="preserve"> (line </w:t>
      </w:r>
      <w:r w:rsidR="00342CA1" w:rsidRPr="000546E5">
        <w:rPr>
          <w:rFonts w:ascii="Palatino Linotype" w:eastAsia="Palatino Linotype" w:hAnsi="Palatino Linotype" w:cs="Palatino Linotype"/>
          <w:sz w:val="24"/>
          <w:szCs w:val="24"/>
        </w:rPr>
        <w:t>6</w:t>
      </w:r>
      <w:r w:rsidR="00242960" w:rsidRPr="000546E5">
        <w:rPr>
          <w:rFonts w:ascii="Palatino Linotype" w:eastAsia="Palatino Linotype" w:hAnsi="Palatino Linotype" w:cs="Palatino Linotype"/>
          <w:sz w:val="24"/>
          <w:szCs w:val="24"/>
        </w:rPr>
        <w:t>, comparing columns B and C).</w:t>
      </w:r>
      <w:r w:rsidR="00471D88">
        <w:rPr>
          <w:rFonts w:ascii="Palatino Linotype" w:eastAsia="Palatino Linotype" w:hAnsi="Palatino Linotype" w:cs="Palatino Linotype"/>
          <w:sz w:val="24"/>
          <w:szCs w:val="24"/>
        </w:rPr>
        <w:t xml:space="preserve">  </w:t>
      </w:r>
      <w:r w:rsidR="005C18FE" w:rsidRPr="000546E5">
        <w:rPr>
          <w:rFonts w:ascii="Palatino Linotype" w:eastAsia="Palatino Linotype" w:hAnsi="Palatino Linotype" w:cs="Palatino Linotype"/>
          <w:sz w:val="24"/>
          <w:szCs w:val="24"/>
        </w:rPr>
        <w:t>This results in an overall decrease of $</w:t>
      </w:r>
      <w:r w:rsidR="00342CA1" w:rsidRPr="000546E5">
        <w:rPr>
          <w:rFonts w:ascii="Palatino Linotype" w:eastAsia="Palatino Linotype" w:hAnsi="Palatino Linotype" w:cs="Palatino Linotype"/>
          <w:sz w:val="24"/>
          <w:szCs w:val="24"/>
        </w:rPr>
        <w:t>196,389</w:t>
      </w:r>
      <w:r w:rsidR="005C18FE" w:rsidRPr="000546E5">
        <w:rPr>
          <w:rFonts w:ascii="Palatino Linotype" w:eastAsia="Palatino Linotype" w:hAnsi="Palatino Linotype" w:cs="Palatino Linotype"/>
          <w:sz w:val="24"/>
          <w:szCs w:val="24"/>
        </w:rPr>
        <w:t xml:space="preserve"> in </w:t>
      </w:r>
      <w:r w:rsidR="00F46D1F" w:rsidRPr="000546E5">
        <w:rPr>
          <w:rFonts w:ascii="Palatino Linotype" w:eastAsia="Palatino Linotype" w:hAnsi="Palatino Linotype" w:cs="Palatino Linotype"/>
          <w:sz w:val="24"/>
          <w:szCs w:val="24"/>
        </w:rPr>
        <w:t>Calavera</w:t>
      </w:r>
      <w:r w:rsidR="0027782D" w:rsidRPr="000546E5">
        <w:rPr>
          <w:rFonts w:ascii="Palatino Linotype" w:eastAsia="Palatino Linotype" w:hAnsi="Palatino Linotype" w:cs="Palatino Linotype"/>
          <w:sz w:val="24"/>
          <w:szCs w:val="24"/>
        </w:rPr>
        <w:t>s’</w:t>
      </w:r>
      <w:r w:rsidR="005C18FE" w:rsidRPr="000546E5">
        <w:rPr>
          <w:rFonts w:ascii="Palatino Linotype" w:eastAsia="Palatino Linotype" w:hAnsi="Palatino Linotype" w:cs="Palatino Linotype"/>
          <w:sz w:val="24"/>
          <w:szCs w:val="24"/>
        </w:rPr>
        <w:t xml:space="preserve"> revenue requirement, from $</w:t>
      </w:r>
      <w:r w:rsidR="00342CA1" w:rsidRPr="000546E5">
        <w:rPr>
          <w:rFonts w:ascii="Palatino Linotype" w:eastAsia="Palatino Linotype" w:hAnsi="Palatino Linotype" w:cs="Palatino Linotype"/>
          <w:sz w:val="24"/>
          <w:szCs w:val="24"/>
        </w:rPr>
        <w:t>6,200,1</w:t>
      </w:r>
      <w:r w:rsidR="00C73740" w:rsidRPr="000546E5">
        <w:rPr>
          <w:rFonts w:ascii="Palatino Linotype" w:eastAsia="Palatino Linotype" w:hAnsi="Palatino Linotype" w:cs="Palatino Linotype"/>
          <w:sz w:val="24"/>
          <w:szCs w:val="24"/>
        </w:rPr>
        <w:t>54</w:t>
      </w:r>
      <w:r w:rsidR="005C18FE" w:rsidRPr="000546E5">
        <w:rPr>
          <w:rFonts w:ascii="Palatino Linotype" w:eastAsia="Palatino Linotype" w:hAnsi="Palatino Linotype" w:cs="Palatino Linotype"/>
          <w:sz w:val="24"/>
          <w:szCs w:val="24"/>
        </w:rPr>
        <w:t xml:space="preserve"> to $</w:t>
      </w:r>
      <w:r w:rsidR="00342CA1" w:rsidRPr="000546E5">
        <w:rPr>
          <w:rFonts w:ascii="Palatino Linotype" w:eastAsia="Palatino Linotype" w:hAnsi="Palatino Linotype" w:cs="Palatino Linotype"/>
          <w:sz w:val="24"/>
          <w:szCs w:val="24"/>
        </w:rPr>
        <w:t>6,003,765</w:t>
      </w:r>
      <w:r w:rsidR="005C18FE" w:rsidRPr="000546E5">
        <w:rPr>
          <w:rFonts w:ascii="Palatino Linotype" w:eastAsia="Palatino Linotype" w:hAnsi="Palatino Linotype" w:cs="Palatino Linotype"/>
          <w:sz w:val="24"/>
          <w:szCs w:val="24"/>
        </w:rPr>
        <w:t xml:space="preserve"> (comparing line </w:t>
      </w:r>
      <w:r w:rsidR="00342CA1" w:rsidRPr="000546E5">
        <w:rPr>
          <w:rFonts w:ascii="Palatino Linotype" w:eastAsia="Palatino Linotype" w:hAnsi="Palatino Linotype" w:cs="Palatino Linotype"/>
          <w:sz w:val="24"/>
          <w:szCs w:val="24"/>
        </w:rPr>
        <w:t>7</w:t>
      </w:r>
      <w:r w:rsidR="005C18FE" w:rsidRPr="000546E5">
        <w:rPr>
          <w:rFonts w:ascii="Palatino Linotype" w:eastAsia="Palatino Linotype" w:hAnsi="Palatino Linotype" w:cs="Palatino Linotype"/>
          <w:sz w:val="24"/>
          <w:szCs w:val="24"/>
        </w:rPr>
        <w:t xml:space="preserve">, columns A and C), and </w:t>
      </w:r>
      <w:r w:rsidR="00F059CA" w:rsidRPr="000546E5">
        <w:rPr>
          <w:rFonts w:ascii="Palatino Linotype" w:eastAsia="Palatino Linotype" w:hAnsi="Palatino Linotype" w:cs="Palatino Linotype"/>
          <w:sz w:val="24"/>
          <w:szCs w:val="24"/>
        </w:rPr>
        <w:t>a</w:t>
      </w:r>
      <w:r w:rsidR="006F3A37" w:rsidRPr="000546E5">
        <w:rPr>
          <w:rFonts w:ascii="Palatino Linotype" w:eastAsia="Palatino Linotype" w:hAnsi="Palatino Linotype" w:cs="Palatino Linotype"/>
          <w:sz w:val="24"/>
          <w:szCs w:val="24"/>
        </w:rPr>
        <w:t xml:space="preserve">n overall </w:t>
      </w:r>
      <w:r w:rsidR="005C18FE" w:rsidRPr="000546E5">
        <w:rPr>
          <w:rFonts w:ascii="Palatino Linotype" w:eastAsia="Palatino Linotype" w:hAnsi="Palatino Linotype" w:cs="Palatino Linotype"/>
          <w:sz w:val="24"/>
          <w:szCs w:val="24"/>
        </w:rPr>
        <w:t>decrease of $</w:t>
      </w:r>
      <w:r w:rsidR="00342CA1" w:rsidRPr="000546E5">
        <w:rPr>
          <w:rFonts w:ascii="Palatino Linotype" w:eastAsia="Palatino Linotype" w:hAnsi="Palatino Linotype" w:cs="Palatino Linotype"/>
          <w:sz w:val="24"/>
          <w:szCs w:val="24"/>
        </w:rPr>
        <w:t>196,389</w:t>
      </w:r>
      <w:r w:rsidR="005C18FE" w:rsidRPr="000546E5">
        <w:rPr>
          <w:rFonts w:ascii="Palatino Linotype" w:eastAsia="Palatino Linotype" w:hAnsi="Palatino Linotype" w:cs="Palatino Linotype"/>
          <w:sz w:val="24"/>
          <w:szCs w:val="24"/>
        </w:rPr>
        <w:t xml:space="preserve"> in CHCF-A support from $</w:t>
      </w:r>
      <w:r w:rsidR="00342CA1" w:rsidRPr="000546E5">
        <w:rPr>
          <w:rFonts w:ascii="Palatino Linotype" w:eastAsia="Palatino Linotype" w:hAnsi="Palatino Linotype" w:cs="Palatino Linotype"/>
          <w:sz w:val="24"/>
          <w:szCs w:val="24"/>
        </w:rPr>
        <w:t xml:space="preserve">2,932,899 </w:t>
      </w:r>
      <w:r w:rsidR="005C18FE" w:rsidRPr="000546E5">
        <w:rPr>
          <w:rFonts w:ascii="Palatino Linotype" w:eastAsia="Palatino Linotype" w:hAnsi="Palatino Linotype" w:cs="Palatino Linotype"/>
          <w:sz w:val="24"/>
          <w:szCs w:val="24"/>
        </w:rPr>
        <w:t>to $</w:t>
      </w:r>
      <w:r w:rsidR="00342CA1" w:rsidRPr="000546E5">
        <w:rPr>
          <w:rFonts w:ascii="Palatino Linotype" w:eastAsia="Palatino Linotype" w:hAnsi="Palatino Linotype" w:cs="Palatino Linotype"/>
          <w:sz w:val="24"/>
          <w:szCs w:val="24"/>
        </w:rPr>
        <w:t>2,736,510</w:t>
      </w:r>
      <w:r w:rsidR="00F059CA" w:rsidRPr="000546E5">
        <w:rPr>
          <w:rFonts w:ascii="Palatino Linotype" w:eastAsia="Palatino Linotype" w:hAnsi="Palatino Linotype" w:cs="Palatino Linotype"/>
          <w:sz w:val="24"/>
          <w:szCs w:val="24"/>
        </w:rPr>
        <w:t xml:space="preserve"> (comparing line </w:t>
      </w:r>
      <w:r w:rsidR="00CF3514" w:rsidRPr="000546E5">
        <w:rPr>
          <w:rFonts w:ascii="Palatino Linotype" w:eastAsia="Palatino Linotype" w:hAnsi="Palatino Linotype" w:cs="Palatino Linotype"/>
          <w:sz w:val="24"/>
          <w:szCs w:val="24"/>
        </w:rPr>
        <w:t>6</w:t>
      </w:r>
      <w:r w:rsidR="00F059CA" w:rsidRPr="000546E5">
        <w:rPr>
          <w:rFonts w:ascii="Palatino Linotype" w:eastAsia="Palatino Linotype" w:hAnsi="Palatino Linotype" w:cs="Palatino Linotype"/>
          <w:sz w:val="24"/>
          <w:szCs w:val="24"/>
        </w:rPr>
        <w:t>, columns A and C</w:t>
      </w:r>
      <w:r w:rsidR="00E62111">
        <w:rPr>
          <w:rFonts w:ascii="Palatino Linotype" w:eastAsia="Palatino Linotype" w:hAnsi="Palatino Linotype" w:cs="Palatino Linotype"/>
          <w:sz w:val="24"/>
          <w:szCs w:val="24"/>
        </w:rPr>
        <w:t xml:space="preserve"> for TY 2018</w:t>
      </w:r>
      <w:r w:rsidR="00F059CA" w:rsidRPr="000546E5">
        <w:rPr>
          <w:rFonts w:ascii="Palatino Linotype" w:eastAsia="Palatino Linotype" w:hAnsi="Palatino Linotype" w:cs="Palatino Linotype"/>
          <w:sz w:val="24"/>
          <w:szCs w:val="24"/>
        </w:rPr>
        <w:t>).</w:t>
      </w:r>
    </w:p>
    <w:p w:rsidR="006A0F29" w:rsidRDefault="006A0F29" w:rsidP="00CF6688">
      <w:pPr>
        <w:ind w:left="100" w:right="401"/>
        <w:rPr>
          <w:rFonts w:ascii="Palatino Linotype" w:eastAsia="Palatino Linotype" w:hAnsi="Palatino Linotype" w:cs="Palatino Linotype"/>
          <w:sz w:val="24"/>
          <w:szCs w:val="24"/>
        </w:rPr>
      </w:pPr>
    </w:p>
    <w:p w:rsidR="00A2726F" w:rsidRDefault="00A2726F" w:rsidP="00CF6688">
      <w:pPr>
        <w:ind w:left="100" w:right="401"/>
        <w:rPr>
          <w:rFonts w:ascii="Palatino Linotype" w:eastAsia="Palatino Linotype" w:hAnsi="Palatino Linotype" w:cs="Palatino Linotype"/>
          <w:sz w:val="24"/>
          <w:szCs w:val="24"/>
        </w:rPr>
      </w:pPr>
    </w:p>
    <w:p w:rsidR="00CD5EEE" w:rsidRDefault="002F182C" w:rsidP="00CF6688">
      <w:pPr>
        <w:ind w:left="100" w:right="401"/>
        <w:rPr>
          <w:rFonts w:ascii="Palatino Linotype" w:eastAsia="Palatino Linotype" w:hAnsi="Palatino Linotype" w:cs="Palatino Linotype"/>
          <w:sz w:val="24"/>
          <w:szCs w:val="24"/>
        </w:rPr>
      </w:pPr>
      <w:r w:rsidRPr="0035010B">
        <w:rPr>
          <w:rFonts w:ascii="Palatino Linotype" w:eastAsia="Palatino Linotype" w:hAnsi="Palatino Linotype" w:cs="Palatino Linotype"/>
          <w:sz w:val="24"/>
          <w:szCs w:val="24"/>
          <w:u w:val="single"/>
        </w:rPr>
        <w:lastRenderedPageBreak/>
        <w:t>Summary</w:t>
      </w:r>
    </w:p>
    <w:p w:rsidR="00600AD8" w:rsidRPr="00CD5EEE" w:rsidRDefault="00600AD8" w:rsidP="00CF6688">
      <w:pPr>
        <w:ind w:left="100" w:right="401"/>
        <w:rPr>
          <w:rFonts w:ascii="Palatino Linotype" w:eastAsia="Palatino Linotype" w:hAnsi="Palatino Linotype" w:cs="Palatino Linotype"/>
          <w:sz w:val="24"/>
          <w:szCs w:val="24"/>
        </w:rPr>
      </w:pPr>
    </w:p>
    <w:p w:rsidR="00117DBA" w:rsidRDefault="00153FB8" w:rsidP="00311143">
      <w:pPr>
        <w:ind w:left="100"/>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 xml:space="preserve">Staff accepts </w:t>
      </w:r>
      <w:r w:rsidR="00F46D1F">
        <w:rPr>
          <w:rFonts w:ascii="Palatino Linotype" w:eastAsia="Palatino Linotype" w:hAnsi="Palatino Linotype" w:cs="Palatino Linotype"/>
          <w:sz w:val="24"/>
          <w:szCs w:val="24"/>
        </w:rPr>
        <w:t>Calaveras</w:t>
      </w:r>
      <w:r>
        <w:rPr>
          <w:rFonts w:ascii="Palatino Linotype" w:eastAsia="Palatino Linotype" w:hAnsi="Palatino Linotype" w:cs="Palatino Linotype"/>
          <w:sz w:val="24"/>
          <w:szCs w:val="24"/>
        </w:rPr>
        <w:t xml:space="preserve">’ </w:t>
      </w:r>
      <w:r w:rsidR="008A032F">
        <w:rPr>
          <w:rFonts w:ascii="Palatino Linotype" w:eastAsia="Palatino Linotype" w:hAnsi="Palatino Linotype" w:cs="Palatino Linotype"/>
          <w:sz w:val="24"/>
          <w:szCs w:val="24"/>
        </w:rPr>
        <w:t xml:space="preserve">calculation of the </w:t>
      </w:r>
      <w:r>
        <w:rPr>
          <w:rFonts w:ascii="Palatino Linotype" w:eastAsia="Palatino Linotype" w:hAnsi="Palatino Linotype" w:cs="Palatino Linotype"/>
          <w:sz w:val="24"/>
          <w:szCs w:val="24"/>
        </w:rPr>
        <w:t>reduc</w:t>
      </w:r>
      <w:r w:rsidR="00FD2A11">
        <w:rPr>
          <w:rFonts w:ascii="Palatino Linotype" w:eastAsia="Palatino Linotype" w:hAnsi="Palatino Linotype" w:cs="Palatino Linotype"/>
          <w:sz w:val="24"/>
          <w:szCs w:val="24"/>
        </w:rPr>
        <w:t xml:space="preserve">ed </w:t>
      </w:r>
      <w:r w:rsidR="00350FD8">
        <w:rPr>
          <w:rFonts w:ascii="Palatino Linotype" w:eastAsia="Palatino Linotype" w:hAnsi="Palatino Linotype" w:cs="Palatino Linotype"/>
          <w:sz w:val="24"/>
          <w:szCs w:val="24"/>
        </w:rPr>
        <w:t xml:space="preserve">tax rate of 21% </w:t>
      </w:r>
      <w:r w:rsidR="00D51F1E">
        <w:rPr>
          <w:rFonts w:ascii="Palatino Linotype" w:eastAsia="Palatino Linotype" w:hAnsi="Palatino Linotype" w:cs="Palatino Linotype"/>
          <w:sz w:val="24"/>
          <w:szCs w:val="24"/>
        </w:rPr>
        <w:t xml:space="preserve">and </w:t>
      </w:r>
      <w:r w:rsidR="00D717B6">
        <w:rPr>
          <w:rFonts w:ascii="Palatino Linotype" w:eastAsia="Palatino Linotype" w:hAnsi="Palatino Linotype" w:cs="Palatino Linotype"/>
          <w:sz w:val="24"/>
          <w:szCs w:val="24"/>
        </w:rPr>
        <w:t xml:space="preserve">has </w:t>
      </w:r>
      <w:r w:rsidR="00A30233">
        <w:rPr>
          <w:rFonts w:ascii="Palatino Linotype" w:eastAsia="Palatino Linotype" w:hAnsi="Palatino Linotype" w:cs="Palatino Linotype"/>
          <w:sz w:val="24"/>
          <w:szCs w:val="24"/>
        </w:rPr>
        <w:t xml:space="preserve">further </w:t>
      </w:r>
      <w:r w:rsidR="00350FD8">
        <w:rPr>
          <w:rFonts w:ascii="Palatino Linotype" w:eastAsia="Palatino Linotype" w:hAnsi="Palatino Linotype" w:cs="Palatino Linotype"/>
          <w:sz w:val="24"/>
          <w:szCs w:val="24"/>
        </w:rPr>
        <w:t>reduc</w:t>
      </w:r>
      <w:r w:rsidR="00B93697">
        <w:rPr>
          <w:rFonts w:ascii="Palatino Linotype" w:eastAsia="Palatino Linotype" w:hAnsi="Palatino Linotype" w:cs="Palatino Linotype"/>
          <w:sz w:val="24"/>
          <w:szCs w:val="24"/>
        </w:rPr>
        <w:t>e</w:t>
      </w:r>
      <w:r w:rsidR="00A30233">
        <w:rPr>
          <w:rFonts w:ascii="Palatino Linotype" w:eastAsia="Palatino Linotype" w:hAnsi="Palatino Linotype" w:cs="Palatino Linotype"/>
          <w:sz w:val="24"/>
          <w:szCs w:val="24"/>
        </w:rPr>
        <w:t>d</w:t>
      </w:r>
      <w:r w:rsidR="00350FD8">
        <w:rPr>
          <w:rFonts w:ascii="Palatino Linotype" w:eastAsia="Palatino Linotype" w:hAnsi="Palatino Linotype" w:cs="Palatino Linotype"/>
          <w:sz w:val="24"/>
          <w:szCs w:val="24"/>
        </w:rPr>
        <w:t xml:space="preserve"> </w:t>
      </w:r>
      <w:r w:rsidR="00F46D1F">
        <w:rPr>
          <w:rFonts w:ascii="Palatino Linotype" w:eastAsia="Palatino Linotype" w:hAnsi="Palatino Linotype" w:cs="Palatino Linotype"/>
          <w:sz w:val="24"/>
          <w:szCs w:val="24"/>
        </w:rPr>
        <w:t>Calavera</w:t>
      </w:r>
      <w:r w:rsidR="0027782D">
        <w:rPr>
          <w:rFonts w:ascii="Palatino Linotype" w:eastAsia="Palatino Linotype" w:hAnsi="Palatino Linotype" w:cs="Palatino Linotype"/>
          <w:sz w:val="24"/>
          <w:szCs w:val="24"/>
        </w:rPr>
        <w:t>s’</w:t>
      </w:r>
      <w:r w:rsidR="00977143">
        <w:rPr>
          <w:rFonts w:ascii="Palatino Linotype" w:eastAsia="Palatino Linotype" w:hAnsi="Palatino Linotype" w:cs="Palatino Linotype"/>
          <w:sz w:val="24"/>
          <w:szCs w:val="24"/>
        </w:rPr>
        <w:t xml:space="preserve"> proposed </w:t>
      </w:r>
      <w:r w:rsidR="00350FD8">
        <w:rPr>
          <w:rFonts w:ascii="Palatino Linotype" w:eastAsia="Palatino Linotype" w:hAnsi="Palatino Linotype" w:cs="Palatino Linotype"/>
          <w:sz w:val="24"/>
          <w:szCs w:val="24"/>
        </w:rPr>
        <w:t>revenue requirement</w:t>
      </w:r>
      <w:r w:rsidR="007D6073">
        <w:rPr>
          <w:rFonts w:ascii="Palatino Linotype" w:eastAsia="Palatino Linotype" w:hAnsi="Palatino Linotype" w:cs="Palatino Linotype"/>
          <w:sz w:val="24"/>
          <w:szCs w:val="24"/>
        </w:rPr>
        <w:t xml:space="preserve"> and CHCF-A support</w:t>
      </w:r>
      <w:r w:rsidR="00350FD8">
        <w:rPr>
          <w:rFonts w:ascii="Palatino Linotype" w:eastAsia="Palatino Linotype" w:hAnsi="Palatino Linotype" w:cs="Palatino Linotype"/>
          <w:sz w:val="24"/>
          <w:szCs w:val="24"/>
        </w:rPr>
        <w:t xml:space="preserve"> by</w:t>
      </w:r>
      <w:r w:rsidR="00D717B6">
        <w:rPr>
          <w:rFonts w:ascii="Palatino Linotype" w:eastAsia="Palatino Linotype" w:hAnsi="Palatino Linotype" w:cs="Palatino Linotype"/>
          <w:sz w:val="24"/>
          <w:szCs w:val="24"/>
        </w:rPr>
        <w:t xml:space="preserve"> </w:t>
      </w:r>
      <w:r w:rsidR="00275F53">
        <w:rPr>
          <w:rFonts w:ascii="Palatino Linotype" w:eastAsia="Palatino Linotype" w:hAnsi="Palatino Linotype" w:cs="Palatino Linotype"/>
          <w:sz w:val="24"/>
          <w:szCs w:val="24"/>
        </w:rPr>
        <w:t xml:space="preserve">an additional </w:t>
      </w:r>
      <w:r w:rsidR="008F258D">
        <w:rPr>
          <w:rFonts w:ascii="Palatino Linotype" w:eastAsia="Palatino Linotype" w:hAnsi="Palatino Linotype" w:cs="Palatino Linotype"/>
          <w:sz w:val="24"/>
          <w:szCs w:val="24"/>
        </w:rPr>
        <w:t>$</w:t>
      </w:r>
      <w:r w:rsidR="00CF3514">
        <w:rPr>
          <w:rFonts w:ascii="Palatino Linotype" w:eastAsia="Palatino Linotype" w:hAnsi="Palatino Linotype" w:cs="Palatino Linotype"/>
          <w:sz w:val="24"/>
          <w:szCs w:val="24"/>
        </w:rPr>
        <w:t>16,097</w:t>
      </w:r>
      <w:r w:rsidR="008F258D">
        <w:rPr>
          <w:rFonts w:ascii="Palatino Linotype" w:eastAsia="Palatino Linotype" w:hAnsi="Palatino Linotype" w:cs="Palatino Linotype"/>
          <w:sz w:val="24"/>
          <w:szCs w:val="24"/>
        </w:rPr>
        <w:t xml:space="preserve"> </w:t>
      </w:r>
      <w:r w:rsidR="00D717B6">
        <w:rPr>
          <w:rFonts w:ascii="Palatino Linotype" w:eastAsia="Palatino Linotype" w:hAnsi="Palatino Linotype" w:cs="Palatino Linotype"/>
          <w:sz w:val="24"/>
          <w:szCs w:val="24"/>
        </w:rPr>
        <w:t xml:space="preserve">to </w:t>
      </w:r>
      <w:r w:rsidR="00323513">
        <w:rPr>
          <w:rFonts w:ascii="Palatino Linotype" w:eastAsia="Palatino Linotype" w:hAnsi="Palatino Linotype" w:cs="Palatino Linotype"/>
          <w:sz w:val="24"/>
          <w:szCs w:val="24"/>
        </w:rPr>
        <w:t xml:space="preserve">consider </w:t>
      </w:r>
      <w:r w:rsidR="0099122A">
        <w:rPr>
          <w:rFonts w:ascii="Palatino Linotype" w:eastAsia="Palatino Linotype" w:hAnsi="Palatino Linotype" w:cs="Palatino Linotype"/>
          <w:sz w:val="24"/>
          <w:szCs w:val="24"/>
        </w:rPr>
        <w:t xml:space="preserve">the </w:t>
      </w:r>
      <w:r w:rsidR="00323513">
        <w:rPr>
          <w:rFonts w:ascii="Palatino Linotype" w:eastAsia="Palatino Linotype" w:hAnsi="Palatino Linotype" w:cs="Palatino Linotype"/>
          <w:sz w:val="24"/>
          <w:szCs w:val="24"/>
        </w:rPr>
        <w:t xml:space="preserve">normalization </w:t>
      </w:r>
      <w:r w:rsidR="00350FD8">
        <w:rPr>
          <w:rFonts w:ascii="Palatino Linotype" w:eastAsia="Palatino Linotype" w:hAnsi="Palatino Linotype" w:cs="Palatino Linotype"/>
          <w:sz w:val="24"/>
          <w:szCs w:val="24"/>
        </w:rPr>
        <w:t xml:space="preserve">return </w:t>
      </w:r>
      <w:r w:rsidR="00323513">
        <w:rPr>
          <w:rFonts w:ascii="Palatino Linotype" w:eastAsia="Palatino Linotype" w:hAnsi="Palatino Linotype" w:cs="Palatino Linotype"/>
          <w:sz w:val="24"/>
          <w:szCs w:val="24"/>
        </w:rPr>
        <w:t xml:space="preserve">of the </w:t>
      </w:r>
      <w:r w:rsidR="00172BD6">
        <w:rPr>
          <w:rFonts w:ascii="Palatino Linotype" w:eastAsia="Palatino Linotype" w:hAnsi="Palatino Linotype" w:cs="Palatino Linotype"/>
          <w:sz w:val="24"/>
          <w:szCs w:val="24"/>
        </w:rPr>
        <w:t xml:space="preserve">excess </w:t>
      </w:r>
      <w:r w:rsidR="00323513">
        <w:rPr>
          <w:rFonts w:ascii="Palatino Linotype" w:eastAsia="Palatino Linotype" w:hAnsi="Palatino Linotype" w:cs="Palatino Linotype"/>
          <w:sz w:val="24"/>
          <w:szCs w:val="24"/>
        </w:rPr>
        <w:t xml:space="preserve">deferred </w:t>
      </w:r>
      <w:r w:rsidR="00172BD6">
        <w:rPr>
          <w:rFonts w:ascii="Palatino Linotype" w:eastAsia="Palatino Linotype" w:hAnsi="Palatino Linotype" w:cs="Palatino Linotype"/>
          <w:sz w:val="24"/>
          <w:szCs w:val="24"/>
        </w:rPr>
        <w:t xml:space="preserve">income </w:t>
      </w:r>
      <w:r w:rsidR="00323513">
        <w:rPr>
          <w:rFonts w:ascii="Palatino Linotype" w:eastAsia="Palatino Linotype" w:hAnsi="Palatino Linotype" w:cs="Palatino Linotype"/>
          <w:sz w:val="24"/>
          <w:szCs w:val="24"/>
        </w:rPr>
        <w:t>tax</w:t>
      </w:r>
      <w:r w:rsidR="00D51F1E">
        <w:rPr>
          <w:rFonts w:ascii="Palatino Linotype" w:eastAsia="Palatino Linotype" w:hAnsi="Palatino Linotype" w:cs="Palatino Linotype"/>
          <w:sz w:val="24"/>
          <w:szCs w:val="24"/>
        </w:rPr>
        <w:t xml:space="preserve">.  </w:t>
      </w:r>
      <w:r w:rsidR="00F41A1F">
        <w:rPr>
          <w:rFonts w:ascii="Palatino Linotype" w:eastAsia="Palatino Linotype" w:hAnsi="Palatino Linotype" w:cs="Palatino Linotype"/>
          <w:sz w:val="24"/>
          <w:szCs w:val="24"/>
        </w:rPr>
        <w:t xml:space="preserve">For TY 2018, </w:t>
      </w:r>
      <w:r w:rsidR="0056179F">
        <w:rPr>
          <w:rFonts w:ascii="Palatino Linotype" w:eastAsia="Palatino Linotype" w:hAnsi="Palatino Linotype" w:cs="Palatino Linotype"/>
          <w:sz w:val="24"/>
          <w:szCs w:val="24"/>
        </w:rPr>
        <w:t>S</w:t>
      </w:r>
      <w:r w:rsidR="0088595C">
        <w:rPr>
          <w:rFonts w:ascii="Palatino Linotype" w:eastAsia="Palatino Linotype" w:hAnsi="Palatino Linotype" w:cs="Palatino Linotype"/>
          <w:sz w:val="24"/>
          <w:szCs w:val="24"/>
        </w:rPr>
        <w:t xml:space="preserve">taff </w:t>
      </w:r>
      <w:r w:rsidR="00D51F1E">
        <w:rPr>
          <w:rFonts w:ascii="Palatino Linotype" w:eastAsia="Palatino Linotype" w:hAnsi="Palatino Linotype" w:cs="Palatino Linotype"/>
          <w:sz w:val="24"/>
          <w:szCs w:val="24"/>
        </w:rPr>
        <w:t>propose</w:t>
      </w:r>
      <w:r w:rsidR="00F41A1F">
        <w:rPr>
          <w:rFonts w:ascii="Palatino Linotype" w:eastAsia="Palatino Linotype" w:hAnsi="Palatino Linotype" w:cs="Palatino Linotype"/>
          <w:sz w:val="24"/>
          <w:szCs w:val="24"/>
        </w:rPr>
        <w:t>s</w:t>
      </w:r>
      <w:r w:rsidR="00D51F1E">
        <w:rPr>
          <w:rFonts w:ascii="Palatino Linotype" w:eastAsia="Palatino Linotype" w:hAnsi="Palatino Linotype" w:cs="Palatino Linotype"/>
          <w:sz w:val="24"/>
          <w:szCs w:val="24"/>
        </w:rPr>
        <w:t xml:space="preserve"> a</w:t>
      </w:r>
      <w:r w:rsidR="00B426D5">
        <w:rPr>
          <w:rFonts w:ascii="Palatino Linotype" w:eastAsia="Palatino Linotype" w:hAnsi="Palatino Linotype" w:cs="Palatino Linotype"/>
          <w:sz w:val="24"/>
          <w:szCs w:val="24"/>
        </w:rPr>
        <w:t xml:space="preserve"> total</w:t>
      </w:r>
      <w:r w:rsidR="00D51F1E">
        <w:rPr>
          <w:rFonts w:ascii="Palatino Linotype" w:eastAsia="Palatino Linotype" w:hAnsi="Palatino Linotype" w:cs="Palatino Linotype"/>
          <w:sz w:val="24"/>
          <w:szCs w:val="24"/>
        </w:rPr>
        <w:t xml:space="preserve"> </w:t>
      </w:r>
      <w:r w:rsidR="00323513">
        <w:rPr>
          <w:rFonts w:ascii="Palatino Linotype" w:eastAsia="Palatino Linotype" w:hAnsi="Palatino Linotype" w:cs="Palatino Linotype"/>
          <w:sz w:val="24"/>
          <w:szCs w:val="24"/>
        </w:rPr>
        <w:t>decrease</w:t>
      </w:r>
      <w:r w:rsidR="00F41A1F">
        <w:rPr>
          <w:rFonts w:ascii="Palatino Linotype" w:eastAsia="Palatino Linotype" w:hAnsi="Palatino Linotype" w:cs="Palatino Linotype"/>
          <w:sz w:val="24"/>
          <w:szCs w:val="24"/>
        </w:rPr>
        <w:t xml:space="preserve"> </w:t>
      </w:r>
      <w:r w:rsidR="00D51F1E">
        <w:rPr>
          <w:rFonts w:ascii="Palatino Linotype" w:eastAsia="Palatino Linotype" w:hAnsi="Palatino Linotype" w:cs="Palatino Linotype"/>
          <w:sz w:val="24"/>
          <w:szCs w:val="24"/>
        </w:rPr>
        <w:t xml:space="preserve">to </w:t>
      </w:r>
      <w:r w:rsidR="00F46D1F">
        <w:rPr>
          <w:rFonts w:ascii="Palatino Linotype" w:eastAsia="Palatino Linotype" w:hAnsi="Palatino Linotype" w:cs="Palatino Linotype"/>
          <w:sz w:val="24"/>
          <w:szCs w:val="24"/>
        </w:rPr>
        <w:t>Calavera</w:t>
      </w:r>
      <w:r w:rsidR="0027782D">
        <w:rPr>
          <w:rFonts w:ascii="Palatino Linotype" w:eastAsia="Palatino Linotype" w:hAnsi="Palatino Linotype" w:cs="Palatino Linotype"/>
          <w:sz w:val="24"/>
          <w:szCs w:val="24"/>
        </w:rPr>
        <w:t>s’</w:t>
      </w:r>
      <w:r w:rsidR="0088595C">
        <w:rPr>
          <w:rFonts w:ascii="Palatino Linotype" w:eastAsia="Palatino Linotype" w:hAnsi="Palatino Linotype" w:cs="Palatino Linotype"/>
          <w:sz w:val="24"/>
          <w:szCs w:val="24"/>
        </w:rPr>
        <w:t xml:space="preserve"> adopted revenue</w:t>
      </w:r>
      <w:r w:rsidR="00F41A1F">
        <w:rPr>
          <w:rFonts w:ascii="Palatino Linotype" w:eastAsia="Palatino Linotype" w:hAnsi="Palatino Linotype" w:cs="Palatino Linotype"/>
          <w:sz w:val="24"/>
          <w:szCs w:val="24"/>
        </w:rPr>
        <w:t xml:space="preserve"> </w:t>
      </w:r>
      <w:r w:rsidR="0088595C">
        <w:rPr>
          <w:rFonts w:ascii="Palatino Linotype" w:eastAsia="Palatino Linotype" w:hAnsi="Palatino Linotype" w:cs="Palatino Linotype"/>
          <w:sz w:val="24"/>
          <w:szCs w:val="24"/>
        </w:rPr>
        <w:t>requirement</w:t>
      </w:r>
      <w:r w:rsidR="008A032F">
        <w:rPr>
          <w:rFonts w:ascii="Palatino Linotype" w:eastAsia="Palatino Linotype" w:hAnsi="Palatino Linotype" w:cs="Palatino Linotype"/>
          <w:sz w:val="24"/>
          <w:szCs w:val="24"/>
        </w:rPr>
        <w:t xml:space="preserve"> of </w:t>
      </w:r>
      <w:r w:rsidR="008F258D">
        <w:rPr>
          <w:rFonts w:ascii="Palatino Linotype" w:eastAsia="Palatino Linotype" w:hAnsi="Palatino Linotype" w:cs="Palatino Linotype"/>
          <w:sz w:val="24"/>
          <w:szCs w:val="24"/>
        </w:rPr>
        <w:t>$</w:t>
      </w:r>
      <w:r w:rsidR="00CF3514">
        <w:rPr>
          <w:rFonts w:ascii="Palatino Linotype" w:eastAsia="Palatino Linotype" w:hAnsi="Palatino Linotype" w:cs="Palatino Linotype"/>
          <w:sz w:val="24"/>
          <w:szCs w:val="24"/>
        </w:rPr>
        <w:t>196,389</w:t>
      </w:r>
      <w:r w:rsidR="00D51F1E">
        <w:rPr>
          <w:rFonts w:ascii="Palatino Linotype" w:eastAsia="Palatino Linotype" w:hAnsi="Palatino Linotype" w:cs="Palatino Linotype"/>
          <w:sz w:val="24"/>
          <w:szCs w:val="24"/>
        </w:rPr>
        <w:t>, from $</w:t>
      </w:r>
      <w:r w:rsidR="00CF3514">
        <w:rPr>
          <w:rFonts w:ascii="Palatino Linotype" w:eastAsia="Palatino Linotype" w:hAnsi="Palatino Linotype" w:cs="Palatino Linotype"/>
          <w:sz w:val="24"/>
          <w:szCs w:val="24"/>
        </w:rPr>
        <w:t>6,200,154</w:t>
      </w:r>
      <w:r w:rsidR="00D51F1E">
        <w:rPr>
          <w:rFonts w:ascii="Palatino Linotype" w:eastAsia="Palatino Linotype" w:hAnsi="Palatino Linotype" w:cs="Palatino Linotype"/>
          <w:sz w:val="24"/>
          <w:szCs w:val="24"/>
        </w:rPr>
        <w:t xml:space="preserve"> to $</w:t>
      </w:r>
      <w:r w:rsidR="00CF3514">
        <w:rPr>
          <w:rFonts w:ascii="Palatino Linotype" w:eastAsia="Palatino Linotype" w:hAnsi="Palatino Linotype" w:cs="Palatino Linotype"/>
          <w:sz w:val="24"/>
          <w:szCs w:val="24"/>
        </w:rPr>
        <w:t>6,003,765</w:t>
      </w:r>
      <w:r w:rsidR="00F41A1F">
        <w:rPr>
          <w:rFonts w:ascii="Palatino Linotype" w:eastAsia="Palatino Linotype" w:hAnsi="Palatino Linotype" w:cs="Palatino Linotype"/>
          <w:sz w:val="24"/>
          <w:szCs w:val="24"/>
        </w:rPr>
        <w:t>.</w:t>
      </w:r>
      <w:r w:rsidR="00AB4119">
        <w:rPr>
          <w:rFonts w:ascii="Palatino Linotype" w:eastAsia="Palatino Linotype" w:hAnsi="Palatino Linotype" w:cs="Palatino Linotype"/>
          <w:sz w:val="24"/>
          <w:szCs w:val="24"/>
        </w:rPr>
        <w:t xml:space="preserve"> </w:t>
      </w:r>
      <w:r w:rsidR="00F46D1F">
        <w:rPr>
          <w:rFonts w:ascii="Palatino Linotype" w:eastAsia="Palatino Linotype" w:hAnsi="Palatino Linotype" w:cs="Palatino Linotype"/>
          <w:sz w:val="24"/>
          <w:szCs w:val="24"/>
        </w:rPr>
        <w:t>Calaveras</w:t>
      </w:r>
      <w:r w:rsidR="00117DBA">
        <w:rPr>
          <w:rFonts w:ascii="Palatino Linotype" w:eastAsia="Palatino Linotype" w:hAnsi="Palatino Linotype" w:cs="Palatino Linotype"/>
          <w:sz w:val="24"/>
          <w:szCs w:val="24"/>
        </w:rPr>
        <w:t xml:space="preserve"> proposes to reflect the reduc</w:t>
      </w:r>
      <w:r w:rsidR="00FD2A11">
        <w:rPr>
          <w:rFonts w:ascii="Palatino Linotype" w:eastAsia="Palatino Linotype" w:hAnsi="Palatino Linotype" w:cs="Palatino Linotype"/>
          <w:sz w:val="24"/>
          <w:szCs w:val="24"/>
        </w:rPr>
        <w:t xml:space="preserve">ed </w:t>
      </w:r>
      <w:r w:rsidR="00117DBA">
        <w:rPr>
          <w:rFonts w:ascii="Palatino Linotype" w:eastAsia="Palatino Linotype" w:hAnsi="Palatino Linotype" w:cs="Palatino Linotype"/>
          <w:sz w:val="24"/>
          <w:szCs w:val="24"/>
        </w:rPr>
        <w:t xml:space="preserve">revenue requirement </w:t>
      </w:r>
      <w:r w:rsidR="00B93697">
        <w:rPr>
          <w:rFonts w:ascii="Palatino Linotype" w:eastAsia="Palatino Linotype" w:hAnsi="Palatino Linotype" w:cs="Palatino Linotype"/>
          <w:sz w:val="24"/>
          <w:szCs w:val="24"/>
        </w:rPr>
        <w:t xml:space="preserve">by </w:t>
      </w:r>
      <w:r w:rsidR="00B03769">
        <w:rPr>
          <w:rFonts w:ascii="Palatino Linotype" w:eastAsia="Palatino Linotype" w:hAnsi="Palatino Linotype" w:cs="Palatino Linotype"/>
          <w:sz w:val="24"/>
          <w:szCs w:val="24"/>
        </w:rPr>
        <w:t xml:space="preserve">decreasing </w:t>
      </w:r>
      <w:r w:rsidR="00B93697">
        <w:rPr>
          <w:rFonts w:ascii="Palatino Linotype" w:eastAsia="Palatino Linotype" w:hAnsi="Palatino Linotype" w:cs="Palatino Linotype"/>
          <w:sz w:val="24"/>
          <w:szCs w:val="24"/>
        </w:rPr>
        <w:t>its</w:t>
      </w:r>
      <w:r w:rsidR="00FD2A11">
        <w:rPr>
          <w:rFonts w:ascii="Palatino Linotype" w:eastAsia="Palatino Linotype" w:hAnsi="Palatino Linotype" w:cs="Palatino Linotype"/>
          <w:sz w:val="24"/>
          <w:szCs w:val="24"/>
        </w:rPr>
        <w:t xml:space="preserve"> </w:t>
      </w:r>
      <w:r w:rsidR="00117DBA">
        <w:rPr>
          <w:rFonts w:ascii="Palatino Linotype" w:eastAsia="Palatino Linotype" w:hAnsi="Palatino Linotype" w:cs="Palatino Linotype"/>
          <w:sz w:val="24"/>
          <w:szCs w:val="24"/>
        </w:rPr>
        <w:t>CHCF-A support</w:t>
      </w:r>
      <w:r w:rsidR="00B93697">
        <w:rPr>
          <w:rFonts w:ascii="Palatino Linotype" w:eastAsia="Palatino Linotype" w:hAnsi="Palatino Linotype" w:cs="Palatino Linotype"/>
          <w:sz w:val="24"/>
          <w:szCs w:val="24"/>
        </w:rPr>
        <w:t xml:space="preserve"> in </w:t>
      </w:r>
      <w:r w:rsidR="00C73740">
        <w:rPr>
          <w:rFonts w:ascii="Palatino Linotype" w:eastAsia="Palatino Linotype" w:hAnsi="Palatino Linotype" w:cs="Palatino Linotype"/>
          <w:sz w:val="24"/>
          <w:szCs w:val="24"/>
        </w:rPr>
        <w:t xml:space="preserve">an </w:t>
      </w:r>
      <w:r w:rsidR="00B93697">
        <w:rPr>
          <w:rFonts w:ascii="Palatino Linotype" w:eastAsia="Palatino Linotype" w:hAnsi="Palatino Linotype" w:cs="Palatino Linotype"/>
          <w:sz w:val="24"/>
          <w:szCs w:val="24"/>
        </w:rPr>
        <w:t>equal amount</w:t>
      </w:r>
      <w:r w:rsidR="00117DBA">
        <w:rPr>
          <w:rFonts w:ascii="Palatino Linotype" w:eastAsia="Palatino Linotype" w:hAnsi="Palatino Linotype" w:cs="Palatino Linotype"/>
          <w:sz w:val="24"/>
          <w:szCs w:val="24"/>
        </w:rPr>
        <w:t>.  Staff agrees with th</w:t>
      </w:r>
      <w:r w:rsidR="00FD2A11">
        <w:rPr>
          <w:rFonts w:ascii="Palatino Linotype" w:eastAsia="Palatino Linotype" w:hAnsi="Palatino Linotype" w:cs="Palatino Linotype"/>
          <w:sz w:val="24"/>
          <w:szCs w:val="24"/>
        </w:rPr>
        <w:t>is</w:t>
      </w:r>
      <w:r w:rsidR="00117DBA">
        <w:rPr>
          <w:rFonts w:ascii="Palatino Linotype" w:eastAsia="Palatino Linotype" w:hAnsi="Palatino Linotype" w:cs="Palatino Linotype"/>
          <w:sz w:val="24"/>
          <w:szCs w:val="24"/>
        </w:rPr>
        <w:t xml:space="preserve"> proposal since </w:t>
      </w:r>
      <w:r w:rsidR="006A0F29">
        <w:rPr>
          <w:rFonts w:ascii="Palatino Linotype" w:eastAsia="Palatino Linotype" w:hAnsi="Palatino Linotype" w:cs="Palatino Linotype"/>
          <w:sz w:val="24"/>
          <w:szCs w:val="24"/>
        </w:rPr>
        <w:t>approximately</w:t>
      </w:r>
      <w:r w:rsidR="00D717B6">
        <w:rPr>
          <w:rFonts w:ascii="Palatino Linotype" w:eastAsia="Palatino Linotype" w:hAnsi="Palatino Linotype" w:cs="Palatino Linotype"/>
          <w:sz w:val="24"/>
          <w:szCs w:val="24"/>
        </w:rPr>
        <w:t xml:space="preserve"> half of the company’s revenues </w:t>
      </w:r>
      <w:r w:rsidR="00B93697">
        <w:rPr>
          <w:rFonts w:ascii="Palatino Linotype" w:eastAsia="Palatino Linotype" w:hAnsi="Palatino Linotype" w:cs="Palatino Linotype"/>
          <w:sz w:val="24"/>
          <w:szCs w:val="24"/>
        </w:rPr>
        <w:t xml:space="preserve">come </w:t>
      </w:r>
      <w:r w:rsidR="00D717B6">
        <w:rPr>
          <w:rFonts w:ascii="Palatino Linotype" w:eastAsia="Palatino Linotype" w:hAnsi="Palatino Linotype" w:cs="Palatino Linotype"/>
          <w:sz w:val="24"/>
          <w:szCs w:val="24"/>
        </w:rPr>
        <w:t xml:space="preserve">from </w:t>
      </w:r>
      <w:r w:rsidR="003432CA">
        <w:rPr>
          <w:rFonts w:ascii="Palatino Linotype" w:eastAsia="Palatino Linotype" w:hAnsi="Palatino Linotype" w:cs="Palatino Linotype"/>
          <w:sz w:val="24"/>
          <w:szCs w:val="24"/>
        </w:rPr>
        <w:br/>
      </w:r>
      <w:r w:rsidR="00D717B6">
        <w:rPr>
          <w:rFonts w:ascii="Palatino Linotype" w:eastAsia="Palatino Linotype" w:hAnsi="Palatino Linotype" w:cs="Palatino Linotype"/>
          <w:sz w:val="24"/>
          <w:szCs w:val="24"/>
        </w:rPr>
        <w:t>CHCF-A support</w:t>
      </w:r>
      <w:r w:rsidR="00117DBA">
        <w:rPr>
          <w:rFonts w:ascii="Palatino Linotype" w:eastAsia="Palatino Linotype" w:hAnsi="Palatino Linotype" w:cs="Palatino Linotype"/>
          <w:sz w:val="24"/>
          <w:szCs w:val="24"/>
        </w:rPr>
        <w:t xml:space="preserve">. </w:t>
      </w:r>
      <w:r w:rsidR="00C73740">
        <w:rPr>
          <w:rFonts w:ascii="Palatino Linotype" w:eastAsia="Palatino Linotype" w:hAnsi="Palatino Linotype" w:cs="Palatino Linotype"/>
          <w:sz w:val="24"/>
          <w:szCs w:val="24"/>
        </w:rPr>
        <w:t xml:space="preserve"> </w:t>
      </w:r>
      <w:r w:rsidR="00F059CA">
        <w:rPr>
          <w:rFonts w:ascii="Palatino Linotype" w:eastAsia="Palatino Linotype" w:hAnsi="Palatino Linotype" w:cs="Palatino Linotype"/>
          <w:sz w:val="24"/>
          <w:szCs w:val="24"/>
        </w:rPr>
        <w:t>For</w:t>
      </w:r>
      <w:r w:rsidR="00F41A1F">
        <w:rPr>
          <w:rFonts w:ascii="Palatino Linotype" w:eastAsia="Palatino Linotype" w:hAnsi="Palatino Linotype" w:cs="Palatino Linotype"/>
          <w:sz w:val="24"/>
          <w:szCs w:val="24"/>
        </w:rPr>
        <w:t xml:space="preserve"> TY 2018, Staff proposes a $</w:t>
      </w:r>
      <w:r w:rsidR="00BE6667">
        <w:rPr>
          <w:rFonts w:ascii="Palatino Linotype" w:eastAsia="Palatino Linotype" w:hAnsi="Palatino Linotype" w:cs="Palatino Linotype"/>
          <w:sz w:val="24"/>
          <w:szCs w:val="24"/>
        </w:rPr>
        <w:t>196,389</w:t>
      </w:r>
      <w:r w:rsidR="00F41A1F">
        <w:rPr>
          <w:rFonts w:ascii="Palatino Linotype" w:eastAsia="Palatino Linotype" w:hAnsi="Palatino Linotype" w:cs="Palatino Linotype"/>
          <w:sz w:val="24"/>
          <w:szCs w:val="24"/>
        </w:rPr>
        <w:t xml:space="preserve"> decrease to </w:t>
      </w:r>
      <w:r w:rsidR="00F46D1F">
        <w:rPr>
          <w:rFonts w:ascii="Palatino Linotype" w:eastAsia="Palatino Linotype" w:hAnsi="Palatino Linotype" w:cs="Palatino Linotype"/>
          <w:sz w:val="24"/>
          <w:szCs w:val="24"/>
        </w:rPr>
        <w:t>Calavera</w:t>
      </w:r>
      <w:r w:rsidR="0027782D">
        <w:rPr>
          <w:rFonts w:ascii="Palatino Linotype" w:eastAsia="Palatino Linotype" w:hAnsi="Palatino Linotype" w:cs="Palatino Linotype"/>
          <w:sz w:val="24"/>
          <w:szCs w:val="24"/>
        </w:rPr>
        <w:t>s’</w:t>
      </w:r>
      <w:r w:rsidR="00F41A1F">
        <w:rPr>
          <w:rFonts w:ascii="Palatino Linotype" w:eastAsia="Palatino Linotype" w:hAnsi="Palatino Linotype" w:cs="Palatino Linotype"/>
          <w:sz w:val="24"/>
          <w:szCs w:val="24"/>
        </w:rPr>
        <w:t xml:space="preserve"> adopted CHCF-A support, from $</w:t>
      </w:r>
      <w:r w:rsidR="00BE6667">
        <w:rPr>
          <w:rFonts w:ascii="Palatino Linotype" w:eastAsia="Palatino Linotype" w:hAnsi="Palatino Linotype" w:cs="Palatino Linotype"/>
          <w:sz w:val="24"/>
          <w:szCs w:val="24"/>
        </w:rPr>
        <w:t>2,932,899</w:t>
      </w:r>
      <w:r w:rsidR="00F41A1F">
        <w:rPr>
          <w:rFonts w:ascii="Palatino Linotype" w:eastAsia="Palatino Linotype" w:hAnsi="Palatino Linotype" w:cs="Palatino Linotype"/>
          <w:sz w:val="24"/>
          <w:szCs w:val="24"/>
        </w:rPr>
        <w:t xml:space="preserve"> to $</w:t>
      </w:r>
      <w:r w:rsidR="00BE6667">
        <w:rPr>
          <w:rFonts w:ascii="Palatino Linotype" w:eastAsia="Palatino Linotype" w:hAnsi="Palatino Linotype" w:cs="Palatino Linotype"/>
          <w:sz w:val="24"/>
          <w:szCs w:val="24"/>
        </w:rPr>
        <w:t>2,736,510</w:t>
      </w:r>
      <w:r w:rsidR="00F41A1F">
        <w:rPr>
          <w:rFonts w:ascii="Palatino Linotype" w:eastAsia="Palatino Linotype" w:hAnsi="Palatino Linotype" w:cs="Palatino Linotype"/>
          <w:sz w:val="24"/>
          <w:szCs w:val="24"/>
        </w:rPr>
        <w:t>.</w:t>
      </w:r>
    </w:p>
    <w:p w:rsidR="008B2484" w:rsidRDefault="008B2484" w:rsidP="008B2484">
      <w:pPr>
        <w:ind w:left="100" w:right="401"/>
        <w:rPr>
          <w:rFonts w:ascii="Palatino Linotype" w:eastAsia="Palatino Linotype" w:hAnsi="Palatino Linotype" w:cs="Palatino Linotype"/>
          <w:sz w:val="24"/>
          <w:szCs w:val="24"/>
        </w:rPr>
      </w:pPr>
    </w:p>
    <w:p w:rsidR="00D6611F" w:rsidRPr="005D3F3F" w:rsidRDefault="0056469C">
      <w:pPr>
        <w:ind w:left="100"/>
        <w:rPr>
          <w:rFonts w:ascii="Palatino Linotype" w:eastAsia="Palatino Linotype" w:hAnsi="Palatino Linotype" w:cs="Palatino Linotype"/>
          <w:sz w:val="24"/>
          <w:szCs w:val="24"/>
          <w:u w:val="single"/>
        </w:rPr>
      </w:pPr>
      <w:r w:rsidRPr="005D3F3F">
        <w:rPr>
          <w:rFonts w:ascii="Palatino Linotype" w:eastAsia="Palatino Linotype" w:hAnsi="Palatino Linotype" w:cs="Palatino Linotype"/>
          <w:b/>
          <w:sz w:val="24"/>
          <w:szCs w:val="24"/>
          <w:u w:val="single"/>
        </w:rPr>
        <w:t>C</w:t>
      </w:r>
      <w:r w:rsidR="005D3F3F" w:rsidRPr="005D3F3F">
        <w:rPr>
          <w:rFonts w:ascii="Palatino Linotype" w:eastAsia="Palatino Linotype" w:hAnsi="Palatino Linotype" w:cs="Palatino Linotype"/>
          <w:b/>
          <w:sz w:val="24"/>
          <w:szCs w:val="24"/>
          <w:u w:val="single"/>
        </w:rPr>
        <w:t>OMMENTS</w:t>
      </w:r>
    </w:p>
    <w:p w:rsidR="00D6611F" w:rsidRDefault="00D6611F">
      <w:pPr>
        <w:spacing w:before="7" w:line="120" w:lineRule="exact"/>
        <w:rPr>
          <w:sz w:val="12"/>
          <w:szCs w:val="12"/>
        </w:rPr>
      </w:pPr>
    </w:p>
    <w:p w:rsidR="00E30692" w:rsidRDefault="00490173" w:rsidP="008B6216">
      <w:pPr>
        <w:ind w:left="100"/>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In comp</w:t>
      </w:r>
      <w:r w:rsidRPr="00311143">
        <w:rPr>
          <w:rFonts w:ascii="Palatino Linotype" w:eastAsia="Palatino Linotype" w:hAnsi="Palatino Linotype" w:cs="Palatino Linotype"/>
          <w:sz w:val="24"/>
          <w:szCs w:val="24"/>
        </w:rPr>
        <w:t>lia</w:t>
      </w:r>
      <w:r>
        <w:rPr>
          <w:rFonts w:ascii="Palatino Linotype" w:eastAsia="Palatino Linotype" w:hAnsi="Palatino Linotype" w:cs="Palatino Linotype"/>
          <w:sz w:val="24"/>
          <w:szCs w:val="24"/>
        </w:rPr>
        <w:t>n</w:t>
      </w:r>
      <w:r w:rsidRPr="00311143">
        <w:rPr>
          <w:rFonts w:ascii="Palatino Linotype" w:eastAsia="Palatino Linotype" w:hAnsi="Palatino Linotype" w:cs="Palatino Linotype"/>
          <w:sz w:val="24"/>
          <w:szCs w:val="24"/>
        </w:rPr>
        <w:t>c</w:t>
      </w:r>
      <w:r>
        <w:rPr>
          <w:rFonts w:ascii="Palatino Linotype" w:eastAsia="Palatino Linotype" w:hAnsi="Palatino Linotype" w:cs="Palatino Linotype"/>
          <w:sz w:val="24"/>
          <w:szCs w:val="24"/>
        </w:rPr>
        <w:t xml:space="preserve">e </w:t>
      </w:r>
      <w:r w:rsidRPr="00311143">
        <w:rPr>
          <w:rFonts w:ascii="Palatino Linotype" w:eastAsia="Palatino Linotype" w:hAnsi="Palatino Linotype" w:cs="Palatino Linotype"/>
          <w:sz w:val="24"/>
          <w:szCs w:val="24"/>
        </w:rPr>
        <w:t>wit</w:t>
      </w:r>
      <w:r>
        <w:rPr>
          <w:rFonts w:ascii="Palatino Linotype" w:eastAsia="Palatino Linotype" w:hAnsi="Palatino Linotype" w:cs="Palatino Linotype"/>
          <w:sz w:val="24"/>
          <w:szCs w:val="24"/>
        </w:rPr>
        <w:t>h</w:t>
      </w:r>
      <w:r w:rsidRPr="00311143">
        <w:rPr>
          <w:rFonts w:ascii="Palatino Linotype" w:eastAsia="Palatino Linotype" w:hAnsi="Palatino Linotype" w:cs="Palatino Linotype"/>
          <w:sz w:val="24"/>
          <w:szCs w:val="24"/>
        </w:rPr>
        <w:t xml:space="preserve"> P.</w:t>
      </w:r>
      <w:r>
        <w:rPr>
          <w:rFonts w:ascii="Palatino Linotype" w:eastAsia="Palatino Linotype" w:hAnsi="Palatino Linotype" w:cs="Palatino Linotype"/>
          <w:sz w:val="24"/>
          <w:szCs w:val="24"/>
        </w:rPr>
        <w:t>U. C</w:t>
      </w:r>
      <w:r w:rsidRPr="00311143">
        <w:rPr>
          <w:rFonts w:ascii="Palatino Linotype" w:eastAsia="Palatino Linotype" w:hAnsi="Palatino Linotype" w:cs="Palatino Linotype"/>
          <w:sz w:val="24"/>
          <w:szCs w:val="24"/>
        </w:rPr>
        <w:t>o</w:t>
      </w:r>
      <w:r>
        <w:rPr>
          <w:rFonts w:ascii="Palatino Linotype" w:eastAsia="Palatino Linotype" w:hAnsi="Palatino Linotype" w:cs="Palatino Linotype"/>
          <w:sz w:val="24"/>
          <w:szCs w:val="24"/>
        </w:rPr>
        <w:t>de § 311</w:t>
      </w:r>
      <w:r w:rsidRPr="00311143">
        <w:rPr>
          <w:rFonts w:ascii="Palatino Linotype" w:eastAsia="Palatino Linotype" w:hAnsi="Palatino Linotype" w:cs="Palatino Linotype"/>
          <w:sz w:val="24"/>
          <w:szCs w:val="24"/>
        </w:rPr>
        <w:t>(g</w:t>
      </w:r>
      <w:r>
        <w:rPr>
          <w:rFonts w:ascii="Palatino Linotype" w:eastAsia="Palatino Linotype" w:hAnsi="Palatino Linotype" w:cs="Palatino Linotype"/>
          <w:sz w:val="24"/>
          <w:szCs w:val="24"/>
        </w:rPr>
        <w:t xml:space="preserve">), the </w:t>
      </w:r>
      <w:r w:rsidRPr="00311143">
        <w:rPr>
          <w:rFonts w:ascii="Palatino Linotype" w:eastAsia="Palatino Linotype" w:hAnsi="Palatino Linotype" w:cs="Palatino Linotype"/>
          <w:sz w:val="24"/>
          <w:szCs w:val="24"/>
        </w:rPr>
        <w:t>Co</w:t>
      </w:r>
      <w:r>
        <w:rPr>
          <w:rFonts w:ascii="Palatino Linotype" w:eastAsia="Palatino Linotype" w:hAnsi="Palatino Linotype" w:cs="Palatino Linotype"/>
          <w:sz w:val="24"/>
          <w:szCs w:val="24"/>
        </w:rPr>
        <w:t>m</w:t>
      </w:r>
      <w:r w:rsidRPr="00311143">
        <w:rPr>
          <w:rFonts w:ascii="Palatino Linotype" w:eastAsia="Palatino Linotype" w:hAnsi="Palatino Linotype" w:cs="Palatino Linotype"/>
          <w:sz w:val="24"/>
          <w:szCs w:val="24"/>
        </w:rPr>
        <w:t>m</w:t>
      </w:r>
      <w:r>
        <w:rPr>
          <w:rFonts w:ascii="Palatino Linotype" w:eastAsia="Palatino Linotype" w:hAnsi="Palatino Linotype" w:cs="Palatino Linotype"/>
          <w:sz w:val="24"/>
          <w:szCs w:val="24"/>
        </w:rPr>
        <w:t>i</w:t>
      </w:r>
      <w:r w:rsidRPr="00311143">
        <w:rPr>
          <w:rFonts w:ascii="Palatino Linotype" w:eastAsia="Palatino Linotype" w:hAnsi="Palatino Linotype" w:cs="Palatino Linotype"/>
          <w:sz w:val="24"/>
          <w:szCs w:val="24"/>
        </w:rPr>
        <w:t>ssio</w:t>
      </w:r>
      <w:r>
        <w:rPr>
          <w:rFonts w:ascii="Palatino Linotype" w:eastAsia="Palatino Linotype" w:hAnsi="Palatino Linotype" w:cs="Palatino Linotype"/>
          <w:sz w:val="24"/>
          <w:szCs w:val="24"/>
        </w:rPr>
        <w:t>n e</w:t>
      </w:r>
      <w:r w:rsidRPr="00311143">
        <w:rPr>
          <w:rFonts w:ascii="Palatino Linotype" w:eastAsia="Palatino Linotype" w:hAnsi="Palatino Linotype" w:cs="Palatino Linotype"/>
          <w:sz w:val="24"/>
          <w:szCs w:val="24"/>
        </w:rPr>
        <w:t>mai</w:t>
      </w:r>
      <w:r>
        <w:rPr>
          <w:rFonts w:ascii="Palatino Linotype" w:eastAsia="Palatino Linotype" w:hAnsi="Palatino Linotype" w:cs="Palatino Linotype"/>
          <w:sz w:val="24"/>
          <w:szCs w:val="24"/>
        </w:rPr>
        <w:t>led a</w:t>
      </w:r>
      <w:r w:rsidRPr="00311143">
        <w:rPr>
          <w:rFonts w:ascii="Palatino Linotype" w:eastAsia="Palatino Linotype" w:hAnsi="Palatino Linotype" w:cs="Palatino Linotype"/>
          <w:sz w:val="24"/>
          <w:szCs w:val="24"/>
        </w:rPr>
        <w:t xml:space="preserve"> </w:t>
      </w:r>
      <w:r>
        <w:rPr>
          <w:rFonts w:ascii="Palatino Linotype" w:eastAsia="Palatino Linotype" w:hAnsi="Palatino Linotype" w:cs="Palatino Linotype"/>
          <w:sz w:val="24"/>
          <w:szCs w:val="24"/>
        </w:rPr>
        <w:t>n</w:t>
      </w:r>
      <w:r w:rsidRPr="00311143">
        <w:rPr>
          <w:rFonts w:ascii="Palatino Linotype" w:eastAsia="Palatino Linotype" w:hAnsi="Palatino Linotype" w:cs="Palatino Linotype"/>
          <w:sz w:val="24"/>
          <w:szCs w:val="24"/>
        </w:rPr>
        <w:t>otic</w:t>
      </w:r>
      <w:r>
        <w:rPr>
          <w:rFonts w:ascii="Palatino Linotype" w:eastAsia="Palatino Linotype" w:hAnsi="Palatino Linotype" w:cs="Palatino Linotype"/>
          <w:sz w:val="24"/>
          <w:szCs w:val="24"/>
        </w:rPr>
        <w:t>e le</w:t>
      </w:r>
      <w:r w:rsidRPr="00311143">
        <w:rPr>
          <w:rFonts w:ascii="Palatino Linotype" w:eastAsia="Palatino Linotype" w:hAnsi="Palatino Linotype" w:cs="Palatino Linotype"/>
          <w:sz w:val="24"/>
          <w:szCs w:val="24"/>
        </w:rPr>
        <w:t>tt</w:t>
      </w:r>
      <w:r>
        <w:rPr>
          <w:rFonts w:ascii="Palatino Linotype" w:eastAsia="Palatino Linotype" w:hAnsi="Palatino Linotype" w:cs="Palatino Linotype"/>
          <w:sz w:val="24"/>
          <w:szCs w:val="24"/>
        </w:rPr>
        <w:t>er</w:t>
      </w:r>
      <w:r w:rsidRPr="00311143">
        <w:rPr>
          <w:rFonts w:ascii="Palatino Linotype" w:eastAsia="Palatino Linotype" w:hAnsi="Palatino Linotype" w:cs="Palatino Linotype"/>
          <w:sz w:val="24"/>
          <w:szCs w:val="24"/>
        </w:rPr>
        <w:t xml:space="preserve"> o</w:t>
      </w:r>
      <w:r>
        <w:rPr>
          <w:rFonts w:ascii="Palatino Linotype" w:eastAsia="Palatino Linotype" w:hAnsi="Palatino Linotype" w:cs="Palatino Linotype"/>
          <w:sz w:val="24"/>
          <w:szCs w:val="24"/>
        </w:rPr>
        <w:t>n</w:t>
      </w:r>
      <w:r w:rsidRPr="00311143">
        <w:rPr>
          <w:rFonts w:ascii="Palatino Linotype" w:eastAsia="Palatino Linotype" w:hAnsi="Palatino Linotype" w:cs="Palatino Linotype"/>
          <w:sz w:val="24"/>
          <w:szCs w:val="24"/>
        </w:rPr>
        <w:t xml:space="preserve"> </w:t>
      </w:r>
      <w:r w:rsidR="00546552">
        <w:rPr>
          <w:rFonts w:ascii="Palatino Linotype" w:eastAsia="Palatino Linotype" w:hAnsi="Palatino Linotype" w:cs="Palatino Linotype"/>
          <w:sz w:val="24"/>
          <w:szCs w:val="24"/>
        </w:rPr>
        <w:br/>
      </w:r>
      <w:r w:rsidR="00233256">
        <w:rPr>
          <w:rFonts w:ascii="Palatino Linotype" w:eastAsia="Palatino Linotype" w:hAnsi="Palatino Linotype" w:cs="Palatino Linotype"/>
          <w:sz w:val="24"/>
          <w:szCs w:val="24"/>
        </w:rPr>
        <w:t>July</w:t>
      </w:r>
      <w:r w:rsidR="00233256" w:rsidRPr="00311143">
        <w:rPr>
          <w:rFonts w:ascii="Palatino Linotype" w:eastAsia="Palatino Linotype" w:hAnsi="Palatino Linotype" w:cs="Palatino Linotype"/>
          <w:sz w:val="24"/>
          <w:szCs w:val="24"/>
        </w:rPr>
        <w:t xml:space="preserve"> </w:t>
      </w:r>
      <w:r w:rsidR="00833106">
        <w:rPr>
          <w:rFonts w:ascii="Palatino Linotype" w:eastAsia="Palatino Linotype" w:hAnsi="Palatino Linotype" w:cs="Palatino Linotype"/>
          <w:sz w:val="24"/>
          <w:szCs w:val="24"/>
        </w:rPr>
        <w:t>20</w:t>
      </w:r>
      <w:r w:rsidR="005F0E7F" w:rsidRPr="00311143">
        <w:rPr>
          <w:rFonts w:ascii="Palatino Linotype" w:eastAsia="Palatino Linotype" w:hAnsi="Palatino Linotype" w:cs="Palatino Linotype"/>
          <w:sz w:val="24"/>
          <w:szCs w:val="24"/>
        </w:rPr>
        <w:t xml:space="preserve">, 2018, informing </w:t>
      </w:r>
      <w:r w:rsidR="00C6420B" w:rsidRPr="00311143">
        <w:rPr>
          <w:rFonts w:ascii="Palatino Linotype" w:eastAsia="Palatino Linotype" w:hAnsi="Palatino Linotype" w:cs="Palatino Linotype"/>
          <w:sz w:val="24"/>
          <w:szCs w:val="24"/>
        </w:rPr>
        <w:t>Cal</w:t>
      </w:r>
      <w:r w:rsidR="00833106">
        <w:rPr>
          <w:rFonts w:ascii="Palatino Linotype" w:eastAsia="Palatino Linotype" w:hAnsi="Palatino Linotype" w:cs="Palatino Linotype"/>
          <w:sz w:val="24"/>
          <w:szCs w:val="24"/>
        </w:rPr>
        <w:t xml:space="preserve">averas </w:t>
      </w:r>
      <w:r w:rsidR="00C6420B" w:rsidRPr="00311143">
        <w:rPr>
          <w:rFonts w:ascii="Palatino Linotype" w:eastAsia="Palatino Linotype" w:hAnsi="Palatino Linotype" w:cs="Palatino Linotype"/>
          <w:sz w:val="24"/>
          <w:szCs w:val="24"/>
        </w:rPr>
        <w:t>o</w:t>
      </w:r>
      <w:r w:rsidR="005F0E7F" w:rsidRPr="00311143">
        <w:rPr>
          <w:rFonts w:ascii="Palatino Linotype" w:eastAsia="Palatino Linotype" w:hAnsi="Palatino Linotype" w:cs="Palatino Linotype"/>
          <w:sz w:val="24"/>
          <w:szCs w:val="24"/>
        </w:rPr>
        <w:t xml:space="preserve">f the availability of this Resolution for public comments at the Commission’s website </w:t>
      </w:r>
      <w:hyperlink r:id="rId8" w:history="1">
        <w:r w:rsidR="005F0E7F" w:rsidRPr="00233256">
          <w:rPr>
            <w:rFonts w:ascii="Palatino Linotype" w:eastAsia="Palatino Linotype" w:hAnsi="Palatino Linotype"/>
            <w:sz w:val="24"/>
            <w:szCs w:val="24"/>
          </w:rPr>
          <w:t>www.cpuc.ca.gov</w:t>
        </w:r>
      </w:hyperlink>
      <w:r w:rsidR="005F0E7F" w:rsidRPr="00311143">
        <w:rPr>
          <w:rFonts w:ascii="Palatino Linotype" w:eastAsia="Palatino Linotype" w:hAnsi="Palatino Linotype" w:cs="Palatino Linotype"/>
          <w:sz w:val="24"/>
          <w:szCs w:val="24"/>
        </w:rPr>
        <w:t xml:space="preserve">.  </w:t>
      </w:r>
      <w:r w:rsidR="0096028C">
        <w:rPr>
          <w:rFonts w:ascii="Palatino Linotype" w:eastAsia="Palatino Linotype" w:hAnsi="Palatino Linotype" w:cs="Palatino Linotype"/>
          <w:sz w:val="24"/>
          <w:szCs w:val="24"/>
        </w:rPr>
        <w:t xml:space="preserve">Comments are due within twenty (20) days of Daily Calendar notification. </w:t>
      </w:r>
      <w:r w:rsidR="005F0E7F" w:rsidRPr="00311143">
        <w:rPr>
          <w:rFonts w:ascii="Palatino Linotype" w:eastAsia="Palatino Linotype" w:hAnsi="Palatino Linotype" w:cs="Palatino Linotype"/>
          <w:sz w:val="24"/>
          <w:szCs w:val="24"/>
        </w:rPr>
        <w:t xml:space="preserve">The notice </w:t>
      </w:r>
      <w:r w:rsidRPr="00311143">
        <w:rPr>
          <w:rFonts w:ascii="Palatino Linotype" w:eastAsia="Palatino Linotype" w:hAnsi="Palatino Linotype" w:cs="Palatino Linotype"/>
          <w:sz w:val="24"/>
          <w:szCs w:val="24"/>
        </w:rPr>
        <w:t>letter also informed parties that</w:t>
      </w:r>
      <w:r w:rsidR="00F160FA" w:rsidRPr="00311143">
        <w:rPr>
          <w:rFonts w:ascii="Palatino Linotype" w:eastAsia="Palatino Linotype" w:hAnsi="Palatino Linotype" w:cs="Palatino Linotype"/>
          <w:sz w:val="24"/>
          <w:szCs w:val="24"/>
        </w:rPr>
        <w:t xml:space="preserve"> the final conformed Resolution adopted by the Commission will be posted and available at the same website.</w:t>
      </w:r>
    </w:p>
    <w:p w:rsidR="004D087C" w:rsidRDefault="004D087C" w:rsidP="008B6216">
      <w:pPr>
        <w:ind w:left="100"/>
        <w:rPr>
          <w:rFonts w:ascii="Palatino Linotype" w:eastAsia="Palatino Linotype" w:hAnsi="Palatino Linotype" w:cs="Palatino Linotype"/>
          <w:sz w:val="24"/>
          <w:szCs w:val="24"/>
        </w:rPr>
      </w:pPr>
    </w:p>
    <w:p w:rsidR="004D087C" w:rsidRDefault="004D087C" w:rsidP="004D087C">
      <w:pPr>
        <w:ind w:left="100"/>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On August 13, 2018, Calaveras filed timely comments on the draft Resolution.  Calaveras argued that D.18-</w:t>
      </w:r>
      <w:r w:rsidR="0098694C">
        <w:rPr>
          <w:rFonts w:ascii="Palatino Linotype" w:eastAsia="Palatino Linotype" w:hAnsi="Palatino Linotype" w:cs="Palatino Linotype"/>
          <w:sz w:val="24"/>
          <w:szCs w:val="24"/>
        </w:rPr>
        <w:t>04-006</w:t>
      </w:r>
      <w:r>
        <w:rPr>
          <w:rFonts w:ascii="Palatino Linotype" w:eastAsia="Palatino Linotype" w:hAnsi="Palatino Linotype" w:cs="Palatino Linotype"/>
          <w:sz w:val="24"/>
          <w:szCs w:val="24"/>
        </w:rPr>
        <w:t xml:space="preserve"> only mandates a modification for the “tax rate” and does not provide for any change to deferred taxes.  Cal</w:t>
      </w:r>
      <w:r w:rsidR="0098694C">
        <w:rPr>
          <w:rFonts w:ascii="Palatino Linotype" w:eastAsia="Palatino Linotype" w:hAnsi="Palatino Linotype" w:cs="Palatino Linotype"/>
          <w:sz w:val="24"/>
          <w:szCs w:val="24"/>
        </w:rPr>
        <w:t>averas</w:t>
      </w:r>
      <w:r>
        <w:rPr>
          <w:rFonts w:ascii="Palatino Linotype" w:eastAsia="Palatino Linotype" w:hAnsi="Palatino Linotype" w:cs="Palatino Linotype"/>
          <w:sz w:val="24"/>
          <w:szCs w:val="24"/>
        </w:rPr>
        <w:t xml:space="preserve"> believes deferred taxes are not ratepayer property and that the draft Resolution is incorrect in stating that these amounts represent funds that should be returned to ratepayers.  Further Cal</w:t>
      </w:r>
      <w:r w:rsidR="0098694C">
        <w:rPr>
          <w:rFonts w:ascii="Palatino Linotype" w:eastAsia="Palatino Linotype" w:hAnsi="Palatino Linotype" w:cs="Palatino Linotype"/>
          <w:sz w:val="24"/>
          <w:szCs w:val="24"/>
        </w:rPr>
        <w:t>averas</w:t>
      </w:r>
      <w:r>
        <w:rPr>
          <w:rFonts w:ascii="Palatino Linotype" w:eastAsia="Palatino Linotype" w:hAnsi="Palatino Linotype" w:cs="Palatino Linotype"/>
          <w:sz w:val="24"/>
          <w:szCs w:val="24"/>
        </w:rPr>
        <w:t xml:space="preserve"> argues that no decision orders “normalization” of deferred tax amounts and that forcing a credit of deferred tax amounts to ratepayers would constitute retroactive ratemaking.  Finally, Cal</w:t>
      </w:r>
      <w:r w:rsidR="0098694C">
        <w:rPr>
          <w:rFonts w:ascii="Palatino Linotype" w:eastAsia="Palatino Linotype" w:hAnsi="Palatino Linotype" w:cs="Palatino Linotype"/>
          <w:sz w:val="24"/>
          <w:szCs w:val="24"/>
        </w:rPr>
        <w:t>averas</w:t>
      </w:r>
      <w:r>
        <w:rPr>
          <w:rFonts w:ascii="Palatino Linotype" w:eastAsia="Palatino Linotype" w:hAnsi="Palatino Linotype" w:cs="Palatino Linotype"/>
          <w:sz w:val="24"/>
          <w:szCs w:val="24"/>
        </w:rPr>
        <w:t xml:space="preserve"> asked for clarification that the application of deferred tax normalization policy would apply in the future whether a tax increase or decrease.</w:t>
      </w:r>
    </w:p>
    <w:p w:rsidR="004D087C" w:rsidRDefault="004D087C" w:rsidP="004D087C">
      <w:pPr>
        <w:ind w:left="100"/>
        <w:rPr>
          <w:rFonts w:ascii="Palatino Linotype" w:eastAsia="Palatino Linotype" w:hAnsi="Palatino Linotype" w:cs="Palatino Linotype"/>
          <w:sz w:val="24"/>
          <w:szCs w:val="24"/>
        </w:rPr>
      </w:pPr>
    </w:p>
    <w:p w:rsidR="009A316F" w:rsidRDefault="004D087C" w:rsidP="004D087C">
      <w:pPr>
        <w:ind w:left="100"/>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Staff examined Cal</w:t>
      </w:r>
      <w:r w:rsidR="003D55D3">
        <w:rPr>
          <w:rFonts w:ascii="Palatino Linotype" w:eastAsia="Palatino Linotype" w:hAnsi="Palatino Linotype" w:cs="Palatino Linotype"/>
          <w:sz w:val="24"/>
          <w:szCs w:val="24"/>
        </w:rPr>
        <w:t>averas</w:t>
      </w:r>
      <w:r>
        <w:rPr>
          <w:rFonts w:ascii="Palatino Linotype" w:eastAsia="Palatino Linotype" w:hAnsi="Palatino Linotype" w:cs="Palatino Linotype"/>
          <w:sz w:val="24"/>
          <w:szCs w:val="24"/>
        </w:rPr>
        <w:t>’ arguments and is not persuaded that the resolution needs to be modified.  The new federal income tax rate impacts more than federal tax expense and needs to be applied to all results of operations items that are tax-related.  Moreover, the draft Resolution only seeks to adjust future revenue requirement and associated CHCF-A support payments consistent with the adopted settlement in D.18-</w:t>
      </w:r>
      <w:r w:rsidR="003D55D3">
        <w:rPr>
          <w:rFonts w:ascii="Palatino Linotype" w:eastAsia="Palatino Linotype" w:hAnsi="Palatino Linotype" w:cs="Palatino Linotype"/>
          <w:sz w:val="24"/>
          <w:szCs w:val="24"/>
        </w:rPr>
        <w:t>04-006</w:t>
      </w:r>
      <w:r>
        <w:rPr>
          <w:rFonts w:ascii="Palatino Linotype" w:eastAsia="Palatino Linotype" w:hAnsi="Palatino Linotype" w:cs="Palatino Linotype"/>
          <w:sz w:val="24"/>
          <w:szCs w:val="24"/>
        </w:rPr>
        <w:t xml:space="preserve">, so there is no retroactive ratemaking.  Rather than ordering a refund, the draft Resolution is revising the revenue requirement and CHCF-A support prospectively.  </w:t>
      </w:r>
    </w:p>
    <w:p w:rsidR="004D087C" w:rsidRPr="00311143" w:rsidRDefault="004D087C" w:rsidP="004D087C">
      <w:pPr>
        <w:ind w:left="100"/>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lastRenderedPageBreak/>
        <w:t>Finally, the Commission recognizes the practice of normalizing deferred taxes in accordance with IRS rules.</w:t>
      </w:r>
      <w:r>
        <w:rPr>
          <w:rStyle w:val="FootnoteReference"/>
          <w:rFonts w:ascii="Palatino Linotype" w:eastAsia="Palatino Linotype" w:hAnsi="Palatino Linotype" w:cs="Palatino Linotype"/>
          <w:sz w:val="24"/>
          <w:szCs w:val="24"/>
        </w:rPr>
        <w:footnoteReference w:id="9"/>
      </w:r>
      <w:r>
        <w:rPr>
          <w:rFonts w:ascii="Palatino Linotype" w:eastAsia="Palatino Linotype" w:hAnsi="Palatino Linotype" w:cs="Palatino Linotype"/>
          <w:sz w:val="24"/>
          <w:szCs w:val="24"/>
        </w:rPr>
        <w:t xml:space="preserve">  Likewise, the TCJA includes normalization requirement rules that govern the treatment of the excess tax reserve.</w:t>
      </w:r>
      <w:r>
        <w:rPr>
          <w:rStyle w:val="FootnoteReference"/>
          <w:rFonts w:ascii="Palatino Linotype" w:eastAsia="Palatino Linotype" w:hAnsi="Palatino Linotype" w:cs="Palatino Linotype"/>
          <w:sz w:val="24"/>
          <w:szCs w:val="24"/>
        </w:rPr>
        <w:footnoteReference w:id="10"/>
      </w:r>
      <w:r>
        <w:rPr>
          <w:rFonts w:ascii="Palatino Linotype" w:eastAsia="Palatino Linotype" w:hAnsi="Palatino Linotype" w:cs="Palatino Linotype"/>
          <w:sz w:val="24"/>
          <w:szCs w:val="24"/>
        </w:rPr>
        <w:t xml:space="preserve">  Nonetheless, we clarify here for Cal</w:t>
      </w:r>
      <w:r w:rsidR="00C64EC9">
        <w:rPr>
          <w:rFonts w:ascii="Palatino Linotype" w:eastAsia="Palatino Linotype" w:hAnsi="Palatino Linotype" w:cs="Palatino Linotype"/>
          <w:sz w:val="24"/>
          <w:szCs w:val="24"/>
        </w:rPr>
        <w:t>averas</w:t>
      </w:r>
      <w:r>
        <w:rPr>
          <w:rFonts w:ascii="Palatino Linotype" w:eastAsia="Palatino Linotype" w:hAnsi="Palatino Linotype" w:cs="Palatino Linotype"/>
          <w:sz w:val="24"/>
          <w:szCs w:val="24"/>
        </w:rPr>
        <w:t xml:space="preserve"> that federal tax rate changes in the future should be treated similarly, applying normalization to deferred taxes whether a tax increase or decrease.</w:t>
      </w:r>
    </w:p>
    <w:p w:rsidR="00A54682" w:rsidRDefault="00A54682" w:rsidP="008B6216">
      <w:pPr>
        <w:ind w:left="100"/>
        <w:rPr>
          <w:rFonts w:ascii="Palatino Linotype" w:eastAsia="Palatino Linotype" w:hAnsi="Palatino Linotype" w:cs="Palatino Linotype"/>
          <w:color w:val="000000"/>
          <w:sz w:val="24"/>
          <w:szCs w:val="24"/>
        </w:rPr>
      </w:pPr>
    </w:p>
    <w:p w:rsidR="00D6611F" w:rsidRPr="005D3F3F" w:rsidRDefault="005D3F3F" w:rsidP="00AE5940">
      <w:pPr>
        <w:ind w:left="100"/>
        <w:rPr>
          <w:rFonts w:ascii="Palatino Linotype" w:eastAsia="Palatino Linotype" w:hAnsi="Palatino Linotype" w:cs="Palatino Linotype"/>
          <w:sz w:val="24"/>
          <w:szCs w:val="24"/>
          <w:u w:val="single"/>
        </w:rPr>
      </w:pPr>
      <w:r w:rsidRPr="005D3F3F">
        <w:rPr>
          <w:rFonts w:ascii="Palatino Linotype" w:eastAsia="Palatino Linotype" w:hAnsi="Palatino Linotype" w:cs="Palatino Linotype"/>
          <w:b/>
          <w:sz w:val="24"/>
          <w:szCs w:val="24"/>
          <w:u w:val="single"/>
        </w:rPr>
        <w:t>FINDINGS</w:t>
      </w:r>
    </w:p>
    <w:p w:rsidR="00D6611F" w:rsidRDefault="00D6611F">
      <w:pPr>
        <w:spacing w:before="8" w:line="140" w:lineRule="exact"/>
        <w:rPr>
          <w:sz w:val="14"/>
          <w:szCs w:val="14"/>
        </w:rPr>
      </w:pPr>
    </w:p>
    <w:p w:rsidR="00D6611F" w:rsidRDefault="00D6611F">
      <w:pPr>
        <w:spacing w:line="200" w:lineRule="exact"/>
      </w:pPr>
    </w:p>
    <w:p w:rsidR="00CE11E5" w:rsidRDefault="00C6420B" w:rsidP="00CE11E5">
      <w:pPr>
        <w:pStyle w:val="ListParagraph"/>
        <w:numPr>
          <w:ilvl w:val="0"/>
          <w:numId w:val="5"/>
        </w:numPr>
        <w:spacing w:after="240" w:line="300" w:lineRule="exact"/>
        <w:ind w:left="360"/>
        <w:contextualSpacing w:val="0"/>
        <w:rPr>
          <w:rFonts w:ascii="Palatino Linotype" w:eastAsia="Palatino Linotype" w:hAnsi="Palatino Linotype" w:cs="Palatino Linotype"/>
          <w:sz w:val="24"/>
          <w:szCs w:val="24"/>
        </w:rPr>
      </w:pPr>
      <w:r w:rsidRPr="00CE11E5">
        <w:rPr>
          <w:rFonts w:ascii="Palatino Linotype" w:eastAsia="Palatino Linotype" w:hAnsi="Palatino Linotype" w:cs="Palatino Linotype"/>
          <w:sz w:val="24"/>
          <w:szCs w:val="24"/>
        </w:rPr>
        <w:t xml:space="preserve">The Tax Cuts and Jobs Act of 2017 enacted on </w:t>
      </w:r>
      <w:r w:rsidR="00162740" w:rsidRPr="00CE11E5">
        <w:rPr>
          <w:rFonts w:ascii="Palatino Linotype" w:eastAsia="Palatino Linotype" w:hAnsi="Palatino Linotype" w:cs="Palatino Linotype"/>
          <w:sz w:val="24"/>
          <w:szCs w:val="24"/>
        </w:rPr>
        <w:t>December 22, 2017</w:t>
      </w:r>
      <w:r w:rsidR="00FC26AD" w:rsidRPr="00CE11E5">
        <w:rPr>
          <w:rFonts w:ascii="Palatino Linotype" w:eastAsia="Palatino Linotype" w:hAnsi="Palatino Linotype" w:cs="Palatino Linotype"/>
          <w:sz w:val="24"/>
          <w:szCs w:val="24"/>
        </w:rPr>
        <w:t>,</w:t>
      </w:r>
      <w:r w:rsidRPr="00CE11E5">
        <w:rPr>
          <w:rFonts w:ascii="Palatino Linotype" w:eastAsia="Palatino Linotype" w:hAnsi="Palatino Linotype" w:cs="Palatino Linotype"/>
          <w:sz w:val="24"/>
          <w:szCs w:val="24"/>
        </w:rPr>
        <w:t xml:space="preserve"> </w:t>
      </w:r>
      <w:r w:rsidR="00FC26AD" w:rsidRPr="00CE11E5">
        <w:rPr>
          <w:rFonts w:ascii="Palatino Linotype" w:eastAsia="Palatino Linotype" w:hAnsi="Palatino Linotype" w:cs="Palatino Linotype"/>
          <w:sz w:val="24"/>
          <w:szCs w:val="24"/>
        </w:rPr>
        <w:t xml:space="preserve">among other things, </w:t>
      </w:r>
      <w:r w:rsidRPr="00CE11E5">
        <w:rPr>
          <w:rFonts w:ascii="Palatino Linotype" w:eastAsia="Palatino Linotype" w:hAnsi="Palatino Linotype" w:cs="Palatino Linotype"/>
          <w:sz w:val="24"/>
          <w:szCs w:val="24"/>
        </w:rPr>
        <w:t xml:space="preserve">lowered </w:t>
      </w:r>
      <w:r w:rsidR="00B426D5" w:rsidRPr="00CE11E5">
        <w:rPr>
          <w:rFonts w:ascii="Palatino Linotype" w:eastAsia="Palatino Linotype" w:hAnsi="Palatino Linotype" w:cs="Palatino Linotype"/>
          <w:sz w:val="24"/>
          <w:szCs w:val="24"/>
        </w:rPr>
        <w:t xml:space="preserve">the </w:t>
      </w:r>
      <w:r w:rsidRPr="00CE11E5">
        <w:rPr>
          <w:rFonts w:ascii="Palatino Linotype" w:eastAsia="Palatino Linotype" w:hAnsi="Palatino Linotype" w:cs="Palatino Linotype"/>
          <w:sz w:val="24"/>
          <w:szCs w:val="24"/>
        </w:rPr>
        <w:t>corporate federal tax rate from 35</w:t>
      </w:r>
      <w:r w:rsidR="00B12B0F" w:rsidRPr="00CE11E5">
        <w:rPr>
          <w:rFonts w:ascii="Palatino Linotype" w:eastAsia="Palatino Linotype" w:hAnsi="Palatino Linotype" w:cs="Palatino Linotype"/>
          <w:sz w:val="24"/>
          <w:szCs w:val="24"/>
        </w:rPr>
        <w:t>%</w:t>
      </w:r>
      <w:r w:rsidRPr="00CE11E5">
        <w:rPr>
          <w:rFonts w:ascii="Palatino Linotype" w:eastAsia="Palatino Linotype" w:hAnsi="Palatino Linotype" w:cs="Palatino Linotype"/>
          <w:sz w:val="24"/>
          <w:szCs w:val="24"/>
        </w:rPr>
        <w:t xml:space="preserve"> to 21% effective January 1, 2018.</w:t>
      </w:r>
    </w:p>
    <w:p w:rsidR="00CE11E5" w:rsidRDefault="00F46D1F" w:rsidP="00CE11E5">
      <w:pPr>
        <w:pStyle w:val="ListParagraph"/>
        <w:numPr>
          <w:ilvl w:val="0"/>
          <w:numId w:val="5"/>
        </w:numPr>
        <w:spacing w:after="240" w:line="300" w:lineRule="exact"/>
        <w:ind w:left="360"/>
        <w:contextualSpacing w:val="0"/>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Calaveras</w:t>
      </w:r>
      <w:r w:rsidR="00E92D77">
        <w:rPr>
          <w:rFonts w:ascii="Palatino Linotype" w:eastAsia="Palatino Linotype" w:hAnsi="Palatino Linotype" w:cs="Palatino Linotype"/>
          <w:sz w:val="24"/>
          <w:szCs w:val="24"/>
        </w:rPr>
        <w:t xml:space="preserve"> Telephone Company</w:t>
      </w:r>
      <w:r w:rsidR="00B12B0F" w:rsidRPr="00CE11E5">
        <w:rPr>
          <w:rFonts w:ascii="Palatino Linotype" w:eastAsia="Palatino Linotype" w:hAnsi="Palatino Linotype" w:cs="Palatino Linotype"/>
          <w:sz w:val="24"/>
          <w:szCs w:val="24"/>
        </w:rPr>
        <w:t>’s</w:t>
      </w:r>
      <w:r w:rsidR="00E92D77">
        <w:rPr>
          <w:rFonts w:ascii="Palatino Linotype" w:eastAsia="Palatino Linotype" w:hAnsi="Palatino Linotype" w:cs="Palatino Linotype"/>
          <w:sz w:val="24"/>
          <w:szCs w:val="24"/>
        </w:rPr>
        <w:t xml:space="preserve"> (</w:t>
      </w:r>
      <w:r>
        <w:rPr>
          <w:rFonts w:ascii="Palatino Linotype" w:eastAsia="Palatino Linotype" w:hAnsi="Palatino Linotype" w:cs="Palatino Linotype"/>
          <w:sz w:val="24"/>
          <w:szCs w:val="24"/>
        </w:rPr>
        <w:t>Calaveras</w:t>
      </w:r>
      <w:r w:rsidR="00E92D77">
        <w:rPr>
          <w:rFonts w:ascii="Palatino Linotype" w:eastAsia="Palatino Linotype" w:hAnsi="Palatino Linotype" w:cs="Palatino Linotype"/>
          <w:sz w:val="24"/>
          <w:szCs w:val="24"/>
        </w:rPr>
        <w:t>)</w:t>
      </w:r>
      <w:r w:rsidR="00B12B0F" w:rsidRPr="00CE11E5">
        <w:rPr>
          <w:rFonts w:ascii="Palatino Linotype" w:eastAsia="Palatino Linotype" w:hAnsi="Palatino Linotype" w:cs="Palatino Linotype"/>
          <w:sz w:val="24"/>
          <w:szCs w:val="24"/>
        </w:rPr>
        <w:t xml:space="preserve"> adopted revenue requirement </w:t>
      </w:r>
      <w:r w:rsidR="00EA5445" w:rsidRPr="00CE11E5">
        <w:rPr>
          <w:rFonts w:ascii="Palatino Linotype" w:eastAsia="Palatino Linotype" w:hAnsi="Palatino Linotype" w:cs="Palatino Linotype"/>
          <w:sz w:val="24"/>
          <w:szCs w:val="24"/>
        </w:rPr>
        <w:t xml:space="preserve">for Test Year </w:t>
      </w:r>
      <w:r w:rsidR="00E92D77">
        <w:rPr>
          <w:rFonts w:ascii="Palatino Linotype" w:eastAsia="Palatino Linotype" w:hAnsi="Palatino Linotype" w:cs="Palatino Linotype"/>
          <w:sz w:val="24"/>
          <w:szCs w:val="24"/>
        </w:rPr>
        <w:t xml:space="preserve">(TY) </w:t>
      </w:r>
      <w:r w:rsidR="00EA5445" w:rsidRPr="00CE11E5">
        <w:rPr>
          <w:rFonts w:ascii="Palatino Linotype" w:eastAsia="Palatino Linotype" w:hAnsi="Palatino Linotype" w:cs="Palatino Linotype"/>
          <w:sz w:val="24"/>
          <w:szCs w:val="24"/>
        </w:rPr>
        <w:t xml:space="preserve">2018 </w:t>
      </w:r>
      <w:r w:rsidR="00B12B0F" w:rsidRPr="00CE11E5">
        <w:rPr>
          <w:rFonts w:ascii="Palatino Linotype" w:eastAsia="Palatino Linotype" w:hAnsi="Palatino Linotype" w:cs="Palatino Linotype"/>
          <w:sz w:val="24"/>
          <w:szCs w:val="24"/>
        </w:rPr>
        <w:t xml:space="preserve">pursuant to </w:t>
      </w:r>
      <w:r w:rsidR="00C31D81">
        <w:rPr>
          <w:rFonts w:ascii="Palatino Linotype" w:eastAsia="Palatino Linotype" w:hAnsi="Palatino Linotype" w:cs="Palatino Linotype"/>
          <w:sz w:val="24"/>
          <w:szCs w:val="24"/>
        </w:rPr>
        <w:t>Decision (</w:t>
      </w:r>
      <w:r w:rsidR="00B12B0F" w:rsidRPr="00CE11E5">
        <w:rPr>
          <w:rFonts w:ascii="Palatino Linotype" w:eastAsia="Palatino Linotype" w:hAnsi="Palatino Linotype" w:cs="Palatino Linotype"/>
          <w:sz w:val="24"/>
          <w:szCs w:val="24"/>
        </w:rPr>
        <w:t>D.</w:t>
      </w:r>
      <w:r w:rsidR="00C31D81">
        <w:rPr>
          <w:rFonts w:ascii="Palatino Linotype" w:eastAsia="Palatino Linotype" w:hAnsi="Palatino Linotype" w:cs="Palatino Linotype"/>
          <w:sz w:val="24"/>
          <w:szCs w:val="24"/>
        </w:rPr>
        <w:t>)</w:t>
      </w:r>
      <w:r w:rsidR="00C2602F">
        <w:rPr>
          <w:rFonts w:ascii="Palatino Linotype" w:eastAsia="Palatino Linotype" w:hAnsi="Palatino Linotype" w:cs="Palatino Linotype"/>
          <w:sz w:val="24"/>
          <w:szCs w:val="24"/>
        </w:rPr>
        <w:t>18-04-006</w:t>
      </w:r>
      <w:r w:rsidR="00B12B0F" w:rsidRPr="00CE11E5">
        <w:rPr>
          <w:rFonts w:ascii="Palatino Linotype" w:eastAsia="Palatino Linotype" w:hAnsi="Palatino Linotype" w:cs="Palatino Linotype"/>
          <w:sz w:val="24"/>
          <w:szCs w:val="24"/>
        </w:rPr>
        <w:t xml:space="preserve"> </w:t>
      </w:r>
      <w:r w:rsidR="00AB75C7">
        <w:rPr>
          <w:rFonts w:ascii="Palatino Linotype" w:eastAsia="Palatino Linotype" w:hAnsi="Palatino Linotype" w:cs="Palatino Linotype"/>
          <w:sz w:val="24"/>
          <w:szCs w:val="24"/>
        </w:rPr>
        <w:t xml:space="preserve">issued May 1, </w:t>
      </w:r>
      <w:r w:rsidR="00B12B0F" w:rsidRPr="00CE11E5">
        <w:rPr>
          <w:rFonts w:ascii="Palatino Linotype" w:eastAsia="Palatino Linotype" w:hAnsi="Palatino Linotype" w:cs="Palatino Linotype"/>
          <w:sz w:val="24"/>
          <w:szCs w:val="24"/>
        </w:rPr>
        <w:t xml:space="preserve">2018 was based on </w:t>
      </w:r>
      <w:r w:rsidR="000861D3" w:rsidRPr="00CE11E5">
        <w:rPr>
          <w:rFonts w:ascii="Palatino Linotype" w:eastAsia="Palatino Linotype" w:hAnsi="Palatino Linotype" w:cs="Palatino Linotype"/>
          <w:sz w:val="24"/>
          <w:szCs w:val="24"/>
        </w:rPr>
        <w:t xml:space="preserve">an estimated </w:t>
      </w:r>
      <w:r w:rsidR="00B12B0F" w:rsidRPr="00CE11E5">
        <w:rPr>
          <w:rFonts w:ascii="Palatino Linotype" w:eastAsia="Palatino Linotype" w:hAnsi="Palatino Linotype" w:cs="Palatino Linotype"/>
          <w:sz w:val="24"/>
          <w:szCs w:val="24"/>
        </w:rPr>
        <w:t>34% federal income tax rate.</w:t>
      </w:r>
    </w:p>
    <w:p w:rsidR="00CE11E5" w:rsidRDefault="00E92D77" w:rsidP="00CE11E5">
      <w:pPr>
        <w:pStyle w:val="ListParagraph"/>
        <w:numPr>
          <w:ilvl w:val="0"/>
          <w:numId w:val="5"/>
        </w:numPr>
        <w:spacing w:after="240" w:line="300" w:lineRule="exact"/>
        <w:ind w:left="360"/>
        <w:contextualSpacing w:val="0"/>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D</w:t>
      </w:r>
      <w:r w:rsidR="00B12B0F" w:rsidRPr="00CE11E5">
        <w:rPr>
          <w:rFonts w:ascii="Palatino Linotype" w:eastAsia="Palatino Linotype" w:hAnsi="Palatino Linotype" w:cs="Palatino Linotype"/>
          <w:sz w:val="24"/>
          <w:szCs w:val="24"/>
        </w:rPr>
        <w:t>.</w:t>
      </w:r>
      <w:r w:rsidR="00C2602F">
        <w:rPr>
          <w:rFonts w:ascii="Palatino Linotype" w:eastAsia="Palatino Linotype" w:hAnsi="Palatino Linotype" w:cs="Palatino Linotype"/>
          <w:sz w:val="24"/>
          <w:szCs w:val="24"/>
        </w:rPr>
        <w:t>18-04-006</w:t>
      </w:r>
      <w:r w:rsidR="00B12B0F" w:rsidRPr="00CE11E5">
        <w:rPr>
          <w:rFonts w:ascii="Palatino Linotype" w:eastAsia="Palatino Linotype" w:hAnsi="Palatino Linotype" w:cs="Palatino Linotype"/>
          <w:sz w:val="24"/>
          <w:szCs w:val="24"/>
        </w:rPr>
        <w:t xml:space="preserve"> ordered </w:t>
      </w:r>
      <w:r w:rsidR="00F46D1F">
        <w:rPr>
          <w:rFonts w:ascii="Palatino Linotype" w:eastAsia="Palatino Linotype" w:hAnsi="Palatino Linotype" w:cs="Palatino Linotype"/>
          <w:sz w:val="24"/>
          <w:szCs w:val="24"/>
        </w:rPr>
        <w:t>Calaveras</w:t>
      </w:r>
      <w:r w:rsidR="00B12B0F" w:rsidRPr="00CE11E5">
        <w:rPr>
          <w:rFonts w:ascii="Palatino Linotype" w:eastAsia="Palatino Linotype" w:hAnsi="Palatino Linotype" w:cs="Palatino Linotype"/>
          <w:sz w:val="24"/>
          <w:szCs w:val="24"/>
        </w:rPr>
        <w:t xml:space="preserve"> to submit a</w:t>
      </w:r>
      <w:r w:rsidR="00225632" w:rsidRPr="00CE11E5">
        <w:rPr>
          <w:rFonts w:ascii="Palatino Linotype" w:eastAsia="Palatino Linotype" w:hAnsi="Palatino Linotype" w:cs="Palatino Linotype"/>
          <w:sz w:val="24"/>
          <w:szCs w:val="24"/>
        </w:rPr>
        <w:t xml:space="preserve"> Tier 2</w:t>
      </w:r>
      <w:r w:rsidR="00B12B0F" w:rsidRPr="00CE11E5">
        <w:rPr>
          <w:rFonts w:ascii="Palatino Linotype" w:eastAsia="Palatino Linotype" w:hAnsi="Palatino Linotype" w:cs="Palatino Linotype"/>
          <w:sz w:val="24"/>
          <w:szCs w:val="24"/>
        </w:rPr>
        <w:t xml:space="preserve"> Advice Letter</w:t>
      </w:r>
      <w:r w:rsidR="00B426D5" w:rsidRPr="00CE11E5">
        <w:rPr>
          <w:rFonts w:ascii="Palatino Linotype" w:eastAsia="Palatino Linotype" w:hAnsi="Palatino Linotype" w:cs="Palatino Linotype"/>
          <w:sz w:val="24"/>
          <w:szCs w:val="24"/>
        </w:rPr>
        <w:t xml:space="preserve"> (AL)</w:t>
      </w:r>
      <w:r w:rsidR="00B12B0F" w:rsidRPr="00CE11E5">
        <w:rPr>
          <w:rFonts w:ascii="Palatino Linotype" w:eastAsia="Palatino Linotype" w:hAnsi="Palatino Linotype" w:cs="Palatino Linotype"/>
          <w:sz w:val="24"/>
          <w:szCs w:val="24"/>
        </w:rPr>
        <w:t xml:space="preserve"> with </w:t>
      </w:r>
      <w:r w:rsidR="00F866F0" w:rsidRPr="00CE11E5">
        <w:rPr>
          <w:rFonts w:ascii="Palatino Linotype" w:eastAsia="Palatino Linotype" w:hAnsi="Palatino Linotype" w:cs="Palatino Linotype"/>
          <w:sz w:val="24"/>
          <w:szCs w:val="24"/>
        </w:rPr>
        <w:t xml:space="preserve">a </w:t>
      </w:r>
      <w:r w:rsidR="00B12B0F" w:rsidRPr="00CE11E5">
        <w:rPr>
          <w:rFonts w:ascii="Palatino Linotype" w:eastAsia="Palatino Linotype" w:hAnsi="Palatino Linotype" w:cs="Palatino Linotype"/>
          <w:sz w:val="24"/>
          <w:szCs w:val="24"/>
        </w:rPr>
        <w:t xml:space="preserve">revised revenue requirement </w:t>
      </w:r>
      <w:r w:rsidR="00201A8D">
        <w:rPr>
          <w:rFonts w:ascii="Palatino Linotype" w:eastAsia="Palatino Linotype" w:hAnsi="Palatino Linotype" w:cs="Palatino Linotype"/>
          <w:sz w:val="24"/>
          <w:szCs w:val="24"/>
        </w:rPr>
        <w:t>and revised Results of Operations reflecting changes to the income tax rate after the all-party settlement agreement was submitted.</w:t>
      </w:r>
    </w:p>
    <w:p w:rsidR="00CE11E5" w:rsidRPr="00CE11E5" w:rsidRDefault="00F46D1F" w:rsidP="00CE11E5">
      <w:pPr>
        <w:pStyle w:val="ListParagraph"/>
        <w:numPr>
          <w:ilvl w:val="0"/>
          <w:numId w:val="5"/>
        </w:numPr>
        <w:spacing w:after="240" w:line="300" w:lineRule="exact"/>
        <w:ind w:left="360"/>
        <w:contextualSpacing w:val="0"/>
        <w:rPr>
          <w:rFonts w:ascii="Palatino Linotype" w:eastAsia="Palatino Linotype" w:hAnsi="Palatino Linotype" w:cs="Palatino Linotype"/>
          <w:spacing w:val="1"/>
          <w:sz w:val="24"/>
          <w:szCs w:val="24"/>
        </w:rPr>
      </w:pPr>
      <w:r>
        <w:rPr>
          <w:rFonts w:ascii="Palatino Linotype" w:eastAsia="Palatino Linotype" w:hAnsi="Palatino Linotype" w:cs="Palatino Linotype"/>
          <w:sz w:val="24"/>
          <w:szCs w:val="24"/>
        </w:rPr>
        <w:t>Calaveras</w:t>
      </w:r>
      <w:r w:rsidR="00B12B0F" w:rsidRPr="00CE11E5">
        <w:rPr>
          <w:rFonts w:ascii="Palatino Linotype" w:eastAsia="Palatino Linotype" w:hAnsi="Palatino Linotype" w:cs="Palatino Linotype"/>
          <w:sz w:val="24"/>
          <w:szCs w:val="24"/>
        </w:rPr>
        <w:t xml:space="preserve"> filed </w:t>
      </w:r>
      <w:r w:rsidR="00A955DA" w:rsidRPr="00CE11E5">
        <w:rPr>
          <w:rFonts w:ascii="Palatino Linotype" w:eastAsia="Palatino Linotype" w:hAnsi="Palatino Linotype" w:cs="Palatino Linotype"/>
          <w:sz w:val="24"/>
          <w:szCs w:val="24"/>
        </w:rPr>
        <w:t xml:space="preserve">Tier </w:t>
      </w:r>
      <w:r w:rsidR="00225632" w:rsidRPr="00CE11E5">
        <w:rPr>
          <w:rFonts w:ascii="Palatino Linotype" w:eastAsia="Palatino Linotype" w:hAnsi="Palatino Linotype" w:cs="Palatino Linotype"/>
          <w:sz w:val="24"/>
          <w:szCs w:val="24"/>
        </w:rPr>
        <w:t>2</w:t>
      </w:r>
      <w:r w:rsidR="00A955DA" w:rsidRPr="00CE11E5">
        <w:rPr>
          <w:rFonts w:ascii="Palatino Linotype" w:eastAsia="Palatino Linotype" w:hAnsi="Palatino Linotype" w:cs="Palatino Linotype"/>
          <w:sz w:val="24"/>
          <w:szCs w:val="24"/>
        </w:rPr>
        <w:t xml:space="preserve"> </w:t>
      </w:r>
      <w:r w:rsidR="004A2727" w:rsidRPr="00CE11E5">
        <w:rPr>
          <w:rFonts w:ascii="Palatino Linotype" w:eastAsia="Palatino Linotype" w:hAnsi="Palatino Linotype" w:cs="Palatino Linotype"/>
          <w:sz w:val="24"/>
          <w:szCs w:val="24"/>
        </w:rPr>
        <w:t>AL</w:t>
      </w:r>
      <w:r w:rsidR="00B12B0F" w:rsidRPr="00CE11E5">
        <w:rPr>
          <w:rFonts w:ascii="Palatino Linotype" w:eastAsia="Palatino Linotype" w:hAnsi="Palatino Linotype" w:cs="Palatino Linotype"/>
          <w:sz w:val="24"/>
          <w:szCs w:val="24"/>
        </w:rPr>
        <w:t xml:space="preserve"> </w:t>
      </w:r>
      <w:r w:rsidR="00C2602F">
        <w:rPr>
          <w:rFonts w:ascii="Palatino Linotype" w:eastAsia="Palatino Linotype" w:hAnsi="Palatino Linotype" w:cs="Palatino Linotype"/>
          <w:sz w:val="24"/>
          <w:szCs w:val="24"/>
        </w:rPr>
        <w:t>363</w:t>
      </w:r>
      <w:r w:rsidR="00B12B0F" w:rsidRPr="00CE11E5">
        <w:rPr>
          <w:rFonts w:ascii="Palatino Linotype" w:eastAsia="Palatino Linotype" w:hAnsi="Palatino Linotype" w:cs="Palatino Linotype"/>
          <w:sz w:val="24"/>
          <w:szCs w:val="24"/>
        </w:rPr>
        <w:t xml:space="preserve"> </w:t>
      </w:r>
      <w:r w:rsidR="003A1056" w:rsidRPr="00CE11E5">
        <w:rPr>
          <w:rFonts w:ascii="Palatino Linotype" w:eastAsia="Palatino Linotype" w:hAnsi="Palatino Linotype" w:cs="Palatino Linotype"/>
          <w:sz w:val="24"/>
          <w:szCs w:val="24"/>
        </w:rPr>
        <w:t xml:space="preserve">on </w:t>
      </w:r>
      <w:r w:rsidR="00C2602F">
        <w:rPr>
          <w:rFonts w:ascii="Palatino Linotype" w:eastAsia="Palatino Linotype" w:hAnsi="Palatino Linotype" w:cs="Palatino Linotype"/>
          <w:sz w:val="24"/>
          <w:szCs w:val="24"/>
        </w:rPr>
        <w:t>May 25</w:t>
      </w:r>
      <w:r w:rsidR="003A1056" w:rsidRPr="00CE11E5">
        <w:rPr>
          <w:rFonts w:ascii="Palatino Linotype" w:eastAsia="Palatino Linotype" w:hAnsi="Palatino Linotype" w:cs="Palatino Linotype"/>
          <w:sz w:val="24"/>
          <w:szCs w:val="24"/>
        </w:rPr>
        <w:t>, 2018</w:t>
      </w:r>
      <w:r w:rsidR="00B426D5" w:rsidRPr="00CE11E5">
        <w:rPr>
          <w:rFonts w:ascii="Palatino Linotype" w:eastAsia="Palatino Linotype" w:hAnsi="Palatino Linotype" w:cs="Palatino Linotype"/>
          <w:sz w:val="24"/>
          <w:szCs w:val="24"/>
        </w:rPr>
        <w:t>,</w:t>
      </w:r>
      <w:r w:rsidR="003A1056" w:rsidRPr="00CE11E5">
        <w:rPr>
          <w:rFonts w:ascii="Palatino Linotype" w:eastAsia="Palatino Linotype" w:hAnsi="Palatino Linotype" w:cs="Palatino Linotype"/>
          <w:sz w:val="24"/>
          <w:szCs w:val="24"/>
        </w:rPr>
        <w:t xml:space="preserve"> revising </w:t>
      </w:r>
      <w:r w:rsidR="005A5147" w:rsidRPr="00CE11E5">
        <w:rPr>
          <w:rFonts w:ascii="Palatino Linotype" w:eastAsia="Palatino Linotype" w:hAnsi="Palatino Linotype" w:cs="Palatino Linotype"/>
          <w:sz w:val="24"/>
          <w:szCs w:val="24"/>
        </w:rPr>
        <w:t xml:space="preserve">its </w:t>
      </w:r>
      <w:r w:rsidR="003A1056" w:rsidRPr="00CE11E5">
        <w:rPr>
          <w:rFonts w:ascii="Palatino Linotype" w:eastAsia="Palatino Linotype" w:hAnsi="Palatino Linotype" w:cs="Palatino Linotype"/>
          <w:sz w:val="24"/>
          <w:szCs w:val="24"/>
        </w:rPr>
        <w:t>revenue requirement</w:t>
      </w:r>
      <w:r w:rsidR="004A2727" w:rsidRPr="00CE11E5">
        <w:rPr>
          <w:rFonts w:ascii="Palatino Linotype" w:eastAsia="Palatino Linotype" w:hAnsi="Palatino Linotype" w:cs="Palatino Linotype"/>
          <w:sz w:val="24"/>
          <w:szCs w:val="24"/>
        </w:rPr>
        <w:t xml:space="preserve"> and California High Cost Fund-A</w:t>
      </w:r>
      <w:r w:rsidR="00E92D77">
        <w:rPr>
          <w:rFonts w:ascii="Palatino Linotype" w:eastAsia="Palatino Linotype" w:hAnsi="Palatino Linotype" w:cs="Palatino Linotype"/>
          <w:sz w:val="24"/>
          <w:szCs w:val="24"/>
        </w:rPr>
        <w:t xml:space="preserve"> (CHCF-A)</w:t>
      </w:r>
      <w:r w:rsidR="004A2727" w:rsidRPr="00CE11E5">
        <w:rPr>
          <w:rFonts w:ascii="Palatino Linotype" w:eastAsia="Palatino Linotype" w:hAnsi="Palatino Linotype" w:cs="Palatino Linotype"/>
          <w:sz w:val="24"/>
          <w:szCs w:val="24"/>
        </w:rPr>
        <w:t xml:space="preserve"> support for 2018</w:t>
      </w:r>
      <w:r w:rsidR="003A1056" w:rsidRPr="00CE11E5">
        <w:rPr>
          <w:rFonts w:ascii="Palatino Linotype" w:eastAsia="Palatino Linotype" w:hAnsi="Palatino Linotype" w:cs="Palatino Linotype"/>
          <w:sz w:val="24"/>
          <w:szCs w:val="24"/>
        </w:rPr>
        <w:t>.</w:t>
      </w:r>
    </w:p>
    <w:p w:rsidR="00CE11E5" w:rsidRDefault="004A2727" w:rsidP="00CE11E5">
      <w:pPr>
        <w:pStyle w:val="ListParagraph"/>
        <w:numPr>
          <w:ilvl w:val="0"/>
          <w:numId w:val="5"/>
        </w:numPr>
        <w:spacing w:after="240" w:line="300" w:lineRule="exact"/>
        <w:ind w:left="360"/>
        <w:contextualSpacing w:val="0"/>
        <w:rPr>
          <w:rFonts w:ascii="Palatino Linotype" w:eastAsia="Palatino Linotype" w:hAnsi="Palatino Linotype" w:cs="Palatino Linotype"/>
          <w:spacing w:val="1"/>
          <w:sz w:val="24"/>
          <w:szCs w:val="24"/>
        </w:rPr>
      </w:pPr>
      <w:r w:rsidRPr="00CE11E5">
        <w:rPr>
          <w:rFonts w:ascii="Palatino Linotype" w:eastAsia="Palatino Linotype" w:hAnsi="Palatino Linotype" w:cs="Palatino Linotype"/>
          <w:spacing w:val="1"/>
          <w:sz w:val="24"/>
          <w:szCs w:val="24"/>
        </w:rPr>
        <w:t xml:space="preserve">In </w:t>
      </w:r>
      <w:r w:rsidRPr="00CE11E5">
        <w:rPr>
          <w:rFonts w:ascii="Palatino Linotype" w:eastAsia="Palatino Linotype" w:hAnsi="Palatino Linotype" w:cs="Palatino Linotype"/>
          <w:sz w:val="24"/>
          <w:szCs w:val="24"/>
        </w:rPr>
        <w:t>A</w:t>
      </w:r>
      <w:r w:rsidR="008B5D2B" w:rsidRPr="00CE11E5">
        <w:rPr>
          <w:rFonts w:ascii="Palatino Linotype" w:eastAsia="Palatino Linotype" w:hAnsi="Palatino Linotype" w:cs="Palatino Linotype"/>
          <w:sz w:val="24"/>
          <w:szCs w:val="24"/>
        </w:rPr>
        <w:t>L</w:t>
      </w:r>
      <w:r w:rsidRPr="00CE11E5">
        <w:rPr>
          <w:rFonts w:ascii="Palatino Linotype" w:eastAsia="Palatino Linotype" w:hAnsi="Palatino Linotype" w:cs="Palatino Linotype"/>
          <w:spacing w:val="1"/>
          <w:sz w:val="24"/>
          <w:szCs w:val="24"/>
        </w:rPr>
        <w:t xml:space="preserve"> </w:t>
      </w:r>
      <w:r w:rsidR="00C2602F">
        <w:rPr>
          <w:rFonts w:ascii="Palatino Linotype" w:eastAsia="Palatino Linotype" w:hAnsi="Palatino Linotype" w:cs="Palatino Linotype"/>
          <w:spacing w:val="1"/>
          <w:sz w:val="24"/>
          <w:szCs w:val="24"/>
        </w:rPr>
        <w:t>363</w:t>
      </w:r>
      <w:r w:rsidRPr="00CE11E5">
        <w:rPr>
          <w:rFonts w:ascii="Palatino Linotype" w:eastAsia="Palatino Linotype" w:hAnsi="Palatino Linotype" w:cs="Palatino Linotype"/>
          <w:spacing w:val="1"/>
          <w:sz w:val="24"/>
          <w:szCs w:val="24"/>
        </w:rPr>
        <w:t xml:space="preserve">, </w:t>
      </w:r>
      <w:r w:rsidR="00F46D1F">
        <w:rPr>
          <w:rFonts w:ascii="Palatino Linotype" w:eastAsia="Palatino Linotype" w:hAnsi="Palatino Linotype" w:cs="Palatino Linotype"/>
          <w:spacing w:val="1"/>
          <w:sz w:val="24"/>
          <w:szCs w:val="24"/>
        </w:rPr>
        <w:t>Calaveras</w:t>
      </w:r>
      <w:r w:rsidR="003A1056" w:rsidRPr="00CE11E5">
        <w:rPr>
          <w:rFonts w:ascii="Palatino Linotype" w:eastAsia="Palatino Linotype" w:hAnsi="Palatino Linotype" w:cs="Palatino Linotype"/>
          <w:spacing w:val="1"/>
          <w:sz w:val="24"/>
          <w:szCs w:val="24"/>
        </w:rPr>
        <w:t xml:space="preserve"> </w:t>
      </w:r>
      <w:r w:rsidRPr="00CE11E5">
        <w:rPr>
          <w:rFonts w:ascii="Palatino Linotype" w:eastAsia="Palatino Linotype" w:hAnsi="Palatino Linotype" w:cs="Palatino Linotype"/>
          <w:spacing w:val="1"/>
          <w:sz w:val="24"/>
          <w:szCs w:val="24"/>
        </w:rPr>
        <w:t xml:space="preserve">proposed a </w:t>
      </w:r>
      <w:r w:rsidR="003A1056" w:rsidRPr="00CE11E5">
        <w:rPr>
          <w:rFonts w:ascii="Palatino Linotype" w:eastAsia="Palatino Linotype" w:hAnsi="Palatino Linotype" w:cs="Palatino Linotype"/>
          <w:spacing w:val="1"/>
          <w:sz w:val="24"/>
          <w:szCs w:val="24"/>
        </w:rPr>
        <w:t xml:space="preserve">revised </w:t>
      </w:r>
      <w:r w:rsidR="00C178F2" w:rsidRPr="00CE11E5">
        <w:rPr>
          <w:rFonts w:ascii="Palatino Linotype" w:eastAsia="Palatino Linotype" w:hAnsi="Palatino Linotype" w:cs="Palatino Linotype"/>
          <w:spacing w:val="1"/>
          <w:sz w:val="24"/>
          <w:szCs w:val="24"/>
        </w:rPr>
        <w:t xml:space="preserve">revenue </w:t>
      </w:r>
      <w:r w:rsidR="003A1056" w:rsidRPr="00CE11E5">
        <w:rPr>
          <w:rFonts w:ascii="Palatino Linotype" w:eastAsia="Palatino Linotype" w:hAnsi="Palatino Linotype" w:cs="Palatino Linotype"/>
          <w:spacing w:val="1"/>
          <w:sz w:val="24"/>
          <w:szCs w:val="24"/>
        </w:rPr>
        <w:t xml:space="preserve">requirement </w:t>
      </w:r>
      <w:r w:rsidRPr="00CE11E5">
        <w:rPr>
          <w:rFonts w:ascii="Palatino Linotype" w:eastAsia="Palatino Linotype" w:hAnsi="Palatino Linotype" w:cs="Palatino Linotype"/>
          <w:spacing w:val="1"/>
          <w:sz w:val="24"/>
          <w:szCs w:val="24"/>
        </w:rPr>
        <w:t xml:space="preserve">of </w:t>
      </w:r>
      <w:r w:rsidR="003A1056" w:rsidRPr="00CE11E5">
        <w:rPr>
          <w:rFonts w:ascii="Palatino Linotype" w:eastAsia="Palatino Linotype" w:hAnsi="Palatino Linotype" w:cs="Palatino Linotype"/>
          <w:spacing w:val="1"/>
          <w:sz w:val="24"/>
          <w:szCs w:val="24"/>
        </w:rPr>
        <w:t>$</w:t>
      </w:r>
      <w:r w:rsidR="00C2602F">
        <w:rPr>
          <w:rFonts w:ascii="Palatino Linotype" w:eastAsia="Palatino Linotype" w:hAnsi="Palatino Linotype" w:cs="Palatino Linotype"/>
          <w:spacing w:val="1"/>
          <w:sz w:val="24"/>
          <w:szCs w:val="24"/>
        </w:rPr>
        <w:t>6,019,862</w:t>
      </w:r>
      <w:r w:rsidR="003A1056" w:rsidRPr="00CE11E5">
        <w:rPr>
          <w:rFonts w:ascii="Palatino Linotype" w:eastAsia="Palatino Linotype" w:hAnsi="Palatino Linotype" w:cs="Palatino Linotype"/>
          <w:spacing w:val="1"/>
          <w:sz w:val="24"/>
          <w:szCs w:val="24"/>
        </w:rPr>
        <w:t xml:space="preserve"> for </w:t>
      </w:r>
      <w:r w:rsidR="009A316F">
        <w:rPr>
          <w:rFonts w:ascii="Palatino Linotype" w:eastAsia="Palatino Linotype" w:hAnsi="Palatino Linotype" w:cs="Palatino Linotype"/>
          <w:spacing w:val="1"/>
          <w:sz w:val="24"/>
          <w:szCs w:val="24"/>
        </w:rPr>
        <w:br/>
      </w:r>
      <w:r w:rsidR="004C017E" w:rsidRPr="00CE11E5">
        <w:rPr>
          <w:rFonts w:ascii="Palatino Linotype" w:eastAsia="Palatino Linotype" w:hAnsi="Palatino Linotype" w:cs="Palatino Linotype"/>
          <w:spacing w:val="1"/>
          <w:sz w:val="24"/>
          <w:szCs w:val="24"/>
        </w:rPr>
        <w:t>TY</w:t>
      </w:r>
      <w:r w:rsidR="003A1056" w:rsidRPr="00CE11E5">
        <w:rPr>
          <w:rFonts w:ascii="Palatino Linotype" w:eastAsia="Palatino Linotype" w:hAnsi="Palatino Linotype" w:cs="Palatino Linotype"/>
          <w:spacing w:val="1"/>
          <w:sz w:val="24"/>
          <w:szCs w:val="24"/>
        </w:rPr>
        <w:t xml:space="preserve"> 2018</w:t>
      </w:r>
      <w:r w:rsidR="00C178F2" w:rsidRPr="00CE11E5">
        <w:rPr>
          <w:rFonts w:ascii="Palatino Linotype" w:eastAsia="Palatino Linotype" w:hAnsi="Palatino Linotype" w:cs="Palatino Linotype"/>
          <w:spacing w:val="1"/>
          <w:sz w:val="24"/>
          <w:szCs w:val="24"/>
        </w:rPr>
        <w:t>, which</w:t>
      </w:r>
      <w:r w:rsidR="003A1056" w:rsidRPr="00CE11E5">
        <w:rPr>
          <w:rFonts w:ascii="Palatino Linotype" w:eastAsia="Palatino Linotype" w:hAnsi="Palatino Linotype" w:cs="Palatino Linotype"/>
          <w:spacing w:val="1"/>
          <w:sz w:val="24"/>
          <w:szCs w:val="24"/>
        </w:rPr>
        <w:t xml:space="preserve"> is $</w:t>
      </w:r>
      <w:r w:rsidR="00C2602F">
        <w:rPr>
          <w:rFonts w:ascii="Palatino Linotype" w:eastAsia="Palatino Linotype" w:hAnsi="Palatino Linotype" w:cs="Palatino Linotype"/>
          <w:spacing w:val="1"/>
          <w:sz w:val="24"/>
          <w:szCs w:val="24"/>
        </w:rPr>
        <w:t>180,292</w:t>
      </w:r>
      <w:r w:rsidR="003A1056" w:rsidRPr="00CE11E5">
        <w:rPr>
          <w:rFonts w:ascii="Palatino Linotype" w:eastAsia="Palatino Linotype" w:hAnsi="Palatino Linotype" w:cs="Palatino Linotype"/>
          <w:spacing w:val="1"/>
          <w:sz w:val="24"/>
          <w:szCs w:val="24"/>
        </w:rPr>
        <w:t xml:space="preserve"> lower tha</w:t>
      </w:r>
      <w:r w:rsidR="00C178F2" w:rsidRPr="00CE11E5">
        <w:rPr>
          <w:rFonts w:ascii="Palatino Linotype" w:eastAsia="Palatino Linotype" w:hAnsi="Palatino Linotype" w:cs="Palatino Linotype"/>
          <w:spacing w:val="1"/>
          <w:sz w:val="24"/>
          <w:szCs w:val="24"/>
        </w:rPr>
        <w:t>n</w:t>
      </w:r>
      <w:r w:rsidR="003A1056" w:rsidRPr="00CE11E5">
        <w:rPr>
          <w:rFonts w:ascii="Palatino Linotype" w:eastAsia="Palatino Linotype" w:hAnsi="Palatino Linotype" w:cs="Palatino Linotype"/>
          <w:spacing w:val="1"/>
          <w:sz w:val="24"/>
          <w:szCs w:val="24"/>
        </w:rPr>
        <w:t xml:space="preserve"> </w:t>
      </w:r>
      <w:r w:rsidR="005A5147" w:rsidRPr="00CE11E5">
        <w:rPr>
          <w:rFonts w:ascii="Palatino Linotype" w:eastAsia="Palatino Linotype" w:hAnsi="Palatino Linotype" w:cs="Palatino Linotype"/>
          <w:spacing w:val="1"/>
          <w:sz w:val="24"/>
          <w:szCs w:val="24"/>
        </w:rPr>
        <w:t xml:space="preserve">the </w:t>
      </w:r>
      <w:r w:rsidR="003A1056" w:rsidRPr="00CE11E5">
        <w:rPr>
          <w:rFonts w:ascii="Palatino Linotype" w:eastAsia="Palatino Linotype" w:hAnsi="Palatino Linotype" w:cs="Palatino Linotype"/>
          <w:spacing w:val="1"/>
          <w:sz w:val="24"/>
          <w:szCs w:val="24"/>
        </w:rPr>
        <w:t>D.</w:t>
      </w:r>
      <w:r w:rsidR="00C2602F">
        <w:rPr>
          <w:rFonts w:ascii="Palatino Linotype" w:eastAsia="Palatino Linotype" w:hAnsi="Palatino Linotype" w:cs="Palatino Linotype"/>
          <w:spacing w:val="1"/>
          <w:sz w:val="24"/>
          <w:szCs w:val="24"/>
        </w:rPr>
        <w:t>18-04-006</w:t>
      </w:r>
      <w:r w:rsidR="003A1056" w:rsidRPr="00CE11E5">
        <w:rPr>
          <w:rFonts w:ascii="Palatino Linotype" w:eastAsia="Palatino Linotype" w:hAnsi="Palatino Linotype" w:cs="Palatino Linotype"/>
          <w:spacing w:val="1"/>
          <w:sz w:val="24"/>
          <w:szCs w:val="24"/>
        </w:rPr>
        <w:t xml:space="preserve"> adopted revenue requirement of $</w:t>
      </w:r>
      <w:r w:rsidR="00C2602F">
        <w:rPr>
          <w:rFonts w:ascii="Palatino Linotype" w:eastAsia="Palatino Linotype" w:hAnsi="Palatino Linotype" w:cs="Palatino Linotype"/>
          <w:spacing w:val="1"/>
          <w:sz w:val="24"/>
          <w:szCs w:val="24"/>
        </w:rPr>
        <w:t>6,200,154</w:t>
      </w:r>
      <w:r w:rsidR="003A1056" w:rsidRPr="00CE11E5">
        <w:rPr>
          <w:rFonts w:ascii="Palatino Linotype" w:eastAsia="Palatino Linotype" w:hAnsi="Palatino Linotype" w:cs="Palatino Linotype"/>
          <w:spacing w:val="1"/>
          <w:sz w:val="24"/>
          <w:szCs w:val="24"/>
        </w:rPr>
        <w:t>.</w:t>
      </w:r>
    </w:p>
    <w:p w:rsidR="00CE11E5" w:rsidRPr="00CE11E5" w:rsidRDefault="004A2727" w:rsidP="00CE11E5">
      <w:pPr>
        <w:pStyle w:val="ListParagraph"/>
        <w:numPr>
          <w:ilvl w:val="0"/>
          <w:numId w:val="5"/>
        </w:numPr>
        <w:spacing w:after="240" w:line="300" w:lineRule="exact"/>
        <w:ind w:left="360"/>
        <w:contextualSpacing w:val="0"/>
        <w:rPr>
          <w:rFonts w:ascii="Palatino Linotype" w:eastAsia="Palatino Linotype" w:hAnsi="Palatino Linotype" w:cs="Palatino Linotype"/>
          <w:sz w:val="24"/>
          <w:szCs w:val="24"/>
        </w:rPr>
      </w:pPr>
      <w:r w:rsidRPr="00CE11E5">
        <w:rPr>
          <w:rFonts w:ascii="Palatino Linotype" w:eastAsia="Palatino Linotype" w:hAnsi="Palatino Linotype" w:cs="Palatino Linotype"/>
          <w:spacing w:val="1"/>
          <w:sz w:val="24"/>
          <w:szCs w:val="24"/>
        </w:rPr>
        <w:t>In A</w:t>
      </w:r>
      <w:r w:rsidR="008B5D2B" w:rsidRPr="00CE11E5">
        <w:rPr>
          <w:rFonts w:ascii="Palatino Linotype" w:eastAsia="Palatino Linotype" w:hAnsi="Palatino Linotype" w:cs="Palatino Linotype"/>
          <w:spacing w:val="1"/>
          <w:sz w:val="24"/>
          <w:szCs w:val="24"/>
        </w:rPr>
        <w:t>L</w:t>
      </w:r>
      <w:r w:rsidRPr="00CE11E5">
        <w:rPr>
          <w:rFonts w:ascii="Palatino Linotype" w:eastAsia="Palatino Linotype" w:hAnsi="Palatino Linotype" w:cs="Palatino Linotype"/>
          <w:spacing w:val="1"/>
          <w:sz w:val="24"/>
          <w:szCs w:val="24"/>
        </w:rPr>
        <w:t xml:space="preserve"> 3</w:t>
      </w:r>
      <w:r w:rsidR="00C2602F">
        <w:rPr>
          <w:rFonts w:ascii="Palatino Linotype" w:eastAsia="Palatino Linotype" w:hAnsi="Palatino Linotype" w:cs="Palatino Linotype"/>
          <w:spacing w:val="1"/>
          <w:sz w:val="24"/>
          <w:szCs w:val="24"/>
        </w:rPr>
        <w:t>63</w:t>
      </w:r>
      <w:r w:rsidRPr="00CE11E5">
        <w:rPr>
          <w:rFonts w:ascii="Palatino Linotype" w:eastAsia="Palatino Linotype" w:hAnsi="Palatino Linotype" w:cs="Palatino Linotype"/>
          <w:spacing w:val="1"/>
          <w:sz w:val="24"/>
          <w:szCs w:val="24"/>
        </w:rPr>
        <w:t xml:space="preserve">, </w:t>
      </w:r>
      <w:r w:rsidR="00F46D1F">
        <w:rPr>
          <w:rFonts w:ascii="Palatino Linotype" w:eastAsia="Palatino Linotype" w:hAnsi="Palatino Linotype" w:cs="Palatino Linotype"/>
          <w:spacing w:val="1"/>
          <w:sz w:val="24"/>
          <w:szCs w:val="24"/>
        </w:rPr>
        <w:t>Calaveras</w:t>
      </w:r>
      <w:r w:rsidR="000A459C" w:rsidRPr="00CE11E5">
        <w:rPr>
          <w:rFonts w:ascii="Palatino Linotype" w:eastAsia="Palatino Linotype" w:hAnsi="Palatino Linotype" w:cs="Palatino Linotype"/>
          <w:spacing w:val="1"/>
          <w:sz w:val="24"/>
          <w:szCs w:val="24"/>
        </w:rPr>
        <w:t xml:space="preserve"> </w:t>
      </w:r>
      <w:r w:rsidRPr="00CE11E5">
        <w:rPr>
          <w:rFonts w:ascii="Palatino Linotype" w:eastAsia="Palatino Linotype" w:hAnsi="Palatino Linotype" w:cs="Palatino Linotype"/>
          <w:spacing w:val="1"/>
          <w:sz w:val="24"/>
          <w:szCs w:val="24"/>
        </w:rPr>
        <w:t>proposed a revised</w:t>
      </w:r>
      <w:r w:rsidR="00EA5445" w:rsidRPr="00CE11E5">
        <w:rPr>
          <w:rFonts w:ascii="Palatino Linotype" w:eastAsia="Palatino Linotype" w:hAnsi="Palatino Linotype" w:cs="Palatino Linotype"/>
          <w:spacing w:val="1"/>
          <w:sz w:val="24"/>
          <w:szCs w:val="24"/>
        </w:rPr>
        <w:t xml:space="preserve"> </w:t>
      </w:r>
      <w:r w:rsidR="000A459C" w:rsidRPr="00CE11E5">
        <w:rPr>
          <w:rFonts w:ascii="Palatino Linotype" w:eastAsia="Palatino Linotype" w:hAnsi="Palatino Linotype" w:cs="Palatino Linotype"/>
          <w:spacing w:val="1"/>
          <w:sz w:val="24"/>
          <w:szCs w:val="24"/>
        </w:rPr>
        <w:t>CHCF-A support of $</w:t>
      </w:r>
      <w:r w:rsidR="00866E66">
        <w:rPr>
          <w:rFonts w:ascii="Palatino Linotype" w:eastAsia="Palatino Linotype" w:hAnsi="Palatino Linotype" w:cs="Palatino Linotype"/>
          <w:spacing w:val="1"/>
          <w:sz w:val="24"/>
          <w:szCs w:val="24"/>
        </w:rPr>
        <w:t>2,752,607</w:t>
      </w:r>
      <w:r w:rsidR="005A5147" w:rsidRPr="00CE11E5">
        <w:rPr>
          <w:rFonts w:ascii="Palatino Linotype" w:eastAsia="Palatino Linotype" w:hAnsi="Palatino Linotype" w:cs="Palatino Linotype"/>
          <w:spacing w:val="1"/>
          <w:sz w:val="24"/>
          <w:szCs w:val="24"/>
        </w:rPr>
        <w:t>,</w:t>
      </w:r>
      <w:r w:rsidR="000A459C" w:rsidRPr="00CE11E5">
        <w:rPr>
          <w:rFonts w:ascii="Palatino Linotype" w:eastAsia="Palatino Linotype" w:hAnsi="Palatino Linotype" w:cs="Palatino Linotype"/>
          <w:spacing w:val="1"/>
          <w:sz w:val="24"/>
          <w:szCs w:val="24"/>
        </w:rPr>
        <w:t xml:space="preserve"> </w:t>
      </w:r>
      <w:r w:rsidRPr="00CE11E5">
        <w:rPr>
          <w:rFonts w:ascii="Palatino Linotype" w:eastAsia="Palatino Linotype" w:hAnsi="Palatino Linotype" w:cs="Palatino Linotype"/>
          <w:spacing w:val="1"/>
          <w:sz w:val="24"/>
          <w:szCs w:val="24"/>
        </w:rPr>
        <w:t>which is</w:t>
      </w:r>
      <w:r w:rsidR="000A459C" w:rsidRPr="00CE11E5">
        <w:rPr>
          <w:rFonts w:ascii="Palatino Linotype" w:eastAsia="Palatino Linotype" w:hAnsi="Palatino Linotype" w:cs="Palatino Linotype"/>
          <w:spacing w:val="1"/>
          <w:sz w:val="24"/>
          <w:szCs w:val="24"/>
        </w:rPr>
        <w:t xml:space="preserve"> $</w:t>
      </w:r>
      <w:r w:rsidR="00866E66">
        <w:rPr>
          <w:rFonts w:ascii="Palatino Linotype" w:eastAsia="Palatino Linotype" w:hAnsi="Palatino Linotype" w:cs="Palatino Linotype"/>
          <w:spacing w:val="1"/>
          <w:sz w:val="24"/>
          <w:szCs w:val="24"/>
        </w:rPr>
        <w:t>180,292</w:t>
      </w:r>
      <w:r w:rsidR="000A459C" w:rsidRPr="00CE11E5">
        <w:rPr>
          <w:rFonts w:ascii="Palatino Linotype" w:eastAsia="Palatino Linotype" w:hAnsi="Palatino Linotype" w:cs="Palatino Linotype"/>
          <w:spacing w:val="1"/>
          <w:sz w:val="24"/>
          <w:szCs w:val="24"/>
        </w:rPr>
        <w:t xml:space="preserve"> lower </w:t>
      </w:r>
      <w:r w:rsidRPr="00CE11E5">
        <w:rPr>
          <w:rFonts w:ascii="Palatino Linotype" w:eastAsia="Palatino Linotype" w:hAnsi="Palatino Linotype" w:cs="Palatino Linotype"/>
          <w:spacing w:val="1"/>
          <w:sz w:val="24"/>
          <w:szCs w:val="24"/>
        </w:rPr>
        <w:t>than the D.</w:t>
      </w:r>
      <w:r w:rsidR="00C2602F">
        <w:rPr>
          <w:rFonts w:ascii="Palatino Linotype" w:eastAsia="Palatino Linotype" w:hAnsi="Palatino Linotype" w:cs="Palatino Linotype"/>
          <w:spacing w:val="1"/>
          <w:sz w:val="24"/>
          <w:szCs w:val="24"/>
        </w:rPr>
        <w:t>18-04-006</w:t>
      </w:r>
      <w:r w:rsidRPr="00CE11E5">
        <w:rPr>
          <w:rFonts w:ascii="Palatino Linotype" w:eastAsia="Palatino Linotype" w:hAnsi="Palatino Linotype" w:cs="Palatino Linotype"/>
          <w:spacing w:val="1"/>
          <w:sz w:val="24"/>
          <w:szCs w:val="24"/>
        </w:rPr>
        <w:t xml:space="preserve"> adopted CHCF-A </w:t>
      </w:r>
      <w:r w:rsidR="00B06E49">
        <w:rPr>
          <w:rFonts w:ascii="Palatino Linotype" w:eastAsia="Palatino Linotype" w:hAnsi="Palatino Linotype" w:cs="Palatino Linotype"/>
          <w:spacing w:val="1"/>
          <w:sz w:val="24"/>
          <w:szCs w:val="24"/>
        </w:rPr>
        <w:t xml:space="preserve">support </w:t>
      </w:r>
      <w:r w:rsidRPr="00CE11E5">
        <w:rPr>
          <w:rFonts w:ascii="Palatino Linotype" w:eastAsia="Palatino Linotype" w:hAnsi="Palatino Linotype" w:cs="Palatino Linotype"/>
          <w:spacing w:val="1"/>
          <w:sz w:val="24"/>
          <w:szCs w:val="24"/>
        </w:rPr>
        <w:t>of $</w:t>
      </w:r>
      <w:r w:rsidR="00866E66">
        <w:rPr>
          <w:rFonts w:ascii="Palatino Linotype" w:eastAsia="Palatino Linotype" w:hAnsi="Palatino Linotype" w:cs="Palatino Linotype"/>
          <w:spacing w:val="1"/>
          <w:sz w:val="24"/>
          <w:szCs w:val="24"/>
        </w:rPr>
        <w:t>2,932,899</w:t>
      </w:r>
      <w:r w:rsidR="000A459C" w:rsidRPr="00CE11E5">
        <w:rPr>
          <w:rFonts w:ascii="Palatino Linotype" w:eastAsia="Palatino Linotype" w:hAnsi="Palatino Linotype" w:cs="Palatino Linotype"/>
          <w:spacing w:val="1"/>
          <w:sz w:val="24"/>
          <w:szCs w:val="24"/>
        </w:rPr>
        <w:t>.</w:t>
      </w:r>
    </w:p>
    <w:p w:rsidR="00CE11E5" w:rsidRDefault="00B426D5" w:rsidP="00CE11E5">
      <w:pPr>
        <w:pStyle w:val="ListParagraph"/>
        <w:numPr>
          <w:ilvl w:val="0"/>
          <w:numId w:val="5"/>
        </w:numPr>
        <w:spacing w:after="240" w:line="300" w:lineRule="exact"/>
        <w:ind w:left="360"/>
        <w:contextualSpacing w:val="0"/>
        <w:rPr>
          <w:rFonts w:ascii="Palatino Linotype" w:eastAsia="Palatino Linotype" w:hAnsi="Palatino Linotype" w:cs="Palatino Linotype"/>
          <w:sz w:val="24"/>
          <w:szCs w:val="24"/>
        </w:rPr>
      </w:pPr>
      <w:r w:rsidRPr="00CE11E5">
        <w:rPr>
          <w:rFonts w:ascii="Palatino Linotype" w:eastAsia="Palatino Linotype" w:hAnsi="Palatino Linotype" w:cs="Palatino Linotype"/>
          <w:sz w:val="24"/>
          <w:szCs w:val="24"/>
        </w:rPr>
        <w:t>In AL 3</w:t>
      </w:r>
      <w:r w:rsidR="00866E66">
        <w:rPr>
          <w:rFonts w:ascii="Palatino Linotype" w:eastAsia="Palatino Linotype" w:hAnsi="Palatino Linotype" w:cs="Palatino Linotype"/>
          <w:sz w:val="24"/>
          <w:szCs w:val="24"/>
        </w:rPr>
        <w:t>63</w:t>
      </w:r>
      <w:r w:rsidRPr="00CE11E5">
        <w:rPr>
          <w:rFonts w:ascii="Palatino Linotype" w:eastAsia="Palatino Linotype" w:hAnsi="Palatino Linotype" w:cs="Palatino Linotype"/>
          <w:sz w:val="24"/>
          <w:szCs w:val="24"/>
        </w:rPr>
        <w:t xml:space="preserve">, </w:t>
      </w:r>
      <w:r w:rsidR="00F46D1F">
        <w:rPr>
          <w:rFonts w:ascii="Palatino Linotype" w:eastAsia="Palatino Linotype" w:hAnsi="Palatino Linotype" w:cs="Palatino Linotype"/>
          <w:sz w:val="24"/>
          <w:szCs w:val="24"/>
        </w:rPr>
        <w:t>Calaveras</w:t>
      </w:r>
      <w:r w:rsidR="003A1056" w:rsidRPr="00CE11E5">
        <w:rPr>
          <w:rFonts w:ascii="Palatino Linotype" w:eastAsia="Palatino Linotype" w:hAnsi="Palatino Linotype" w:cs="Palatino Linotype"/>
          <w:sz w:val="24"/>
          <w:szCs w:val="24"/>
        </w:rPr>
        <w:t xml:space="preserve"> </w:t>
      </w:r>
      <w:r w:rsidR="00C178F2" w:rsidRPr="00CE11E5">
        <w:rPr>
          <w:rFonts w:ascii="Palatino Linotype" w:eastAsia="Palatino Linotype" w:hAnsi="Palatino Linotype" w:cs="Palatino Linotype"/>
          <w:sz w:val="24"/>
          <w:szCs w:val="24"/>
        </w:rPr>
        <w:t xml:space="preserve">did not include the </w:t>
      </w:r>
      <w:r w:rsidR="00A95C1A" w:rsidRPr="00CE11E5">
        <w:rPr>
          <w:rFonts w:ascii="Palatino Linotype" w:eastAsia="Palatino Linotype" w:hAnsi="Palatino Linotype" w:cs="Palatino Linotype"/>
          <w:sz w:val="24"/>
          <w:szCs w:val="24"/>
        </w:rPr>
        <w:t xml:space="preserve">appropriate </w:t>
      </w:r>
      <w:r w:rsidR="00C178F2" w:rsidRPr="00CE11E5">
        <w:rPr>
          <w:rFonts w:ascii="Palatino Linotype" w:eastAsia="Palatino Linotype" w:hAnsi="Palatino Linotype" w:cs="Palatino Linotype"/>
          <w:sz w:val="24"/>
          <w:szCs w:val="24"/>
        </w:rPr>
        <w:t xml:space="preserve">effect of excess deferred </w:t>
      </w:r>
      <w:r w:rsidR="00172BD6" w:rsidRPr="00CE11E5">
        <w:rPr>
          <w:rFonts w:ascii="Palatino Linotype" w:eastAsia="Palatino Linotype" w:hAnsi="Palatino Linotype" w:cs="Palatino Linotype"/>
          <w:sz w:val="24"/>
          <w:szCs w:val="24"/>
        </w:rPr>
        <w:t xml:space="preserve">income </w:t>
      </w:r>
      <w:r w:rsidR="00C178F2" w:rsidRPr="00CE11E5">
        <w:rPr>
          <w:rFonts w:ascii="Palatino Linotype" w:eastAsia="Palatino Linotype" w:hAnsi="Palatino Linotype" w:cs="Palatino Linotype"/>
          <w:sz w:val="24"/>
          <w:szCs w:val="24"/>
        </w:rPr>
        <w:t>tax reserve created by the lower tax rate</w:t>
      </w:r>
      <w:r w:rsidR="004D799E" w:rsidRPr="00CE11E5">
        <w:rPr>
          <w:rFonts w:ascii="Palatino Linotype" w:eastAsia="Palatino Linotype" w:hAnsi="Palatino Linotype" w:cs="Palatino Linotype"/>
          <w:sz w:val="24"/>
          <w:szCs w:val="24"/>
        </w:rPr>
        <w:t xml:space="preserve"> on the revenue requirement</w:t>
      </w:r>
      <w:r w:rsidR="00C178F2" w:rsidRPr="00CE11E5">
        <w:rPr>
          <w:rFonts w:ascii="Palatino Linotype" w:eastAsia="Palatino Linotype" w:hAnsi="Palatino Linotype" w:cs="Palatino Linotype"/>
          <w:sz w:val="24"/>
          <w:szCs w:val="24"/>
        </w:rPr>
        <w:t>.</w:t>
      </w:r>
    </w:p>
    <w:p w:rsidR="00CE11E5" w:rsidRDefault="00A32418" w:rsidP="00CE11E5">
      <w:pPr>
        <w:pStyle w:val="ListParagraph"/>
        <w:numPr>
          <w:ilvl w:val="0"/>
          <w:numId w:val="5"/>
        </w:numPr>
        <w:spacing w:after="240" w:line="300" w:lineRule="exact"/>
        <w:ind w:left="360"/>
        <w:contextualSpacing w:val="0"/>
        <w:rPr>
          <w:rFonts w:ascii="Palatino Linotype" w:eastAsia="Palatino Linotype" w:hAnsi="Palatino Linotype" w:cs="Palatino Linotype"/>
          <w:sz w:val="24"/>
          <w:szCs w:val="24"/>
        </w:rPr>
      </w:pPr>
      <w:r w:rsidRPr="00CE11E5">
        <w:rPr>
          <w:rFonts w:ascii="Palatino Linotype" w:eastAsia="Palatino Linotype" w:hAnsi="Palatino Linotype" w:cs="Palatino Linotype"/>
          <w:sz w:val="24"/>
          <w:szCs w:val="24"/>
        </w:rPr>
        <w:t>In M</w:t>
      </w:r>
      <w:r w:rsidR="008975E7" w:rsidRPr="00CE11E5">
        <w:rPr>
          <w:rFonts w:ascii="Palatino Linotype" w:eastAsia="Palatino Linotype" w:hAnsi="Palatino Linotype" w:cs="Palatino Linotype"/>
          <w:sz w:val="24"/>
          <w:szCs w:val="24"/>
        </w:rPr>
        <w:t>ay 2018,</w:t>
      </w:r>
      <w:r w:rsidR="0041656C" w:rsidRPr="00CE11E5">
        <w:rPr>
          <w:rFonts w:ascii="Palatino Linotype" w:eastAsia="Palatino Linotype" w:hAnsi="Palatino Linotype" w:cs="Palatino Linotype"/>
          <w:sz w:val="24"/>
          <w:szCs w:val="24"/>
        </w:rPr>
        <w:t xml:space="preserve"> </w:t>
      </w:r>
      <w:r w:rsidR="00292F45" w:rsidRPr="00CE11E5">
        <w:rPr>
          <w:rFonts w:ascii="Palatino Linotype" w:eastAsia="Palatino Linotype" w:hAnsi="Palatino Linotype" w:cs="Palatino Linotype"/>
          <w:sz w:val="24"/>
          <w:szCs w:val="24"/>
        </w:rPr>
        <w:t xml:space="preserve">the Small ILECs submitted a letter to the Communications Division Director informing that </w:t>
      </w:r>
      <w:r w:rsidR="008975E7" w:rsidRPr="00CE11E5">
        <w:rPr>
          <w:rFonts w:ascii="Palatino Linotype" w:eastAsia="Palatino Linotype" w:hAnsi="Palatino Linotype" w:cs="Palatino Linotype"/>
          <w:sz w:val="24"/>
          <w:szCs w:val="24"/>
        </w:rPr>
        <w:t xml:space="preserve">the </w:t>
      </w:r>
      <w:r w:rsidR="00292F45" w:rsidRPr="00CE11E5">
        <w:rPr>
          <w:rFonts w:ascii="Palatino Linotype" w:eastAsia="Palatino Linotype" w:hAnsi="Palatino Linotype" w:cs="Palatino Linotype"/>
          <w:sz w:val="24"/>
          <w:szCs w:val="24"/>
        </w:rPr>
        <w:t xml:space="preserve">National Exchange Carrier Association </w:t>
      </w:r>
      <w:r w:rsidR="008975E7" w:rsidRPr="00CE11E5">
        <w:rPr>
          <w:rFonts w:ascii="Palatino Linotype" w:eastAsia="Palatino Linotype" w:hAnsi="Palatino Linotype" w:cs="Palatino Linotype"/>
          <w:sz w:val="24"/>
          <w:szCs w:val="24"/>
        </w:rPr>
        <w:t xml:space="preserve">had revised </w:t>
      </w:r>
      <w:r w:rsidR="004A2727" w:rsidRPr="00CE11E5">
        <w:rPr>
          <w:rFonts w:ascii="Palatino Linotype" w:eastAsia="Palatino Linotype" w:hAnsi="Palatino Linotype" w:cs="Palatino Linotype"/>
          <w:sz w:val="24"/>
          <w:szCs w:val="24"/>
        </w:rPr>
        <w:t xml:space="preserve">its </w:t>
      </w:r>
      <w:r w:rsidR="008975E7" w:rsidRPr="00CE11E5">
        <w:rPr>
          <w:rFonts w:ascii="Palatino Linotype" w:eastAsia="Palatino Linotype" w:hAnsi="Palatino Linotype" w:cs="Palatino Linotype"/>
          <w:sz w:val="24"/>
          <w:szCs w:val="24"/>
        </w:rPr>
        <w:t>previous</w:t>
      </w:r>
      <w:r w:rsidR="00292F45" w:rsidRPr="00CE11E5">
        <w:rPr>
          <w:rFonts w:ascii="Palatino Linotype" w:eastAsia="Palatino Linotype" w:hAnsi="Palatino Linotype" w:cs="Palatino Linotype"/>
          <w:sz w:val="24"/>
          <w:szCs w:val="24"/>
        </w:rPr>
        <w:t xml:space="preserve"> guidance on the treatment of excess deferred </w:t>
      </w:r>
      <w:r w:rsidR="00172BD6" w:rsidRPr="00CE11E5">
        <w:rPr>
          <w:rFonts w:ascii="Palatino Linotype" w:eastAsia="Palatino Linotype" w:hAnsi="Palatino Linotype" w:cs="Palatino Linotype"/>
          <w:sz w:val="24"/>
          <w:szCs w:val="24"/>
        </w:rPr>
        <w:t xml:space="preserve">income </w:t>
      </w:r>
      <w:r w:rsidR="00292F45" w:rsidRPr="00CE11E5">
        <w:rPr>
          <w:rFonts w:ascii="Palatino Linotype" w:eastAsia="Palatino Linotype" w:hAnsi="Palatino Linotype" w:cs="Palatino Linotype"/>
          <w:sz w:val="24"/>
          <w:szCs w:val="24"/>
        </w:rPr>
        <w:t xml:space="preserve">taxes from </w:t>
      </w:r>
      <w:r w:rsidR="008975E7" w:rsidRPr="00CE11E5">
        <w:rPr>
          <w:rFonts w:ascii="Palatino Linotype" w:eastAsia="Palatino Linotype" w:hAnsi="Palatino Linotype" w:cs="Palatino Linotype"/>
          <w:sz w:val="24"/>
          <w:szCs w:val="24"/>
        </w:rPr>
        <w:t xml:space="preserve">the </w:t>
      </w:r>
      <w:r w:rsidR="009A316F">
        <w:rPr>
          <w:rFonts w:ascii="Palatino Linotype" w:eastAsia="Palatino Linotype" w:hAnsi="Palatino Linotype" w:cs="Palatino Linotype"/>
          <w:sz w:val="24"/>
          <w:szCs w:val="24"/>
        </w:rPr>
        <w:br/>
      </w:r>
      <w:r w:rsidR="00292F45" w:rsidRPr="00CE11E5">
        <w:rPr>
          <w:rFonts w:ascii="Palatino Linotype" w:eastAsia="Palatino Linotype" w:hAnsi="Palatino Linotype" w:cs="Palatino Linotype"/>
          <w:sz w:val="24"/>
          <w:szCs w:val="24"/>
        </w:rPr>
        <w:t>flow</w:t>
      </w:r>
      <w:r w:rsidR="005A5147" w:rsidRPr="00CE11E5">
        <w:rPr>
          <w:rFonts w:ascii="Palatino Linotype" w:eastAsia="Palatino Linotype" w:hAnsi="Palatino Linotype" w:cs="Palatino Linotype"/>
          <w:sz w:val="24"/>
          <w:szCs w:val="24"/>
        </w:rPr>
        <w:t>-</w:t>
      </w:r>
      <w:r w:rsidR="00292F45" w:rsidRPr="00CE11E5">
        <w:rPr>
          <w:rFonts w:ascii="Palatino Linotype" w:eastAsia="Palatino Linotype" w:hAnsi="Palatino Linotype" w:cs="Palatino Linotype"/>
          <w:sz w:val="24"/>
          <w:szCs w:val="24"/>
        </w:rPr>
        <w:t xml:space="preserve">through to </w:t>
      </w:r>
      <w:r w:rsidR="008975E7" w:rsidRPr="00CE11E5">
        <w:rPr>
          <w:rFonts w:ascii="Palatino Linotype" w:eastAsia="Palatino Linotype" w:hAnsi="Palatino Linotype" w:cs="Palatino Linotype"/>
          <w:sz w:val="24"/>
          <w:szCs w:val="24"/>
        </w:rPr>
        <w:t xml:space="preserve">the </w:t>
      </w:r>
      <w:r w:rsidR="00292F45" w:rsidRPr="00CE11E5">
        <w:rPr>
          <w:rFonts w:ascii="Palatino Linotype" w:eastAsia="Palatino Linotype" w:hAnsi="Palatino Linotype" w:cs="Palatino Linotype"/>
          <w:sz w:val="24"/>
          <w:szCs w:val="24"/>
        </w:rPr>
        <w:t>normalization method.</w:t>
      </w:r>
    </w:p>
    <w:p w:rsidR="00CE11E5" w:rsidRDefault="004D799E" w:rsidP="00CE11E5">
      <w:pPr>
        <w:pStyle w:val="ListParagraph"/>
        <w:numPr>
          <w:ilvl w:val="0"/>
          <w:numId w:val="5"/>
        </w:numPr>
        <w:spacing w:after="240" w:line="300" w:lineRule="exact"/>
        <w:ind w:left="360"/>
        <w:contextualSpacing w:val="0"/>
        <w:rPr>
          <w:rFonts w:ascii="Palatino Linotype" w:eastAsia="Palatino Linotype" w:hAnsi="Palatino Linotype" w:cs="Palatino Linotype"/>
          <w:sz w:val="24"/>
          <w:szCs w:val="24"/>
        </w:rPr>
      </w:pPr>
      <w:r w:rsidRPr="00CE11E5">
        <w:rPr>
          <w:rFonts w:ascii="Palatino Linotype" w:eastAsia="Palatino Linotype" w:hAnsi="Palatino Linotype" w:cs="Palatino Linotype"/>
          <w:sz w:val="24"/>
          <w:szCs w:val="24"/>
        </w:rPr>
        <w:t xml:space="preserve">Staff received information from </w:t>
      </w:r>
      <w:r w:rsidR="00F46D1F">
        <w:rPr>
          <w:rFonts w:ascii="Palatino Linotype" w:eastAsia="Palatino Linotype" w:hAnsi="Palatino Linotype" w:cs="Palatino Linotype"/>
          <w:sz w:val="24"/>
          <w:szCs w:val="24"/>
        </w:rPr>
        <w:t>Calaveras</w:t>
      </w:r>
      <w:r w:rsidRPr="00CE11E5">
        <w:rPr>
          <w:rFonts w:ascii="Palatino Linotype" w:eastAsia="Palatino Linotype" w:hAnsi="Palatino Linotype" w:cs="Palatino Linotype"/>
          <w:sz w:val="24"/>
          <w:szCs w:val="24"/>
        </w:rPr>
        <w:t xml:space="preserve"> regarding excess deferred </w:t>
      </w:r>
      <w:r w:rsidR="00172BD6" w:rsidRPr="00CE11E5">
        <w:rPr>
          <w:rFonts w:ascii="Palatino Linotype" w:eastAsia="Palatino Linotype" w:hAnsi="Palatino Linotype" w:cs="Palatino Linotype"/>
          <w:sz w:val="24"/>
          <w:szCs w:val="24"/>
        </w:rPr>
        <w:t xml:space="preserve">income </w:t>
      </w:r>
      <w:r w:rsidRPr="00CE11E5">
        <w:rPr>
          <w:rFonts w:ascii="Palatino Linotype" w:eastAsia="Palatino Linotype" w:hAnsi="Palatino Linotype" w:cs="Palatino Linotype"/>
          <w:sz w:val="24"/>
          <w:szCs w:val="24"/>
        </w:rPr>
        <w:t xml:space="preserve">tax reserve through </w:t>
      </w:r>
      <w:r w:rsidR="005A5147" w:rsidRPr="00CE11E5">
        <w:rPr>
          <w:rFonts w:ascii="Palatino Linotype" w:eastAsia="Palatino Linotype" w:hAnsi="Palatino Linotype" w:cs="Palatino Linotype"/>
          <w:sz w:val="24"/>
          <w:szCs w:val="24"/>
        </w:rPr>
        <w:t xml:space="preserve">a </w:t>
      </w:r>
      <w:r w:rsidRPr="00CE11E5">
        <w:rPr>
          <w:rFonts w:ascii="Palatino Linotype" w:eastAsia="Palatino Linotype" w:hAnsi="Palatino Linotype" w:cs="Palatino Linotype"/>
          <w:sz w:val="24"/>
          <w:szCs w:val="24"/>
        </w:rPr>
        <w:t xml:space="preserve">data request dated </w:t>
      </w:r>
      <w:r w:rsidR="00866E66">
        <w:rPr>
          <w:rFonts w:ascii="Palatino Linotype" w:eastAsia="Palatino Linotype" w:hAnsi="Palatino Linotype" w:cs="Palatino Linotype"/>
          <w:sz w:val="24"/>
          <w:szCs w:val="24"/>
        </w:rPr>
        <w:t>June 19</w:t>
      </w:r>
      <w:r w:rsidRPr="00CE11E5">
        <w:rPr>
          <w:rFonts w:ascii="Palatino Linotype" w:eastAsia="Palatino Linotype" w:hAnsi="Palatino Linotype" w:cs="Palatino Linotype"/>
          <w:sz w:val="24"/>
          <w:szCs w:val="24"/>
        </w:rPr>
        <w:t>, 2018.</w:t>
      </w:r>
    </w:p>
    <w:p w:rsidR="00CE11E5" w:rsidRDefault="00F46D1F" w:rsidP="00CE11E5">
      <w:pPr>
        <w:pStyle w:val="ListParagraph"/>
        <w:numPr>
          <w:ilvl w:val="0"/>
          <w:numId w:val="5"/>
        </w:numPr>
        <w:spacing w:after="240" w:line="300" w:lineRule="exact"/>
        <w:ind w:left="360"/>
        <w:contextualSpacing w:val="0"/>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lastRenderedPageBreak/>
        <w:t>Calaveras</w:t>
      </w:r>
      <w:r w:rsidR="00F56C0F" w:rsidRPr="00CE11E5">
        <w:rPr>
          <w:rFonts w:ascii="Palatino Linotype" w:eastAsia="Palatino Linotype" w:hAnsi="Palatino Linotype" w:cs="Palatino Linotype"/>
          <w:sz w:val="24"/>
          <w:szCs w:val="24"/>
        </w:rPr>
        <w:t xml:space="preserve"> should follow </w:t>
      </w:r>
      <w:r w:rsidR="002B1B6F">
        <w:rPr>
          <w:rFonts w:ascii="Palatino Linotype" w:eastAsia="Palatino Linotype" w:hAnsi="Palatino Linotype" w:cs="Palatino Linotype"/>
          <w:sz w:val="24"/>
          <w:szCs w:val="24"/>
        </w:rPr>
        <w:t>Internal Revenue Service</w:t>
      </w:r>
      <w:r w:rsidR="00FC26AD" w:rsidRPr="00CE11E5">
        <w:rPr>
          <w:rFonts w:ascii="Palatino Linotype" w:eastAsia="Palatino Linotype" w:hAnsi="Palatino Linotype" w:cs="Palatino Linotype"/>
          <w:sz w:val="24"/>
          <w:szCs w:val="24"/>
        </w:rPr>
        <w:t xml:space="preserve"> </w:t>
      </w:r>
      <w:r w:rsidR="00F56C0F" w:rsidRPr="00CE11E5">
        <w:rPr>
          <w:rFonts w:ascii="Palatino Linotype" w:eastAsia="Palatino Linotype" w:hAnsi="Palatino Linotype" w:cs="Palatino Linotype"/>
          <w:sz w:val="24"/>
          <w:szCs w:val="24"/>
        </w:rPr>
        <w:t>normalization requirements for returning the excess deferred tax reserve to ratepayers.</w:t>
      </w:r>
    </w:p>
    <w:p w:rsidR="00CE11E5" w:rsidRDefault="00F12314" w:rsidP="00CE11E5">
      <w:pPr>
        <w:pStyle w:val="ListParagraph"/>
        <w:numPr>
          <w:ilvl w:val="0"/>
          <w:numId w:val="5"/>
        </w:numPr>
        <w:spacing w:after="240" w:line="300" w:lineRule="exact"/>
        <w:ind w:left="360"/>
        <w:contextualSpacing w:val="0"/>
        <w:rPr>
          <w:rFonts w:ascii="Palatino Linotype" w:eastAsia="Palatino Linotype" w:hAnsi="Palatino Linotype" w:cs="Palatino Linotype"/>
          <w:sz w:val="24"/>
          <w:szCs w:val="24"/>
        </w:rPr>
      </w:pPr>
      <w:r w:rsidRPr="00CE11E5">
        <w:rPr>
          <w:rFonts w:ascii="Palatino Linotype" w:eastAsia="Palatino Linotype" w:hAnsi="Palatino Linotype" w:cs="Palatino Linotype"/>
          <w:sz w:val="24"/>
          <w:szCs w:val="24"/>
        </w:rPr>
        <w:t xml:space="preserve">Staff </w:t>
      </w:r>
      <w:r w:rsidR="00AB2A18" w:rsidRPr="00CE11E5">
        <w:rPr>
          <w:rFonts w:ascii="Palatino Linotype" w:eastAsia="Palatino Linotype" w:hAnsi="Palatino Linotype" w:cs="Palatino Linotype"/>
          <w:sz w:val="24"/>
          <w:szCs w:val="24"/>
        </w:rPr>
        <w:t>calculates</w:t>
      </w:r>
      <w:r w:rsidRPr="00CE11E5">
        <w:rPr>
          <w:rFonts w:ascii="Palatino Linotype" w:eastAsia="Palatino Linotype" w:hAnsi="Palatino Linotype" w:cs="Palatino Linotype"/>
          <w:sz w:val="24"/>
          <w:szCs w:val="24"/>
        </w:rPr>
        <w:t xml:space="preserve"> that</w:t>
      </w:r>
      <w:r w:rsidR="004D799E" w:rsidRPr="00CE11E5">
        <w:rPr>
          <w:rFonts w:ascii="Palatino Linotype" w:eastAsia="Palatino Linotype" w:hAnsi="Palatino Linotype" w:cs="Palatino Linotype"/>
          <w:sz w:val="24"/>
          <w:szCs w:val="24"/>
        </w:rPr>
        <w:t xml:space="preserve"> </w:t>
      </w:r>
      <w:r w:rsidR="00F46D1F">
        <w:rPr>
          <w:rFonts w:ascii="Palatino Linotype" w:eastAsia="Palatino Linotype" w:hAnsi="Palatino Linotype" w:cs="Palatino Linotype"/>
          <w:sz w:val="24"/>
          <w:szCs w:val="24"/>
        </w:rPr>
        <w:t>Calavera</w:t>
      </w:r>
      <w:r w:rsidR="0027782D">
        <w:rPr>
          <w:rFonts w:ascii="Palatino Linotype" w:eastAsia="Palatino Linotype" w:hAnsi="Palatino Linotype" w:cs="Palatino Linotype"/>
          <w:sz w:val="24"/>
          <w:szCs w:val="24"/>
        </w:rPr>
        <w:t>s’</w:t>
      </w:r>
      <w:r w:rsidR="004A2727" w:rsidRPr="00CE11E5">
        <w:rPr>
          <w:rFonts w:ascii="Palatino Linotype" w:eastAsia="Palatino Linotype" w:hAnsi="Palatino Linotype" w:cs="Palatino Linotype"/>
          <w:sz w:val="24"/>
          <w:szCs w:val="24"/>
        </w:rPr>
        <w:t xml:space="preserve"> </w:t>
      </w:r>
      <w:r w:rsidR="004D799E" w:rsidRPr="00CE11E5">
        <w:rPr>
          <w:rFonts w:ascii="Palatino Linotype" w:eastAsia="Palatino Linotype" w:hAnsi="Palatino Linotype" w:cs="Palatino Linotype"/>
          <w:sz w:val="24"/>
          <w:szCs w:val="24"/>
        </w:rPr>
        <w:t xml:space="preserve">excess deferred </w:t>
      </w:r>
      <w:r w:rsidR="00E16A17" w:rsidRPr="00CE11E5">
        <w:rPr>
          <w:rFonts w:ascii="Palatino Linotype" w:eastAsia="Palatino Linotype" w:hAnsi="Palatino Linotype" w:cs="Palatino Linotype"/>
          <w:sz w:val="24"/>
          <w:szCs w:val="24"/>
        </w:rPr>
        <w:t xml:space="preserve">income </w:t>
      </w:r>
      <w:r w:rsidR="004D799E" w:rsidRPr="00CE11E5">
        <w:rPr>
          <w:rFonts w:ascii="Palatino Linotype" w:eastAsia="Palatino Linotype" w:hAnsi="Palatino Linotype" w:cs="Palatino Linotype"/>
          <w:sz w:val="24"/>
          <w:szCs w:val="24"/>
        </w:rPr>
        <w:t>tax reserve is $</w:t>
      </w:r>
      <w:r w:rsidR="008B5537">
        <w:rPr>
          <w:rFonts w:ascii="Palatino Linotype" w:eastAsia="Palatino Linotype" w:hAnsi="Palatino Linotype" w:cs="Palatino Linotype"/>
          <w:sz w:val="24"/>
          <w:szCs w:val="24"/>
        </w:rPr>
        <w:t>55,687</w:t>
      </w:r>
      <w:r w:rsidR="00E16A17" w:rsidRPr="00CE11E5">
        <w:rPr>
          <w:rFonts w:ascii="Palatino Linotype" w:eastAsia="Palatino Linotype" w:hAnsi="Palatino Linotype" w:cs="Palatino Linotype"/>
          <w:sz w:val="24"/>
          <w:szCs w:val="24"/>
        </w:rPr>
        <w:t>,</w:t>
      </w:r>
      <w:r w:rsidR="004D799E" w:rsidRPr="00CE11E5">
        <w:rPr>
          <w:rFonts w:ascii="Palatino Linotype" w:eastAsia="Palatino Linotype" w:hAnsi="Palatino Linotype" w:cs="Palatino Linotype"/>
          <w:sz w:val="24"/>
          <w:szCs w:val="24"/>
        </w:rPr>
        <w:t xml:space="preserve"> and </w:t>
      </w:r>
      <w:r w:rsidR="00AC16D3" w:rsidRPr="00CE11E5">
        <w:rPr>
          <w:rFonts w:ascii="Palatino Linotype" w:eastAsia="Palatino Linotype" w:hAnsi="Palatino Linotype" w:cs="Palatino Linotype"/>
          <w:sz w:val="24"/>
          <w:szCs w:val="24"/>
        </w:rPr>
        <w:t xml:space="preserve">this amount </w:t>
      </w:r>
      <w:r w:rsidR="00A95C1A" w:rsidRPr="00CE11E5">
        <w:rPr>
          <w:rFonts w:ascii="Palatino Linotype" w:eastAsia="Palatino Linotype" w:hAnsi="Palatino Linotype" w:cs="Palatino Linotype"/>
          <w:sz w:val="24"/>
          <w:szCs w:val="24"/>
        </w:rPr>
        <w:t xml:space="preserve">should </w:t>
      </w:r>
      <w:r w:rsidR="004D799E" w:rsidRPr="00CE11E5">
        <w:rPr>
          <w:rFonts w:ascii="Palatino Linotype" w:eastAsia="Palatino Linotype" w:hAnsi="Palatino Linotype" w:cs="Palatino Linotype"/>
          <w:sz w:val="24"/>
          <w:szCs w:val="24"/>
        </w:rPr>
        <w:t xml:space="preserve">be </w:t>
      </w:r>
      <w:r w:rsidR="00E16A17" w:rsidRPr="00CE11E5">
        <w:rPr>
          <w:rFonts w:ascii="Palatino Linotype" w:eastAsia="Palatino Linotype" w:hAnsi="Palatino Linotype" w:cs="Palatino Linotype"/>
          <w:sz w:val="24"/>
          <w:szCs w:val="24"/>
        </w:rPr>
        <w:t>amortized</w:t>
      </w:r>
      <w:r w:rsidR="00F56C0F" w:rsidRPr="00CE11E5">
        <w:rPr>
          <w:rFonts w:ascii="Palatino Linotype" w:eastAsia="Palatino Linotype" w:hAnsi="Palatino Linotype" w:cs="Palatino Linotype"/>
          <w:sz w:val="24"/>
          <w:szCs w:val="24"/>
        </w:rPr>
        <w:t xml:space="preserve"> over the weighted-average life of </w:t>
      </w:r>
      <w:r w:rsidR="00F46D1F">
        <w:rPr>
          <w:rFonts w:ascii="Palatino Linotype" w:eastAsia="Palatino Linotype" w:hAnsi="Palatino Linotype" w:cs="Palatino Linotype"/>
          <w:sz w:val="24"/>
          <w:szCs w:val="24"/>
        </w:rPr>
        <w:t>Calavera</w:t>
      </w:r>
      <w:r w:rsidR="0027782D">
        <w:rPr>
          <w:rFonts w:ascii="Palatino Linotype" w:eastAsia="Palatino Linotype" w:hAnsi="Palatino Linotype" w:cs="Palatino Linotype"/>
          <w:sz w:val="24"/>
          <w:szCs w:val="24"/>
        </w:rPr>
        <w:t>s’</w:t>
      </w:r>
      <w:r w:rsidR="00F56C0F" w:rsidRPr="00CE11E5">
        <w:rPr>
          <w:rFonts w:ascii="Palatino Linotype" w:eastAsia="Palatino Linotype" w:hAnsi="Palatino Linotype" w:cs="Palatino Linotype"/>
          <w:sz w:val="24"/>
          <w:szCs w:val="24"/>
        </w:rPr>
        <w:t xml:space="preserve"> depreciable asse</w:t>
      </w:r>
      <w:r w:rsidR="009527C3" w:rsidRPr="00CE11E5">
        <w:rPr>
          <w:rFonts w:ascii="Palatino Linotype" w:eastAsia="Palatino Linotype" w:hAnsi="Palatino Linotype" w:cs="Palatino Linotype"/>
          <w:sz w:val="24"/>
          <w:szCs w:val="24"/>
        </w:rPr>
        <w:t>t</w:t>
      </w:r>
      <w:r w:rsidR="00F56C0F" w:rsidRPr="00CE11E5">
        <w:rPr>
          <w:rFonts w:ascii="Palatino Linotype" w:eastAsia="Palatino Linotype" w:hAnsi="Palatino Linotype" w:cs="Palatino Linotype"/>
          <w:sz w:val="24"/>
          <w:szCs w:val="24"/>
        </w:rPr>
        <w:t xml:space="preserve">s </w:t>
      </w:r>
      <w:r w:rsidR="00E16A17" w:rsidRPr="00CE11E5">
        <w:rPr>
          <w:rFonts w:ascii="Palatino Linotype" w:eastAsia="Palatino Linotype" w:hAnsi="Palatino Linotype" w:cs="Palatino Linotype"/>
          <w:sz w:val="24"/>
          <w:szCs w:val="24"/>
        </w:rPr>
        <w:t xml:space="preserve">and </w:t>
      </w:r>
      <w:r w:rsidR="004C43AB" w:rsidRPr="00CE11E5">
        <w:rPr>
          <w:rFonts w:ascii="Palatino Linotype" w:eastAsia="Palatino Linotype" w:hAnsi="Palatino Linotype" w:cs="Palatino Linotype"/>
          <w:sz w:val="24"/>
          <w:szCs w:val="24"/>
        </w:rPr>
        <w:t>be shown as a line item credit to federal income tax</w:t>
      </w:r>
      <w:r w:rsidR="00E16A17" w:rsidRPr="00CE11E5">
        <w:rPr>
          <w:rFonts w:ascii="Palatino Linotype" w:eastAsia="Palatino Linotype" w:hAnsi="Palatino Linotype" w:cs="Palatino Linotype"/>
          <w:sz w:val="24"/>
          <w:szCs w:val="24"/>
        </w:rPr>
        <w:t xml:space="preserve"> </w:t>
      </w:r>
      <w:r w:rsidR="004D799E" w:rsidRPr="00CE11E5">
        <w:rPr>
          <w:rFonts w:ascii="Palatino Linotype" w:eastAsia="Palatino Linotype" w:hAnsi="Palatino Linotype" w:cs="Palatino Linotype"/>
          <w:sz w:val="24"/>
          <w:szCs w:val="24"/>
        </w:rPr>
        <w:t xml:space="preserve">over </w:t>
      </w:r>
      <w:r w:rsidR="008B5537">
        <w:rPr>
          <w:rFonts w:ascii="Palatino Linotype" w:eastAsia="Palatino Linotype" w:hAnsi="Palatino Linotype" w:cs="Palatino Linotype"/>
          <w:sz w:val="24"/>
          <w:szCs w:val="24"/>
        </w:rPr>
        <w:t>5.3</w:t>
      </w:r>
      <w:r w:rsidR="004D799E" w:rsidRPr="00CE11E5">
        <w:rPr>
          <w:rFonts w:ascii="Palatino Linotype" w:eastAsia="Palatino Linotype" w:hAnsi="Palatino Linotype" w:cs="Palatino Linotype"/>
          <w:sz w:val="24"/>
          <w:szCs w:val="24"/>
        </w:rPr>
        <w:t xml:space="preserve"> years</w:t>
      </w:r>
      <w:r w:rsidR="006D2E81" w:rsidRPr="00CE11E5">
        <w:rPr>
          <w:rFonts w:ascii="Palatino Linotype" w:eastAsia="Palatino Linotype" w:hAnsi="Palatino Linotype" w:cs="Palatino Linotype"/>
          <w:sz w:val="24"/>
          <w:szCs w:val="24"/>
        </w:rPr>
        <w:t>, while keeping the unamortized balance as a rate base reduction item</w:t>
      </w:r>
      <w:r w:rsidR="004A2727" w:rsidRPr="00CE11E5">
        <w:rPr>
          <w:rFonts w:ascii="Palatino Linotype" w:eastAsia="Palatino Linotype" w:hAnsi="Palatino Linotype" w:cs="Palatino Linotype"/>
          <w:sz w:val="24"/>
          <w:szCs w:val="24"/>
        </w:rPr>
        <w:t>.</w:t>
      </w:r>
    </w:p>
    <w:p w:rsidR="00CE11E5" w:rsidRDefault="004D4A77" w:rsidP="00CE11E5">
      <w:pPr>
        <w:pStyle w:val="ListParagraph"/>
        <w:numPr>
          <w:ilvl w:val="0"/>
          <w:numId w:val="5"/>
        </w:numPr>
        <w:spacing w:after="240" w:line="300" w:lineRule="exact"/>
        <w:ind w:left="360"/>
        <w:contextualSpacing w:val="0"/>
        <w:rPr>
          <w:rFonts w:ascii="Palatino Linotype" w:eastAsia="Palatino Linotype" w:hAnsi="Palatino Linotype" w:cs="Palatino Linotype"/>
          <w:sz w:val="24"/>
          <w:szCs w:val="24"/>
        </w:rPr>
      </w:pPr>
      <w:r w:rsidRPr="00CE11E5">
        <w:rPr>
          <w:rFonts w:ascii="Palatino Linotype" w:eastAsia="Palatino Linotype" w:hAnsi="Palatino Linotype" w:cs="Palatino Linotype"/>
          <w:sz w:val="24"/>
          <w:szCs w:val="24"/>
        </w:rPr>
        <w:t xml:space="preserve">Staff </w:t>
      </w:r>
      <w:r w:rsidR="00AB2A18" w:rsidRPr="00CE11E5">
        <w:rPr>
          <w:rFonts w:ascii="Palatino Linotype" w:eastAsia="Palatino Linotype" w:hAnsi="Palatino Linotype" w:cs="Palatino Linotype"/>
          <w:sz w:val="24"/>
          <w:szCs w:val="24"/>
        </w:rPr>
        <w:t>calculates that</w:t>
      </w:r>
      <w:r w:rsidR="004D799E" w:rsidRPr="00CE11E5">
        <w:rPr>
          <w:rFonts w:ascii="Palatino Linotype" w:eastAsia="Palatino Linotype" w:hAnsi="Palatino Linotype" w:cs="Palatino Linotype"/>
          <w:sz w:val="24"/>
          <w:szCs w:val="24"/>
        </w:rPr>
        <w:t xml:space="preserve"> </w:t>
      </w:r>
      <w:r w:rsidR="00F46D1F">
        <w:rPr>
          <w:rFonts w:ascii="Palatino Linotype" w:eastAsia="Palatino Linotype" w:hAnsi="Palatino Linotype" w:cs="Palatino Linotype"/>
          <w:sz w:val="24"/>
          <w:szCs w:val="24"/>
        </w:rPr>
        <w:t>Calavera</w:t>
      </w:r>
      <w:r w:rsidR="0027782D">
        <w:rPr>
          <w:rFonts w:ascii="Palatino Linotype" w:eastAsia="Palatino Linotype" w:hAnsi="Palatino Linotype" w:cs="Palatino Linotype"/>
          <w:sz w:val="24"/>
          <w:szCs w:val="24"/>
        </w:rPr>
        <w:t>s’</w:t>
      </w:r>
      <w:r w:rsidR="00AC16D3" w:rsidRPr="00CE11E5">
        <w:rPr>
          <w:rFonts w:ascii="Palatino Linotype" w:eastAsia="Palatino Linotype" w:hAnsi="Palatino Linotype" w:cs="Palatino Linotype"/>
          <w:sz w:val="24"/>
          <w:szCs w:val="24"/>
        </w:rPr>
        <w:t xml:space="preserve"> </w:t>
      </w:r>
      <w:r w:rsidR="00E16A17" w:rsidRPr="00CE11E5">
        <w:rPr>
          <w:rFonts w:ascii="Palatino Linotype" w:eastAsia="Palatino Linotype" w:hAnsi="Palatino Linotype" w:cs="Palatino Linotype"/>
          <w:sz w:val="24"/>
          <w:szCs w:val="24"/>
        </w:rPr>
        <w:t xml:space="preserve">amortized excess deferred </w:t>
      </w:r>
      <w:r w:rsidR="00172BD6" w:rsidRPr="00CE11E5">
        <w:rPr>
          <w:rFonts w:ascii="Palatino Linotype" w:eastAsia="Palatino Linotype" w:hAnsi="Palatino Linotype" w:cs="Palatino Linotype"/>
          <w:sz w:val="24"/>
          <w:szCs w:val="24"/>
        </w:rPr>
        <w:t xml:space="preserve">income </w:t>
      </w:r>
      <w:r w:rsidR="00E16A17" w:rsidRPr="00CE11E5">
        <w:rPr>
          <w:rFonts w:ascii="Palatino Linotype" w:eastAsia="Palatino Linotype" w:hAnsi="Palatino Linotype" w:cs="Palatino Linotype"/>
          <w:sz w:val="24"/>
          <w:szCs w:val="24"/>
        </w:rPr>
        <w:t xml:space="preserve">tax </w:t>
      </w:r>
      <w:r w:rsidR="009C5538" w:rsidRPr="00CE11E5">
        <w:rPr>
          <w:rFonts w:ascii="Palatino Linotype" w:eastAsia="Palatino Linotype" w:hAnsi="Palatino Linotype" w:cs="Palatino Linotype"/>
          <w:sz w:val="24"/>
          <w:szCs w:val="24"/>
        </w:rPr>
        <w:t xml:space="preserve">amount </w:t>
      </w:r>
      <w:r w:rsidR="00E16A17" w:rsidRPr="00CE11E5">
        <w:rPr>
          <w:rFonts w:ascii="Palatino Linotype" w:eastAsia="Palatino Linotype" w:hAnsi="Palatino Linotype" w:cs="Palatino Linotype"/>
          <w:sz w:val="24"/>
          <w:szCs w:val="24"/>
        </w:rPr>
        <w:t xml:space="preserve">is </w:t>
      </w:r>
      <w:r w:rsidR="00812661" w:rsidRPr="00CE11E5">
        <w:rPr>
          <w:rFonts w:ascii="Palatino Linotype" w:eastAsia="Palatino Linotype" w:hAnsi="Palatino Linotype" w:cs="Palatino Linotype"/>
          <w:sz w:val="24"/>
          <w:szCs w:val="24"/>
        </w:rPr>
        <w:t>$</w:t>
      </w:r>
      <w:r w:rsidR="005269D7">
        <w:rPr>
          <w:rFonts w:ascii="Palatino Linotype" w:eastAsia="Palatino Linotype" w:hAnsi="Palatino Linotype" w:cs="Palatino Linotype"/>
          <w:sz w:val="24"/>
          <w:szCs w:val="24"/>
        </w:rPr>
        <w:t>10,507</w:t>
      </w:r>
      <w:r w:rsidR="003D1EFB" w:rsidRPr="00CE11E5">
        <w:rPr>
          <w:rFonts w:ascii="Palatino Linotype" w:eastAsia="Palatino Linotype" w:hAnsi="Palatino Linotype" w:cs="Palatino Linotype"/>
          <w:sz w:val="24"/>
          <w:szCs w:val="24"/>
        </w:rPr>
        <w:t xml:space="preserve"> per </w:t>
      </w:r>
      <w:r w:rsidR="009C5538" w:rsidRPr="00CE11E5">
        <w:rPr>
          <w:rFonts w:ascii="Palatino Linotype" w:eastAsia="Palatino Linotype" w:hAnsi="Palatino Linotype" w:cs="Palatino Linotype"/>
          <w:sz w:val="24"/>
          <w:szCs w:val="24"/>
        </w:rPr>
        <w:t>year</w:t>
      </w:r>
      <w:r w:rsidR="003D1EFB" w:rsidRPr="00CE11E5">
        <w:rPr>
          <w:rFonts w:ascii="Palatino Linotype" w:eastAsia="Palatino Linotype" w:hAnsi="Palatino Linotype" w:cs="Palatino Linotype"/>
          <w:sz w:val="24"/>
          <w:szCs w:val="24"/>
        </w:rPr>
        <w:t xml:space="preserve"> for </w:t>
      </w:r>
      <w:r w:rsidR="005269D7">
        <w:rPr>
          <w:rFonts w:ascii="Palatino Linotype" w:eastAsia="Palatino Linotype" w:hAnsi="Palatino Linotype" w:cs="Palatino Linotype"/>
          <w:sz w:val="24"/>
          <w:szCs w:val="24"/>
        </w:rPr>
        <w:t>5.3</w:t>
      </w:r>
      <w:r w:rsidR="003D1EFB" w:rsidRPr="00CE11E5">
        <w:rPr>
          <w:rFonts w:ascii="Palatino Linotype" w:eastAsia="Palatino Linotype" w:hAnsi="Palatino Linotype" w:cs="Palatino Linotype"/>
          <w:sz w:val="24"/>
          <w:szCs w:val="24"/>
        </w:rPr>
        <w:t xml:space="preserve"> years</w:t>
      </w:r>
      <w:r w:rsidR="008975E7" w:rsidRPr="00CE11E5">
        <w:rPr>
          <w:rFonts w:ascii="Palatino Linotype" w:eastAsia="Palatino Linotype" w:hAnsi="Palatino Linotype" w:cs="Palatino Linotype"/>
          <w:sz w:val="24"/>
          <w:szCs w:val="24"/>
        </w:rPr>
        <w:t xml:space="preserve">, </w:t>
      </w:r>
      <w:r w:rsidR="003D1EFB" w:rsidRPr="00CE11E5">
        <w:rPr>
          <w:rFonts w:ascii="Palatino Linotype" w:eastAsia="Palatino Linotype" w:hAnsi="Palatino Linotype" w:cs="Palatino Linotype"/>
          <w:sz w:val="24"/>
          <w:szCs w:val="24"/>
        </w:rPr>
        <w:t xml:space="preserve">which </w:t>
      </w:r>
      <w:r w:rsidR="008975E7" w:rsidRPr="00CE11E5">
        <w:rPr>
          <w:rFonts w:ascii="Palatino Linotype" w:eastAsia="Palatino Linotype" w:hAnsi="Palatino Linotype" w:cs="Palatino Linotype"/>
          <w:sz w:val="24"/>
          <w:szCs w:val="24"/>
        </w:rPr>
        <w:t>further reduc</w:t>
      </w:r>
      <w:r w:rsidR="003D1EFB" w:rsidRPr="00CE11E5">
        <w:rPr>
          <w:rFonts w:ascii="Palatino Linotype" w:eastAsia="Palatino Linotype" w:hAnsi="Palatino Linotype" w:cs="Palatino Linotype"/>
          <w:sz w:val="24"/>
          <w:szCs w:val="24"/>
        </w:rPr>
        <w:t xml:space="preserve">es </w:t>
      </w:r>
      <w:r w:rsidR="00F46D1F">
        <w:rPr>
          <w:rFonts w:ascii="Palatino Linotype" w:eastAsia="Palatino Linotype" w:hAnsi="Palatino Linotype" w:cs="Palatino Linotype"/>
          <w:sz w:val="24"/>
          <w:szCs w:val="24"/>
        </w:rPr>
        <w:t>Calavera</w:t>
      </w:r>
      <w:r w:rsidR="0027782D">
        <w:rPr>
          <w:rFonts w:ascii="Palatino Linotype" w:eastAsia="Palatino Linotype" w:hAnsi="Palatino Linotype" w:cs="Palatino Linotype"/>
          <w:sz w:val="24"/>
          <w:szCs w:val="24"/>
        </w:rPr>
        <w:t>s’</w:t>
      </w:r>
      <w:r w:rsidR="00A32418" w:rsidRPr="00CE11E5">
        <w:rPr>
          <w:rFonts w:ascii="Palatino Linotype" w:eastAsia="Palatino Linotype" w:hAnsi="Palatino Linotype" w:cs="Palatino Linotype"/>
          <w:sz w:val="24"/>
          <w:szCs w:val="24"/>
        </w:rPr>
        <w:t xml:space="preserve"> </w:t>
      </w:r>
      <w:r w:rsidR="008975E7" w:rsidRPr="00CE11E5">
        <w:rPr>
          <w:rFonts w:ascii="Palatino Linotype" w:eastAsia="Palatino Linotype" w:hAnsi="Palatino Linotype" w:cs="Palatino Linotype"/>
          <w:sz w:val="24"/>
          <w:szCs w:val="24"/>
        </w:rPr>
        <w:t>revenue requirement and CHCF-A support</w:t>
      </w:r>
      <w:r w:rsidR="00AB50DF" w:rsidRPr="00CE11E5">
        <w:rPr>
          <w:rFonts w:ascii="Palatino Linotype" w:eastAsia="Palatino Linotype" w:hAnsi="Palatino Linotype" w:cs="Palatino Linotype"/>
          <w:sz w:val="24"/>
          <w:szCs w:val="24"/>
        </w:rPr>
        <w:t xml:space="preserve">, </w:t>
      </w:r>
      <w:r w:rsidR="003D1EFB" w:rsidRPr="00CE11E5">
        <w:rPr>
          <w:rFonts w:ascii="Palatino Linotype" w:eastAsia="Palatino Linotype" w:hAnsi="Palatino Linotype" w:cs="Palatino Linotype"/>
          <w:sz w:val="24"/>
          <w:szCs w:val="24"/>
        </w:rPr>
        <w:t xml:space="preserve">and </w:t>
      </w:r>
      <w:r w:rsidR="00AB50DF" w:rsidRPr="00CE11E5">
        <w:rPr>
          <w:rFonts w:ascii="Palatino Linotype" w:eastAsia="Palatino Linotype" w:hAnsi="Palatino Linotype" w:cs="Palatino Linotype"/>
          <w:sz w:val="24"/>
          <w:szCs w:val="24"/>
        </w:rPr>
        <w:t xml:space="preserve">this </w:t>
      </w:r>
      <w:r w:rsidR="00AC16D3" w:rsidRPr="00CE11E5">
        <w:rPr>
          <w:rFonts w:ascii="Palatino Linotype" w:eastAsia="Palatino Linotype" w:hAnsi="Palatino Linotype" w:cs="Palatino Linotype"/>
          <w:sz w:val="24"/>
          <w:szCs w:val="24"/>
        </w:rPr>
        <w:t xml:space="preserve">should be reflected in </w:t>
      </w:r>
      <w:r w:rsidR="00F46D1F">
        <w:rPr>
          <w:rFonts w:ascii="Palatino Linotype" w:eastAsia="Palatino Linotype" w:hAnsi="Palatino Linotype" w:cs="Palatino Linotype"/>
          <w:sz w:val="24"/>
          <w:szCs w:val="24"/>
        </w:rPr>
        <w:t>Calavera</w:t>
      </w:r>
      <w:r w:rsidR="0027782D">
        <w:rPr>
          <w:rFonts w:ascii="Palatino Linotype" w:eastAsia="Palatino Linotype" w:hAnsi="Palatino Linotype" w:cs="Palatino Linotype"/>
          <w:sz w:val="24"/>
          <w:szCs w:val="24"/>
        </w:rPr>
        <w:t>s’</w:t>
      </w:r>
      <w:r w:rsidR="009C5538" w:rsidRPr="00CE11E5">
        <w:rPr>
          <w:rFonts w:ascii="Palatino Linotype" w:eastAsia="Palatino Linotype" w:hAnsi="Palatino Linotype" w:cs="Palatino Linotype"/>
          <w:sz w:val="24"/>
          <w:szCs w:val="24"/>
        </w:rPr>
        <w:t xml:space="preserve"> account</w:t>
      </w:r>
      <w:r w:rsidR="006D5AC7" w:rsidRPr="00CE11E5">
        <w:rPr>
          <w:rFonts w:ascii="Palatino Linotype" w:eastAsia="Palatino Linotype" w:hAnsi="Palatino Linotype" w:cs="Palatino Linotype"/>
          <w:sz w:val="24"/>
          <w:szCs w:val="24"/>
        </w:rPr>
        <w:t>ing</w:t>
      </w:r>
      <w:r w:rsidR="009C5538" w:rsidRPr="00CE11E5">
        <w:rPr>
          <w:rFonts w:ascii="Palatino Linotype" w:eastAsia="Palatino Linotype" w:hAnsi="Palatino Linotype" w:cs="Palatino Linotype"/>
          <w:sz w:val="24"/>
          <w:szCs w:val="24"/>
        </w:rPr>
        <w:t xml:space="preserve"> books and </w:t>
      </w:r>
      <w:r w:rsidR="00AC16D3" w:rsidRPr="00CE11E5">
        <w:rPr>
          <w:rFonts w:ascii="Palatino Linotype" w:eastAsia="Palatino Linotype" w:hAnsi="Palatino Linotype" w:cs="Palatino Linotype"/>
          <w:sz w:val="24"/>
          <w:szCs w:val="24"/>
        </w:rPr>
        <w:t xml:space="preserve">its </w:t>
      </w:r>
      <w:r w:rsidR="009C5538" w:rsidRPr="00CE11E5">
        <w:rPr>
          <w:rFonts w:ascii="Palatino Linotype" w:eastAsia="Palatino Linotype" w:hAnsi="Palatino Linotype" w:cs="Palatino Linotype"/>
          <w:sz w:val="24"/>
          <w:szCs w:val="24"/>
        </w:rPr>
        <w:t>results of operations table.</w:t>
      </w:r>
    </w:p>
    <w:p w:rsidR="00CE11E5" w:rsidRDefault="00B426D5" w:rsidP="00CE11E5">
      <w:pPr>
        <w:pStyle w:val="ListParagraph"/>
        <w:numPr>
          <w:ilvl w:val="0"/>
          <w:numId w:val="5"/>
        </w:numPr>
        <w:spacing w:after="240" w:line="300" w:lineRule="exact"/>
        <w:ind w:left="360"/>
        <w:contextualSpacing w:val="0"/>
        <w:rPr>
          <w:rFonts w:ascii="Palatino Linotype" w:eastAsia="Palatino Linotype" w:hAnsi="Palatino Linotype" w:cs="Palatino Linotype"/>
          <w:sz w:val="24"/>
          <w:szCs w:val="24"/>
        </w:rPr>
      </w:pPr>
      <w:r w:rsidRPr="00CE11E5">
        <w:rPr>
          <w:rFonts w:ascii="Palatino Linotype" w:eastAsia="Palatino Linotype" w:hAnsi="Palatino Linotype" w:cs="Palatino Linotype"/>
          <w:sz w:val="24"/>
          <w:szCs w:val="24"/>
        </w:rPr>
        <w:t xml:space="preserve">Staff calculates that </w:t>
      </w:r>
      <w:r w:rsidR="00F46D1F">
        <w:rPr>
          <w:rFonts w:ascii="Palatino Linotype" w:eastAsia="Palatino Linotype" w:hAnsi="Palatino Linotype" w:cs="Palatino Linotype"/>
          <w:sz w:val="24"/>
          <w:szCs w:val="24"/>
        </w:rPr>
        <w:t>Calavera</w:t>
      </w:r>
      <w:r w:rsidR="0027782D">
        <w:rPr>
          <w:rFonts w:ascii="Palatino Linotype" w:eastAsia="Palatino Linotype" w:hAnsi="Palatino Linotype" w:cs="Palatino Linotype"/>
          <w:sz w:val="24"/>
          <w:szCs w:val="24"/>
        </w:rPr>
        <w:t>s’</w:t>
      </w:r>
      <w:r w:rsidRPr="00CE11E5">
        <w:rPr>
          <w:rFonts w:ascii="Palatino Linotype" w:eastAsia="Palatino Linotype" w:hAnsi="Palatino Linotype" w:cs="Palatino Linotype"/>
          <w:sz w:val="24"/>
          <w:szCs w:val="24"/>
        </w:rPr>
        <w:t xml:space="preserve"> </w:t>
      </w:r>
      <w:r w:rsidR="00A95C1A" w:rsidRPr="00CE11E5">
        <w:rPr>
          <w:rFonts w:ascii="Palatino Linotype" w:eastAsia="Palatino Linotype" w:hAnsi="Palatino Linotype" w:cs="Palatino Linotype"/>
          <w:sz w:val="24"/>
          <w:szCs w:val="24"/>
        </w:rPr>
        <w:t>rate base should be increased (</w:t>
      </w:r>
      <w:r w:rsidR="00EC2A74" w:rsidRPr="00CE11E5">
        <w:rPr>
          <w:rFonts w:ascii="Palatino Linotype" w:eastAsia="Palatino Linotype" w:hAnsi="Palatino Linotype" w:cs="Palatino Linotype"/>
          <w:sz w:val="24"/>
          <w:szCs w:val="24"/>
        </w:rPr>
        <w:t xml:space="preserve">excess </w:t>
      </w:r>
      <w:r w:rsidR="00A95C1A" w:rsidRPr="00CE11E5">
        <w:rPr>
          <w:rFonts w:ascii="Palatino Linotype" w:eastAsia="Palatino Linotype" w:hAnsi="Palatino Linotype" w:cs="Palatino Linotype"/>
          <w:sz w:val="24"/>
          <w:szCs w:val="24"/>
        </w:rPr>
        <w:t xml:space="preserve">deferred tax balance </w:t>
      </w:r>
      <w:r w:rsidR="00AB50DF" w:rsidRPr="00CE11E5">
        <w:rPr>
          <w:rFonts w:ascii="Palatino Linotype" w:eastAsia="Palatino Linotype" w:hAnsi="Palatino Linotype" w:cs="Palatino Linotype"/>
          <w:sz w:val="24"/>
          <w:szCs w:val="24"/>
        </w:rPr>
        <w:t xml:space="preserve">should </w:t>
      </w:r>
      <w:r w:rsidR="00EC2A74" w:rsidRPr="00CE11E5">
        <w:rPr>
          <w:rFonts w:ascii="Palatino Linotype" w:eastAsia="Palatino Linotype" w:hAnsi="Palatino Linotype" w:cs="Palatino Linotype"/>
          <w:sz w:val="24"/>
          <w:szCs w:val="24"/>
        </w:rPr>
        <w:t xml:space="preserve">be </w:t>
      </w:r>
      <w:r w:rsidR="00A95C1A" w:rsidRPr="00CE11E5">
        <w:rPr>
          <w:rFonts w:ascii="Palatino Linotype" w:eastAsia="Palatino Linotype" w:hAnsi="Palatino Linotype" w:cs="Palatino Linotype"/>
          <w:sz w:val="24"/>
          <w:szCs w:val="24"/>
        </w:rPr>
        <w:t xml:space="preserve">decreased) </w:t>
      </w:r>
      <w:r w:rsidR="003D1EFB" w:rsidRPr="00CE11E5">
        <w:rPr>
          <w:rFonts w:ascii="Palatino Linotype" w:eastAsia="Palatino Linotype" w:hAnsi="Palatino Linotype" w:cs="Palatino Linotype"/>
          <w:sz w:val="24"/>
          <w:szCs w:val="24"/>
        </w:rPr>
        <w:t>per year</w:t>
      </w:r>
      <w:r w:rsidR="00977143" w:rsidRPr="00CE11E5">
        <w:rPr>
          <w:rFonts w:ascii="Palatino Linotype" w:eastAsia="Palatino Linotype" w:hAnsi="Palatino Linotype" w:cs="Palatino Linotype"/>
          <w:sz w:val="24"/>
          <w:szCs w:val="24"/>
        </w:rPr>
        <w:t xml:space="preserve"> </w:t>
      </w:r>
      <w:r w:rsidR="00A95C1A" w:rsidRPr="00CE11E5">
        <w:rPr>
          <w:rFonts w:ascii="Palatino Linotype" w:eastAsia="Palatino Linotype" w:hAnsi="Palatino Linotype" w:cs="Palatino Linotype"/>
          <w:sz w:val="24"/>
          <w:szCs w:val="24"/>
        </w:rPr>
        <w:t xml:space="preserve">by the </w:t>
      </w:r>
      <w:r w:rsidR="00EC2A74" w:rsidRPr="00CE11E5">
        <w:rPr>
          <w:rFonts w:ascii="Palatino Linotype" w:eastAsia="Palatino Linotype" w:hAnsi="Palatino Linotype" w:cs="Palatino Linotype"/>
          <w:sz w:val="24"/>
          <w:szCs w:val="24"/>
        </w:rPr>
        <w:t>$</w:t>
      </w:r>
      <w:r w:rsidR="005269D7">
        <w:rPr>
          <w:rFonts w:ascii="Palatino Linotype" w:eastAsia="Palatino Linotype" w:hAnsi="Palatino Linotype" w:cs="Palatino Linotype"/>
          <w:sz w:val="24"/>
          <w:szCs w:val="24"/>
        </w:rPr>
        <w:t>10,507</w:t>
      </w:r>
      <w:r w:rsidR="00EC2A74" w:rsidRPr="00CE11E5">
        <w:rPr>
          <w:rFonts w:ascii="Palatino Linotype" w:eastAsia="Palatino Linotype" w:hAnsi="Palatino Linotype" w:cs="Palatino Linotype"/>
          <w:sz w:val="24"/>
          <w:szCs w:val="24"/>
        </w:rPr>
        <w:t xml:space="preserve"> </w:t>
      </w:r>
      <w:r w:rsidR="00A95C1A" w:rsidRPr="00CE11E5">
        <w:rPr>
          <w:rFonts w:ascii="Palatino Linotype" w:eastAsia="Palatino Linotype" w:hAnsi="Palatino Linotype" w:cs="Palatino Linotype"/>
          <w:sz w:val="24"/>
          <w:szCs w:val="24"/>
        </w:rPr>
        <w:t xml:space="preserve">amount of excess deferred tax </w:t>
      </w:r>
      <w:r w:rsidR="00AB2A18" w:rsidRPr="00CE11E5">
        <w:rPr>
          <w:rFonts w:ascii="Palatino Linotype" w:eastAsia="Palatino Linotype" w:hAnsi="Palatino Linotype" w:cs="Palatino Linotype"/>
          <w:sz w:val="24"/>
          <w:szCs w:val="24"/>
        </w:rPr>
        <w:t xml:space="preserve">listed as a credit </w:t>
      </w:r>
      <w:r w:rsidR="00A95C1A" w:rsidRPr="00CE11E5">
        <w:rPr>
          <w:rFonts w:ascii="Palatino Linotype" w:eastAsia="Palatino Linotype" w:hAnsi="Palatino Linotype" w:cs="Palatino Linotype"/>
          <w:sz w:val="24"/>
          <w:szCs w:val="24"/>
        </w:rPr>
        <w:t xml:space="preserve">to ratepayers.  This results in </w:t>
      </w:r>
      <w:r w:rsidRPr="00CE11E5">
        <w:rPr>
          <w:rFonts w:ascii="Palatino Linotype" w:eastAsia="Palatino Linotype" w:hAnsi="Palatino Linotype" w:cs="Palatino Linotype"/>
          <w:sz w:val="24"/>
          <w:szCs w:val="24"/>
        </w:rPr>
        <w:t xml:space="preserve">a </w:t>
      </w:r>
      <w:r w:rsidR="00A95C1A" w:rsidRPr="00CE11E5">
        <w:rPr>
          <w:rFonts w:ascii="Palatino Linotype" w:eastAsia="Palatino Linotype" w:hAnsi="Palatino Linotype" w:cs="Palatino Linotype"/>
          <w:sz w:val="24"/>
          <w:szCs w:val="24"/>
        </w:rPr>
        <w:t xml:space="preserve">2018 rate base of </w:t>
      </w:r>
      <w:r w:rsidR="00EC2A74" w:rsidRPr="00CE11E5">
        <w:rPr>
          <w:rFonts w:ascii="Palatino Linotype" w:eastAsia="Palatino Linotype" w:hAnsi="Palatino Linotype" w:cs="Palatino Linotype"/>
          <w:sz w:val="24"/>
          <w:szCs w:val="24"/>
        </w:rPr>
        <w:t>$</w:t>
      </w:r>
      <w:r w:rsidR="005269D7">
        <w:rPr>
          <w:rFonts w:ascii="Palatino Linotype" w:eastAsia="Palatino Linotype" w:hAnsi="Palatino Linotype" w:cs="Palatino Linotype"/>
          <w:sz w:val="24"/>
          <w:szCs w:val="24"/>
        </w:rPr>
        <w:t>7,724,364</w:t>
      </w:r>
      <w:r w:rsidR="00EC2A74" w:rsidRPr="00CE11E5">
        <w:rPr>
          <w:rFonts w:ascii="Palatino Linotype" w:eastAsia="Palatino Linotype" w:hAnsi="Palatino Linotype" w:cs="Palatino Linotype"/>
          <w:sz w:val="24"/>
          <w:szCs w:val="24"/>
        </w:rPr>
        <w:t xml:space="preserve"> </w:t>
      </w:r>
      <w:r w:rsidR="00A95C1A" w:rsidRPr="00CE11E5">
        <w:rPr>
          <w:rFonts w:ascii="Palatino Linotype" w:eastAsia="Palatino Linotype" w:hAnsi="Palatino Linotype" w:cs="Palatino Linotype"/>
          <w:sz w:val="24"/>
          <w:szCs w:val="24"/>
        </w:rPr>
        <w:t xml:space="preserve">compared to </w:t>
      </w:r>
      <w:r w:rsidR="00F46D1F">
        <w:rPr>
          <w:rFonts w:ascii="Palatino Linotype" w:eastAsia="Palatino Linotype" w:hAnsi="Palatino Linotype" w:cs="Palatino Linotype"/>
          <w:sz w:val="24"/>
          <w:szCs w:val="24"/>
        </w:rPr>
        <w:t>Calavera</w:t>
      </w:r>
      <w:r w:rsidR="0027782D">
        <w:rPr>
          <w:rFonts w:ascii="Palatino Linotype" w:eastAsia="Palatino Linotype" w:hAnsi="Palatino Linotype" w:cs="Palatino Linotype"/>
          <w:sz w:val="24"/>
          <w:szCs w:val="24"/>
        </w:rPr>
        <w:t>s’</w:t>
      </w:r>
      <w:r w:rsidR="00A95C1A" w:rsidRPr="00CE11E5">
        <w:rPr>
          <w:rFonts w:ascii="Palatino Linotype" w:eastAsia="Palatino Linotype" w:hAnsi="Palatino Linotype" w:cs="Palatino Linotype"/>
          <w:sz w:val="24"/>
          <w:szCs w:val="24"/>
        </w:rPr>
        <w:t xml:space="preserve"> </w:t>
      </w:r>
      <w:r w:rsidR="00977143" w:rsidRPr="00CE11E5">
        <w:rPr>
          <w:rFonts w:ascii="Palatino Linotype" w:eastAsia="Palatino Linotype" w:hAnsi="Palatino Linotype" w:cs="Palatino Linotype"/>
          <w:sz w:val="24"/>
          <w:szCs w:val="24"/>
        </w:rPr>
        <w:t xml:space="preserve">proposed </w:t>
      </w:r>
      <w:r w:rsidR="00A95C1A" w:rsidRPr="00CE11E5">
        <w:rPr>
          <w:rFonts w:ascii="Palatino Linotype" w:eastAsia="Palatino Linotype" w:hAnsi="Palatino Linotype" w:cs="Palatino Linotype"/>
          <w:sz w:val="24"/>
          <w:szCs w:val="24"/>
        </w:rPr>
        <w:t>$</w:t>
      </w:r>
      <w:r w:rsidR="005269D7">
        <w:rPr>
          <w:rFonts w:ascii="Palatino Linotype" w:eastAsia="Palatino Linotype" w:hAnsi="Palatino Linotype" w:cs="Palatino Linotype"/>
          <w:sz w:val="24"/>
          <w:szCs w:val="24"/>
        </w:rPr>
        <w:t>7,769,544</w:t>
      </w:r>
      <w:r w:rsidR="00A95C1A" w:rsidRPr="00CE11E5">
        <w:rPr>
          <w:rFonts w:ascii="Palatino Linotype" w:eastAsia="Palatino Linotype" w:hAnsi="Palatino Linotype" w:cs="Palatino Linotype"/>
          <w:sz w:val="24"/>
          <w:szCs w:val="24"/>
        </w:rPr>
        <w:t>.</w:t>
      </w:r>
    </w:p>
    <w:p w:rsidR="00CE11E5" w:rsidRDefault="006D5AC7" w:rsidP="00CE11E5">
      <w:pPr>
        <w:pStyle w:val="ListParagraph"/>
        <w:numPr>
          <w:ilvl w:val="0"/>
          <w:numId w:val="5"/>
        </w:numPr>
        <w:spacing w:after="240" w:line="300" w:lineRule="exact"/>
        <w:ind w:left="360"/>
        <w:contextualSpacing w:val="0"/>
        <w:rPr>
          <w:rFonts w:ascii="Palatino Linotype" w:eastAsia="Palatino Linotype" w:hAnsi="Palatino Linotype" w:cs="Palatino Linotype"/>
          <w:sz w:val="24"/>
          <w:szCs w:val="24"/>
        </w:rPr>
      </w:pPr>
      <w:r w:rsidRPr="00CE11E5">
        <w:rPr>
          <w:rFonts w:ascii="Palatino Linotype" w:eastAsia="Palatino Linotype" w:hAnsi="Palatino Linotype" w:cs="Palatino Linotype"/>
          <w:sz w:val="24"/>
          <w:szCs w:val="24"/>
        </w:rPr>
        <w:t>Staff</w:t>
      </w:r>
      <w:r w:rsidR="00B426D5" w:rsidRPr="00CE11E5">
        <w:rPr>
          <w:rFonts w:ascii="Palatino Linotype" w:eastAsia="Palatino Linotype" w:hAnsi="Palatino Linotype" w:cs="Palatino Linotype"/>
          <w:sz w:val="24"/>
          <w:szCs w:val="24"/>
        </w:rPr>
        <w:t xml:space="preserve"> </w:t>
      </w:r>
      <w:r w:rsidRPr="00CE11E5">
        <w:rPr>
          <w:rFonts w:ascii="Palatino Linotype" w:eastAsia="Palatino Linotype" w:hAnsi="Palatino Linotype" w:cs="Palatino Linotype"/>
          <w:sz w:val="24"/>
          <w:szCs w:val="24"/>
        </w:rPr>
        <w:t>calculat</w:t>
      </w:r>
      <w:r w:rsidR="00B426D5" w:rsidRPr="00CE11E5">
        <w:rPr>
          <w:rFonts w:ascii="Palatino Linotype" w:eastAsia="Palatino Linotype" w:hAnsi="Palatino Linotype" w:cs="Palatino Linotype"/>
          <w:sz w:val="24"/>
          <w:szCs w:val="24"/>
        </w:rPr>
        <w:t xml:space="preserve">es that </w:t>
      </w:r>
      <w:r w:rsidR="00F46D1F">
        <w:rPr>
          <w:rFonts w:ascii="Palatino Linotype" w:eastAsia="Palatino Linotype" w:hAnsi="Palatino Linotype" w:cs="Palatino Linotype"/>
          <w:sz w:val="24"/>
          <w:szCs w:val="24"/>
        </w:rPr>
        <w:t>Calavera</w:t>
      </w:r>
      <w:r w:rsidR="0027782D">
        <w:rPr>
          <w:rFonts w:ascii="Palatino Linotype" w:eastAsia="Palatino Linotype" w:hAnsi="Palatino Linotype" w:cs="Palatino Linotype"/>
          <w:sz w:val="24"/>
          <w:szCs w:val="24"/>
        </w:rPr>
        <w:t>s’</w:t>
      </w:r>
      <w:r w:rsidRPr="00CE11E5">
        <w:rPr>
          <w:rFonts w:ascii="Palatino Linotype" w:eastAsia="Palatino Linotype" w:hAnsi="Palatino Linotype" w:cs="Palatino Linotype"/>
          <w:sz w:val="24"/>
          <w:szCs w:val="24"/>
        </w:rPr>
        <w:t xml:space="preserve"> revised revenue requirement for </w:t>
      </w:r>
      <w:r w:rsidR="004C017E" w:rsidRPr="00CE11E5">
        <w:rPr>
          <w:rFonts w:ascii="Palatino Linotype" w:eastAsia="Palatino Linotype" w:hAnsi="Palatino Linotype" w:cs="Palatino Linotype"/>
          <w:sz w:val="24"/>
          <w:szCs w:val="24"/>
        </w:rPr>
        <w:t>TY</w:t>
      </w:r>
      <w:r w:rsidRPr="00CE11E5">
        <w:rPr>
          <w:rFonts w:ascii="Palatino Linotype" w:eastAsia="Palatino Linotype" w:hAnsi="Palatino Linotype" w:cs="Palatino Linotype"/>
          <w:sz w:val="24"/>
          <w:szCs w:val="24"/>
        </w:rPr>
        <w:t xml:space="preserve"> 2018 </w:t>
      </w:r>
      <w:r w:rsidR="00B426D5" w:rsidRPr="00CE11E5">
        <w:rPr>
          <w:rFonts w:ascii="Palatino Linotype" w:eastAsia="Palatino Linotype" w:hAnsi="Palatino Linotype" w:cs="Palatino Linotype"/>
          <w:sz w:val="24"/>
          <w:szCs w:val="24"/>
        </w:rPr>
        <w:t xml:space="preserve">should be </w:t>
      </w:r>
      <w:r w:rsidR="00EC2A74" w:rsidRPr="00CE11E5">
        <w:rPr>
          <w:rFonts w:ascii="Palatino Linotype" w:eastAsia="Palatino Linotype" w:hAnsi="Palatino Linotype" w:cs="Palatino Linotype"/>
          <w:sz w:val="24"/>
          <w:szCs w:val="24"/>
        </w:rPr>
        <w:t>$</w:t>
      </w:r>
      <w:r w:rsidR="00400C32">
        <w:rPr>
          <w:rFonts w:ascii="Palatino Linotype" w:eastAsia="Palatino Linotype" w:hAnsi="Palatino Linotype" w:cs="Palatino Linotype"/>
          <w:sz w:val="24"/>
          <w:szCs w:val="24"/>
        </w:rPr>
        <w:t>6,003,765</w:t>
      </w:r>
      <w:r w:rsidR="00BD4CB7">
        <w:rPr>
          <w:rFonts w:ascii="Palatino Linotype" w:eastAsia="Palatino Linotype" w:hAnsi="Palatino Linotype" w:cs="Palatino Linotype"/>
          <w:sz w:val="24"/>
          <w:szCs w:val="24"/>
        </w:rPr>
        <w:t>, which is $1</w:t>
      </w:r>
      <w:r w:rsidR="00B00B4E">
        <w:rPr>
          <w:rFonts w:ascii="Palatino Linotype" w:eastAsia="Palatino Linotype" w:hAnsi="Palatino Linotype" w:cs="Palatino Linotype"/>
          <w:sz w:val="24"/>
          <w:szCs w:val="24"/>
        </w:rPr>
        <w:t>96,389</w:t>
      </w:r>
      <w:r w:rsidR="00BD4CB7">
        <w:rPr>
          <w:rFonts w:ascii="Palatino Linotype" w:eastAsia="Palatino Linotype" w:hAnsi="Palatino Linotype" w:cs="Palatino Linotype"/>
          <w:sz w:val="24"/>
          <w:szCs w:val="24"/>
        </w:rPr>
        <w:t xml:space="preserve"> less than the previously authorized $</w:t>
      </w:r>
      <w:r w:rsidR="00B00B4E">
        <w:rPr>
          <w:rFonts w:ascii="Palatino Linotype" w:eastAsia="Palatino Linotype" w:hAnsi="Palatino Linotype" w:cs="Palatino Linotype"/>
          <w:sz w:val="24"/>
          <w:szCs w:val="24"/>
        </w:rPr>
        <w:t>6,200,154</w:t>
      </w:r>
      <w:r w:rsidR="00BD4CB7">
        <w:rPr>
          <w:rFonts w:ascii="Palatino Linotype" w:eastAsia="Palatino Linotype" w:hAnsi="Palatino Linotype" w:cs="Palatino Linotype"/>
          <w:sz w:val="24"/>
          <w:szCs w:val="24"/>
        </w:rPr>
        <w:t xml:space="preserve"> in </w:t>
      </w:r>
      <w:r w:rsidR="00546552">
        <w:rPr>
          <w:rFonts w:ascii="Palatino Linotype" w:eastAsia="Palatino Linotype" w:hAnsi="Palatino Linotype" w:cs="Palatino Linotype"/>
          <w:sz w:val="24"/>
          <w:szCs w:val="24"/>
        </w:rPr>
        <w:br/>
      </w:r>
      <w:r w:rsidR="00BD4CB7">
        <w:rPr>
          <w:rFonts w:ascii="Palatino Linotype" w:eastAsia="Palatino Linotype" w:hAnsi="Palatino Linotype" w:cs="Palatino Linotype"/>
          <w:sz w:val="24"/>
          <w:szCs w:val="24"/>
        </w:rPr>
        <w:t>D.</w:t>
      </w:r>
      <w:r w:rsidR="00C2602F">
        <w:rPr>
          <w:rFonts w:ascii="Palatino Linotype" w:eastAsia="Palatino Linotype" w:hAnsi="Palatino Linotype" w:cs="Palatino Linotype"/>
          <w:sz w:val="24"/>
          <w:szCs w:val="24"/>
        </w:rPr>
        <w:t>18-04-006</w:t>
      </w:r>
      <w:r w:rsidR="00BD4CB7">
        <w:rPr>
          <w:rFonts w:ascii="Palatino Linotype" w:eastAsia="Palatino Linotype" w:hAnsi="Palatino Linotype" w:cs="Palatino Linotype"/>
          <w:sz w:val="24"/>
          <w:szCs w:val="24"/>
        </w:rPr>
        <w:t>.</w:t>
      </w:r>
    </w:p>
    <w:p w:rsidR="00CE11E5" w:rsidRPr="00CE11E5" w:rsidRDefault="000A459C" w:rsidP="00CE11E5">
      <w:pPr>
        <w:pStyle w:val="ListParagraph"/>
        <w:numPr>
          <w:ilvl w:val="0"/>
          <w:numId w:val="5"/>
        </w:numPr>
        <w:spacing w:after="240" w:line="300" w:lineRule="exact"/>
        <w:ind w:left="360"/>
        <w:contextualSpacing w:val="0"/>
        <w:rPr>
          <w:rFonts w:ascii="Palatino Linotype" w:eastAsia="Palatino Linotype" w:hAnsi="Palatino Linotype" w:cs="Palatino Linotype"/>
          <w:b/>
          <w:sz w:val="24"/>
          <w:szCs w:val="24"/>
        </w:rPr>
      </w:pPr>
      <w:r w:rsidRPr="00CE11E5">
        <w:rPr>
          <w:rFonts w:ascii="Palatino Linotype" w:eastAsia="Palatino Linotype" w:hAnsi="Palatino Linotype" w:cs="Palatino Linotype"/>
          <w:sz w:val="24"/>
          <w:szCs w:val="24"/>
        </w:rPr>
        <w:t>Staff calculat</w:t>
      </w:r>
      <w:r w:rsidR="00B426D5" w:rsidRPr="00CE11E5">
        <w:rPr>
          <w:rFonts w:ascii="Palatino Linotype" w:eastAsia="Palatino Linotype" w:hAnsi="Palatino Linotype" w:cs="Palatino Linotype"/>
          <w:sz w:val="24"/>
          <w:szCs w:val="24"/>
        </w:rPr>
        <w:t>es that</w:t>
      </w:r>
      <w:r w:rsidRPr="00CE11E5">
        <w:rPr>
          <w:rFonts w:ascii="Palatino Linotype" w:eastAsia="Palatino Linotype" w:hAnsi="Palatino Linotype" w:cs="Palatino Linotype"/>
          <w:sz w:val="24"/>
          <w:szCs w:val="24"/>
        </w:rPr>
        <w:t xml:space="preserve"> </w:t>
      </w:r>
      <w:r w:rsidR="00F46D1F">
        <w:rPr>
          <w:rFonts w:ascii="Palatino Linotype" w:eastAsia="Palatino Linotype" w:hAnsi="Palatino Linotype" w:cs="Palatino Linotype"/>
          <w:sz w:val="24"/>
          <w:szCs w:val="24"/>
        </w:rPr>
        <w:t>Calavera</w:t>
      </w:r>
      <w:r w:rsidR="0027782D">
        <w:rPr>
          <w:rFonts w:ascii="Palatino Linotype" w:eastAsia="Palatino Linotype" w:hAnsi="Palatino Linotype" w:cs="Palatino Linotype"/>
          <w:sz w:val="24"/>
          <w:szCs w:val="24"/>
        </w:rPr>
        <w:t>s’</w:t>
      </w:r>
      <w:r w:rsidRPr="00CE11E5">
        <w:rPr>
          <w:rFonts w:ascii="Palatino Linotype" w:eastAsia="Palatino Linotype" w:hAnsi="Palatino Linotype" w:cs="Palatino Linotype"/>
          <w:sz w:val="24"/>
          <w:szCs w:val="24"/>
        </w:rPr>
        <w:t xml:space="preserve"> CHCF-A </w:t>
      </w:r>
      <w:r w:rsidR="00AB50DF" w:rsidRPr="00CE11E5">
        <w:rPr>
          <w:rFonts w:ascii="Palatino Linotype" w:eastAsia="Palatino Linotype" w:hAnsi="Palatino Linotype" w:cs="Palatino Linotype"/>
          <w:sz w:val="24"/>
          <w:szCs w:val="24"/>
        </w:rPr>
        <w:t xml:space="preserve">support </w:t>
      </w:r>
      <w:r w:rsidRPr="00CE11E5">
        <w:rPr>
          <w:rFonts w:ascii="Palatino Linotype" w:eastAsia="Palatino Linotype" w:hAnsi="Palatino Linotype" w:cs="Palatino Linotype"/>
          <w:sz w:val="24"/>
          <w:szCs w:val="24"/>
        </w:rPr>
        <w:t xml:space="preserve">for 2018 </w:t>
      </w:r>
      <w:r w:rsidR="00B426D5" w:rsidRPr="00CE11E5">
        <w:rPr>
          <w:rFonts w:ascii="Palatino Linotype" w:eastAsia="Palatino Linotype" w:hAnsi="Palatino Linotype" w:cs="Palatino Linotype"/>
          <w:sz w:val="24"/>
          <w:szCs w:val="24"/>
        </w:rPr>
        <w:t xml:space="preserve">should be </w:t>
      </w:r>
      <w:r w:rsidR="00EC2A74" w:rsidRPr="00CE11E5">
        <w:rPr>
          <w:rFonts w:ascii="Palatino Linotype" w:eastAsia="Palatino Linotype" w:hAnsi="Palatino Linotype" w:cs="Palatino Linotype"/>
          <w:sz w:val="24"/>
          <w:szCs w:val="24"/>
        </w:rPr>
        <w:t>$</w:t>
      </w:r>
      <w:r w:rsidR="00B00B4E">
        <w:rPr>
          <w:rFonts w:ascii="Palatino Linotype" w:eastAsia="Palatino Linotype" w:hAnsi="Palatino Linotype" w:cs="Palatino Linotype"/>
          <w:sz w:val="24"/>
          <w:szCs w:val="24"/>
        </w:rPr>
        <w:t>2,736,510</w:t>
      </w:r>
      <w:r w:rsidR="00FC26AD" w:rsidRPr="00CE11E5">
        <w:rPr>
          <w:rFonts w:ascii="Palatino Linotype" w:eastAsia="Palatino Linotype" w:hAnsi="Palatino Linotype" w:cs="Palatino Linotype"/>
          <w:sz w:val="24"/>
          <w:szCs w:val="24"/>
        </w:rPr>
        <w:t>, which is $1</w:t>
      </w:r>
      <w:r w:rsidR="00400C32">
        <w:rPr>
          <w:rFonts w:ascii="Palatino Linotype" w:eastAsia="Palatino Linotype" w:hAnsi="Palatino Linotype" w:cs="Palatino Linotype"/>
          <w:sz w:val="24"/>
          <w:szCs w:val="24"/>
        </w:rPr>
        <w:t>96,389</w:t>
      </w:r>
      <w:r w:rsidR="00FC26AD" w:rsidRPr="00CE11E5">
        <w:rPr>
          <w:rFonts w:ascii="Palatino Linotype" w:eastAsia="Palatino Linotype" w:hAnsi="Palatino Linotype" w:cs="Palatino Linotype"/>
          <w:sz w:val="24"/>
          <w:szCs w:val="24"/>
        </w:rPr>
        <w:t xml:space="preserve"> less than </w:t>
      </w:r>
      <w:r w:rsidR="00BD4CB7">
        <w:rPr>
          <w:rFonts w:ascii="Palatino Linotype" w:eastAsia="Palatino Linotype" w:hAnsi="Palatino Linotype" w:cs="Palatino Linotype"/>
          <w:sz w:val="24"/>
          <w:szCs w:val="24"/>
        </w:rPr>
        <w:t xml:space="preserve">the </w:t>
      </w:r>
      <w:r w:rsidR="00FC26AD" w:rsidRPr="00CE11E5">
        <w:rPr>
          <w:rFonts w:ascii="Palatino Linotype" w:eastAsia="Palatino Linotype" w:hAnsi="Palatino Linotype" w:cs="Palatino Linotype"/>
          <w:sz w:val="24"/>
          <w:szCs w:val="24"/>
        </w:rPr>
        <w:t>previously authorized</w:t>
      </w:r>
      <w:r w:rsidR="00BD4CB7">
        <w:rPr>
          <w:rFonts w:ascii="Palatino Linotype" w:eastAsia="Palatino Linotype" w:hAnsi="Palatino Linotype" w:cs="Palatino Linotype"/>
          <w:sz w:val="24"/>
          <w:szCs w:val="24"/>
        </w:rPr>
        <w:t xml:space="preserve"> $</w:t>
      </w:r>
      <w:r w:rsidR="007A254D">
        <w:rPr>
          <w:rFonts w:ascii="Palatino Linotype" w:eastAsia="Palatino Linotype" w:hAnsi="Palatino Linotype" w:cs="Palatino Linotype"/>
          <w:sz w:val="24"/>
          <w:szCs w:val="24"/>
        </w:rPr>
        <w:t>2,932,899</w:t>
      </w:r>
      <w:r w:rsidR="00BD4CB7">
        <w:rPr>
          <w:rFonts w:ascii="Palatino Linotype" w:eastAsia="Palatino Linotype" w:hAnsi="Palatino Linotype" w:cs="Palatino Linotype"/>
          <w:sz w:val="24"/>
          <w:szCs w:val="24"/>
        </w:rPr>
        <w:t xml:space="preserve"> in D.</w:t>
      </w:r>
      <w:r w:rsidR="00C2602F">
        <w:rPr>
          <w:rFonts w:ascii="Palatino Linotype" w:eastAsia="Palatino Linotype" w:hAnsi="Palatino Linotype" w:cs="Palatino Linotype"/>
          <w:sz w:val="24"/>
          <w:szCs w:val="24"/>
        </w:rPr>
        <w:t>18-04-006</w:t>
      </w:r>
      <w:r w:rsidR="00BD4CB7">
        <w:rPr>
          <w:rFonts w:ascii="Palatino Linotype" w:eastAsia="Palatino Linotype" w:hAnsi="Palatino Linotype" w:cs="Palatino Linotype"/>
          <w:sz w:val="24"/>
          <w:szCs w:val="24"/>
        </w:rPr>
        <w:t>.</w:t>
      </w:r>
    </w:p>
    <w:p w:rsidR="002877B3" w:rsidRPr="00D7608E" w:rsidRDefault="00F46D1F" w:rsidP="00CE11E5">
      <w:pPr>
        <w:pStyle w:val="ListParagraph"/>
        <w:numPr>
          <w:ilvl w:val="0"/>
          <w:numId w:val="5"/>
        </w:numPr>
        <w:spacing w:after="240" w:line="300" w:lineRule="exact"/>
        <w:ind w:left="360"/>
        <w:contextualSpacing w:val="0"/>
        <w:rPr>
          <w:rFonts w:ascii="Palatino Linotype" w:eastAsia="Palatino Linotype" w:hAnsi="Palatino Linotype" w:cs="Palatino Linotype"/>
          <w:b/>
          <w:sz w:val="24"/>
          <w:szCs w:val="24"/>
        </w:rPr>
      </w:pPr>
      <w:r>
        <w:rPr>
          <w:rFonts w:ascii="Palatino Linotype" w:eastAsia="Palatino Linotype" w:hAnsi="Palatino Linotype" w:cs="Palatino Linotype"/>
          <w:sz w:val="24"/>
          <w:szCs w:val="24"/>
        </w:rPr>
        <w:t>Calavera</w:t>
      </w:r>
      <w:r w:rsidR="0027782D">
        <w:rPr>
          <w:rFonts w:ascii="Palatino Linotype" w:eastAsia="Palatino Linotype" w:hAnsi="Palatino Linotype" w:cs="Palatino Linotype"/>
          <w:sz w:val="24"/>
          <w:szCs w:val="24"/>
        </w:rPr>
        <w:t>s’</w:t>
      </w:r>
      <w:r w:rsidR="00AC16D3" w:rsidRPr="00CE11E5">
        <w:rPr>
          <w:rFonts w:ascii="Palatino Linotype" w:eastAsia="Palatino Linotype" w:hAnsi="Palatino Linotype" w:cs="Palatino Linotype"/>
          <w:sz w:val="24"/>
          <w:szCs w:val="24"/>
        </w:rPr>
        <w:t xml:space="preserve"> </w:t>
      </w:r>
      <w:r w:rsidR="00F37B21" w:rsidRPr="00CE11E5">
        <w:rPr>
          <w:rFonts w:ascii="Palatino Linotype" w:eastAsia="Palatino Linotype" w:hAnsi="Palatino Linotype" w:cs="Palatino Linotype"/>
          <w:sz w:val="24"/>
          <w:szCs w:val="24"/>
        </w:rPr>
        <w:t xml:space="preserve">revised revenue requirement </w:t>
      </w:r>
      <w:r w:rsidR="00AC16D3" w:rsidRPr="00CE11E5">
        <w:rPr>
          <w:rFonts w:ascii="Palatino Linotype" w:eastAsia="Palatino Linotype" w:hAnsi="Palatino Linotype" w:cs="Palatino Linotype"/>
          <w:sz w:val="24"/>
          <w:szCs w:val="24"/>
        </w:rPr>
        <w:t xml:space="preserve">and its </w:t>
      </w:r>
      <w:r w:rsidR="00F37B21" w:rsidRPr="00CE11E5">
        <w:rPr>
          <w:rFonts w:ascii="Palatino Linotype" w:eastAsia="Palatino Linotype" w:hAnsi="Palatino Linotype" w:cs="Palatino Linotype"/>
          <w:sz w:val="24"/>
          <w:szCs w:val="24"/>
        </w:rPr>
        <w:t xml:space="preserve">revised CHCF-A support and other revenue components as shown in </w:t>
      </w:r>
      <w:r w:rsidR="0071776C" w:rsidRPr="00CE11E5">
        <w:rPr>
          <w:rFonts w:ascii="Palatino Linotype" w:eastAsia="Palatino Linotype" w:hAnsi="Palatino Linotype" w:cs="Palatino Linotype"/>
          <w:sz w:val="24"/>
          <w:szCs w:val="24"/>
        </w:rPr>
        <w:t xml:space="preserve">Column C of </w:t>
      </w:r>
      <w:r w:rsidR="00F37B21" w:rsidRPr="00CE11E5">
        <w:rPr>
          <w:rFonts w:ascii="Palatino Linotype" w:eastAsia="Palatino Linotype" w:hAnsi="Palatino Linotype" w:cs="Palatino Linotype"/>
          <w:sz w:val="24"/>
          <w:szCs w:val="24"/>
        </w:rPr>
        <w:t xml:space="preserve">Appendix A of this Resolution </w:t>
      </w:r>
      <w:r w:rsidR="006D5AC7" w:rsidRPr="00CE11E5">
        <w:rPr>
          <w:rFonts w:ascii="Palatino Linotype" w:eastAsia="Palatino Linotype" w:hAnsi="Palatino Linotype" w:cs="Palatino Linotype"/>
          <w:sz w:val="24"/>
          <w:szCs w:val="24"/>
        </w:rPr>
        <w:t xml:space="preserve">are reasonable and </w:t>
      </w:r>
      <w:r w:rsidR="00F37B21" w:rsidRPr="00CE11E5">
        <w:rPr>
          <w:rFonts w:ascii="Palatino Linotype" w:eastAsia="Palatino Linotype" w:hAnsi="Palatino Linotype" w:cs="Palatino Linotype"/>
          <w:sz w:val="24"/>
          <w:szCs w:val="24"/>
        </w:rPr>
        <w:t xml:space="preserve">should be adopted for </w:t>
      </w:r>
      <w:r w:rsidR="004C017E" w:rsidRPr="00CE11E5">
        <w:rPr>
          <w:rFonts w:ascii="Palatino Linotype" w:eastAsia="Palatino Linotype" w:hAnsi="Palatino Linotype" w:cs="Palatino Linotype"/>
          <w:sz w:val="24"/>
          <w:szCs w:val="24"/>
        </w:rPr>
        <w:t>TY</w:t>
      </w:r>
      <w:r w:rsidR="00F37B21" w:rsidRPr="00CE11E5">
        <w:rPr>
          <w:rFonts w:ascii="Palatino Linotype" w:eastAsia="Palatino Linotype" w:hAnsi="Palatino Linotype" w:cs="Palatino Linotype"/>
          <w:sz w:val="24"/>
          <w:szCs w:val="24"/>
        </w:rPr>
        <w:t xml:space="preserve"> 2018.</w:t>
      </w:r>
    </w:p>
    <w:p w:rsidR="00CD635D" w:rsidRPr="00D7608E" w:rsidRDefault="00CD635D" w:rsidP="00CE11E5">
      <w:pPr>
        <w:pStyle w:val="ListParagraph"/>
        <w:numPr>
          <w:ilvl w:val="0"/>
          <w:numId w:val="5"/>
        </w:numPr>
        <w:spacing w:after="240" w:line="300" w:lineRule="exact"/>
        <w:ind w:left="360"/>
        <w:contextualSpacing w:val="0"/>
        <w:rPr>
          <w:rFonts w:ascii="Palatino Linotype" w:eastAsia="Palatino Linotype" w:hAnsi="Palatino Linotype" w:cs="Palatino Linotype"/>
          <w:b/>
          <w:sz w:val="24"/>
          <w:szCs w:val="24"/>
        </w:rPr>
      </w:pPr>
      <w:r>
        <w:rPr>
          <w:rFonts w:ascii="Palatino Linotype" w:eastAsia="Palatino Linotype" w:hAnsi="Palatino Linotype" w:cs="Palatino Linotype"/>
          <w:sz w:val="24"/>
          <w:szCs w:val="24"/>
        </w:rPr>
        <w:t>In comp</w:t>
      </w:r>
      <w:r w:rsidRPr="00311143">
        <w:rPr>
          <w:rFonts w:ascii="Palatino Linotype" w:eastAsia="Palatino Linotype" w:hAnsi="Palatino Linotype" w:cs="Palatino Linotype"/>
          <w:sz w:val="24"/>
          <w:szCs w:val="24"/>
        </w:rPr>
        <w:t>lia</w:t>
      </w:r>
      <w:r>
        <w:rPr>
          <w:rFonts w:ascii="Palatino Linotype" w:eastAsia="Palatino Linotype" w:hAnsi="Palatino Linotype" w:cs="Palatino Linotype"/>
          <w:sz w:val="24"/>
          <w:szCs w:val="24"/>
        </w:rPr>
        <w:t>n</w:t>
      </w:r>
      <w:r w:rsidRPr="00311143">
        <w:rPr>
          <w:rFonts w:ascii="Palatino Linotype" w:eastAsia="Palatino Linotype" w:hAnsi="Palatino Linotype" w:cs="Palatino Linotype"/>
          <w:sz w:val="24"/>
          <w:szCs w:val="24"/>
        </w:rPr>
        <w:t>c</w:t>
      </w:r>
      <w:r>
        <w:rPr>
          <w:rFonts w:ascii="Palatino Linotype" w:eastAsia="Palatino Linotype" w:hAnsi="Palatino Linotype" w:cs="Palatino Linotype"/>
          <w:sz w:val="24"/>
          <w:szCs w:val="24"/>
        </w:rPr>
        <w:t xml:space="preserve">e </w:t>
      </w:r>
      <w:r w:rsidRPr="00311143">
        <w:rPr>
          <w:rFonts w:ascii="Palatino Linotype" w:eastAsia="Palatino Linotype" w:hAnsi="Palatino Linotype" w:cs="Palatino Linotype"/>
          <w:sz w:val="24"/>
          <w:szCs w:val="24"/>
        </w:rPr>
        <w:t>wit</w:t>
      </w:r>
      <w:r>
        <w:rPr>
          <w:rFonts w:ascii="Palatino Linotype" w:eastAsia="Palatino Linotype" w:hAnsi="Palatino Linotype" w:cs="Palatino Linotype"/>
          <w:sz w:val="24"/>
          <w:szCs w:val="24"/>
        </w:rPr>
        <w:t>h</w:t>
      </w:r>
      <w:r w:rsidRPr="00311143">
        <w:rPr>
          <w:rFonts w:ascii="Palatino Linotype" w:eastAsia="Palatino Linotype" w:hAnsi="Palatino Linotype" w:cs="Palatino Linotype"/>
          <w:sz w:val="24"/>
          <w:szCs w:val="24"/>
        </w:rPr>
        <w:t xml:space="preserve"> P.</w:t>
      </w:r>
      <w:r>
        <w:rPr>
          <w:rFonts w:ascii="Palatino Linotype" w:eastAsia="Palatino Linotype" w:hAnsi="Palatino Linotype" w:cs="Palatino Linotype"/>
          <w:sz w:val="24"/>
          <w:szCs w:val="24"/>
        </w:rPr>
        <w:t>U. C</w:t>
      </w:r>
      <w:r w:rsidRPr="00311143">
        <w:rPr>
          <w:rFonts w:ascii="Palatino Linotype" w:eastAsia="Palatino Linotype" w:hAnsi="Palatino Linotype" w:cs="Palatino Linotype"/>
          <w:sz w:val="24"/>
          <w:szCs w:val="24"/>
        </w:rPr>
        <w:t>o</w:t>
      </w:r>
      <w:r>
        <w:rPr>
          <w:rFonts w:ascii="Palatino Linotype" w:eastAsia="Palatino Linotype" w:hAnsi="Palatino Linotype" w:cs="Palatino Linotype"/>
          <w:sz w:val="24"/>
          <w:szCs w:val="24"/>
        </w:rPr>
        <w:t>de § 311</w:t>
      </w:r>
      <w:r w:rsidRPr="00311143">
        <w:rPr>
          <w:rFonts w:ascii="Palatino Linotype" w:eastAsia="Palatino Linotype" w:hAnsi="Palatino Linotype" w:cs="Palatino Linotype"/>
          <w:sz w:val="24"/>
          <w:szCs w:val="24"/>
        </w:rPr>
        <w:t>(g</w:t>
      </w:r>
      <w:r>
        <w:rPr>
          <w:rFonts w:ascii="Palatino Linotype" w:eastAsia="Palatino Linotype" w:hAnsi="Palatino Linotype" w:cs="Palatino Linotype"/>
          <w:sz w:val="24"/>
          <w:szCs w:val="24"/>
        </w:rPr>
        <w:t xml:space="preserve">), the </w:t>
      </w:r>
      <w:r w:rsidRPr="00311143">
        <w:rPr>
          <w:rFonts w:ascii="Palatino Linotype" w:eastAsia="Palatino Linotype" w:hAnsi="Palatino Linotype" w:cs="Palatino Linotype"/>
          <w:sz w:val="24"/>
          <w:szCs w:val="24"/>
        </w:rPr>
        <w:t>Co</w:t>
      </w:r>
      <w:r>
        <w:rPr>
          <w:rFonts w:ascii="Palatino Linotype" w:eastAsia="Palatino Linotype" w:hAnsi="Palatino Linotype" w:cs="Palatino Linotype"/>
          <w:sz w:val="24"/>
          <w:szCs w:val="24"/>
        </w:rPr>
        <w:t>m</w:t>
      </w:r>
      <w:r w:rsidRPr="00311143">
        <w:rPr>
          <w:rFonts w:ascii="Palatino Linotype" w:eastAsia="Palatino Linotype" w:hAnsi="Palatino Linotype" w:cs="Palatino Linotype"/>
          <w:sz w:val="24"/>
          <w:szCs w:val="24"/>
        </w:rPr>
        <w:t>m</w:t>
      </w:r>
      <w:r>
        <w:rPr>
          <w:rFonts w:ascii="Palatino Linotype" w:eastAsia="Palatino Linotype" w:hAnsi="Palatino Linotype" w:cs="Palatino Linotype"/>
          <w:sz w:val="24"/>
          <w:szCs w:val="24"/>
        </w:rPr>
        <w:t>i</w:t>
      </w:r>
      <w:r w:rsidRPr="00311143">
        <w:rPr>
          <w:rFonts w:ascii="Palatino Linotype" w:eastAsia="Palatino Linotype" w:hAnsi="Palatino Linotype" w:cs="Palatino Linotype"/>
          <w:sz w:val="24"/>
          <w:szCs w:val="24"/>
        </w:rPr>
        <w:t>ssio</w:t>
      </w:r>
      <w:r>
        <w:rPr>
          <w:rFonts w:ascii="Palatino Linotype" w:eastAsia="Palatino Linotype" w:hAnsi="Palatino Linotype" w:cs="Palatino Linotype"/>
          <w:sz w:val="24"/>
          <w:szCs w:val="24"/>
        </w:rPr>
        <w:t>n e</w:t>
      </w:r>
      <w:r w:rsidRPr="00311143">
        <w:rPr>
          <w:rFonts w:ascii="Palatino Linotype" w:eastAsia="Palatino Linotype" w:hAnsi="Palatino Linotype" w:cs="Palatino Linotype"/>
          <w:sz w:val="24"/>
          <w:szCs w:val="24"/>
        </w:rPr>
        <w:t>mai</w:t>
      </w:r>
      <w:r>
        <w:rPr>
          <w:rFonts w:ascii="Palatino Linotype" w:eastAsia="Palatino Linotype" w:hAnsi="Palatino Linotype" w:cs="Palatino Linotype"/>
          <w:sz w:val="24"/>
          <w:szCs w:val="24"/>
        </w:rPr>
        <w:t>led a</w:t>
      </w:r>
      <w:r w:rsidRPr="00311143">
        <w:rPr>
          <w:rFonts w:ascii="Palatino Linotype" w:eastAsia="Palatino Linotype" w:hAnsi="Palatino Linotype" w:cs="Palatino Linotype"/>
          <w:sz w:val="24"/>
          <w:szCs w:val="24"/>
        </w:rPr>
        <w:t xml:space="preserve"> </w:t>
      </w:r>
      <w:r>
        <w:rPr>
          <w:rFonts w:ascii="Palatino Linotype" w:eastAsia="Palatino Linotype" w:hAnsi="Palatino Linotype" w:cs="Palatino Linotype"/>
          <w:sz w:val="24"/>
          <w:szCs w:val="24"/>
        </w:rPr>
        <w:t>n</w:t>
      </w:r>
      <w:r w:rsidRPr="00311143">
        <w:rPr>
          <w:rFonts w:ascii="Palatino Linotype" w:eastAsia="Palatino Linotype" w:hAnsi="Palatino Linotype" w:cs="Palatino Linotype"/>
          <w:sz w:val="24"/>
          <w:szCs w:val="24"/>
        </w:rPr>
        <w:t>otic</w:t>
      </w:r>
      <w:r>
        <w:rPr>
          <w:rFonts w:ascii="Palatino Linotype" w:eastAsia="Palatino Linotype" w:hAnsi="Palatino Linotype" w:cs="Palatino Linotype"/>
          <w:sz w:val="24"/>
          <w:szCs w:val="24"/>
        </w:rPr>
        <w:t>e le</w:t>
      </w:r>
      <w:r w:rsidRPr="00311143">
        <w:rPr>
          <w:rFonts w:ascii="Palatino Linotype" w:eastAsia="Palatino Linotype" w:hAnsi="Palatino Linotype" w:cs="Palatino Linotype"/>
          <w:sz w:val="24"/>
          <w:szCs w:val="24"/>
        </w:rPr>
        <w:t>tt</w:t>
      </w:r>
      <w:r>
        <w:rPr>
          <w:rFonts w:ascii="Palatino Linotype" w:eastAsia="Palatino Linotype" w:hAnsi="Palatino Linotype" w:cs="Palatino Linotype"/>
          <w:sz w:val="24"/>
          <w:szCs w:val="24"/>
        </w:rPr>
        <w:t>er</w:t>
      </w:r>
      <w:r w:rsidRPr="00311143">
        <w:rPr>
          <w:rFonts w:ascii="Palatino Linotype" w:eastAsia="Palatino Linotype" w:hAnsi="Palatino Linotype" w:cs="Palatino Linotype"/>
          <w:sz w:val="24"/>
          <w:szCs w:val="24"/>
        </w:rPr>
        <w:t xml:space="preserve"> o</w:t>
      </w:r>
      <w:r>
        <w:rPr>
          <w:rFonts w:ascii="Palatino Linotype" w:eastAsia="Palatino Linotype" w:hAnsi="Palatino Linotype" w:cs="Palatino Linotype"/>
          <w:sz w:val="24"/>
          <w:szCs w:val="24"/>
        </w:rPr>
        <w:t>n</w:t>
      </w:r>
      <w:r w:rsidRPr="00311143">
        <w:rPr>
          <w:rFonts w:ascii="Palatino Linotype" w:eastAsia="Palatino Linotype" w:hAnsi="Palatino Linotype" w:cs="Palatino Linotype"/>
          <w:sz w:val="24"/>
          <w:szCs w:val="24"/>
        </w:rPr>
        <w:t xml:space="preserve"> </w:t>
      </w:r>
      <w:r>
        <w:rPr>
          <w:rFonts w:ascii="Palatino Linotype" w:eastAsia="Palatino Linotype" w:hAnsi="Palatino Linotype" w:cs="Palatino Linotype"/>
          <w:sz w:val="24"/>
          <w:szCs w:val="24"/>
        </w:rPr>
        <w:br/>
        <w:t>July</w:t>
      </w:r>
      <w:r w:rsidRPr="00311143">
        <w:rPr>
          <w:rFonts w:ascii="Palatino Linotype" w:eastAsia="Palatino Linotype" w:hAnsi="Palatino Linotype" w:cs="Palatino Linotype"/>
          <w:sz w:val="24"/>
          <w:szCs w:val="24"/>
        </w:rPr>
        <w:t xml:space="preserve"> </w:t>
      </w:r>
      <w:r>
        <w:rPr>
          <w:rFonts w:ascii="Palatino Linotype" w:eastAsia="Palatino Linotype" w:hAnsi="Palatino Linotype" w:cs="Palatino Linotype"/>
          <w:sz w:val="24"/>
          <w:szCs w:val="24"/>
        </w:rPr>
        <w:t>20</w:t>
      </w:r>
      <w:r w:rsidRPr="00311143">
        <w:rPr>
          <w:rFonts w:ascii="Palatino Linotype" w:eastAsia="Palatino Linotype" w:hAnsi="Palatino Linotype" w:cs="Palatino Linotype"/>
          <w:sz w:val="24"/>
          <w:szCs w:val="24"/>
        </w:rPr>
        <w:t>, 2018, informing Cal</w:t>
      </w:r>
      <w:r>
        <w:rPr>
          <w:rFonts w:ascii="Palatino Linotype" w:eastAsia="Palatino Linotype" w:hAnsi="Palatino Linotype" w:cs="Palatino Linotype"/>
          <w:sz w:val="24"/>
          <w:szCs w:val="24"/>
        </w:rPr>
        <w:t xml:space="preserve">averas </w:t>
      </w:r>
      <w:r w:rsidRPr="00311143">
        <w:rPr>
          <w:rFonts w:ascii="Palatino Linotype" w:eastAsia="Palatino Linotype" w:hAnsi="Palatino Linotype" w:cs="Palatino Linotype"/>
          <w:sz w:val="24"/>
          <w:szCs w:val="24"/>
        </w:rPr>
        <w:t xml:space="preserve">of the availability of this Resolution for public comments at the Commission’s website </w:t>
      </w:r>
      <w:hyperlink r:id="rId9" w:history="1">
        <w:r w:rsidRPr="00233256">
          <w:rPr>
            <w:rFonts w:ascii="Palatino Linotype" w:eastAsia="Palatino Linotype" w:hAnsi="Palatino Linotype"/>
            <w:sz w:val="24"/>
            <w:szCs w:val="24"/>
          </w:rPr>
          <w:t>www.cpuc.ca.gov</w:t>
        </w:r>
      </w:hyperlink>
      <w:r w:rsidRPr="00311143">
        <w:rPr>
          <w:rFonts w:ascii="Palatino Linotype" w:eastAsia="Palatino Linotype" w:hAnsi="Palatino Linotype" w:cs="Palatino Linotype"/>
          <w:sz w:val="24"/>
          <w:szCs w:val="24"/>
        </w:rPr>
        <w:t>.</w:t>
      </w:r>
    </w:p>
    <w:p w:rsidR="00CD635D" w:rsidRPr="00CE11E5" w:rsidRDefault="00D7608E" w:rsidP="00CE11E5">
      <w:pPr>
        <w:pStyle w:val="ListParagraph"/>
        <w:numPr>
          <w:ilvl w:val="0"/>
          <w:numId w:val="5"/>
        </w:numPr>
        <w:spacing w:after="240" w:line="300" w:lineRule="exact"/>
        <w:ind w:left="360"/>
        <w:contextualSpacing w:val="0"/>
        <w:rPr>
          <w:rFonts w:ascii="Palatino Linotype" w:eastAsia="Palatino Linotype" w:hAnsi="Palatino Linotype" w:cs="Palatino Linotype"/>
          <w:b/>
          <w:sz w:val="24"/>
          <w:szCs w:val="24"/>
        </w:rPr>
      </w:pPr>
      <w:r>
        <w:rPr>
          <w:rFonts w:ascii="Palatino Linotype" w:eastAsia="Palatino Linotype" w:hAnsi="Palatino Linotype" w:cs="Palatino Linotype"/>
          <w:sz w:val="24"/>
          <w:szCs w:val="24"/>
        </w:rPr>
        <w:t xml:space="preserve">Calaveras filed comments on the </w:t>
      </w:r>
      <w:r w:rsidR="00104FE2">
        <w:rPr>
          <w:rFonts w:ascii="Palatino Linotype" w:eastAsia="Palatino Linotype" w:hAnsi="Palatino Linotype" w:cs="Palatino Linotype"/>
          <w:sz w:val="24"/>
          <w:szCs w:val="24"/>
        </w:rPr>
        <w:t>draft Resolution</w:t>
      </w:r>
      <w:r>
        <w:rPr>
          <w:rFonts w:ascii="Palatino Linotype" w:eastAsia="Palatino Linotype" w:hAnsi="Palatino Linotype" w:cs="Palatino Linotype"/>
          <w:sz w:val="24"/>
          <w:szCs w:val="24"/>
        </w:rPr>
        <w:t xml:space="preserve"> on August 13, 2018</w:t>
      </w:r>
      <w:r w:rsidR="00104FE2">
        <w:rPr>
          <w:rFonts w:ascii="Palatino Linotype" w:eastAsia="Palatino Linotype" w:hAnsi="Palatino Linotype" w:cs="Palatino Linotype"/>
          <w:sz w:val="24"/>
          <w:szCs w:val="24"/>
        </w:rPr>
        <w:t>.</w:t>
      </w:r>
    </w:p>
    <w:p w:rsidR="00361055" w:rsidRDefault="00361055">
      <w:pPr>
        <w:ind w:left="100"/>
        <w:rPr>
          <w:rFonts w:ascii="Palatino Linotype" w:eastAsia="Palatino Linotype" w:hAnsi="Palatino Linotype" w:cs="Palatino Linotype"/>
          <w:b/>
          <w:sz w:val="24"/>
          <w:szCs w:val="24"/>
        </w:rPr>
      </w:pPr>
    </w:p>
    <w:p w:rsidR="00D6611F" w:rsidRDefault="00490173">
      <w:pPr>
        <w:ind w:left="100"/>
        <w:rPr>
          <w:rFonts w:ascii="Palatino Linotype" w:eastAsia="Palatino Linotype" w:hAnsi="Palatino Linotype" w:cs="Palatino Linotype"/>
          <w:sz w:val="24"/>
          <w:szCs w:val="24"/>
        </w:rPr>
      </w:pPr>
      <w:r>
        <w:rPr>
          <w:rFonts w:ascii="Palatino Linotype" w:eastAsia="Palatino Linotype" w:hAnsi="Palatino Linotype" w:cs="Palatino Linotype"/>
          <w:b/>
          <w:sz w:val="24"/>
          <w:szCs w:val="24"/>
        </w:rPr>
        <w:t>T</w:t>
      </w:r>
      <w:r>
        <w:rPr>
          <w:rFonts w:ascii="Palatino Linotype" w:eastAsia="Palatino Linotype" w:hAnsi="Palatino Linotype" w:cs="Palatino Linotype"/>
          <w:b/>
          <w:spacing w:val="-1"/>
          <w:sz w:val="24"/>
          <w:szCs w:val="24"/>
        </w:rPr>
        <w:t>H</w:t>
      </w:r>
      <w:r>
        <w:rPr>
          <w:rFonts w:ascii="Palatino Linotype" w:eastAsia="Palatino Linotype" w:hAnsi="Palatino Linotype" w:cs="Palatino Linotype"/>
          <w:b/>
          <w:spacing w:val="1"/>
          <w:sz w:val="24"/>
          <w:szCs w:val="24"/>
        </w:rPr>
        <w:t>E</w:t>
      </w:r>
      <w:r>
        <w:rPr>
          <w:rFonts w:ascii="Palatino Linotype" w:eastAsia="Palatino Linotype" w:hAnsi="Palatino Linotype" w:cs="Palatino Linotype"/>
          <w:b/>
          <w:spacing w:val="-1"/>
          <w:sz w:val="24"/>
          <w:szCs w:val="24"/>
        </w:rPr>
        <w:t>R</w:t>
      </w:r>
      <w:r>
        <w:rPr>
          <w:rFonts w:ascii="Palatino Linotype" w:eastAsia="Palatino Linotype" w:hAnsi="Palatino Linotype" w:cs="Palatino Linotype"/>
          <w:b/>
          <w:sz w:val="24"/>
          <w:szCs w:val="24"/>
        </w:rPr>
        <w:t>FO</w:t>
      </w:r>
      <w:r>
        <w:rPr>
          <w:rFonts w:ascii="Palatino Linotype" w:eastAsia="Palatino Linotype" w:hAnsi="Palatino Linotype" w:cs="Palatino Linotype"/>
          <w:b/>
          <w:spacing w:val="-1"/>
          <w:sz w:val="24"/>
          <w:szCs w:val="24"/>
        </w:rPr>
        <w:t>R</w:t>
      </w:r>
      <w:r>
        <w:rPr>
          <w:rFonts w:ascii="Palatino Linotype" w:eastAsia="Palatino Linotype" w:hAnsi="Palatino Linotype" w:cs="Palatino Linotype"/>
          <w:b/>
          <w:spacing w:val="1"/>
          <w:sz w:val="24"/>
          <w:szCs w:val="24"/>
        </w:rPr>
        <w:t>E</w:t>
      </w:r>
      <w:r>
        <w:rPr>
          <w:rFonts w:ascii="Palatino Linotype" w:eastAsia="Palatino Linotype" w:hAnsi="Palatino Linotype" w:cs="Palatino Linotype"/>
          <w:b/>
          <w:sz w:val="24"/>
          <w:szCs w:val="24"/>
        </w:rPr>
        <w:t>, IT</w:t>
      </w:r>
      <w:r>
        <w:rPr>
          <w:rFonts w:ascii="Palatino Linotype" w:eastAsia="Palatino Linotype" w:hAnsi="Palatino Linotype" w:cs="Palatino Linotype"/>
          <w:b/>
          <w:spacing w:val="1"/>
          <w:sz w:val="24"/>
          <w:szCs w:val="24"/>
        </w:rPr>
        <w:t xml:space="preserve"> </w:t>
      </w:r>
      <w:r>
        <w:rPr>
          <w:rFonts w:ascii="Palatino Linotype" w:eastAsia="Palatino Linotype" w:hAnsi="Palatino Linotype" w:cs="Palatino Linotype"/>
          <w:b/>
          <w:sz w:val="24"/>
          <w:szCs w:val="24"/>
        </w:rPr>
        <w:t xml:space="preserve">IS </w:t>
      </w:r>
      <w:r>
        <w:rPr>
          <w:rFonts w:ascii="Palatino Linotype" w:eastAsia="Palatino Linotype" w:hAnsi="Palatino Linotype" w:cs="Palatino Linotype"/>
          <w:b/>
          <w:spacing w:val="-1"/>
          <w:sz w:val="24"/>
          <w:szCs w:val="24"/>
        </w:rPr>
        <w:t>OR</w:t>
      </w:r>
      <w:r>
        <w:rPr>
          <w:rFonts w:ascii="Palatino Linotype" w:eastAsia="Palatino Linotype" w:hAnsi="Palatino Linotype" w:cs="Palatino Linotype"/>
          <w:b/>
          <w:sz w:val="24"/>
          <w:szCs w:val="24"/>
        </w:rPr>
        <w:t>DE</w:t>
      </w:r>
      <w:r>
        <w:rPr>
          <w:rFonts w:ascii="Palatino Linotype" w:eastAsia="Palatino Linotype" w:hAnsi="Palatino Linotype" w:cs="Palatino Linotype"/>
          <w:b/>
          <w:spacing w:val="-1"/>
          <w:sz w:val="24"/>
          <w:szCs w:val="24"/>
        </w:rPr>
        <w:t>R</w:t>
      </w:r>
      <w:r>
        <w:rPr>
          <w:rFonts w:ascii="Palatino Linotype" w:eastAsia="Palatino Linotype" w:hAnsi="Palatino Linotype" w:cs="Palatino Linotype"/>
          <w:b/>
          <w:spacing w:val="1"/>
          <w:sz w:val="24"/>
          <w:szCs w:val="24"/>
        </w:rPr>
        <w:t>E</w:t>
      </w:r>
      <w:r>
        <w:rPr>
          <w:rFonts w:ascii="Palatino Linotype" w:eastAsia="Palatino Linotype" w:hAnsi="Palatino Linotype" w:cs="Palatino Linotype"/>
          <w:b/>
          <w:sz w:val="24"/>
          <w:szCs w:val="24"/>
        </w:rPr>
        <w:t xml:space="preserve">D </w:t>
      </w:r>
      <w:r>
        <w:rPr>
          <w:rFonts w:ascii="Palatino Linotype" w:eastAsia="Palatino Linotype" w:hAnsi="Palatino Linotype" w:cs="Palatino Linotype"/>
          <w:b/>
          <w:spacing w:val="-1"/>
          <w:sz w:val="24"/>
          <w:szCs w:val="24"/>
        </w:rPr>
        <w:t>t</w:t>
      </w:r>
      <w:r>
        <w:rPr>
          <w:rFonts w:ascii="Palatino Linotype" w:eastAsia="Palatino Linotype" w:hAnsi="Palatino Linotype" w:cs="Palatino Linotype"/>
          <w:b/>
          <w:sz w:val="24"/>
          <w:szCs w:val="24"/>
        </w:rPr>
        <w:t>ha</w:t>
      </w:r>
      <w:r>
        <w:rPr>
          <w:rFonts w:ascii="Palatino Linotype" w:eastAsia="Palatino Linotype" w:hAnsi="Palatino Linotype" w:cs="Palatino Linotype"/>
          <w:b/>
          <w:spacing w:val="-1"/>
          <w:sz w:val="24"/>
          <w:szCs w:val="24"/>
        </w:rPr>
        <w:t>t</w:t>
      </w:r>
      <w:r>
        <w:rPr>
          <w:rFonts w:ascii="Palatino Linotype" w:eastAsia="Palatino Linotype" w:hAnsi="Palatino Linotype" w:cs="Palatino Linotype"/>
          <w:b/>
          <w:sz w:val="24"/>
          <w:szCs w:val="24"/>
        </w:rPr>
        <w:t>:</w:t>
      </w:r>
    </w:p>
    <w:p w:rsidR="00D6611F" w:rsidRDefault="00D6611F">
      <w:pPr>
        <w:spacing w:before="4" w:line="120" w:lineRule="exact"/>
        <w:rPr>
          <w:sz w:val="12"/>
          <w:szCs w:val="12"/>
        </w:rPr>
      </w:pPr>
    </w:p>
    <w:p w:rsidR="00D6611F" w:rsidRDefault="00D6611F">
      <w:pPr>
        <w:spacing w:line="200" w:lineRule="exact"/>
      </w:pPr>
    </w:p>
    <w:p w:rsidR="00243F84" w:rsidRDefault="00F46D1F" w:rsidP="00CE11E5">
      <w:pPr>
        <w:pStyle w:val="ListParagraph"/>
        <w:numPr>
          <w:ilvl w:val="0"/>
          <w:numId w:val="6"/>
        </w:numPr>
        <w:spacing w:after="240"/>
        <w:ind w:left="446" w:right="216"/>
        <w:contextualSpacing w:val="0"/>
      </w:pPr>
      <w:r>
        <w:rPr>
          <w:rFonts w:ascii="Palatino Linotype" w:eastAsia="Palatino Linotype" w:hAnsi="Palatino Linotype" w:cs="Palatino Linotype"/>
          <w:sz w:val="24"/>
          <w:szCs w:val="24"/>
        </w:rPr>
        <w:t>Calaveras</w:t>
      </w:r>
      <w:r w:rsidR="00243F84" w:rsidRPr="00CE11E5">
        <w:rPr>
          <w:rFonts w:ascii="Palatino Linotype" w:eastAsia="Palatino Linotype" w:hAnsi="Palatino Linotype" w:cs="Palatino Linotype"/>
          <w:sz w:val="24"/>
          <w:szCs w:val="24"/>
        </w:rPr>
        <w:t xml:space="preserve"> Telephone Company’s revised adopted revenue requirement for Test Year 2018 </w:t>
      </w:r>
      <w:r w:rsidR="008A032F">
        <w:rPr>
          <w:rFonts w:ascii="Palatino Linotype" w:eastAsia="Palatino Linotype" w:hAnsi="Palatino Linotype" w:cs="Palatino Linotype"/>
          <w:sz w:val="24"/>
          <w:szCs w:val="24"/>
        </w:rPr>
        <w:t>is</w:t>
      </w:r>
      <w:r w:rsidR="00243F84" w:rsidRPr="00CE11E5">
        <w:rPr>
          <w:rFonts w:ascii="Palatino Linotype" w:eastAsia="Palatino Linotype" w:hAnsi="Palatino Linotype" w:cs="Palatino Linotype"/>
          <w:sz w:val="24"/>
          <w:szCs w:val="24"/>
        </w:rPr>
        <w:t xml:space="preserve"> </w:t>
      </w:r>
      <w:r w:rsidR="00EC2A74" w:rsidRPr="00CE11E5">
        <w:rPr>
          <w:rFonts w:ascii="Palatino Linotype" w:eastAsia="Palatino Linotype" w:hAnsi="Palatino Linotype" w:cs="Palatino Linotype"/>
          <w:sz w:val="24"/>
          <w:szCs w:val="24"/>
        </w:rPr>
        <w:t>$</w:t>
      </w:r>
      <w:r w:rsidR="00B00B4E">
        <w:rPr>
          <w:rFonts w:ascii="Palatino Linotype" w:eastAsia="Palatino Linotype" w:hAnsi="Palatino Linotype" w:cs="Palatino Linotype"/>
          <w:sz w:val="24"/>
          <w:szCs w:val="24"/>
        </w:rPr>
        <w:t>6,003,765</w:t>
      </w:r>
      <w:r w:rsidR="00B426D5" w:rsidRPr="00CE11E5">
        <w:rPr>
          <w:rFonts w:ascii="Palatino Linotype" w:eastAsia="Palatino Linotype" w:hAnsi="Palatino Linotype" w:cs="Palatino Linotype"/>
          <w:sz w:val="24"/>
          <w:szCs w:val="24"/>
        </w:rPr>
        <w:t>,</w:t>
      </w:r>
      <w:r w:rsidR="00EC2A74" w:rsidRPr="00CE11E5">
        <w:rPr>
          <w:rFonts w:ascii="Palatino Linotype" w:eastAsia="Palatino Linotype" w:hAnsi="Palatino Linotype" w:cs="Palatino Linotype"/>
          <w:sz w:val="24"/>
          <w:szCs w:val="24"/>
        </w:rPr>
        <w:t xml:space="preserve"> </w:t>
      </w:r>
      <w:r w:rsidR="00BD4CB7">
        <w:rPr>
          <w:rFonts w:ascii="Palatino Linotype" w:eastAsia="Palatino Linotype" w:hAnsi="Palatino Linotype" w:cs="Palatino Linotype"/>
          <w:sz w:val="24"/>
          <w:szCs w:val="24"/>
        </w:rPr>
        <w:t>which is $1</w:t>
      </w:r>
      <w:r w:rsidR="00B00B4E">
        <w:rPr>
          <w:rFonts w:ascii="Palatino Linotype" w:eastAsia="Palatino Linotype" w:hAnsi="Palatino Linotype" w:cs="Palatino Linotype"/>
          <w:sz w:val="24"/>
          <w:szCs w:val="24"/>
        </w:rPr>
        <w:t>96,389</w:t>
      </w:r>
      <w:r w:rsidR="00BD4CB7">
        <w:rPr>
          <w:rFonts w:ascii="Palatino Linotype" w:eastAsia="Palatino Linotype" w:hAnsi="Palatino Linotype" w:cs="Palatino Linotype"/>
          <w:sz w:val="24"/>
          <w:szCs w:val="24"/>
        </w:rPr>
        <w:t xml:space="preserve"> </w:t>
      </w:r>
      <w:r w:rsidR="007C591F">
        <w:rPr>
          <w:rFonts w:ascii="Palatino Linotype" w:eastAsia="Palatino Linotype" w:hAnsi="Palatino Linotype" w:cs="Palatino Linotype"/>
          <w:sz w:val="24"/>
          <w:szCs w:val="24"/>
        </w:rPr>
        <w:t xml:space="preserve">less </w:t>
      </w:r>
      <w:r w:rsidR="00BD4CB7">
        <w:rPr>
          <w:rFonts w:ascii="Palatino Linotype" w:eastAsia="Palatino Linotype" w:hAnsi="Palatino Linotype" w:cs="Palatino Linotype"/>
          <w:sz w:val="24"/>
          <w:szCs w:val="24"/>
        </w:rPr>
        <w:t>than the previously authorized $</w:t>
      </w:r>
      <w:r w:rsidR="00B00B4E">
        <w:rPr>
          <w:rFonts w:ascii="Palatino Linotype" w:eastAsia="Palatino Linotype" w:hAnsi="Palatino Linotype" w:cs="Palatino Linotype"/>
          <w:sz w:val="24"/>
          <w:szCs w:val="24"/>
        </w:rPr>
        <w:t>6,200,154</w:t>
      </w:r>
      <w:r w:rsidR="00BD4CB7">
        <w:rPr>
          <w:rFonts w:ascii="Palatino Linotype" w:eastAsia="Palatino Linotype" w:hAnsi="Palatino Linotype" w:cs="Palatino Linotype"/>
          <w:sz w:val="24"/>
          <w:szCs w:val="24"/>
        </w:rPr>
        <w:t xml:space="preserve">, </w:t>
      </w:r>
      <w:r w:rsidR="00243F84" w:rsidRPr="00CE11E5">
        <w:rPr>
          <w:rFonts w:ascii="Palatino Linotype" w:eastAsia="Palatino Linotype" w:hAnsi="Palatino Linotype" w:cs="Palatino Linotype"/>
          <w:sz w:val="24"/>
          <w:szCs w:val="24"/>
        </w:rPr>
        <w:t xml:space="preserve">as shown in Appendix A </w:t>
      </w:r>
      <w:r w:rsidR="006D5AC7" w:rsidRPr="00CE11E5">
        <w:rPr>
          <w:rFonts w:ascii="Palatino Linotype" w:eastAsia="Palatino Linotype" w:hAnsi="Palatino Linotype" w:cs="Palatino Linotype"/>
          <w:sz w:val="24"/>
          <w:szCs w:val="24"/>
        </w:rPr>
        <w:t xml:space="preserve">of </w:t>
      </w:r>
      <w:r w:rsidR="00243F84" w:rsidRPr="00CE11E5">
        <w:rPr>
          <w:rFonts w:ascii="Palatino Linotype" w:eastAsia="Palatino Linotype" w:hAnsi="Palatino Linotype" w:cs="Palatino Linotype"/>
          <w:sz w:val="24"/>
          <w:szCs w:val="24"/>
        </w:rPr>
        <w:t>this Resolution.</w:t>
      </w:r>
    </w:p>
    <w:p w:rsidR="00CE11E5" w:rsidRDefault="00F46D1F" w:rsidP="004A27B3">
      <w:pPr>
        <w:pStyle w:val="ListParagraph"/>
        <w:numPr>
          <w:ilvl w:val="0"/>
          <w:numId w:val="6"/>
        </w:numPr>
        <w:spacing w:after="240"/>
        <w:ind w:left="460" w:right="212"/>
        <w:contextualSpacing w:val="0"/>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Calaveras</w:t>
      </w:r>
      <w:r w:rsidR="00243F84" w:rsidRPr="00CE11E5">
        <w:rPr>
          <w:rFonts w:ascii="Palatino Linotype" w:eastAsia="Palatino Linotype" w:hAnsi="Palatino Linotype" w:cs="Palatino Linotype"/>
          <w:sz w:val="24"/>
          <w:szCs w:val="24"/>
        </w:rPr>
        <w:t xml:space="preserve"> Telephone Company’s </w:t>
      </w:r>
      <w:r w:rsidR="008A032F">
        <w:rPr>
          <w:rFonts w:ascii="Palatino Linotype" w:eastAsia="Palatino Linotype" w:hAnsi="Palatino Linotype" w:cs="Palatino Linotype"/>
          <w:sz w:val="24"/>
          <w:szCs w:val="24"/>
        </w:rPr>
        <w:t xml:space="preserve">revised </w:t>
      </w:r>
      <w:r w:rsidR="00243F84" w:rsidRPr="00CE11E5">
        <w:rPr>
          <w:rFonts w:ascii="Palatino Linotype" w:eastAsia="Palatino Linotype" w:hAnsi="Palatino Linotype" w:cs="Palatino Linotype"/>
          <w:sz w:val="24"/>
          <w:szCs w:val="24"/>
        </w:rPr>
        <w:t xml:space="preserve">California </w:t>
      </w:r>
      <w:r w:rsidR="0095224C" w:rsidRPr="00CE11E5">
        <w:rPr>
          <w:rFonts w:ascii="Palatino Linotype" w:eastAsia="Palatino Linotype" w:hAnsi="Palatino Linotype" w:cs="Palatino Linotype"/>
          <w:sz w:val="24"/>
          <w:szCs w:val="24"/>
        </w:rPr>
        <w:t>High Cost Fund-</w:t>
      </w:r>
      <w:r w:rsidR="00243F84" w:rsidRPr="00CE11E5">
        <w:rPr>
          <w:rFonts w:ascii="Palatino Linotype" w:eastAsia="Palatino Linotype" w:hAnsi="Palatino Linotype" w:cs="Palatino Linotype"/>
          <w:sz w:val="24"/>
          <w:szCs w:val="24"/>
        </w:rPr>
        <w:t>A support for Test Year 2018</w:t>
      </w:r>
      <w:r w:rsidR="009B23C4" w:rsidRPr="00CE11E5">
        <w:rPr>
          <w:rFonts w:ascii="Palatino Linotype" w:eastAsia="Palatino Linotype" w:hAnsi="Palatino Linotype" w:cs="Palatino Linotype"/>
          <w:sz w:val="24"/>
          <w:szCs w:val="24"/>
        </w:rPr>
        <w:t xml:space="preserve"> </w:t>
      </w:r>
      <w:r w:rsidR="006D6D61">
        <w:rPr>
          <w:rFonts w:ascii="Palatino Linotype" w:eastAsia="Palatino Linotype" w:hAnsi="Palatino Linotype" w:cs="Palatino Linotype"/>
          <w:sz w:val="24"/>
          <w:szCs w:val="24"/>
        </w:rPr>
        <w:t>is</w:t>
      </w:r>
      <w:r w:rsidR="00243F84" w:rsidRPr="00CE11E5">
        <w:rPr>
          <w:rFonts w:ascii="Palatino Linotype" w:eastAsia="Palatino Linotype" w:hAnsi="Palatino Linotype" w:cs="Palatino Linotype"/>
          <w:sz w:val="24"/>
          <w:szCs w:val="24"/>
        </w:rPr>
        <w:t xml:space="preserve"> </w:t>
      </w:r>
      <w:r w:rsidR="00EC2A74" w:rsidRPr="00CE11E5">
        <w:rPr>
          <w:rFonts w:ascii="Palatino Linotype" w:eastAsia="Palatino Linotype" w:hAnsi="Palatino Linotype" w:cs="Palatino Linotype"/>
          <w:sz w:val="24"/>
          <w:szCs w:val="24"/>
        </w:rPr>
        <w:t>$</w:t>
      </w:r>
      <w:r w:rsidR="00CA0466">
        <w:rPr>
          <w:rFonts w:ascii="Palatino Linotype" w:eastAsia="Palatino Linotype" w:hAnsi="Palatino Linotype" w:cs="Palatino Linotype"/>
          <w:sz w:val="24"/>
          <w:szCs w:val="24"/>
        </w:rPr>
        <w:t>2,736,510</w:t>
      </w:r>
      <w:r w:rsidR="00B426D5" w:rsidRPr="00CE11E5">
        <w:rPr>
          <w:rFonts w:ascii="Palatino Linotype" w:eastAsia="Palatino Linotype" w:hAnsi="Palatino Linotype" w:cs="Palatino Linotype"/>
          <w:sz w:val="24"/>
          <w:szCs w:val="24"/>
        </w:rPr>
        <w:t>,</w:t>
      </w:r>
      <w:r w:rsidR="00125C1D" w:rsidRPr="00CE11E5">
        <w:rPr>
          <w:rFonts w:ascii="Palatino Linotype" w:eastAsia="Palatino Linotype" w:hAnsi="Palatino Linotype" w:cs="Palatino Linotype"/>
          <w:sz w:val="24"/>
          <w:szCs w:val="24"/>
        </w:rPr>
        <w:t xml:space="preserve"> </w:t>
      </w:r>
      <w:r w:rsidR="00BD4CB7">
        <w:rPr>
          <w:rFonts w:ascii="Palatino Linotype" w:eastAsia="Palatino Linotype" w:hAnsi="Palatino Linotype" w:cs="Palatino Linotype"/>
          <w:sz w:val="24"/>
          <w:szCs w:val="24"/>
        </w:rPr>
        <w:t xml:space="preserve">which is </w:t>
      </w:r>
      <w:r w:rsidR="007C591F">
        <w:rPr>
          <w:rFonts w:ascii="Palatino Linotype" w:eastAsia="Palatino Linotype" w:hAnsi="Palatino Linotype" w:cs="Palatino Linotype"/>
          <w:sz w:val="24"/>
          <w:szCs w:val="24"/>
        </w:rPr>
        <w:t>$1</w:t>
      </w:r>
      <w:r w:rsidR="00CA0466">
        <w:rPr>
          <w:rFonts w:ascii="Palatino Linotype" w:eastAsia="Palatino Linotype" w:hAnsi="Palatino Linotype" w:cs="Palatino Linotype"/>
          <w:sz w:val="24"/>
          <w:szCs w:val="24"/>
        </w:rPr>
        <w:t>96,389</w:t>
      </w:r>
      <w:r w:rsidR="00BD4CB7">
        <w:rPr>
          <w:rFonts w:ascii="Palatino Linotype" w:eastAsia="Palatino Linotype" w:hAnsi="Palatino Linotype" w:cs="Palatino Linotype"/>
          <w:sz w:val="24"/>
          <w:szCs w:val="24"/>
        </w:rPr>
        <w:t xml:space="preserve"> less than previously authorized $</w:t>
      </w:r>
      <w:r w:rsidR="00316844">
        <w:rPr>
          <w:rFonts w:ascii="Palatino Linotype" w:eastAsia="Palatino Linotype" w:hAnsi="Palatino Linotype" w:cs="Palatino Linotype"/>
          <w:sz w:val="24"/>
          <w:szCs w:val="24"/>
        </w:rPr>
        <w:t>2,932,899</w:t>
      </w:r>
      <w:r w:rsidR="00BD4CB7">
        <w:rPr>
          <w:rFonts w:ascii="Palatino Linotype" w:eastAsia="Palatino Linotype" w:hAnsi="Palatino Linotype" w:cs="Palatino Linotype"/>
          <w:sz w:val="24"/>
          <w:szCs w:val="24"/>
        </w:rPr>
        <w:t xml:space="preserve">, </w:t>
      </w:r>
      <w:r w:rsidR="00AC16D3" w:rsidRPr="00CE11E5">
        <w:rPr>
          <w:rFonts w:ascii="Palatino Linotype" w:eastAsia="Palatino Linotype" w:hAnsi="Palatino Linotype" w:cs="Palatino Linotype"/>
          <w:sz w:val="24"/>
          <w:szCs w:val="24"/>
        </w:rPr>
        <w:t>as shown in Appendix A of this resolution.</w:t>
      </w:r>
    </w:p>
    <w:p w:rsidR="00CE11E5" w:rsidRDefault="00352A79" w:rsidP="006D4D62">
      <w:pPr>
        <w:pStyle w:val="ListParagraph"/>
        <w:numPr>
          <w:ilvl w:val="0"/>
          <w:numId w:val="6"/>
        </w:numPr>
        <w:spacing w:after="240"/>
        <w:ind w:left="460" w:right="212"/>
        <w:contextualSpacing w:val="0"/>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lastRenderedPageBreak/>
        <w:t xml:space="preserve">Staff shall revise </w:t>
      </w:r>
      <w:r w:rsidR="00471D88">
        <w:rPr>
          <w:rFonts w:ascii="Palatino Linotype" w:eastAsia="Palatino Linotype" w:hAnsi="Palatino Linotype" w:cs="Palatino Linotype"/>
          <w:sz w:val="24"/>
          <w:szCs w:val="24"/>
        </w:rPr>
        <w:t xml:space="preserve">the </w:t>
      </w:r>
      <w:r>
        <w:rPr>
          <w:rFonts w:ascii="Palatino Linotype" w:eastAsia="Palatino Linotype" w:hAnsi="Palatino Linotype" w:cs="Palatino Linotype"/>
          <w:sz w:val="24"/>
          <w:szCs w:val="24"/>
        </w:rPr>
        <w:t xml:space="preserve">remaining monthly California High Cost Fund-A support </w:t>
      </w:r>
      <w:r w:rsidR="00471D88">
        <w:rPr>
          <w:rFonts w:ascii="Palatino Linotype" w:eastAsia="Palatino Linotype" w:hAnsi="Palatino Linotype" w:cs="Palatino Linotype"/>
          <w:sz w:val="24"/>
          <w:szCs w:val="24"/>
        </w:rPr>
        <w:t xml:space="preserve">payments to Calaveras Telephone Company </w:t>
      </w:r>
      <w:r>
        <w:rPr>
          <w:rFonts w:ascii="Palatino Linotype" w:eastAsia="Palatino Linotype" w:hAnsi="Palatino Linotype" w:cs="Palatino Linotype"/>
          <w:sz w:val="24"/>
          <w:szCs w:val="24"/>
        </w:rPr>
        <w:t>so that</w:t>
      </w:r>
      <w:r w:rsidR="00471D88">
        <w:rPr>
          <w:rFonts w:ascii="Palatino Linotype" w:eastAsia="Palatino Linotype" w:hAnsi="Palatino Linotype" w:cs="Palatino Linotype"/>
          <w:sz w:val="24"/>
          <w:szCs w:val="24"/>
        </w:rPr>
        <w:t xml:space="preserve"> the</w:t>
      </w:r>
      <w:r>
        <w:rPr>
          <w:rFonts w:ascii="Palatino Linotype" w:eastAsia="Palatino Linotype" w:hAnsi="Palatino Linotype" w:cs="Palatino Linotype"/>
          <w:sz w:val="24"/>
          <w:szCs w:val="24"/>
        </w:rPr>
        <w:t xml:space="preserve"> total 2018 payments equal $</w:t>
      </w:r>
      <w:r w:rsidR="00316844">
        <w:rPr>
          <w:rFonts w:ascii="Palatino Linotype" w:eastAsia="Palatino Linotype" w:hAnsi="Palatino Linotype" w:cs="Palatino Linotype"/>
          <w:sz w:val="24"/>
          <w:szCs w:val="24"/>
        </w:rPr>
        <w:t>2,736,510</w:t>
      </w:r>
      <w:r>
        <w:rPr>
          <w:rFonts w:ascii="Palatino Linotype" w:eastAsia="Palatino Linotype" w:hAnsi="Palatino Linotype" w:cs="Palatino Linotype"/>
          <w:sz w:val="24"/>
          <w:szCs w:val="24"/>
        </w:rPr>
        <w:t>.</w:t>
      </w:r>
    </w:p>
    <w:p w:rsidR="00806E88" w:rsidRDefault="006D6D61" w:rsidP="003F2564">
      <w:pPr>
        <w:pStyle w:val="ListParagraph"/>
        <w:numPr>
          <w:ilvl w:val="0"/>
          <w:numId w:val="6"/>
        </w:numPr>
        <w:spacing w:after="240"/>
        <w:ind w:left="460" w:right="212"/>
        <w:contextualSpacing w:val="0"/>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 xml:space="preserve">Starting January 1, 2018, </w:t>
      </w:r>
      <w:r w:rsidR="00F46D1F">
        <w:rPr>
          <w:rFonts w:ascii="Palatino Linotype" w:eastAsia="Palatino Linotype" w:hAnsi="Palatino Linotype" w:cs="Palatino Linotype"/>
          <w:sz w:val="24"/>
          <w:szCs w:val="24"/>
        </w:rPr>
        <w:t>Calaveras</w:t>
      </w:r>
      <w:r w:rsidR="00B66139" w:rsidRPr="00CE11E5">
        <w:rPr>
          <w:rFonts w:ascii="Palatino Linotype" w:eastAsia="Palatino Linotype" w:hAnsi="Palatino Linotype" w:cs="Palatino Linotype"/>
          <w:sz w:val="24"/>
          <w:szCs w:val="24"/>
        </w:rPr>
        <w:t xml:space="preserve"> Telephone Company shall show </w:t>
      </w:r>
      <w:r w:rsidR="005B0A45" w:rsidRPr="00CE11E5">
        <w:rPr>
          <w:rFonts w:ascii="Palatino Linotype" w:eastAsia="Palatino Linotype" w:hAnsi="Palatino Linotype" w:cs="Palatino Linotype"/>
          <w:sz w:val="24"/>
          <w:szCs w:val="24"/>
        </w:rPr>
        <w:t xml:space="preserve">an </w:t>
      </w:r>
      <w:r w:rsidR="003D1EFB" w:rsidRPr="00CE11E5">
        <w:rPr>
          <w:rFonts w:ascii="Palatino Linotype" w:eastAsia="Palatino Linotype" w:hAnsi="Palatino Linotype" w:cs="Palatino Linotype"/>
          <w:sz w:val="24"/>
          <w:szCs w:val="24"/>
        </w:rPr>
        <w:t xml:space="preserve">amortized </w:t>
      </w:r>
      <w:r w:rsidR="00B66139" w:rsidRPr="00CE11E5">
        <w:rPr>
          <w:rFonts w:ascii="Palatino Linotype" w:eastAsia="Palatino Linotype" w:hAnsi="Palatino Linotype" w:cs="Palatino Linotype"/>
          <w:sz w:val="24"/>
          <w:szCs w:val="24"/>
        </w:rPr>
        <w:t xml:space="preserve">excess deferred </w:t>
      </w:r>
      <w:r w:rsidR="006D5AC7" w:rsidRPr="00CE11E5">
        <w:rPr>
          <w:rFonts w:ascii="Palatino Linotype" w:eastAsia="Palatino Linotype" w:hAnsi="Palatino Linotype" w:cs="Palatino Linotype"/>
          <w:sz w:val="24"/>
          <w:szCs w:val="24"/>
        </w:rPr>
        <w:t xml:space="preserve">income </w:t>
      </w:r>
      <w:r w:rsidR="00B66139" w:rsidRPr="00CE11E5">
        <w:rPr>
          <w:rFonts w:ascii="Palatino Linotype" w:eastAsia="Palatino Linotype" w:hAnsi="Palatino Linotype" w:cs="Palatino Linotype"/>
          <w:sz w:val="24"/>
          <w:szCs w:val="24"/>
        </w:rPr>
        <w:t xml:space="preserve">tax credit of </w:t>
      </w:r>
      <w:r w:rsidR="00EC2A74" w:rsidRPr="00CE11E5">
        <w:rPr>
          <w:rFonts w:ascii="Palatino Linotype" w:eastAsia="Palatino Linotype" w:hAnsi="Palatino Linotype" w:cs="Palatino Linotype"/>
          <w:sz w:val="24"/>
          <w:szCs w:val="24"/>
        </w:rPr>
        <w:t>$</w:t>
      </w:r>
      <w:r w:rsidR="007913A4">
        <w:rPr>
          <w:rFonts w:ascii="Palatino Linotype" w:eastAsia="Palatino Linotype" w:hAnsi="Palatino Linotype" w:cs="Palatino Linotype"/>
          <w:sz w:val="24"/>
          <w:szCs w:val="24"/>
        </w:rPr>
        <w:t>10,507</w:t>
      </w:r>
      <w:r w:rsidR="00EC2A74" w:rsidRPr="00CE11E5">
        <w:rPr>
          <w:rFonts w:ascii="Palatino Linotype" w:eastAsia="Palatino Linotype" w:hAnsi="Palatino Linotype" w:cs="Palatino Linotype"/>
          <w:sz w:val="24"/>
          <w:szCs w:val="24"/>
        </w:rPr>
        <w:t xml:space="preserve"> </w:t>
      </w:r>
      <w:r w:rsidR="006D2E81" w:rsidRPr="00CE11E5">
        <w:rPr>
          <w:rFonts w:ascii="Palatino Linotype" w:eastAsia="Palatino Linotype" w:hAnsi="Palatino Linotype" w:cs="Palatino Linotype"/>
          <w:sz w:val="24"/>
          <w:szCs w:val="24"/>
        </w:rPr>
        <w:t xml:space="preserve">each </w:t>
      </w:r>
      <w:r w:rsidR="00B66139" w:rsidRPr="00CE11E5">
        <w:rPr>
          <w:rFonts w:ascii="Palatino Linotype" w:eastAsia="Palatino Linotype" w:hAnsi="Palatino Linotype" w:cs="Palatino Linotype"/>
          <w:sz w:val="24"/>
          <w:szCs w:val="24"/>
        </w:rPr>
        <w:t xml:space="preserve">year </w:t>
      </w:r>
      <w:r w:rsidR="004C43AB" w:rsidRPr="00CE11E5">
        <w:rPr>
          <w:rFonts w:ascii="Palatino Linotype" w:eastAsia="Palatino Linotype" w:hAnsi="Palatino Linotype" w:cs="Palatino Linotype"/>
          <w:sz w:val="24"/>
          <w:szCs w:val="24"/>
        </w:rPr>
        <w:t xml:space="preserve">as </w:t>
      </w:r>
      <w:r w:rsidR="0071776C" w:rsidRPr="00CE11E5">
        <w:rPr>
          <w:rFonts w:ascii="Palatino Linotype" w:eastAsia="Palatino Linotype" w:hAnsi="Palatino Linotype" w:cs="Palatino Linotype"/>
          <w:sz w:val="24"/>
          <w:szCs w:val="24"/>
        </w:rPr>
        <w:t xml:space="preserve">a </w:t>
      </w:r>
      <w:r w:rsidR="004C43AB" w:rsidRPr="00CE11E5">
        <w:rPr>
          <w:rFonts w:ascii="Palatino Linotype" w:eastAsia="Palatino Linotype" w:hAnsi="Palatino Linotype" w:cs="Palatino Linotype"/>
          <w:sz w:val="24"/>
          <w:szCs w:val="24"/>
        </w:rPr>
        <w:t>line item</w:t>
      </w:r>
      <w:r>
        <w:rPr>
          <w:rFonts w:ascii="Palatino Linotype" w:eastAsia="Palatino Linotype" w:hAnsi="Palatino Linotype" w:cs="Palatino Linotype"/>
          <w:sz w:val="24"/>
          <w:szCs w:val="24"/>
        </w:rPr>
        <w:t xml:space="preserve"> in its results of operations table under the federal income tax item</w:t>
      </w:r>
      <w:r w:rsidR="0071776C" w:rsidRPr="00CE11E5">
        <w:rPr>
          <w:rFonts w:ascii="Palatino Linotype" w:eastAsia="Palatino Linotype" w:hAnsi="Palatino Linotype" w:cs="Palatino Linotype"/>
          <w:sz w:val="24"/>
          <w:szCs w:val="24"/>
        </w:rPr>
        <w:t xml:space="preserve"> </w:t>
      </w:r>
      <w:r w:rsidR="003D1EFB" w:rsidRPr="00CE11E5">
        <w:rPr>
          <w:rFonts w:ascii="Palatino Linotype" w:eastAsia="Palatino Linotype" w:hAnsi="Palatino Linotype" w:cs="Palatino Linotype"/>
          <w:sz w:val="24"/>
          <w:szCs w:val="24"/>
        </w:rPr>
        <w:t xml:space="preserve">for </w:t>
      </w:r>
      <w:r w:rsidR="007913A4">
        <w:rPr>
          <w:rFonts w:ascii="Palatino Linotype" w:eastAsia="Palatino Linotype" w:hAnsi="Palatino Linotype" w:cs="Palatino Linotype"/>
          <w:sz w:val="24"/>
          <w:szCs w:val="24"/>
        </w:rPr>
        <w:t>5.3</w:t>
      </w:r>
      <w:r w:rsidR="00B66139" w:rsidRPr="00CE11E5">
        <w:rPr>
          <w:rFonts w:ascii="Palatino Linotype" w:eastAsia="Palatino Linotype" w:hAnsi="Palatino Linotype" w:cs="Palatino Linotype"/>
          <w:sz w:val="24"/>
          <w:szCs w:val="24"/>
        </w:rPr>
        <w:t xml:space="preserve"> </w:t>
      </w:r>
      <w:r w:rsidR="0071776C" w:rsidRPr="00CE11E5">
        <w:rPr>
          <w:rFonts w:ascii="Palatino Linotype" w:eastAsia="Palatino Linotype" w:hAnsi="Palatino Linotype" w:cs="Palatino Linotype"/>
          <w:sz w:val="24"/>
          <w:szCs w:val="24"/>
        </w:rPr>
        <w:t>years</w:t>
      </w:r>
      <w:r w:rsidR="00B426D5" w:rsidRPr="00CE11E5">
        <w:rPr>
          <w:rFonts w:ascii="Palatino Linotype" w:eastAsia="Palatino Linotype" w:hAnsi="Palatino Linotype" w:cs="Palatino Linotype"/>
          <w:sz w:val="24"/>
          <w:szCs w:val="24"/>
        </w:rPr>
        <w:t>,</w:t>
      </w:r>
      <w:r w:rsidR="00BF2B48" w:rsidRPr="00CE11E5">
        <w:rPr>
          <w:rFonts w:ascii="Palatino Linotype" w:eastAsia="Palatino Linotype" w:hAnsi="Palatino Linotype" w:cs="Palatino Linotype"/>
          <w:sz w:val="24"/>
          <w:szCs w:val="24"/>
        </w:rPr>
        <w:t xml:space="preserve"> until the unamortized balance</w:t>
      </w:r>
      <w:r w:rsidR="006D2E81" w:rsidRPr="00CE11E5">
        <w:rPr>
          <w:rFonts w:ascii="Palatino Linotype" w:eastAsia="Palatino Linotype" w:hAnsi="Palatino Linotype" w:cs="Palatino Linotype"/>
          <w:sz w:val="24"/>
          <w:szCs w:val="24"/>
        </w:rPr>
        <w:t xml:space="preserve"> remain</w:t>
      </w:r>
      <w:r w:rsidR="00EF7891" w:rsidRPr="00CE11E5">
        <w:rPr>
          <w:rFonts w:ascii="Palatino Linotype" w:eastAsia="Palatino Linotype" w:hAnsi="Palatino Linotype" w:cs="Palatino Linotype"/>
          <w:sz w:val="24"/>
          <w:szCs w:val="24"/>
        </w:rPr>
        <w:t>ing as a reduction to rate base</w:t>
      </w:r>
      <w:r w:rsidR="00BF2B48" w:rsidRPr="00CE11E5">
        <w:rPr>
          <w:rFonts w:ascii="Palatino Linotype" w:eastAsia="Palatino Linotype" w:hAnsi="Palatino Linotype" w:cs="Palatino Linotype"/>
          <w:sz w:val="24"/>
          <w:szCs w:val="24"/>
        </w:rPr>
        <w:t xml:space="preserve"> is fully depleted</w:t>
      </w:r>
      <w:r w:rsidR="00D75907" w:rsidRPr="00CE11E5">
        <w:rPr>
          <w:rFonts w:ascii="Palatino Linotype" w:eastAsia="Palatino Linotype" w:hAnsi="Palatino Linotype" w:cs="Palatino Linotype"/>
          <w:sz w:val="24"/>
          <w:szCs w:val="24"/>
        </w:rPr>
        <w:t>.</w:t>
      </w:r>
    </w:p>
    <w:p w:rsidR="000963A8" w:rsidRDefault="000963A8" w:rsidP="003F2564">
      <w:pPr>
        <w:pStyle w:val="ListParagraph"/>
        <w:numPr>
          <w:ilvl w:val="0"/>
          <w:numId w:val="6"/>
        </w:numPr>
        <w:spacing w:after="240"/>
        <w:ind w:left="460" w:right="212"/>
        <w:contextualSpacing w:val="0"/>
        <w:rPr>
          <w:rFonts w:ascii="Palatino Linotype" w:eastAsia="Palatino Linotype" w:hAnsi="Palatino Linotype" w:cs="Palatino Linotype"/>
          <w:sz w:val="24"/>
          <w:szCs w:val="24"/>
        </w:rPr>
      </w:pPr>
      <w:r w:rsidRPr="00CE11E5">
        <w:rPr>
          <w:rFonts w:ascii="Palatino Linotype" w:eastAsia="Palatino Linotype" w:hAnsi="Palatino Linotype" w:cs="Palatino Linotype"/>
          <w:sz w:val="24"/>
          <w:szCs w:val="24"/>
        </w:rPr>
        <w:t xml:space="preserve"> </w:t>
      </w:r>
      <w:r w:rsidR="00F46D1F">
        <w:rPr>
          <w:rFonts w:ascii="Palatino Linotype" w:eastAsia="Palatino Linotype" w:hAnsi="Palatino Linotype" w:cs="Palatino Linotype"/>
          <w:sz w:val="24"/>
          <w:szCs w:val="24"/>
        </w:rPr>
        <w:t>Calaveras</w:t>
      </w:r>
      <w:r w:rsidR="00806E88">
        <w:rPr>
          <w:rFonts w:ascii="Palatino Linotype" w:eastAsia="Palatino Linotype" w:hAnsi="Palatino Linotype" w:cs="Palatino Linotype"/>
          <w:sz w:val="24"/>
          <w:szCs w:val="24"/>
        </w:rPr>
        <w:t xml:space="preserve"> Telephone Company’s deferred tax balance for ratemaking will contain the unamortized balance of excess deferred income tax as a rate base reduction item until the excess deferred balance is fully amortized.</w:t>
      </w:r>
    </w:p>
    <w:p w:rsidR="00B72F46" w:rsidRDefault="00B72F46" w:rsidP="004E2323">
      <w:pPr>
        <w:rPr>
          <w:rFonts w:ascii="Palatino Linotype" w:eastAsia="Palatino Linotype" w:hAnsi="Palatino Linotype" w:cs="Palatino Linotype"/>
          <w:sz w:val="24"/>
          <w:szCs w:val="24"/>
        </w:rPr>
      </w:pPr>
    </w:p>
    <w:p w:rsidR="00B72F46" w:rsidRDefault="00B72F46" w:rsidP="004E2323">
      <w:pPr>
        <w:rPr>
          <w:rFonts w:ascii="Palatino Linotype" w:eastAsia="Palatino Linotype" w:hAnsi="Palatino Linotype" w:cs="Palatino Linotype"/>
          <w:sz w:val="24"/>
          <w:szCs w:val="24"/>
        </w:rPr>
      </w:pPr>
    </w:p>
    <w:p w:rsidR="00D6611F" w:rsidRDefault="00490173" w:rsidP="004E2323">
      <w:pPr>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T</w:t>
      </w:r>
      <w:r>
        <w:rPr>
          <w:rFonts w:ascii="Palatino Linotype" w:eastAsia="Palatino Linotype" w:hAnsi="Palatino Linotype" w:cs="Palatino Linotype"/>
          <w:spacing w:val="1"/>
          <w:sz w:val="24"/>
          <w:szCs w:val="24"/>
        </w:rPr>
        <w:t>h</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z w:val="24"/>
          <w:szCs w:val="24"/>
        </w:rPr>
        <w:t>s</w:t>
      </w:r>
      <w:r>
        <w:rPr>
          <w:rFonts w:ascii="Palatino Linotype" w:eastAsia="Palatino Linotype" w:hAnsi="Palatino Linotype" w:cs="Palatino Linotype"/>
          <w:spacing w:val="-1"/>
          <w:sz w:val="24"/>
          <w:szCs w:val="24"/>
        </w:rPr>
        <w:t xml:space="preserve"> </w:t>
      </w:r>
      <w:r>
        <w:rPr>
          <w:rFonts w:ascii="Palatino Linotype" w:eastAsia="Palatino Linotype" w:hAnsi="Palatino Linotype" w:cs="Palatino Linotype"/>
          <w:sz w:val="24"/>
          <w:szCs w:val="24"/>
        </w:rPr>
        <w:t>Resol</w:t>
      </w:r>
      <w:r>
        <w:rPr>
          <w:rFonts w:ascii="Palatino Linotype" w:eastAsia="Palatino Linotype" w:hAnsi="Palatino Linotype" w:cs="Palatino Linotype"/>
          <w:spacing w:val="-1"/>
          <w:sz w:val="24"/>
          <w:szCs w:val="24"/>
        </w:rPr>
        <w:t>u</w:t>
      </w:r>
      <w:r>
        <w:rPr>
          <w:rFonts w:ascii="Palatino Linotype" w:eastAsia="Palatino Linotype" w:hAnsi="Palatino Linotype" w:cs="Palatino Linotype"/>
          <w:spacing w:val="3"/>
          <w:sz w:val="24"/>
          <w:szCs w:val="24"/>
        </w:rPr>
        <w:t>t</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pacing w:val="1"/>
          <w:sz w:val="24"/>
          <w:szCs w:val="24"/>
        </w:rPr>
        <w:t>o</w:t>
      </w:r>
      <w:r>
        <w:rPr>
          <w:rFonts w:ascii="Palatino Linotype" w:eastAsia="Palatino Linotype" w:hAnsi="Palatino Linotype" w:cs="Palatino Linotype"/>
          <w:sz w:val="24"/>
          <w:szCs w:val="24"/>
        </w:rPr>
        <w:t>n</w:t>
      </w:r>
      <w:r>
        <w:rPr>
          <w:rFonts w:ascii="Palatino Linotype" w:eastAsia="Palatino Linotype" w:hAnsi="Palatino Linotype" w:cs="Palatino Linotype"/>
          <w:spacing w:val="2"/>
          <w:sz w:val="24"/>
          <w:szCs w:val="24"/>
        </w:rPr>
        <w:t xml:space="preserve"> </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z w:val="24"/>
          <w:szCs w:val="24"/>
        </w:rPr>
        <w:t>s</w:t>
      </w:r>
      <w:r>
        <w:rPr>
          <w:rFonts w:ascii="Palatino Linotype" w:eastAsia="Palatino Linotype" w:hAnsi="Palatino Linotype" w:cs="Palatino Linotype"/>
          <w:spacing w:val="-1"/>
          <w:sz w:val="24"/>
          <w:szCs w:val="24"/>
        </w:rPr>
        <w:t xml:space="preserve"> </w:t>
      </w:r>
      <w:r>
        <w:rPr>
          <w:rFonts w:ascii="Palatino Linotype" w:eastAsia="Palatino Linotype" w:hAnsi="Palatino Linotype" w:cs="Palatino Linotype"/>
          <w:sz w:val="24"/>
          <w:szCs w:val="24"/>
        </w:rPr>
        <w:t>e</w:t>
      </w:r>
      <w:r>
        <w:rPr>
          <w:rFonts w:ascii="Palatino Linotype" w:eastAsia="Palatino Linotype" w:hAnsi="Palatino Linotype" w:cs="Palatino Linotype"/>
          <w:spacing w:val="2"/>
          <w:sz w:val="24"/>
          <w:szCs w:val="24"/>
        </w:rPr>
        <w:t>f</w:t>
      </w:r>
      <w:r>
        <w:rPr>
          <w:rFonts w:ascii="Palatino Linotype" w:eastAsia="Palatino Linotype" w:hAnsi="Palatino Linotype" w:cs="Palatino Linotype"/>
          <w:sz w:val="24"/>
          <w:szCs w:val="24"/>
        </w:rPr>
        <w:t>fe</w:t>
      </w:r>
      <w:r>
        <w:rPr>
          <w:rFonts w:ascii="Palatino Linotype" w:eastAsia="Palatino Linotype" w:hAnsi="Palatino Linotype" w:cs="Palatino Linotype"/>
          <w:spacing w:val="1"/>
          <w:sz w:val="24"/>
          <w:szCs w:val="24"/>
        </w:rPr>
        <w:t>ct</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pacing w:val="1"/>
          <w:sz w:val="24"/>
          <w:szCs w:val="24"/>
        </w:rPr>
        <w:t>v</w:t>
      </w:r>
      <w:r>
        <w:rPr>
          <w:rFonts w:ascii="Palatino Linotype" w:eastAsia="Palatino Linotype" w:hAnsi="Palatino Linotype" w:cs="Palatino Linotype"/>
          <w:sz w:val="24"/>
          <w:szCs w:val="24"/>
        </w:rPr>
        <w:t xml:space="preserve">e </w:t>
      </w:r>
      <w:r>
        <w:rPr>
          <w:rFonts w:ascii="Palatino Linotype" w:eastAsia="Palatino Linotype" w:hAnsi="Palatino Linotype" w:cs="Palatino Linotype"/>
          <w:spacing w:val="1"/>
          <w:sz w:val="24"/>
          <w:szCs w:val="24"/>
        </w:rPr>
        <w:t>to</w:t>
      </w:r>
      <w:r>
        <w:rPr>
          <w:rFonts w:ascii="Palatino Linotype" w:eastAsia="Palatino Linotype" w:hAnsi="Palatino Linotype" w:cs="Palatino Linotype"/>
          <w:sz w:val="24"/>
          <w:szCs w:val="24"/>
        </w:rPr>
        <w:t>day.</w:t>
      </w:r>
    </w:p>
    <w:p w:rsidR="00D6611F" w:rsidRDefault="00D6611F">
      <w:pPr>
        <w:spacing w:before="4" w:line="200" w:lineRule="exact"/>
      </w:pPr>
    </w:p>
    <w:p w:rsidR="00D6611F" w:rsidRDefault="00490173" w:rsidP="00601C4E">
      <w:pPr>
        <w:ind w:left="100" w:right="177"/>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 xml:space="preserve">I </w:t>
      </w:r>
      <w:r>
        <w:rPr>
          <w:rFonts w:ascii="Palatino Linotype" w:eastAsia="Palatino Linotype" w:hAnsi="Palatino Linotype" w:cs="Palatino Linotype"/>
          <w:spacing w:val="-1"/>
          <w:sz w:val="24"/>
          <w:szCs w:val="24"/>
        </w:rPr>
        <w:t>c</w:t>
      </w:r>
      <w:r>
        <w:rPr>
          <w:rFonts w:ascii="Palatino Linotype" w:eastAsia="Palatino Linotype" w:hAnsi="Palatino Linotype" w:cs="Palatino Linotype"/>
          <w:sz w:val="24"/>
          <w:szCs w:val="24"/>
        </w:rPr>
        <w:t>e</w:t>
      </w:r>
      <w:r>
        <w:rPr>
          <w:rFonts w:ascii="Palatino Linotype" w:eastAsia="Palatino Linotype" w:hAnsi="Palatino Linotype" w:cs="Palatino Linotype"/>
          <w:spacing w:val="1"/>
          <w:sz w:val="24"/>
          <w:szCs w:val="24"/>
        </w:rPr>
        <w:t>rt</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z w:val="24"/>
          <w:szCs w:val="24"/>
        </w:rPr>
        <w:t xml:space="preserve">fy </w:t>
      </w:r>
      <w:r>
        <w:rPr>
          <w:rFonts w:ascii="Palatino Linotype" w:eastAsia="Palatino Linotype" w:hAnsi="Palatino Linotype" w:cs="Palatino Linotype"/>
          <w:spacing w:val="1"/>
          <w:sz w:val="24"/>
          <w:szCs w:val="24"/>
        </w:rPr>
        <w:t>t</w:t>
      </w:r>
      <w:r>
        <w:rPr>
          <w:rFonts w:ascii="Palatino Linotype" w:eastAsia="Palatino Linotype" w:hAnsi="Palatino Linotype" w:cs="Palatino Linotype"/>
          <w:sz w:val="24"/>
          <w:szCs w:val="24"/>
        </w:rPr>
        <w:t xml:space="preserve">hat </w:t>
      </w:r>
      <w:r>
        <w:rPr>
          <w:rFonts w:ascii="Palatino Linotype" w:eastAsia="Palatino Linotype" w:hAnsi="Palatino Linotype" w:cs="Palatino Linotype"/>
          <w:spacing w:val="1"/>
          <w:sz w:val="24"/>
          <w:szCs w:val="24"/>
        </w:rPr>
        <w:t>t</w:t>
      </w:r>
      <w:r>
        <w:rPr>
          <w:rFonts w:ascii="Palatino Linotype" w:eastAsia="Palatino Linotype" w:hAnsi="Palatino Linotype" w:cs="Palatino Linotype"/>
          <w:sz w:val="24"/>
          <w:szCs w:val="24"/>
        </w:rPr>
        <w:t xml:space="preserve">he </w:t>
      </w:r>
      <w:r>
        <w:rPr>
          <w:rFonts w:ascii="Palatino Linotype" w:eastAsia="Palatino Linotype" w:hAnsi="Palatino Linotype" w:cs="Palatino Linotype"/>
          <w:spacing w:val="-1"/>
          <w:sz w:val="24"/>
          <w:szCs w:val="24"/>
        </w:rPr>
        <w:t>f</w:t>
      </w:r>
      <w:r>
        <w:rPr>
          <w:rFonts w:ascii="Palatino Linotype" w:eastAsia="Palatino Linotype" w:hAnsi="Palatino Linotype" w:cs="Palatino Linotype"/>
          <w:spacing w:val="1"/>
          <w:sz w:val="24"/>
          <w:szCs w:val="24"/>
        </w:rPr>
        <w:t>or</w:t>
      </w:r>
      <w:r>
        <w:rPr>
          <w:rFonts w:ascii="Palatino Linotype" w:eastAsia="Palatino Linotype" w:hAnsi="Palatino Linotype" w:cs="Palatino Linotype"/>
          <w:spacing w:val="-2"/>
          <w:sz w:val="24"/>
          <w:szCs w:val="24"/>
        </w:rPr>
        <w:t>e</w:t>
      </w:r>
      <w:r>
        <w:rPr>
          <w:rFonts w:ascii="Palatino Linotype" w:eastAsia="Palatino Linotype" w:hAnsi="Palatino Linotype" w:cs="Palatino Linotype"/>
          <w:spacing w:val="1"/>
          <w:sz w:val="24"/>
          <w:szCs w:val="24"/>
        </w:rPr>
        <w:t>g</w:t>
      </w:r>
      <w:r>
        <w:rPr>
          <w:rFonts w:ascii="Palatino Linotype" w:eastAsia="Palatino Linotype" w:hAnsi="Palatino Linotype" w:cs="Palatino Linotype"/>
          <w:spacing w:val="-1"/>
          <w:sz w:val="24"/>
          <w:szCs w:val="24"/>
        </w:rPr>
        <w:t>o</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z w:val="24"/>
          <w:szCs w:val="24"/>
        </w:rPr>
        <w:t>ng</w:t>
      </w:r>
      <w:r>
        <w:rPr>
          <w:rFonts w:ascii="Palatino Linotype" w:eastAsia="Palatino Linotype" w:hAnsi="Palatino Linotype" w:cs="Palatino Linotype"/>
          <w:spacing w:val="3"/>
          <w:sz w:val="24"/>
          <w:szCs w:val="24"/>
        </w:rPr>
        <w:t xml:space="preserve"> </w:t>
      </w:r>
      <w:r>
        <w:rPr>
          <w:rFonts w:ascii="Palatino Linotype" w:eastAsia="Palatino Linotype" w:hAnsi="Palatino Linotype" w:cs="Palatino Linotype"/>
          <w:sz w:val="24"/>
          <w:szCs w:val="24"/>
        </w:rPr>
        <w:t>Resol</w:t>
      </w:r>
      <w:r>
        <w:rPr>
          <w:rFonts w:ascii="Palatino Linotype" w:eastAsia="Palatino Linotype" w:hAnsi="Palatino Linotype" w:cs="Palatino Linotype"/>
          <w:spacing w:val="-1"/>
          <w:sz w:val="24"/>
          <w:szCs w:val="24"/>
        </w:rPr>
        <w:t>u</w:t>
      </w:r>
      <w:r>
        <w:rPr>
          <w:rFonts w:ascii="Palatino Linotype" w:eastAsia="Palatino Linotype" w:hAnsi="Palatino Linotype" w:cs="Palatino Linotype"/>
          <w:spacing w:val="3"/>
          <w:sz w:val="24"/>
          <w:szCs w:val="24"/>
        </w:rPr>
        <w:t>t</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pacing w:val="1"/>
          <w:sz w:val="24"/>
          <w:szCs w:val="24"/>
        </w:rPr>
        <w:t>o</w:t>
      </w:r>
      <w:r>
        <w:rPr>
          <w:rFonts w:ascii="Palatino Linotype" w:eastAsia="Palatino Linotype" w:hAnsi="Palatino Linotype" w:cs="Palatino Linotype"/>
          <w:sz w:val="24"/>
          <w:szCs w:val="24"/>
        </w:rPr>
        <w:t xml:space="preserve">n </w:t>
      </w:r>
      <w:r>
        <w:rPr>
          <w:rFonts w:ascii="Palatino Linotype" w:eastAsia="Palatino Linotype" w:hAnsi="Palatino Linotype" w:cs="Palatino Linotype"/>
          <w:spacing w:val="-1"/>
          <w:sz w:val="24"/>
          <w:szCs w:val="24"/>
        </w:rPr>
        <w:t>w</w:t>
      </w:r>
      <w:r>
        <w:rPr>
          <w:rFonts w:ascii="Palatino Linotype" w:eastAsia="Palatino Linotype" w:hAnsi="Palatino Linotype" w:cs="Palatino Linotype"/>
          <w:sz w:val="24"/>
          <w:szCs w:val="24"/>
        </w:rPr>
        <w:t>as</w:t>
      </w:r>
      <w:r>
        <w:rPr>
          <w:rFonts w:ascii="Palatino Linotype" w:eastAsia="Palatino Linotype" w:hAnsi="Palatino Linotype" w:cs="Palatino Linotype"/>
          <w:spacing w:val="-1"/>
          <w:sz w:val="24"/>
          <w:szCs w:val="24"/>
        </w:rPr>
        <w:t xml:space="preserve"> </w:t>
      </w:r>
      <w:r>
        <w:rPr>
          <w:rFonts w:ascii="Palatino Linotype" w:eastAsia="Palatino Linotype" w:hAnsi="Palatino Linotype" w:cs="Palatino Linotype"/>
          <w:spacing w:val="2"/>
          <w:sz w:val="24"/>
          <w:szCs w:val="24"/>
        </w:rPr>
        <w:t>d</w:t>
      </w:r>
      <w:r>
        <w:rPr>
          <w:rFonts w:ascii="Palatino Linotype" w:eastAsia="Palatino Linotype" w:hAnsi="Palatino Linotype" w:cs="Palatino Linotype"/>
          <w:spacing w:val="-1"/>
          <w:sz w:val="24"/>
          <w:szCs w:val="24"/>
        </w:rPr>
        <w:t>u</w:t>
      </w:r>
      <w:r>
        <w:rPr>
          <w:rFonts w:ascii="Palatino Linotype" w:eastAsia="Palatino Linotype" w:hAnsi="Palatino Linotype" w:cs="Palatino Linotype"/>
          <w:spacing w:val="2"/>
          <w:sz w:val="24"/>
          <w:szCs w:val="24"/>
        </w:rPr>
        <w:t>l</w:t>
      </w:r>
      <w:r>
        <w:rPr>
          <w:rFonts w:ascii="Palatino Linotype" w:eastAsia="Palatino Linotype" w:hAnsi="Palatino Linotype" w:cs="Palatino Linotype"/>
          <w:sz w:val="24"/>
          <w:szCs w:val="24"/>
        </w:rPr>
        <w:t>y</w:t>
      </w:r>
      <w:r>
        <w:rPr>
          <w:rFonts w:ascii="Palatino Linotype" w:eastAsia="Palatino Linotype" w:hAnsi="Palatino Linotype" w:cs="Palatino Linotype"/>
          <w:spacing w:val="1"/>
          <w:sz w:val="24"/>
          <w:szCs w:val="24"/>
        </w:rPr>
        <w:t xml:space="preserve"> </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z w:val="24"/>
          <w:szCs w:val="24"/>
        </w:rPr>
        <w:t>nt</w:t>
      </w:r>
      <w:r>
        <w:rPr>
          <w:rFonts w:ascii="Palatino Linotype" w:eastAsia="Palatino Linotype" w:hAnsi="Palatino Linotype" w:cs="Palatino Linotype"/>
          <w:spacing w:val="1"/>
          <w:sz w:val="24"/>
          <w:szCs w:val="24"/>
        </w:rPr>
        <w:t>ro</w:t>
      </w:r>
      <w:r>
        <w:rPr>
          <w:rFonts w:ascii="Palatino Linotype" w:eastAsia="Palatino Linotype" w:hAnsi="Palatino Linotype" w:cs="Palatino Linotype"/>
          <w:sz w:val="24"/>
          <w:szCs w:val="24"/>
        </w:rPr>
        <w:t>d</w:t>
      </w:r>
      <w:r>
        <w:rPr>
          <w:rFonts w:ascii="Palatino Linotype" w:eastAsia="Palatino Linotype" w:hAnsi="Palatino Linotype" w:cs="Palatino Linotype"/>
          <w:spacing w:val="-1"/>
          <w:sz w:val="24"/>
          <w:szCs w:val="24"/>
        </w:rPr>
        <w:t>uc</w:t>
      </w:r>
      <w:r>
        <w:rPr>
          <w:rFonts w:ascii="Palatino Linotype" w:eastAsia="Palatino Linotype" w:hAnsi="Palatino Linotype" w:cs="Palatino Linotype"/>
          <w:sz w:val="24"/>
          <w:szCs w:val="24"/>
        </w:rPr>
        <w:t>ed, pa</w:t>
      </w:r>
      <w:r>
        <w:rPr>
          <w:rFonts w:ascii="Palatino Linotype" w:eastAsia="Palatino Linotype" w:hAnsi="Palatino Linotype" w:cs="Palatino Linotype"/>
          <w:spacing w:val="-1"/>
          <w:sz w:val="24"/>
          <w:szCs w:val="24"/>
        </w:rPr>
        <w:t>ss</w:t>
      </w:r>
      <w:r>
        <w:rPr>
          <w:rFonts w:ascii="Palatino Linotype" w:eastAsia="Palatino Linotype" w:hAnsi="Palatino Linotype" w:cs="Palatino Linotype"/>
          <w:sz w:val="24"/>
          <w:szCs w:val="24"/>
        </w:rPr>
        <w:t xml:space="preserve">ed, </w:t>
      </w:r>
      <w:r>
        <w:rPr>
          <w:rFonts w:ascii="Palatino Linotype" w:eastAsia="Palatino Linotype" w:hAnsi="Palatino Linotype" w:cs="Palatino Linotype"/>
          <w:spacing w:val="2"/>
          <w:sz w:val="24"/>
          <w:szCs w:val="24"/>
        </w:rPr>
        <w:t>a</w:t>
      </w:r>
      <w:r>
        <w:rPr>
          <w:rFonts w:ascii="Palatino Linotype" w:eastAsia="Palatino Linotype" w:hAnsi="Palatino Linotype" w:cs="Palatino Linotype"/>
          <w:sz w:val="24"/>
          <w:szCs w:val="24"/>
        </w:rPr>
        <w:t>nd</w:t>
      </w:r>
      <w:r>
        <w:rPr>
          <w:rFonts w:ascii="Palatino Linotype" w:eastAsia="Palatino Linotype" w:hAnsi="Palatino Linotype" w:cs="Palatino Linotype"/>
          <w:spacing w:val="-1"/>
          <w:sz w:val="24"/>
          <w:szCs w:val="24"/>
        </w:rPr>
        <w:t xml:space="preserve"> </w:t>
      </w:r>
      <w:r>
        <w:rPr>
          <w:rFonts w:ascii="Palatino Linotype" w:eastAsia="Palatino Linotype" w:hAnsi="Palatino Linotype" w:cs="Palatino Linotype"/>
          <w:sz w:val="24"/>
          <w:szCs w:val="24"/>
        </w:rPr>
        <w:t>adop</w:t>
      </w:r>
      <w:r>
        <w:rPr>
          <w:rFonts w:ascii="Palatino Linotype" w:eastAsia="Palatino Linotype" w:hAnsi="Palatino Linotype" w:cs="Palatino Linotype"/>
          <w:spacing w:val="1"/>
          <w:sz w:val="24"/>
          <w:szCs w:val="24"/>
        </w:rPr>
        <w:t>t</w:t>
      </w:r>
      <w:r>
        <w:rPr>
          <w:rFonts w:ascii="Palatino Linotype" w:eastAsia="Palatino Linotype" w:hAnsi="Palatino Linotype" w:cs="Palatino Linotype"/>
          <w:sz w:val="24"/>
          <w:szCs w:val="24"/>
        </w:rPr>
        <w:t>ed at</w:t>
      </w:r>
      <w:r>
        <w:rPr>
          <w:rFonts w:ascii="Palatino Linotype" w:eastAsia="Palatino Linotype" w:hAnsi="Palatino Linotype" w:cs="Palatino Linotype"/>
          <w:spacing w:val="1"/>
          <w:sz w:val="24"/>
          <w:szCs w:val="24"/>
        </w:rPr>
        <w:t xml:space="preserve"> </w:t>
      </w:r>
      <w:r>
        <w:rPr>
          <w:rFonts w:ascii="Palatino Linotype" w:eastAsia="Palatino Linotype" w:hAnsi="Palatino Linotype" w:cs="Palatino Linotype"/>
          <w:sz w:val="24"/>
          <w:szCs w:val="24"/>
        </w:rPr>
        <w:t xml:space="preserve">a </w:t>
      </w:r>
      <w:r>
        <w:rPr>
          <w:rFonts w:ascii="Palatino Linotype" w:eastAsia="Palatino Linotype" w:hAnsi="Palatino Linotype" w:cs="Palatino Linotype"/>
          <w:spacing w:val="-1"/>
          <w:sz w:val="24"/>
          <w:szCs w:val="24"/>
        </w:rPr>
        <w:t>c</w:t>
      </w:r>
      <w:r>
        <w:rPr>
          <w:rFonts w:ascii="Palatino Linotype" w:eastAsia="Palatino Linotype" w:hAnsi="Palatino Linotype" w:cs="Palatino Linotype"/>
          <w:spacing w:val="1"/>
          <w:sz w:val="24"/>
          <w:szCs w:val="24"/>
        </w:rPr>
        <w:t>o</w:t>
      </w:r>
      <w:r>
        <w:rPr>
          <w:rFonts w:ascii="Palatino Linotype" w:eastAsia="Palatino Linotype" w:hAnsi="Palatino Linotype" w:cs="Palatino Linotype"/>
          <w:sz w:val="24"/>
          <w:szCs w:val="24"/>
        </w:rPr>
        <w:t>n</w:t>
      </w:r>
      <w:r>
        <w:rPr>
          <w:rFonts w:ascii="Palatino Linotype" w:eastAsia="Palatino Linotype" w:hAnsi="Palatino Linotype" w:cs="Palatino Linotype"/>
          <w:spacing w:val="-1"/>
          <w:sz w:val="24"/>
          <w:szCs w:val="24"/>
        </w:rPr>
        <w:t>f</w:t>
      </w:r>
      <w:r>
        <w:rPr>
          <w:rFonts w:ascii="Palatino Linotype" w:eastAsia="Palatino Linotype" w:hAnsi="Palatino Linotype" w:cs="Palatino Linotype"/>
          <w:sz w:val="24"/>
          <w:szCs w:val="24"/>
        </w:rPr>
        <w:t>e</w:t>
      </w:r>
      <w:r>
        <w:rPr>
          <w:rFonts w:ascii="Palatino Linotype" w:eastAsia="Palatino Linotype" w:hAnsi="Palatino Linotype" w:cs="Palatino Linotype"/>
          <w:spacing w:val="1"/>
          <w:sz w:val="24"/>
          <w:szCs w:val="24"/>
        </w:rPr>
        <w:t>r</w:t>
      </w:r>
      <w:r>
        <w:rPr>
          <w:rFonts w:ascii="Palatino Linotype" w:eastAsia="Palatino Linotype" w:hAnsi="Palatino Linotype" w:cs="Palatino Linotype"/>
          <w:sz w:val="24"/>
          <w:szCs w:val="24"/>
        </w:rPr>
        <w:t>en</w:t>
      </w:r>
      <w:r>
        <w:rPr>
          <w:rFonts w:ascii="Palatino Linotype" w:eastAsia="Palatino Linotype" w:hAnsi="Palatino Linotype" w:cs="Palatino Linotype"/>
          <w:spacing w:val="-1"/>
          <w:sz w:val="24"/>
          <w:szCs w:val="24"/>
        </w:rPr>
        <w:t>c</w:t>
      </w:r>
      <w:r>
        <w:rPr>
          <w:rFonts w:ascii="Palatino Linotype" w:eastAsia="Palatino Linotype" w:hAnsi="Palatino Linotype" w:cs="Palatino Linotype"/>
          <w:sz w:val="24"/>
          <w:szCs w:val="24"/>
        </w:rPr>
        <w:t xml:space="preserve">e </w:t>
      </w:r>
      <w:r>
        <w:rPr>
          <w:rFonts w:ascii="Palatino Linotype" w:eastAsia="Palatino Linotype" w:hAnsi="Palatino Linotype" w:cs="Palatino Linotype"/>
          <w:spacing w:val="1"/>
          <w:sz w:val="24"/>
          <w:szCs w:val="24"/>
        </w:rPr>
        <w:t>o</w:t>
      </w:r>
      <w:r>
        <w:rPr>
          <w:rFonts w:ascii="Palatino Linotype" w:eastAsia="Palatino Linotype" w:hAnsi="Palatino Linotype" w:cs="Palatino Linotype"/>
          <w:sz w:val="24"/>
          <w:szCs w:val="24"/>
        </w:rPr>
        <w:t xml:space="preserve">f the </w:t>
      </w:r>
      <w:r>
        <w:rPr>
          <w:rFonts w:ascii="Palatino Linotype" w:eastAsia="Palatino Linotype" w:hAnsi="Palatino Linotype" w:cs="Palatino Linotype"/>
          <w:spacing w:val="-1"/>
          <w:sz w:val="24"/>
          <w:szCs w:val="24"/>
        </w:rPr>
        <w:t>P</w:t>
      </w:r>
      <w:r>
        <w:rPr>
          <w:rFonts w:ascii="Palatino Linotype" w:eastAsia="Palatino Linotype" w:hAnsi="Palatino Linotype" w:cs="Palatino Linotype"/>
          <w:sz w:val="24"/>
          <w:szCs w:val="24"/>
        </w:rPr>
        <w:t>ub</w:t>
      </w:r>
      <w:r>
        <w:rPr>
          <w:rFonts w:ascii="Palatino Linotype" w:eastAsia="Palatino Linotype" w:hAnsi="Palatino Linotype" w:cs="Palatino Linotype"/>
          <w:spacing w:val="1"/>
          <w:sz w:val="24"/>
          <w:szCs w:val="24"/>
        </w:rPr>
        <w:t>l</w:t>
      </w:r>
      <w:r>
        <w:rPr>
          <w:rFonts w:ascii="Palatino Linotype" w:eastAsia="Palatino Linotype" w:hAnsi="Palatino Linotype" w:cs="Palatino Linotype"/>
          <w:sz w:val="24"/>
          <w:szCs w:val="24"/>
        </w:rPr>
        <w:t>ic</w:t>
      </w:r>
      <w:r>
        <w:rPr>
          <w:rFonts w:ascii="Palatino Linotype" w:eastAsia="Palatino Linotype" w:hAnsi="Palatino Linotype" w:cs="Palatino Linotype"/>
          <w:spacing w:val="-1"/>
          <w:sz w:val="24"/>
          <w:szCs w:val="24"/>
        </w:rPr>
        <w:t xml:space="preserve"> </w:t>
      </w:r>
      <w:r>
        <w:rPr>
          <w:rFonts w:ascii="Palatino Linotype" w:eastAsia="Palatino Linotype" w:hAnsi="Palatino Linotype" w:cs="Palatino Linotype"/>
          <w:sz w:val="24"/>
          <w:szCs w:val="24"/>
        </w:rPr>
        <w:t>U</w:t>
      </w:r>
      <w:r>
        <w:rPr>
          <w:rFonts w:ascii="Palatino Linotype" w:eastAsia="Palatino Linotype" w:hAnsi="Palatino Linotype" w:cs="Palatino Linotype"/>
          <w:spacing w:val="1"/>
          <w:sz w:val="24"/>
          <w:szCs w:val="24"/>
        </w:rPr>
        <w:t>t</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pacing w:val="2"/>
          <w:sz w:val="24"/>
          <w:szCs w:val="24"/>
        </w:rPr>
        <w:t>l</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pacing w:val="3"/>
          <w:sz w:val="24"/>
          <w:szCs w:val="24"/>
        </w:rPr>
        <w:t>t</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z w:val="24"/>
          <w:szCs w:val="24"/>
        </w:rPr>
        <w:t>es Com</w:t>
      </w:r>
      <w:r>
        <w:rPr>
          <w:rFonts w:ascii="Palatino Linotype" w:eastAsia="Palatino Linotype" w:hAnsi="Palatino Linotype" w:cs="Palatino Linotype"/>
          <w:spacing w:val="1"/>
          <w:sz w:val="24"/>
          <w:szCs w:val="24"/>
        </w:rPr>
        <w:t>m</w:t>
      </w:r>
      <w:r>
        <w:rPr>
          <w:rFonts w:ascii="Palatino Linotype" w:eastAsia="Palatino Linotype" w:hAnsi="Palatino Linotype" w:cs="Palatino Linotype"/>
          <w:sz w:val="24"/>
          <w:szCs w:val="24"/>
        </w:rPr>
        <w:t>i</w:t>
      </w:r>
      <w:r>
        <w:rPr>
          <w:rFonts w:ascii="Palatino Linotype" w:eastAsia="Palatino Linotype" w:hAnsi="Palatino Linotype" w:cs="Palatino Linotype"/>
          <w:spacing w:val="-1"/>
          <w:sz w:val="24"/>
          <w:szCs w:val="24"/>
        </w:rPr>
        <w:t>s</w:t>
      </w:r>
      <w:r>
        <w:rPr>
          <w:rFonts w:ascii="Palatino Linotype" w:eastAsia="Palatino Linotype" w:hAnsi="Palatino Linotype" w:cs="Palatino Linotype"/>
          <w:spacing w:val="1"/>
          <w:sz w:val="24"/>
          <w:szCs w:val="24"/>
        </w:rPr>
        <w:t>s</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pacing w:val="1"/>
          <w:sz w:val="24"/>
          <w:szCs w:val="24"/>
        </w:rPr>
        <w:t>o</w:t>
      </w:r>
      <w:r>
        <w:rPr>
          <w:rFonts w:ascii="Palatino Linotype" w:eastAsia="Palatino Linotype" w:hAnsi="Palatino Linotype" w:cs="Palatino Linotype"/>
          <w:sz w:val="24"/>
          <w:szCs w:val="24"/>
        </w:rPr>
        <w:t>n</w:t>
      </w:r>
      <w:r>
        <w:rPr>
          <w:rFonts w:ascii="Palatino Linotype" w:eastAsia="Palatino Linotype" w:hAnsi="Palatino Linotype" w:cs="Palatino Linotype"/>
          <w:spacing w:val="2"/>
          <w:sz w:val="24"/>
          <w:szCs w:val="24"/>
        </w:rPr>
        <w:t xml:space="preserve"> </w:t>
      </w:r>
      <w:r>
        <w:rPr>
          <w:rFonts w:ascii="Palatino Linotype" w:eastAsia="Palatino Linotype" w:hAnsi="Palatino Linotype" w:cs="Palatino Linotype"/>
          <w:spacing w:val="1"/>
          <w:sz w:val="24"/>
          <w:szCs w:val="24"/>
        </w:rPr>
        <w:t>o</w:t>
      </w:r>
      <w:r>
        <w:rPr>
          <w:rFonts w:ascii="Palatino Linotype" w:eastAsia="Palatino Linotype" w:hAnsi="Palatino Linotype" w:cs="Palatino Linotype"/>
          <w:sz w:val="24"/>
          <w:szCs w:val="24"/>
        </w:rPr>
        <w:t xml:space="preserve">f the </w:t>
      </w:r>
      <w:r>
        <w:rPr>
          <w:rFonts w:ascii="Palatino Linotype" w:eastAsia="Palatino Linotype" w:hAnsi="Palatino Linotype" w:cs="Palatino Linotype"/>
          <w:spacing w:val="1"/>
          <w:sz w:val="24"/>
          <w:szCs w:val="24"/>
        </w:rPr>
        <w:t>St</w:t>
      </w:r>
      <w:r>
        <w:rPr>
          <w:rFonts w:ascii="Palatino Linotype" w:eastAsia="Palatino Linotype" w:hAnsi="Palatino Linotype" w:cs="Palatino Linotype"/>
          <w:spacing w:val="-2"/>
          <w:sz w:val="24"/>
          <w:szCs w:val="24"/>
        </w:rPr>
        <w:t>a</w:t>
      </w:r>
      <w:r>
        <w:rPr>
          <w:rFonts w:ascii="Palatino Linotype" w:eastAsia="Palatino Linotype" w:hAnsi="Palatino Linotype" w:cs="Palatino Linotype"/>
          <w:spacing w:val="1"/>
          <w:sz w:val="24"/>
          <w:szCs w:val="24"/>
        </w:rPr>
        <w:t>t</w:t>
      </w:r>
      <w:r>
        <w:rPr>
          <w:rFonts w:ascii="Palatino Linotype" w:eastAsia="Palatino Linotype" w:hAnsi="Palatino Linotype" w:cs="Palatino Linotype"/>
          <w:sz w:val="24"/>
          <w:szCs w:val="24"/>
        </w:rPr>
        <w:t xml:space="preserve">e </w:t>
      </w:r>
      <w:r>
        <w:rPr>
          <w:rFonts w:ascii="Palatino Linotype" w:eastAsia="Palatino Linotype" w:hAnsi="Palatino Linotype" w:cs="Palatino Linotype"/>
          <w:spacing w:val="1"/>
          <w:sz w:val="24"/>
          <w:szCs w:val="24"/>
        </w:rPr>
        <w:t>o</w:t>
      </w:r>
      <w:r>
        <w:rPr>
          <w:rFonts w:ascii="Palatino Linotype" w:eastAsia="Palatino Linotype" w:hAnsi="Palatino Linotype" w:cs="Palatino Linotype"/>
          <w:sz w:val="24"/>
          <w:szCs w:val="24"/>
        </w:rPr>
        <w:t>f Ca</w:t>
      </w:r>
      <w:r>
        <w:rPr>
          <w:rFonts w:ascii="Palatino Linotype" w:eastAsia="Palatino Linotype" w:hAnsi="Palatino Linotype" w:cs="Palatino Linotype"/>
          <w:spacing w:val="-1"/>
          <w:sz w:val="24"/>
          <w:szCs w:val="24"/>
        </w:rPr>
        <w:t>l</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z w:val="24"/>
          <w:szCs w:val="24"/>
        </w:rPr>
        <w:t>fo</w:t>
      </w:r>
      <w:r>
        <w:rPr>
          <w:rFonts w:ascii="Palatino Linotype" w:eastAsia="Palatino Linotype" w:hAnsi="Palatino Linotype" w:cs="Palatino Linotype"/>
          <w:spacing w:val="1"/>
          <w:sz w:val="24"/>
          <w:szCs w:val="24"/>
        </w:rPr>
        <w:t>r</w:t>
      </w:r>
      <w:r>
        <w:rPr>
          <w:rFonts w:ascii="Palatino Linotype" w:eastAsia="Palatino Linotype" w:hAnsi="Palatino Linotype" w:cs="Palatino Linotype"/>
          <w:sz w:val="24"/>
          <w:szCs w:val="24"/>
        </w:rPr>
        <w:t>n</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z w:val="24"/>
          <w:szCs w:val="24"/>
        </w:rPr>
        <w:t>a held</w:t>
      </w:r>
      <w:r>
        <w:rPr>
          <w:rFonts w:ascii="Palatino Linotype" w:eastAsia="Palatino Linotype" w:hAnsi="Palatino Linotype" w:cs="Palatino Linotype"/>
          <w:spacing w:val="-1"/>
          <w:sz w:val="24"/>
          <w:szCs w:val="24"/>
        </w:rPr>
        <w:t xml:space="preserve"> </w:t>
      </w:r>
      <w:r>
        <w:rPr>
          <w:rFonts w:ascii="Palatino Linotype" w:eastAsia="Palatino Linotype" w:hAnsi="Palatino Linotype" w:cs="Palatino Linotype"/>
          <w:spacing w:val="1"/>
          <w:sz w:val="24"/>
          <w:szCs w:val="24"/>
        </w:rPr>
        <w:t>o</w:t>
      </w:r>
      <w:r>
        <w:rPr>
          <w:rFonts w:ascii="Palatino Linotype" w:eastAsia="Palatino Linotype" w:hAnsi="Palatino Linotype" w:cs="Palatino Linotype"/>
          <w:sz w:val="24"/>
          <w:szCs w:val="24"/>
        </w:rPr>
        <w:t>n</w:t>
      </w:r>
      <w:r>
        <w:rPr>
          <w:rFonts w:ascii="Palatino Linotype" w:eastAsia="Palatino Linotype" w:hAnsi="Palatino Linotype" w:cs="Palatino Linotype"/>
          <w:spacing w:val="5"/>
          <w:sz w:val="24"/>
          <w:szCs w:val="24"/>
        </w:rPr>
        <w:t xml:space="preserve"> </w:t>
      </w:r>
      <w:r w:rsidR="00233256">
        <w:rPr>
          <w:rFonts w:ascii="Palatino Linotype" w:eastAsia="Palatino Linotype" w:hAnsi="Palatino Linotype" w:cs="Palatino Linotype"/>
          <w:spacing w:val="5"/>
          <w:sz w:val="24"/>
          <w:szCs w:val="24"/>
        </w:rPr>
        <w:t xml:space="preserve">August </w:t>
      </w:r>
      <w:r w:rsidR="00833106">
        <w:rPr>
          <w:rFonts w:ascii="Palatino Linotype" w:eastAsia="Palatino Linotype" w:hAnsi="Palatino Linotype" w:cs="Palatino Linotype"/>
          <w:spacing w:val="5"/>
          <w:sz w:val="24"/>
          <w:szCs w:val="24"/>
        </w:rPr>
        <w:t>23</w:t>
      </w:r>
      <w:r w:rsidR="009B23C4">
        <w:rPr>
          <w:rFonts w:ascii="Palatino Linotype" w:eastAsia="Palatino Linotype" w:hAnsi="Palatino Linotype" w:cs="Palatino Linotype"/>
          <w:spacing w:val="5"/>
          <w:sz w:val="24"/>
          <w:szCs w:val="24"/>
        </w:rPr>
        <w:t>, 2</w:t>
      </w:r>
      <w:r w:rsidR="00601C4E" w:rsidRPr="00695571">
        <w:rPr>
          <w:rFonts w:ascii="Palatino Linotype" w:eastAsia="Palatino Linotype" w:hAnsi="Palatino Linotype" w:cs="Palatino Linotype"/>
          <w:spacing w:val="5"/>
          <w:sz w:val="24"/>
          <w:szCs w:val="24"/>
        </w:rPr>
        <w:t>018</w:t>
      </w:r>
      <w:r w:rsidRPr="00695571">
        <w:rPr>
          <w:rFonts w:ascii="Palatino Linotype" w:eastAsia="Palatino Linotype" w:hAnsi="Palatino Linotype" w:cs="Palatino Linotype"/>
          <w:sz w:val="24"/>
          <w:szCs w:val="24"/>
        </w:rPr>
        <w:t xml:space="preserve">, </w:t>
      </w:r>
      <w:r>
        <w:rPr>
          <w:rFonts w:ascii="Palatino Linotype" w:eastAsia="Palatino Linotype" w:hAnsi="Palatino Linotype" w:cs="Palatino Linotype"/>
          <w:spacing w:val="1"/>
          <w:sz w:val="24"/>
          <w:szCs w:val="24"/>
        </w:rPr>
        <w:t>t</w:t>
      </w:r>
      <w:r>
        <w:rPr>
          <w:rFonts w:ascii="Palatino Linotype" w:eastAsia="Palatino Linotype" w:hAnsi="Palatino Linotype" w:cs="Palatino Linotype"/>
          <w:sz w:val="24"/>
          <w:szCs w:val="24"/>
        </w:rPr>
        <w:t xml:space="preserve">he </w:t>
      </w:r>
      <w:r>
        <w:rPr>
          <w:rFonts w:ascii="Palatino Linotype" w:eastAsia="Palatino Linotype" w:hAnsi="Palatino Linotype" w:cs="Palatino Linotype"/>
          <w:spacing w:val="-1"/>
          <w:sz w:val="24"/>
          <w:szCs w:val="24"/>
        </w:rPr>
        <w:t>f</w:t>
      </w:r>
      <w:r>
        <w:rPr>
          <w:rFonts w:ascii="Palatino Linotype" w:eastAsia="Palatino Linotype" w:hAnsi="Palatino Linotype" w:cs="Palatino Linotype"/>
          <w:spacing w:val="1"/>
          <w:sz w:val="24"/>
          <w:szCs w:val="24"/>
        </w:rPr>
        <w:t>o</w:t>
      </w:r>
      <w:r>
        <w:rPr>
          <w:rFonts w:ascii="Palatino Linotype" w:eastAsia="Palatino Linotype" w:hAnsi="Palatino Linotype" w:cs="Palatino Linotype"/>
          <w:sz w:val="24"/>
          <w:szCs w:val="24"/>
        </w:rPr>
        <w:t>llow</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z w:val="24"/>
          <w:szCs w:val="24"/>
        </w:rPr>
        <w:t>ng C</w:t>
      </w:r>
      <w:r>
        <w:rPr>
          <w:rFonts w:ascii="Palatino Linotype" w:eastAsia="Palatino Linotype" w:hAnsi="Palatino Linotype" w:cs="Palatino Linotype"/>
          <w:spacing w:val="1"/>
          <w:sz w:val="24"/>
          <w:szCs w:val="24"/>
        </w:rPr>
        <w:t>o</w:t>
      </w:r>
      <w:r>
        <w:rPr>
          <w:rFonts w:ascii="Palatino Linotype" w:eastAsia="Palatino Linotype" w:hAnsi="Palatino Linotype" w:cs="Palatino Linotype"/>
          <w:sz w:val="24"/>
          <w:szCs w:val="24"/>
        </w:rPr>
        <w:t>m</w:t>
      </w:r>
      <w:r>
        <w:rPr>
          <w:rFonts w:ascii="Palatino Linotype" w:eastAsia="Palatino Linotype" w:hAnsi="Palatino Linotype" w:cs="Palatino Linotype"/>
          <w:spacing w:val="1"/>
          <w:sz w:val="24"/>
          <w:szCs w:val="24"/>
        </w:rPr>
        <w:t>m</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pacing w:val="-1"/>
          <w:sz w:val="24"/>
          <w:szCs w:val="24"/>
        </w:rPr>
        <w:t>s</w:t>
      </w:r>
      <w:r>
        <w:rPr>
          <w:rFonts w:ascii="Palatino Linotype" w:eastAsia="Palatino Linotype" w:hAnsi="Palatino Linotype" w:cs="Palatino Linotype"/>
          <w:spacing w:val="1"/>
          <w:sz w:val="24"/>
          <w:szCs w:val="24"/>
        </w:rPr>
        <w:t>s</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pacing w:val="1"/>
          <w:sz w:val="24"/>
          <w:szCs w:val="24"/>
        </w:rPr>
        <w:t>o</w:t>
      </w:r>
      <w:r>
        <w:rPr>
          <w:rFonts w:ascii="Palatino Linotype" w:eastAsia="Palatino Linotype" w:hAnsi="Palatino Linotype" w:cs="Palatino Linotype"/>
          <w:sz w:val="24"/>
          <w:szCs w:val="24"/>
        </w:rPr>
        <w:t>ne</w:t>
      </w:r>
      <w:r>
        <w:rPr>
          <w:rFonts w:ascii="Palatino Linotype" w:eastAsia="Palatino Linotype" w:hAnsi="Palatino Linotype" w:cs="Palatino Linotype"/>
          <w:spacing w:val="1"/>
          <w:sz w:val="24"/>
          <w:szCs w:val="24"/>
        </w:rPr>
        <w:t>r</w:t>
      </w:r>
      <w:r>
        <w:rPr>
          <w:rFonts w:ascii="Palatino Linotype" w:eastAsia="Palatino Linotype" w:hAnsi="Palatino Linotype" w:cs="Palatino Linotype"/>
          <w:sz w:val="24"/>
          <w:szCs w:val="24"/>
        </w:rPr>
        <w:t>s</w:t>
      </w:r>
      <w:r>
        <w:rPr>
          <w:rFonts w:ascii="Palatino Linotype" w:eastAsia="Palatino Linotype" w:hAnsi="Palatino Linotype" w:cs="Palatino Linotype"/>
          <w:spacing w:val="-1"/>
          <w:sz w:val="24"/>
          <w:szCs w:val="24"/>
        </w:rPr>
        <w:t xml:space="preserve"> </w:t>
      </w:r>
      <w:r>
        <w:rPr>
          <w:rFonts w:ascii="Palatino Linotype" w:eastAsia="Palatino Linotype" w:hAnsi="Palatino Linotype" w:cs="Palatino Linotype"/>
          <w:spacing w:val="1"/>
          <w:sz w:val="24"/>
          <w:szCs w:val="24"/>
        </w:rPr>
        <w:t>vot</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z w:val="24"/>
          <w:szCs w:val="24"/>
        </w:rPr>
        <w:t>ng f</w:t>
      </w:r>
      <w:r>
        <w:rPr>
          <w:rFonts w:ascii="Palatino Linotype" w:eastAsia="Palatino Linotype" w:hAnsi="Palatino Linotype" w:cs="Palatino Linotype"/>
          <w:spacing w:val="2"/>
          <w:sz w:val="24"/>
          <w:szCs w:val="24"/>
        </w:rPr>
        <w:t>a</w:t>
      </w:r>
      <w:r>
        <w:rPr>
          <w:rFonts w:ascii="Palatino Linotype" w:eastAsia="Palatino Linotype" w:hAnsi="Palatino Linotype" w:cs="Palatino Linotype"/>
          <w:spacing w:val="1"/>
          <w:sz w:val="24"/>
          <w:szCs w:val="24"/>
        </w:rPr>
        <w:t>vor</w:t>
      </w:r>
      <w:r>
        <w:rPr>
          <w:rFonts w:ascii="Palatino Linotype" w:eastAsia="Palatino Linotype" w:hAnsi="Palatino Linotype" w:cs="Palatino Linotype"/>
          <w:sz w:val="24"/>
          <w:szCs w:val="24"/>
        </w:rPr>
        <w:t>a</w:t>
      </w:r>
      <w:r>
        <w:rPr>
          <w:rFonts w:ascii="Palatino Linotype" w:eastAsia="Palatino Linotype" w:hAnsi="Palatino Linotype" w:cs="Palatino Linotype"/>
          <w:spacing w:val="-1"/>
          <w:sz w:val="24"/>
          <w:szCs w:val="24"/>
        </w:rPr>
        <w:t>b</w:t>
      </w:r>
      <w:r>
        <w:rPr>
          <w:rFonts w:ascii="Palatino Linotype" w:eastAsia="Palatino Linotype" w:hAnsi="Palatino Linotype" w:cs="Palatino Linotype"/>
          <w:sz w:val="24"/>
          <w:szCs w:val="24"/>
        </w:rPr>
        <w:t xml:space="preserve">le </w:t>
      </w:r>
      <w:r>
        <w:rPr>
          <w:rFonts w:ascii="Palatino Linotype" w:eastAsia="Palatino Linotype" w:hAnsi="Palatino Linotype" w:cs="Palatino Linotype"/>
          <w:spacing w:val="1"/>
          <w:sz w:val="24"/>
          <w:szCs w:val="24"/>
        </w:rPr>
        <w:t>t</w:t>
      </w:r>
      <w:r>
        <w:rPr>
          <w:rFonts w:ascii="Palatino Linotype" w:eastAsia="Palatino Linotype" w:hAnsi="Palatino Linotype" w:cs="Palatino Linotype"/>
          <w:sz w:val="24"/>
          <w:szCs w:val="24"/>
        </w:rPr>
        <w:t>h</w:t>
      </w:r>
      <w:r>
        <w:rPr>
          <w:rFonts w:ascii="Palatino Linotype" w:eastAsia="Palatino Linotype" w:hAnsi="Palatino Linotype" w:cs="Palatino Linotype"/>
          <w:spacing w:val="-3"/>
          <w:sz w:val="24"/>
          <w:szCs w:val="24"/>
        </w:rPr>
        <w:t>e</w:t>
      </w:r>
      <w:r>
        <w:rPr>
          <w:rFonts w:ascii="Palatino Linotype" w:eastAsia="Palatino Linotype" w:hAnsi="Palatino Linotype" w:cs="Palatino Linotype"/>
          <w:spacing w:val="1"/>
          <w:sz w:val="24"/>
          <w:szCs w:val="24"/>
        </w:rPr>
        <w:t>r</w:t>
      </w:r>
      <w:r>
        <w:rPr>
          <w:rFonts w:ascii="Palatino Linotype" w:eastAsia="Palatino Linotype" w:hAnsi="Palatino Linotype" w:cs="Palatino Linotype"/>
          <w:sz w:val="24"/>
          <w:szCs w:val="24"/>
        </w:rPr>
        <w:t>e</w:t>
      </w:r>
      <w:r>
        <w:rPr>
          <w:rFonts w:ascii="Palatino Linotype" w:eastAsia="Palatino Linotype" w:hAnsi="Palatino Linotype" w:cs="Palatino Linotype"/>
          <w:spacing w:val="1"/>
          <w:sz w:val="24"/>
          <w:szCs w:val="24"/>
        </w:rPr>
        <w:t>o</w:t>
      </w:r>
      <w:r>
        <w:rPr>
          <w:rFonts w:ascii="Palatino Linotype" w:eastAsia="Palatino Linotype" w:hAnsi="Palatino Linotype" w:cs="Palatino Linotype"/>
          <w:sz w:val="24"/>
          <w:szCs w:val="24"/>
        </w:rPr>
        <w:t>n:</w:t>
      </w:r>
    </w:p>
    <w:p w:rsidR="00D6611F" w:rsidRDefault="00D6611F">
      <w:pPr>
        <w:spacing w:before="6" w:line="180" w:lineRule="exact"/>
        <w:rPr>
          <w:sz w:val="19"/>
          <w:szCs w:val="19"/>
        </w:rPr>
      </w:pPr>
    </w:p>
    <w:p w:rsidR="00D6611F" w:rsidRDefault="00D6611F">
      <w:pPr>
        <w:spacing w:line="200" w:lineRule="exact"/>
      </w:pPr>
    </w:p>
    <w:p w:rsidR="00D6611F" w:rsidRDefault="00D6611F">
      <w:pPr>
        <w:spacing w:line="200" w:lineRule="exact"/>
      </w:pPr>
    </w:p>
    <w:p w:rsidR="00D6611F" w:rsidRDefault="00D6611F">
      <w:pPr>
        <w:spacing w:line="200" w:lineRule="exact"/>
      </w:pPr>
    </w:p>
    <w:p w:rsidR="00D6611F" w:rsidRDefault="00D6611F">
      <w:pPr>
        <w:spacing w:line="200" w:lineRule="exact"/>
      </w:pPr>
    </w:p>
    <w:p w:rsidR="00D6611F" w:rsidRDefault="00CD78A2">
      <w:pPr>
        <w:spacing w:line="300" w:lineRule="exact"/>
        <w:ind w:left="6020"/>
        <w:rPr>
          <w:rFonts w:ascii="Palatino Linotype" w:eastAsia="Palatino Linotype" w:hAnsi="Palatino Linotype" w:cs="Palatino Linotype"/>
          <w:sz w:val="24"/>
          <w:szCs w:val="24"/>
        </w:rPr>
      </w:pPr>
      <w:r>
        <w:rPr>
          <w:noProof/>
        </w:rPr>
        <mc:AlternateContent>
          <mc:Choice Requires="wpg">
            <w:drawing>
              <wp:anchor distT="0" distB="0" distL="114300" distR="114300" simplePos="0" relativeHeight="503315092" behindDoc="1" locked="0" layoutInCell="1" allowOverlap="1" wp14:anchorId="08DC7E0C" wp14:editId="0DDC598B">
                <wp:simplePos x="0" y="0"/>
                <wp:positionH relativeFrom="page">
                  <wp:posOffset>4516755</wp:posOffset>
                </wp:positionH>
                <wp:positionV relativeFrom="paragraph">
                  <wp:posOffset>162560</wp:posOffset>
                </wp:positionV>
                <wp:extent cx="1661795" cy="10160"/>
                <wp:effectExtent l="1905" t="635" r="3175" b="8255"/>
                <wp:wrapNone/>
                <wp:docPr id="5" name="Group 2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61795" cy="10160"/>
                          <a:chOff x="7113" y="256"/>
                          <a:chExt cx="2617" cy="16"/>
                        </a:xfrm>
                      </wpg:grpSpPr>
                      <wpg:grpSp>
                        <wpg:cNvPr id="6" name="Group 236"/>
                        <wpg:cNvGrpSpPr>
                          <a:grpSpLocks/>
                        </wpg:cNvGrpSpPr>
                        <wpg:grpSpPr bwMode="auto">
                          <a:xfrm>
                            <a:off x="7360" y="264"/>
                            <a:ext cx="2362" cy="0"/>
                            <a:chOff x="7360" y="264"/>
                            <a:chExt cx="2362" cy="0"/>
                          </a:xfrm>
                        </wpg:grpSpPr>
                        <wps:wsp>
                          <wps:cNvPr id="7" name="Freeform 239"/>
                          <wps:cNvSpPr>
                            <a:spLocks/>
                          </wps:cNvSpPr>
                          <wps:spPr bwMode="auto">
                            <a:xfrm>
                              <a:off x="7360" y="264"/>
                              <a:ext cx="2362" cy="0"/>
                            </a:xfrm>
                            <a:custGeom>
                              <a:avLst/>
                              <a:gdLst>
                                <a:gd name="T0" fmla="+- 0 7360 7360"/>
                                <a:gd name="T1" fmla="*/ T0 w 2362"/>
                                <a:gd name="T2" fmla="+- 0 9722 7360"/>
                                <a:gd name="T3" fmla="*/ T2 w 2362"/>
                              </a:gdLst>
                              <a:ahLst/>
                              <a:cxnLst>
                                <a:cxn ang="0">
                                  <a:pos x="T1" y="0"/>
                                </a:cxn>
                                <a:cxn ang="0">
                                  <a:pos x="T3" y="0"/>
                                </a:cxn>
                              </a:cxnLst>
                              <a:rect l="0" t="0" r="r" b="b"/>
                              <a:pathLst>
                                <a:path w="2362">
                                  <a:moveTo>
                                    <a:pt x="0" y="0"/>
                                  </a:moveTo>
                                  <a:lnTo>
                                    <a:pt x="2362"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8" name="Group 237"/>
                          <wpg:cNvGrpSpPr>
                            <a:grpSpLocks/>
                          </wpg:cNvGrpSpPr>
                          <wpg:grpSpPr bwMode="auto">
                            <a:xfrm>
                              <a:off x="7120" y="264"/>
                              <a:ext cx="240" cy="0"/>
                              <a:chOff x="7120" y="264"/>
                              <a:chExt cx="240" cy="0"/>
                            </a:xfrm>
                          </wpg:grpSpPr>
                          <wps:wsp>
                            <wps:cNvPr id="9" name="Freeform 238"/>
                            <wps:cNvSpPr>
                              <a:spLocks/>
                            </wps:cNvSpPr>
                            <wps:spPr bwMode="auto">
                              <a:xfrm>
                                <a:off x="7120" y="264"/>
                                <a:ext cx="240" cy="0"/>
                              </a:xfrm>
                              <a:custGeom>
                                <a:avLst/>
                                <a:gdLst>
                                  <a:gd name="T0" fmla="+- 0 7120 7120"/>
                                  <a:gd name="T1" fmla="*/ T0 w 240"/>
                                  <a:gd name="T2" fmla="+- 0 7360 7120"/>
                                  <a:gd name="T3" fmla="*/ T2 w 240"/>
                                </a:gdLst>
                                <a:ahLst/>
                                <a:cxnLst>
                                  <a:cxn ang="0">
                                    <a:pos x="T1" y="0"/>
                                  </a:cxn>
                                  <a:cxn ang="0">
                                    <a:pos x="T3" y="0"/>
                                  </a:cxn>
                                </a:cxnLst>
                                <a:rect l="0" t="0" r="r" b="b"/>
                                <a:pathLst>
                                  <a:path w="240">
                                    <a:moveTo>
                                      <a:pt x="0" y="0"/>
                                    </a:moveTo>
                                    <a:lnTo>
                                      <a:pt x="240" y="0"/>
                                    </a:lnTo>
                                  </a:path>
                                </a:pathLst>
                              </a:custGeom>
                              <a:noFill/>
                              <a:ln w="89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w14:anchorId="2736C89B" id="Group 235" o:spid="_x0000_s1026" style="position:absolute;margin-left:355.65pt;margin-top:12.8pt;width:130.85pt;height:.8pt;z-index:-1388;mso-position-horizontal-relative:page" coordorigin="7113,256" coordsize="261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">
                <v:group id="Group 236" o:spid="_x0000_s1027" style="position:absolute;left:7360;top:264;width:2362;height:0" coordorigin="7360,264" coordsize="23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239" o:spid="_x0000_s1028" style="position:absolute;left:7360;top:264;width:2362;height:0;visibility:visible;mso-wrap-style:square;v-text-anchor:top" coordsize="23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" path="m,l2362,e" filled="f" strokeweight=".82pt">
                    <v:path arrowok="t" o:connecttype="custom" o:connectlocs="0,0;2362,0" o:connectangles="0,0"/>
                  </v:shape>
                  <v:group id="Group 237" o:spid="_x0000_s1029" style="position:absolute;left:7120;top:264;width:240;height:0" coordorigin="7120,264" coordsize="2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238" o:spid="_x0000_s1030" style="position:absolute;left:7120;top:264;width:240;height:0;visibility:visible;mso-wrap-style:square;v-text-anchor:top" coordsize="2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" path="m,l240,e" filled="f" strokeweight=".24806mm">
                      <v:path arrowok="t" o:connecttype="custom" o:connectlocs="0,0;240,0" o:connectangles="0,0"/>
                    </v:shape>
                  </v:group>
                </v:group>
                <w10:wrap anchorx="page"/>
              </v:group>
            </w:pict>
          </mc:Fallback>
        </mc:AlternateContent>
      </w:r>
      <w:r>
        <w:rPr>
          <w:noProof/>
        </w:rPr>
        <mc:AlternateContent>
          <mc:Choice Requires="wpg">
            <w:drawing>
              <wp:anchor distT="0" distB="0" distL="114300" distR="114300" simplePos="0" relativeHeight="503315093" behindDoc="1" locked="0" layoutInCell="1" allowOverlap="1" wp14:anchorId="5963F266" wp14:editId="6A572924">
                <wp:simplePos x="0" y="0"/>
                <wp:positionH relativeFrom="page">
                  <wp:posOffset>6173470</wp:posOffset>
                </wp:positionH>
                <wp:positionV relativeFrom="paragraph">
                  <wp:posOffset>167640</wp:posOffset>
                </wp:positionV>
                <wp:extent cx="228600" cy="0"/>
                <wp:effectExtent l="10795" t="5715" r="8255" b="13335"/>
                <wp:wrapNone/>
                <wp:docPr id="3" name="Group 2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0"/>
                          <a:chOff x="9722" y="264"/>
                          <a:chExt cx="360" cy="0"/>
                        </a:xfrm>
                      </wpg:grpSpPr>
                      <wps:wsp>
                        <wps:cNvPr id="4" name="Freeform 234"/>
                        <wps:cNvSpPr>
                          <a:spLocks/>
                        </wps:cNvSpPr>
                        <wps:spPr bwMode="auto">
                          <a:xfrm>
                            <a:off x="9722" y="264"/>
                            <a:ext cx="360" cy="0"/>
                          </a:xfrm>
                          <a:custGeom>
                            <a:avLst/>
                            <a:gdLst>
                              <a:gd name="T0" fmla="+- 0 9722 9722"/>
                              <a:gd name="T1" fmla="*/ T0 w 360"/>
                              <a:gd name="T2" fmla="+- 0 10082 9722"/>
                              <a:gd name="T3" fmla="*/ T2 w 360"/>
                            </a:gdLst>
                            <a:ahLst/>
                            <a:cxnLst>
                              <a:cxn ang="0">
                                <a:pos x="T1" y="0"/>
                              </a:cxn>
                              <a:cxn ang="0">
                                <a:pos x="T3" y="0"/>
                              </a:cxn>
                            </a:cxnLst>
                            <a:rect l="0" t="0" r="r" b="b"/>
                            <a:pathLst>
                              <a:path w="360">
                                <a:moveTo>
                                  <a:pt x="0" y="0"/>
                                </a:moveTo>
                                <a:lnTo>
                                  <a:pt x="360" y="0"/>
                                </a:lnTo>
                              </a:path>
                            </a:pathLst>
                          </a:custGeom>
                          <a:noFill/>
                          <a:ln w="89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219680" id="Group 233" o:spid="_x0000_s1026" style="position:absolute;margin-left:486.1pt;margin-top:13.2pt;width:18pt;height:0;z-index:-1387;mso-position-horizontal-relative:page" coordorigin="9722,264" coordsize="3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">
                <v:shape id="Freeform 234" o:spid="_x0000_s1027" style="position:absolute;left:9722;top:264;width:360;height:0;visibility:visible;mso-wrap-style:square;v-text-anchor:top" coordsize="3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" path="m,l360,e" filled="f" strokeweight=".24806mm">
                  <v:path arrowok="t" o:connecttype="custom" o:connectlocs="0,0;360,0" o:connectangles="0,0"/>
                </v:shape>
                <w10:wrap anchorx="page"/>
              </v:group>
            </w:pict>
          </mc:Fallback>
        </mc:AlternateContent>
      </w:r>
    </w:p>
    <w:p w:rsidR="00D6611F" w:rsidRDefault="002877B3" w:rsidP="003C5075">
      <w:pPr>
        <w:spacing w:before="2"/>
        <w:ind w:left="5984" w:right="600" w:hanging="132"/>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 xml:space="preserve">  </w:t>
      </w:r>
      <w:r w:rsidR="009A316F">
        <w:rPr>
          <w:rFonts w:ascii="Palatino Linotype" w:eastAsia="Palatino Linotype" w:hAnsi="Palatino Linotype" w:cs="Palatino Linotype"/>
          <w:sz w:val="24"/>
          <w:szCs w:val="24"/>
        </w:rPr>
        <w:t xml:space="preserve">    Alice Stebbins</w:t>
      </w:r>
    </w:p>
    <w:p w:rsidR="00A722B5" w:rsidRDefault="002877B3" w:rsidP="003C5075">
      <w:pPr>
        <w:spacing w:before="2"/>
        <w:ind w:left="5984" w:right="600" w:hanging="132"/>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 xml:space="preserve">  Executive Director</w:t>
      </w:r>
    </w:p>
    <w:p w:rsidR="009A316F" w:rsidRDefault="009A316F" w:rsidP="003C5075">
      <w:pPr>
        <w:spacing w:before="2"/>
        <w:ind w:left="5984" w:right="600" w:hanging="132"/>
        <w:rPr>
          <w:rFonts w:ascii="Palatino Linotype" w:eastAsia="Palatino Linotype" w:hAnsi="Palatino Linotype" w:cs="Palatino Linotype"/>
          <w:sz w:val="24"/>
          <w:szCs w:val="24"/>
        </w:rPr>
      </w:pPr>
    </w:p>
    <w:p w:rsidR="009A316F" w:rsidRDefault="009A316F" w:rsidP="003C5075">
      <w:pPr>
        <w:spacing w:before="2"/>
        <w:ind w:left="5984" w:right="600" w:hanging="132"/>
        <w:rPr>
          <w:rFonts w:ascii="Palatino Linotype" w:eastAsia="Palatino Linotype" w:hAnsi="Palatino Linotype" w:cs="Palatino Linotype"/>
          <w:sz w:val="24"/>
          <w:szCs w:val="24"/>
        </w:rPr>
      </w:pPr>
    </w:p>
    <w:p w:rsidR="003432CA" w:rsidRDefault="003432CA">
      <w:pPr>
        <w:rPr>
          <w:rFonts w:ascii="Palatino Linotype" w:eastAsia="Palatino Linotype" w:hAnsi="Palatino Linotype" w:cs="Palatino Linotype"/>
          <w:sz w:val="24"/>
          <w:szCs w:val="24"/>
        </w:rPr>
        <w:sectPr w:rsidR="003432CA" w:rsidSect="009A316F">
          <w:headerReference w:type="default" r:id="rId10"/>
          <w:footerReference w:type="default" r:id="rId11"/>
          <w:headerReference w:type="first" r:id="rId12"/>
          <w:footerReference w:type="first" r:id="rId13"/>
          <w:pgSz w:w="12240" w:h="15840" w:code="1"/>
          <w:pgMar w:top="1238" w:right="1267" w:bottom="274" w:left="1339" w:header="720" w:footer="720" w:gutter="0"/>
          <w:pgNumType w:start="1"/>
          <w:cols w:space="720"/>
          <w:titlePg/>
          <w:docGrid w:linePitch="272"/>
        </w:sectPr>
      </w:pPr>
    </w:p>
    <w:p w:rsidR="003432CA" w:rsidRDefault="003432CA" w:rsidP="003432CA">
      <w:pPr>
        <w:rPr>
          <w:rFonts w:ascii="Palatino Linotype" w:eastAsia="Palatino Linotype" w:hAnsi="Palatino Linotype" w:cs="Palatino Linotype"/>
          <w:sz w:val="24"/>
          <w:szCs w:val="24"/>
        </w:rPr>
        <w:sectPr w:rsidR="003432CA" w:rsidSect="009A316F">
          <w:headerReference w:type="first" r:id="rId14"/>
          <w:footerReference w:type="first" r:id="rId15"/>
          <w:pgSz w:w="12240" w:h="15840" w:code="1"/>
          <w:pgMar w:top="1238" w:right="1267" w:bottom="274" w:left="1339" w:header="720" w:footer="720" w:gutter="0"/>
          <w:pgNumType w:start="1"/>
          <w:cols w:space="720"/>
          <w:titlePg/>
          <w:docGrid w:linePitch="272"/>
        </w:sectPr>
      </w:pPr>
      <w:r w:rsidRPr="003432CA">
        <w:rPr>
          <w:rFonts w:ascii="Palatino Linotype" w:eastAsia="Palatino Linotype" w:hAnsi="Palatino Linotype" w:cs="Palatino Linotype"/>
          <w:noProof/>
          <w:sz w:val="24"/>
          <w:szCs w:val="24"/>
        </w:rPr>
        <w:lastRenderedPageBreak/>
        <mc:AlternateContent>
          <mc:Choice Requires="wps">
            <w:drawing>
              <wp:anchor distT="45720" distB="45720" distL="114300" distR="114300" simplePos="0" relativeHeight="503316297" behindDoc="0" locked="0" layoutInCell="1" allowOverlap="1">
                <wp:simplePos x="0" y="0"/>
                <wp:positionH relativeFrom="column">
                  <wp:posOffset>-3175</wp:posOffset>
                </wp:positionH>
                <wp:positionV relativeFrom="paragraph">
                  <wp:posOffset>2471420</wp:posOffset>
                </wp:positionV>
                <wp:extent cx="6143625" cy="140462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3625" cy="1404620"/>
                        </a:xfrm>
                        <a:prstGeom prst="rect">
                          <a:avLst/>
                        </a:prstGeom>
                        <a:solidFill>
                          <a:srgbClr val="FFFFFF"/>
                        </a:solidFill>
                        <a:ln w="9525">
                          <a:noFill/>
                          <a:miter lim="800000"/>
                          <a:headEnd/>
                          <a:tailEnd/>
                        </a:ln>
                      </wps:spPr>
                      <wps:txbx>
                        <w:txbxContent>
                          <w:p w:rsidR="003432CA" w:rsidRPr="003432CA" w:rsidRDefault="003432CA" w:rsidP="003432CA">
                            <w:pPr>
                              <w:jc w:val="center"/>
                              <w:rPr>
                                <w:rFonts w:ascii="Palatino Linotype" w:hAnsi="Palatino Linotype"/>
                                <w:sz w:val="52"/>
                              </w:rPr>
                            </w:pPr>
                            <w:r w:rsidRPr="003432CA">
                              <w:rPr>
                                <w:rFonts w:ascii="Palatino Linotype" w:hAnsi="Palatino Linotype"/>
                                <w:sz w:val="52"/>
                              </w:rPr>
                              <w:t>Appendix</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5pt;margin-top:194.6pt;width:483.75pt;height:110.6pt;z-index:503316297;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" stroked="f">
                <v:textbox style="mso-fit-shape-to-text:t">
                  <w:txbxContent>
                    <w:p w:rsidR="003432CA" w:rsidRPr="003432CA" w:rsidRDefault="003432CA" w:rsidP="003432CA">
                      <w:pPr>
                        <w:jc w:val="center"/>
                        <w:rPr>
                          <w:rFonts w:ascii="Palatino Linotype" w:hAnsi="Palatino Linotype"/>
                          <w:sz w:val="52"/>
                        </w:rPr>
                      </w:pPr>
                      <w:r w:rsidRPr="003432CA">
                        <w:rPr>
                          <w:rFonts w:ascii="Palatino Linotype" w:hAnsi="Palatino Linotype"/>
                          <w:sz w:val="52"/>
                        </w:rPr>
                        <w:t>Appendix</w:t>
                      </w:r>
                    </w:p>
                  </w:txbxContent>
                </v:textbox>
                <w10:wrap type="square"/>
              </v:shape>
            </w:pict>
          </mc:Fallback>
        </mc:AlternateContent>
      </w:r>
      <w:r w:rsidR="009A316F">
        <w:rPr>
          <w:rFonts w:ascii="Palatino Linotype" w:eastAsia="Palatino Linotype" w:hAnsi="Palatino Linotype" w:cs="Palatino Linotype"/>
          <w:sz w:val="24"/>
          <w:szCs w:val="24"/>
        </w:rPr>
        <w:br w:type="page"/>
      </w:r>
    </w:p>
    <w:p w:rsidR="007A6C2D" w:rsidRDefault="0052703E" w:rsidP="00270009">
      <w:pPr>
        <w:jc w:val="center"/>
        <w:rPr>
          <w:rFonts w:eastAsia="Palatino Linotype"/>
          <w:noProof/>
        </w:rPr>
      </w:pPr>
      <w:bookmarkStart w:id="4" w:name="RANGE!A1:I60"/>
      <w:bookmarkEnd w:id="4"/>
      <w:r w:rsidRPr="0052703E">
        <w:rPr>
          <w:rFonts w:eastAsia="Palatino Linotype"/>
          <w:noProof/>
        </w:rPr>
        <w:lastRenderedPageBreak/>
        <w:drawing>
          <wp:inline distT="0" distB="0" distL="0" distR="0">
            <wp:extent cx="4709160" cy="8531352"/>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709160" cy="8531352"/>
                    </a:xfrm>
                    <a:prstGeom prst="rect">
                      <a:avLst/>
                    </a:prstGeom>
                    <a:noFill/>
                    <a:ln>
                      <a:noFill/>
                    </a:ln>
                  </pic:spPr>
                </pic:pic>
              </a:graphicData>
            </a:graphic>
          </wp:inline>
        </w:drawing>
      </w:r>
    </w:p>
    <w:p w:rsidR="00263396" w:rsidRDefault="00263396" w:rsidP="00B36B20">
      <w:pPr>
        <w:tabs>
          <w:tab w:val="left" w:pos="1872"/>
        </w:tabs>
        <w:rPr>
          <w:rFonts w:ascii="Palatino Linotype" w:eastAsia="Palatino Linotype" w:hAnsi="Palatino Linotype" w:cs="Palatino Linotype"/>
          <w:noProof/>
          <w:sz w:val="24"/>
          <w:szCs w:val="24"/>
        </w:rPr>
        <w:sectPr w:rsidR="00263396">
          <w:headerReference w:type="default" r:id="rId17"/>
          <w:footerReference w:type="default" r:id="rId18"/>
          <w:pgSz w:w="12240" w:h="15840"/>
          <w:pgMar w:top="1440" w:right="1440" w:bottom="1440" w:left="1440" w:header="720" w:footer="720" w:gutter="0"/>
          <w:cols w:space="720"/>
          <w:docGrid w:linePitch="360"/>
        </w:sectPr>
      </w:pPr>
    </w:p>
    <w:p w:rsidR="00263396" w:rsidRDefault="00263396" w:rsidP="00B36B20">
      <w:pPr>
        <w:tabs>
          <w:tab w:val="left" w:pos="1872"/>
        </w:tabs>
        <w:rPr>
          <w:rFonts w:ascii="Palatino Linotype" w:eastAsia="Palatino Linotype" w:hAnsi="Palatino Linotype" w:cs="Palatino Linotype"/>
          <w:noProof/>
          <w:sz w:val="24"/>
          <w:szCs w:val="24"/>
        </w:rPr>
      </w:pPr>
    </w:p>
    <w:p w:rsidR="006468D2" w:rsidRDefault="004636FB" w:rsidP="00B36B20">
      <w:pPr>
        <w:tabs>
          <w:tab w:val="left" w:pos="1872"/>
        </w:tabs>
        <w:rPr>
          <w:rFonts w:ascii="Palatino Linotype" w:eastAsia="Palatino Linotype" w:hAnsi="Palatino Linotype" w:cs="Palatino Linotype"/>
          <w:sz w:val="24"/>
          <w:szCs w:val="24"/>
        </w:rPr>
      </w:pPr>
      <w:r w:rsidRPr="004636FB">
        <w:rPr>
          <w:rFonts w:ascii="Palatino Linotype" w:eastAsia="Palatino Linotype" w:hAnsi="Palatino Linotype" w:cs="Palatino Linotype"/>
          <w:noProof/>
          <w:sz w:val="24"/>
          <w:szCs w:val="24"/>
        </w:rPr>
        <w:drawing>
          <wp:inline distT="0" distB="0" distL="0" distR="0" wp14:anchorId="64AC507E" wp14:editId="4198EF47">
            <wp:extent cx="5743575" cy="7432862"/>
            <wp:effectExtent l="0" t="0" r="0" b="0"/>
            <wp:docPr id="2" name="Picture 2" descr="D:\NECA Letter 2018-05-08_Appendix B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NECA Letter 2018-05-08_Appendix B_001.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43575" cy="7432862"/>
                    </a:xfrm>
                    <a:prstGeom prst="rect">
                      <a:avLst/>
                    </a:prstGeom>
                    <a:noFill/>
                    <a:ln>
                      <a:noFill/>
                    </a:ln>
                  </pic:spPr>
                </pic:pic>
              </a:graphicData>
            </a:graphic>
          </wp:inline>
        </w:drawing>
      </w:r>
    </w:p>
    <w:p w:rsidR="00D13299" w:rsidRDefault="00D13299">
      <w:pPr>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br w:type="page"/>
      </w:r>
    </w:p>
    <w:p w:rsidR="00263396" w:rsidRDefault="00263396" w:rsidP="00D13299">
      <w:pPr>
        <w:tabs>
          <w:tab w:val="left" w:pos="1872"/>
        </w:tabs>
        <w:jc w:val="center"/>
        <w:rPr>
          <w:rFonts w:ascii="Palatino Linotype" w:eastAsia="Palatino Linotype" w:hAnsi="Palatino Linotype" w:cs="Palatino Linotype"/>
          <w:sz w:val="24"/>
          <w:szCs w:val="24"/>
        </w:rPr>
        <w:sectPr w:rsidR="00263396">
          <w:headerReference w:type="default" r:id="rId20"/>
          <w:footerReference w:type="default" r:id="rId21"/>
          <w:pgSz w:w="12240" w:h="15840"/>
          <w:pgMar w:top="1440" w:right="1440" w:bottom="1440" w:left="1440" w:header="720" w:footer="720" w:gutter="0"/>
          <w:cols w:space="720"/>
          <w:docGrid w:linePitch="360"/>
        </w:sectPr>
      </w:pPr>
    </w:p>
    <w:p w:rsidR="00D13299" w:rsidRDefault="00D13299" w:rsidP="00D13299">
      <w:pPr>
        <w:tabs>
          <w:tab w:val="left" w:pos="1872"/>
        </w:tabs>
        <w:jc w:val="center"/>
        <w:rPr>
          <w:rFonts w:ascii="Palatino Linotype" w:eastAsia="Palatino Linotype" w:hAnsi="Palatino Linotype" w:cs="Palatino Linotype"/>
          <w:sz w:val="24"/>
          <w:szCs w:val="24"/>
        </w:rPr>
      </w:pPr>
    </w:p>
    <w:p w:rsidR="00D13299" w:rsidRDefault="00D13299" w:rsidP="00D13299">
      <w:pPr>
        <w:tabs>
          <w:tab w:val="left" w:pos="1872"/>
        </w:tabs>
        <w:jc w:val="center"/>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APPENDIX C</w:t>
      </w:r>
      <w:r w:rsidR="00DB7743">
        <w:rPr>
          <w:rFonts w:ascii="Palatino Linotype" w:eastAsia="Palatino Linotype" w:hAnsi="Palatino Linotype" w:cs="Palatino Linotype"/>
          <w:sz w:val="24"/>
          <w:szCs w:val="24"/>
        </w:rPr>
        <w:t xml:space="preserve"> – Line Item Changes to Column C, Appendix A Results of Operations</w:t>
      </w:r>
    </w:p>
    <w:p w:rsidR="00D13299" w:rsidRPr="000546E5" w:rsidRDefault="00D13299" w:rsidP="00D13299">
      <w:pPr>
        <w:tabs>
          <w:tab w:val="left" w:pos="1872"/>
        </w:tabs>
        <w:jc w:val="center"/>
        <w:rPr>
          <w:rFonts w:ascii="Palatino Linotype" w:eastAsia="Palatino Linotype" w:hAnsi="Palatino Linotype" w:cs="Palatino Linotype"/>
          <w:sz w:val="22"/>
          <w:szCs w:val="22"/>
        </w:rPr>
      </w:pPr>
    </w:p>
    <w:p w:rsidR="004C1A81" w:rsidRPr="000546E5" w:rsidRDefault="004C1A81" w:rsidP="000546E5">
      <w:pPr>
        <w:pStyle w:val="ListParagraph"/>
        <w:numPr>
          <w:ilvl w:val="0"/>
          <w:numId w:val="4"/>
        </w:numPr>
        <w:spacing w:after="60"/>
        <w:ind w:left="821" w:right="403"/>
        <w:contextualSpacing w:val="0"/>
        <w:rPr>
          <w:rFonts w:ascii="Palatino Linotype" w:eastAsia="Palatino Linotype" w:hAnsi="Palatino Linotype" w:cs="Palatino Linotype"/>
          <w:sz w:val="23"/>
          <w:szCs w:val="23"/>
        </w:rPr>
      </w:pPr>
      <w:r w:rsidRPr="000546E5">
        <w:rPr>
          <w:rFonts w:ascii="Palatino Linotype" w:eastAsia="Palatino Linotype" w:hAnsi="Palatino Linotype" w:cs="Palatino Linotype"/>
          <w:sz w:val="23"/>
          <w:szCs w:val="23"/>
        </w:rPr>
        <w:t>Staff added the first year of the incremental Excess Deferred Tax of $10,507 as a credit to the federal tax for 2018, lowering tax-related expenses (Deferred Income Tax, line 16, column C);</w:t>
      </w:r>
    </w:p>
    <w:p w:rsidR="004C1A81" w:rsidRPr="000546E5" w:rsidRDefault="004C1A81" w:rsidP="000546E5">
      <w:pPr>
        <w:pStyle w:val="ListParagraph"/>
        <w:numPr>
          <w:ilvl w:val="0"/>
          <w:numId w:val="4"/>
        </w:numPr>
        <w:spacing w:after="60"/>
        <w:ind w:left="821" w:right="403"/>
        <w:contextualSpacing w:val="0"/>
        <w:rPr>
          <w:rFonts w:ascii="Palatino Linotype" w:eastAsia="Palatino Linotype" w:hAnsi="Palatino Linotype" w:cs="Palatino Linotype"/>
          <w:sz w:val="23"/>
          <w:szCs w:val="23"/>
        </w:rPr>
      </w:pPr>
      <w:r w:rsidRPr="000546E5">
        <w:rPr>
          <w:rFonts w:ascii="Palatino Linotype" w:eastAsia="Palatino Linotype" w:hAnsi="Palatino Linotype" w:cs="Palatino Linotype"/>
          <w:sz w:val="23"/>
          <w:szCs w:val="23"/>
        </w:rPr>
        <w:t>The first year of the Unamortized Excess Deferred Tax Balance ($10,507) is then subtracted from the deferred income tax reserve of $55,687 (the difference between line 25, columns A and B), which equals $45,180 in UEDTB remaining for future amortization (line 26, column C);</w:t>
      </w:r>
    </w:p>
    <w:p w:rsidR="004C1A81" w:rsidRPr="000546E5" w:rsidRDefault="004C1A81" w:rsidP="000546E5">
      <w:pPr>
        <w:pStyle w:val="ListParagraph"/>
        <w:numPr>
          <w:ilvl w:val="0"/>
          <w:numId w:val="4"/>
        </w:numPr>
        <w:spacing w:after="60"/>
        <w:ind w:left="821" w:right="403"/>
        <w:contextualSpacing w:val="0"/>
        <w:rPr>
          <w:rFonts w:ascii="Palatino Linotype" w:eastAsia="Palatino Linotype" w:hAnsi="Palatino Linotype" w:cs="Palatino Linotype"/>
          <w:sz w:val="23"/>
          <w:szCs w:val="23"/>
        </w:rPr>
      </w:pPr>
      <w:r w:rsidRPr="000546E5">
        <w:rPr>
          <w:rFonts w:ascii="Palatino Linotype" w:eastAsia="Palatino Linotype" w:hAnsi="Palatino Linotype" w:cs="Palatino Linotype"/>
          <w:sz w:val="23"/>
          <w:szCs w:val="23"/>
        </w:rPr>
        <w:t>Consistent with normalization rules, Staff has reduced Calaveras’ proposed rate base of $7,769,544 (line 28, column B) by the unamortized balance of $45,180 left on the excess deferred tax after taking the yearly income tax credit.  Thereafter, the rate base will be increased yearly by the $10,507 amortized amount (see Total Rate Base, line 28, column C, $7,724,364, compared to line 28, column A, $7,713,857);</w:t>
      </w:r>
    </w:p>
    <w:p w:rsidR="004C1A81" w:rsidRPr="000546E5" w:rsidRDefault="004C1A81" w:rsidP="000546E5">
      <w:pPr>
        <w:pStyle w:val="ListParagraph"/>
        <w:numPr>
          <w:ilvl w:val="0"/>
          <w:numId w:val="4"/>
        </w:numPr>
        <w:spacing w:after="60"/>
        <w:ind w:left="821" w:right="403"/>
        <w:contextualSpacing w:val="0"/>
        <w:rPr>
          <w:rFonts w:ascii="Palatino Linotype" w:eastAsia="Palatino Linotype" w:hAnsi="Palatino Linotype" w:cs="Palatino Linotype"/>
          <w:sz w:val="23"/>
          <w:szCs w:val="23"/>
        </w:rPr>
      </w:pPr>
      <w:r w:rsidRPr="000546E5">
        <w:rPr>
          <w:rFonts w:ascii="Palatino Linotype" w:eastAsia="Palatino Linotype" w:hAnsi="Palatino Linotype" w:cs="Palatino Linotype"/>
          <w:sz w:val="23"/>
          <w:szCs w:val="23"/>
        </w:rPr>
        <w:t>The Total Rate Base of $7,724,364 multiplied by the Rate of Return (line 29; 8.91%) equals $688,241 in Net Operating Income (line 18, column C);</w:t>
      </w:r>
    </w:p>
    <w:p w:rsidR="004C1A81" w:rsidRPr="000546E5" w:rsidRDefault="004C1A81" w:rsidP="000546E5">
      <w:pPr>
        <w:pStyle w:val="ListParagraph"/>
        <w:numPr>
          <w:ilvl w:val="0"/>
          <w:numId w:val="4"/>
        </w:numPr>
        <w:spacing w:after="60"/>
        <w:ind w:left="821" w:right="403"/>
        <w:contextualSpacing w:val="0"/>
        <w:rPr>
          <w:rFonts w:ascii="Palatino Linotype" w:eastAsia="Palatino Linotype" w:hAnsi="Palatino Linotype" w:cs="Palatino Linotype"/>
          <w:sz w:val="23"/>
          <w:szCs w:val="23"/>
        </w:rPr>
      </w:pPr>
      <w:r w:rsidRPr="000546E5">
        <w:rPr>
          <w:rFonts w:ascii="Palatino Linotype" w:eastAsia="Palatino Linotype" w:hAnsi="Palatino Linotype" w:cs="Palatino Linotype"/>
          <w:sz w:val="23"/>
          <w:szCs w:val="23"/>
        </w:rPr>
        <w:t>Staff’s adjustments decreased Calaveras’ total operating expenses including income taxes by an additional $12,071 (line 17, comparing columns B and C).  This is a sum of two factors: 1) a $1,564 decrease in State and Federal Income Tax (line 15, column C) and the line 16, column C deferred tax credit of $10,507;</w:t>
      </w:r>
    </w:p>
    <w:p w:rsidR="004C1A81" w:rsidRPr="000546E5" w:rsidRDefault="004C1A81" w:rsidP="000546E5">
      <w:pPr>
        <w:pStyle w:val="ListParagraph"/>
        <w:numPr>
          <w:ilvl w:val="0"/>
          <w:numId w:val="4"/>
        </w:numPr>
        <w:spacing w:after="60"/>
        <w:ind w:left="821" w:right="403"/>
        <w:contextualSpacing w:val="0"/>
        <w:rPr>
          <w:rFonts w:ascii="Palatino Linotype" w:eastAsia="Palatino Linotype" w:hAnsi="Palatino Linotype" w:cs="Palatino Linotype"/>
          <w:sz w:val="23"/>
          <w:szCs w:val="23"/>
        </w:rPr>
      </w:pPr>
      <w:r w:rsidRPr="000546E5">
        <w:rPr>
          <w:rFonts w:ascii="Palatino Linotype" w:eastAsia="Palatino Linotype" w:hAnsi="Palatino Linotype" w:cs="Palatino Linotype"/>
          <w:sz w:val="23"/>
          <w:szCs w:val="23"/>
        </w:rPr>
        <w:t>To fully recover revenue requirement including the additional cost of tax liabilities, utilities incorporate a “net to gross multiplier” to account for such liabilities.  Calaveras calculated, and Staff confirms that the NTGM is 1.38857 when California’s State Income Tax Rate is 8.84% and the Federal Income Tax Rate is 21%;</w:t>
      </w:r>
    </w:p>
    <w:p w:rsidR="004C1A81" w:rsidRPr="000546E5" w:rsidRDefault="004C1A81" w:rsidP="000546E5">
      <w:pPr>
        <w:pStyle w:val="ListParagraph"/>
        <w:numPr>
          <w:ilvl w:val="0"/>
          <w:numId w:val="4"/>
        </w:numPr>
        <w:spacing w:after="60"/>
        <w:ind w:left="821" w:right="403"/>
        <w:contextualSpacing w:val="0"/>
        <w:rPr>
          <w:rFonts w:ascii="Palatino Linotype" w:eastAsia="Palatino Linotype" w:hAnsi="Palatino Linotype" w:cs="Palatino Linotype"/>
          <w:sz w:val="23"/>
          <w:szCs w:val="23"/>
        </w:rPr>
      </w:pPr>
      <w:r w:rsidRPr="000546E5">
        <w:rPr>
          <w:rFonts w:ascii="Palatino Linotype" w:eastAsia="Palatino Linotype" w:hAnsi="Palatino Linotype" w:cs="Palatino Linotype"/>
          <w:sz w:val="23"/>
          <w:szCs w:val="23"/>
        </w:rPr>
        <w:t>State income tax decreased by $494, as the product of multiplying the difference between Calaveras’ proposed Net Operating Income of $692,267 and Staff’s proposed Income of $688,241 ($4,026, line 18) by the NTGM of 1.38857; then multiplying that amount by the State Tax Rate of 8.84%;</w:t>
      </w:r>
    </w:p>
    <w:p w:rsidR="004C1A81" w:rsidRPr="000546E5" w:rsidRDefault="004C1A81" w:rsidP="000546E5">
      <w:pPr>
        <w:pStyle w:val="ListParagraph"/>
        <w:numPr>
          <w:ilvl w:val="0"/>
          <w:numId w:val="4"/>
        </w:numPr>
        <w:ind w:left="821" w:right="403"/>
        <w:contextualSpacing w:val="0"/>
        <w:rPr>
          <w:rFonts w:ascii="Palatino Linotype" w:eastAsia="Palatino Linotype" w:hAnsi="Palatino Linotype" w:cs="Palatino Linotype"/>
          <w:sz w:val="23"/>
          <w:szCs w:val="23"/>
        </w:rPr>
      </w:pPr>
      <w:r w:rsidRPr="000546E5">
        <w:rPr>
          <w:rFonts w:ascii="Palatino Linotype" w:eastAsia="Palatino Linotype" w:hAnsi="Palatino Linotype" w:cs="Palatino Linotype"/>
          <w:sz w:val="23"/>
          <w:szCs w:val="23"/>
        </w:rPr>
        <w:t>Federal income tax decreased by $1,070, calculated by 1) subtracting the decrease in state income tax from the product of 2) the $4,026 difference in proposed operating income multiplied by the NTGM, and then 3) multiplying that result by the federal income tax rate of 21% (line 15, columns B and C);</w:t>
      </w:r>
    </w:p>
    <w:p w:rsidR="00D13299" w:rsidRPr="000546E5" w:rsidRDefault="004C1A81" w:rsidP="000546E5">
      <w:pPr>
        <w:pStyle w:val="ListParagraph"/>
        <w:numPr>
          <w:ilvl w:val="0"/>
          <w:numId w:val="4"/>
        </w:numPr>
        <w:tabs>
          <w:tab w:val="left" w:pos="1872"/>
        </w:tabs>
        <w:ind w:left="821" w:right="403"/>
        <w:contextualSpacing w:val="0"/>
        <w:rPr>
          <w:rFonts w:ascii="Palatino Linotype" w:eastAsia="Palatino Linotype" w:hAnsi="Palatino Linotype" w:cs="Palatino Linotype"/>
          <w:sz w:val="22"/>
          <w:szCs w:val="22"/>
        </w:rPr>
      </w:pPr>
      <w:r w:rsidRPr="000546E5">
        <w:rPr>
          <w:rFonts w:ascii="Palatino Linotype" w:eastAsia="Palatino Linotype" w:hAnsi="Palatino Linotype" w:cs="Palatino Linotype"/>
          <w:sz w:val="23"/>
          <w:szCs w:val="23"/>
        </w:rPr>
        <w:t>The resulting gross reduction in Net Operating Income (line 18, $4,026) and Total Expenses (line 17, $12,071) equals $16,097, requiring a further offset to revenue requirement and CHCF-A support between Calaveras’ and Staff’s proposals</w:t>
      </w:r>
      <w:r w:rsidR="0026222B">
        <w:rPr>
          <w:rFonts w:ascii="Palatino Linotype" w:eastAsia="Palatino Linotype" w:hAnsi="Palatino Linotype" w:cs="Palatino Linotype"/>
          <w:sz w:val="23"/>
          <w:szCs w:val="23"/>
        </w:rPr>
        <w:t>.</w:t>
      </w:r>
    </w:p>
    <w:sectPr w:rsidR="00D13299" w:rsidRPr="000546E5">
      <w:headerReference w:type="default" r:id="rId22"/>
      <w:foot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38EC" w:rsidRDefault="005338EC">
      <w:r>
        <w:separator/>
      </w:r>
    </w:p>
  </w:endnote>
  <w:endnote w:type="continuationSeparator" w:id="0">
    <w:p w:rsidR="005338EC" w:rsidRDefault="005338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798446"/>
      <w:docPartObj>
        <w:docPartGallery w:val="Page Numbers (Bottom of Page)"/>
        <w:docPartUnique/>
      </w:docPartObj>
    </w:sdtPr>
    <w:sdtEndPr>
      <w:rPr>
        <w:rFonts w:ascii="Palatino Linotype" w:hAnsi="Palatino Linotype"/>
        <w:noProof/>
        <w:sz w:val="24"/>
      </w:rPr>
    </w:sdtEndPr>
    <w:sdtContent>
      <w:p w:rsidR="004F100D" w:rsidRPr="000546E5" w:rsidRDefault="004F100D">
        <w:pPr>
          <w:pStyle w:val="Footer"/>
          <w:jc w:val="center"/>
          <w:rPr>
            <w:rFonts w:ascii="Palatino Linotype" w:hAnsi="Palatino Linotype"/>
            <w:sz w:val="24"/>
          </w:rPr>
        </w:pPr>
        <w:r w:rsidRPr="000546E5">
          <w:rPr>
            <w:rFonts w:ascii="Palatino Linotype" w:hAnsi="Palatino Linotype"/>
            <w:sz w:val="24"/>
          </w:rPr>
          <w:fldChar w:fldCharType="begin"/>
        </w:r>
        <w:r w:rsidRPr="000546E5">
          <w:rPr>
            <w:rFonts w:ascii="Palatino Linotype" w:hAnsi="Palatino Linotype"/>
            <w:sz w:val="24"/>
          </w:rPr>
          <w:instrText xml:space="preserve"> PAGE   \* MERGEFORMAT </w:instrText>
        </w:r>
        <w:r w:rsidRPr="000546E5">
          <w:rPr>
            <w:rFonts w:ascii="Palatino Linotype" w:hAnsi="Palatino Linotype"/>
            <w:sz w:val="24"/>
          </w:rPr>
          <w:fldChar w:fldCharType="separate"/>
        </w:r>
        <w:r w:rsidR="00546552">
          <w:rPr>
            <w:rFonts w:ascii="Palatino Linotype" w:hAnsi="Palatino Linotype"/>
            <w:noProof/>
            <w:sz w:val="24"/>
          </w:rPr>
          <w:t>7</w:t>
        </w:r>
        <w:r w:rsidRPr="000546E5">
          <w:rPr>
            <w:rFonts w:ascii="Palatino Linotype" w:hAnsi="Palatino Linotype"/>
            <w:noProof/>
            <w:sz w:val="24"/>
          </w:rPr>
          <w:fldChar w:fldCharType="end"/>
        </w:r>
      </w:p>
    </w:sdtContent>
  </w:sdt>
  <w:p w:rsidR="004F100D" w:rsidRDefault="004F100D">
    <w:pPr>
      <w:spacing w:line="0" w:lineRule="atLeast"/>
      <w:rPr>
        <w:sz w:val="0"/>
        <w:szCs w:val="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21F0" w:rsidRDefault="00D921F0">
    <w:pPr>
      <w:pStyle w:val="Footer"/>
      <w:rPr>
        <w:rFonts w:ascii="Palatino Linotype" w:hAnsi="Palatino Linotype" w:cs="Tahoma"/>
        <w:sz w:val="17"/>
        <w:szCs w:val="17"/>
      </w:rPr>
    </w:pPr>
  </w:p>
  <w:p w:rsidR="00F41A1F" w:rsidRPr="00D921F0" w:rsidRDefault="005F3E53">
    <w:pPr>
      <w:pStyle w:val="Footer"/>
      <w:rPr>
        <w:rFonts w:ascii="Palatino Linotype" w:hAnsi="Palatino Linotype" w:cs="Tahoma"/>
        <w:sz w:val="17"/>
        <w:szCs w:val="17"/>
      </w:rPr>
    </w:pPr>
    <w:r w:rsidRPr="00D921F0">
      <w:rPr>
        <w:rFonts w:ascii="Palatino Linotype" w:hAnsi="Palatino Linotype" w:cs="Tahoma"/>
        <w:sz w:val="17"/>
        <w:szCs w:val="17"/>
      </w:rPr>
      <w:t>218290685</w:t>
    </w:r>
  </w:p>
  <w:p w:rsidR="004F100D" w:rsidRDefault="004F100D">
    <w:pPr>
      <w:pStyle w:val="Footer"/>
    </w:pPr>
    <w:r>
      <w:rPr>
        <w:rFonts w:ascii="Tahoma" w:hAnsi="Tahoma" w:cs="Tahoma"/>
        <w:sz w:val="17"/>
        <w:szCs w:val="17"/>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32CA" w:rsidRDefault="003432CA">
    <w:pPr>
      <w:pStyle w:val="Footer"/>
      <w:rPr>
        <w:rFonts w:ascii="Palatino Linotype" w:hAnsi="Palatino Linotype" w:cs="Tahoma"/>
        <w:sz w:val="17"/>
        <w:szCs w:val="17"/>
      </w:rPr>
    </w:pPr>
  </w:p>
  <w:p w:rsidR="003432CA" w:rsidRDefault="003432CA">
    <w:pPr>
      <w:pStyle w:val="Footer"/>
    </w:pPr>
    <w:r>
      <w:rPr>
        <w:rFonts w:ascii="Tahoma" w:hAnsi="Tahoma" w:cs="Tahoma"/>
        <w:sz w:val="17"/>
        <w:szCs w:val="17"/>
      </w:rPr>
      <w:t>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8951813"/>
      <w:docPartObj>
        <w:docPartGallery w:val="Page Numbers (Bottom of Page)"/>
        <w:docPartUnique/>
      </w:docPartObj>
    </w:sdtPr>
    <w:sdtEndPr>
      <w:rPr>
        <w:rFonts w:ascii="Palatino Linotype" w:hAnsi="Palatino Linotype"/>
        <w:noProof/>
        <w:sz w:val="24"/>
      </w:rPr>
    </w:sdtEndPr>
    <w:sdtContent>
      <w:p w:rsidR="00AF752B" w:rsidRPr="000546E5" w:rsidRDefault="00AF752B">
        <w:pPr>
          <w:pStyle w:val="Footer"/>
          <w:jc w:val="center"/>
          <w:rPr>
            <w:rFonts w:ascii="Palatino Linotype" w:hAnsi="Palatino Linotype"/>
            <w:sz w:val="24"/>
          </w:rPr>
        </w:pPr>
        <w:r>
          <w:t>A-1 (End of Appendix A)</w:t>
        </w:r>
        <w:r>
          <w:rPr>
            <w:rFonts w:ascii="Palatino Linotype" w:hAnsi="Palatino Linotype"/>
            <w:noProof/>
            <w:sz w:val="24"/>
          </w:rPr>
          <w:t xml:space="preserve"> </w:t>
        </w:r>
      </w:p>
    </w:sdtContent>
  </w:sdt>
  <w:p w:rsidR="00AF752B" w:rsidRDefault="00AF752B">
    <w:pPr>
      <w:spacing w:line="0" w:lineRule="atLeast"/>
      <w:rPr>
        <w:sz w:val="0"/>
        <w:szCs w:val="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3423963"/>
      <w:docPartObj>
        <w:docPartGallery w:val="Page Numbers (Bottom of Page)"/>
        <w:docPartUnique/>
      </w:docPartObj>
    </w:sdtPr>
    <w:sdtEndPr>
      <w:rPr>
        <w:rFonts w:ascii="Palatino Linotype" w:hAnsi="Palatino Linotype"/>
        <w:noProof/>
        <w:sz w:val="24"/>
      </w:rPr>
    </w:sdtEndPr>
    <w:sdtContent>
      <w:p w:rsidR="00263396" w:rsidRPr="000546E5" w:rsidRDefault="00263396">
        <w:pPr>
          <w:pStyle w:val="Footer"/>
          <w:jc w:val="center"/>
          <w:rPr>
            <w:rFonts w:ascii="Palatino Linotype" w:hAnsi="Palatino Linotype"/>
            <w:sz w:val="24"/>
          </w:rPr>
        </w:pPr>
        <w:r>
          <w:t>B-1 (End of Appendix B)</w:t>
        </w:r>
        <w:r>
          <w:rPr>
            <w:rFonts w:ascii="Palatino Linotype" w:hAnsi="Palatino Linotype"/>
            <w:noProof/>
            <w:sz w:val="24"/>
          </w:rPr>
          <w:t xml:space="preserve"> </w:t>
        </w:r>
      </w:p>
    </w:sdtContent>
  </w:sdt>
  <w:p w:rsidR="00263396" w:rsidRDefault="00263396">
    <w:pPr>
      <w:spacing w:line="0" w:lineRule="atLeast"/>
      <w:rPr>
        <w:sz w:val="0"/>
        <w:szCs w:val="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4814604"/>
      <w:docPartObj>
        <w:docPartGallery w:val="Page Numbers (Bottom of Page)"/>
        <w:docPartUnique/>
      </w:docPartObj>
    </w:sdtPr>
    <w:sdtEndPr>
      <w:rPr>
        <w:rFonts w:ascii="Palatino Linotype" w:hAnsi="Palatino Linotype"/>
        <w:noProof/>
        <w:sz w:val="24"/>
      </w:rPr>
    </w:sdtEndPr>
    <w:sdtContent>
      <w:p w:rsidR="002E2D31" w:rsidRPr="000546E5" w:rsidRDefault="002E2D31">
        <w:pPr>
          <w:pStyle w:val="Footer"/>
          <w:jc w:val="center"/>
          <w:rPr>
            <w:rFonts w:ascii="Palatino Linotype" w:hAnsi="Palatino Linotype"/>
            <w:sz w:val="24"/>
          </w:rPr>
        </w:pPr>
        <w:r>
          <w:t>C-1 (End of Appendix C)</w:t>
        </w:r>
        <w:r>
          <w:rPr>
            <w:rFonts w:ascii="Palatino Linotype" w:hAnsi="Palatino Linotype"/>
            <w:noProof/>
            <w:sz w:val="24"/>
          </w:rPr>
          <w:t xml:space="preserve"> </w:t>
        </w:r>
      </w:p>
    </w:sdtContent>
  </w:sdt>
  <w:p w:rsidR="002E2D31" w:rsidRDefault="002E2D31">
    <w:pPr>
      <w:spacing w:line="0" w:lineRule="atLeast"/>
      <w:rPr>
        <w:sz w:val="0"/>
        <w:szCs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38EC" w:rsidRDefault="005338EC">
      <w:r>
        <w:separator/>
      </w:r>
    </w:p>
  </w:footnote>
  <w:footnote w:type="continuationSeparator" w:id="0">
    <w:p w:rsidR="005338EC" w:rsidRDefault="005338EC">
      <w:r>
        <w:continuationSeparator/>
      </w:r>
    </w:p>
  </w:footnote>
  <w:footnote w:id="1">
    <w:p w:rsidR="00A866FE" w:rsidRDefault="00A866FE" w:rsidP="00A866FE">
      <w:pPr>
        <w:pStyle w:val="FootnoteText"/>
      </w:pPr>
      <w:r>
        <w:rPr>
          <w:rStyle w:val="FootnoteReference"/>
        </w:rPr>
        <w:footnoteRef/>
      </w:r>
      <w:r>
        <w:t xml:space="preserve"> </w:t>
      </w:r>
      <w:r w:rsidRPr="000546E5">
        <w:rPr>
          <w:rFonts w:ascii="Palatino Linotype" w:hAnsi="Palatino Linotype"/>
        </w:rPr>
        <w:t>D.</w:t>
      </w:r>
      <w:r w:rsidR="00C2602F" w:rsidRPr="000546E5">
        <w:rPr>
          <w:rFonts w:ascii="Palatino Linotype" w:hAnsi="Palatino Linotype"/>
        </w:rPr>
        <w:t>18-04-006</w:t>
      </w:r>
      <w:r w:rsidRPr="000546E5">
        <w:rPr>
          <w:rFonts w:ascii="Palatino Linotype" w:hAnsi="Palatino Linotype"/>
        </w:rPr>
        <w:t xml:space="preserve"> ordered </w:t>
      </w:r>
      <w:r w:rsidR="00F46D1F" w:rsidRPr="000546E5">
        <w:rPr>
          <w:rFonts w:ascii="Palatino Linotype" w:hAnsi="Palatino Linotype"/>
        </w:rPr>
        <w:t>Calavera</w:t>
      </w:r>
      <w:r w:rsidR="0027782D" w:rsidRPr="000546E5">
        <w:rPr>
          <w:rFonts w:ascii="Palatino Linotype" w:hAnsi="Palatino Linotype"/>
        </w:rPr>
        <w:t>s</w:t>
      </w:r>
      <w:r w:rsidRPr="000546E5">
        <w:rPr>
          <w:rFonts w:ascii="Palatino Linotype" w:hAnsi="Palatino Linotype"/>
        </w:rPr>
        <w:t xml:space="preserve"> </w:t>
      </w:r>
      <w:r w:rsidR="00427C9C">
        <w:rPr>
          <w:rFonts w:ascii="Palatino Linotype" w:hAnsi="Palatino Linotype"/>
        </w:rPr>
        <w:t xml:space="preserve">to file a Tier 2 Advice Letter </w:t>
      </w:r>
      <w:r w:rsidR="00CA47C8" w:rsidRPr="0026775A">
        <w:rPr>
          <w:rFonts w:ascii="Palatino Linotype" w:hAnsi="Palatino Linotype"/>
        </w:rPr>
        <w:t>with a revised revenue requirement</w:t>
      </w:r>
      <w:r w:rsidR="00CA47C8" w:rsidRPr="00CA47C8" w:rsidDel="00427C9C">
        <w:rPr>
          <w:rFonts w:ascii="Palatino Linotype" w:hAnsi="Palatino Linotype"/>
        </w:rPr>
        <w:t xml:space="preserve"> </w:t>
      </w:r>
      <w:r w:rsidR="00CA47C8">
        <w:rPr>
          <w:rFonts w:ascii="Palatino Linotype" w:hAnsi="Palatino Linotype"/>
        </w:rPr>
        <w:t xml:space="preserve"> and revised Results of Operation updating all items </w:t>
      </w:r>
      <w:r w:rsidR="00FF341D" w:rsidRPr="000546E5">
        <w:rPr>
          <w:rFonts w:ascii="Palatino Linotype" w:hAnsi="Palatino Linotype"/>
        </w:rPr>
        <w:t xml:space="preserve">within 30 days of </w:t>
      </w:r>
      <w:r w:rsidR="00CA47C8">
        <w:rPr>
          <w:rFonts w:ascii="Palatino Linotype" w:hAnsi="Palatino Linotype"/>
        </w:rPr>
        <w:t>the Decision’s</w:t>
      </w:r>
      <w:r w:rsidR="00CA47C8" w:rsidRPr="000546E5">
        <w:rPr>
          <w:rFonts w:ascii="Palatino Linotype" w:hAnsi="Palatino Linotype"/>
        </w:rPr>
        <w:t xml:space="preserve"> </w:t>
      </w:r>
      <w:r w:rsidR="00CA47C8">
        <w:rPr>
          <w:rFonts w:ascii="Palatino Linotype" w:hAnsi="Palatino Linotype"/>
        </w:rPr>
        <w:t xml:space="preserve">May 1 </w:t>
      </w:r>
      <w:r w:rsidR="00FF341D" w:rsidRPr="000546E5">
        <w:rPr>
          <w:rFonts w:ascii="Palatino Linotype" w:hAnsi="Palatino Linotype"/>
        </w:rPr>
        <w:t>effective date</w:t>
      </w:r>
      <w:r w:rsidRPr="000546E5">
        <w:rPr>
          <w:rFonts w:ascii="Palatino Linotype" w:hAnsi="Palatino Linotype"/>
        </w:rPr>
        <w:t>.</w:t>
      </w:r>
      <w:r>
        <w:t xml:space="preserve">  </w:t>
      </w:r>
    </w:p>
  </w:footnote>
  <w:footnote w:id="2">
    <w:p w:rsidR="00D85CED" w:rsidRPr="000546E5" w:rsidRDefault="00D85CED" w:rsidP="00D85CED">
      <w:pPr>
        <w:pStyle w:val="FootnoteText"/>
        <w:rPr>
          <w:rFonts w:ascii="Palatino Linotype" w:hAnsi="Palatino Linotype"/>
        </w:rPr>
      </w:pPr>
      <w:r w:rsidRPr="000546E5">
        <w:rPr>
          <w:rStyle w:val="FootnoteReference"/>
          <w:rFonts w:ascii="Palatino Linotype" w:hAnsi="Palatino Linotype"/>
        </w:rPr>
        <w:footnoteRef/>
      </w:r>
      <w:r w:rsidRPr="000546E5">
        <w:rPr>
          <w:rFonts w:ascii="Palatino Linotype" w:hAnsi="Palatino Linotype"/>
        </w:rPr>
        <w:t xml:space="preserve"> </w:t>
      </w:r>
      <w:r w:rsidR="00F46D1F" w:rsidRPr="000546E5">
        <w:rPr>
          <w:rFonts w:ascii="Palatino Linotype" w:hAnsi="Palatino Linotype"/>
        </w:rPr>
        <w:t>Calavera</w:t>
      </w:r>
      <w:r w:rsidR="0027782D" w:rsidRPr="000546E5">
        <w:rPr>
          <w:rFonts w:ascii="Palatino Linotype" w:hAnsi="Palatino Linotype"/>
        </w:rPr>
        <w:t>s’</w:t>
      </w:r>
      <w:r w:rsidRPr="000546E5">
        <w:rPr>
          <w:rFonts w:ascii="Palatino Linotype" w:hAnsi="Palatino Linotype"/>
        </w:rPr>
        <w:t xml:space="preserve"> adopted revenue requirement for TY 2018 per D.</w:t>
      </w:r>
      <w:r w:rsidR="00C2602F" w:rsidRPr="000546E5">
        <w:rPr>
          <w:rFonts w:ascii="Palatino Linotype" w:hAnsi="Palatino Linotype"/>
        </w:rPr>
        <w:t>18-04-006</w:t>
      </w:r>
      <w:r w:rsidRPr="000546E5">
        <w:rPr>
          <w:rFonts w:ascii="Palatino Linotype" w:hAnsi="Palatino Linotype"/>
        </w:rPr>
        <w:t xml:space="preserve"> was based on a 34% federal income tax rate.</w:t>
      </w:r>
    </w:p>
  </w:footnote>
  <w:footnote w:id="3">
    <w:p w:rsidR="004F0B34" w:rsidRPr="000546E5" w:rsidRDefault="004F0B34" w:rsidP="00887E46">
      <w:pPr>
        <w:pStyle w:val="FootnoteText"/>
        <w:rPr>
          <w:rFonts w:ascii="Palatino Linotype" w:hAnsi="Palatino Linotype"/>
        </w:rPr>
      </w:pPr>
      <w:r w:rsidRPr="000546E5">
        <w:rPr>
          <w:rStyle w:val="FootnoteReference"/>
          <w:rFonts w:ascii="Palatino Linotype" w:hAnsi="Palatino Linotype"/>
        </w:rPr>
        <w:footnoteRef/>
      </w:r>
      <w:r w:rsidRPr="000546E5">
        <w:rPr>
          <w:rFonts w:ascii="Palatino Linotype" w:hAnsi="Palatino Linotype"/>
        </w:rPr>
        <w:t xml:space="preserve"> Calaveras asserted that its methodology was based on the National Exchange Carrier Association</w:t>
      </w:r>
      <w:r w:rsidR="00887E46" w:rsidRPr="000546E5">
        <w:rPr>
          <w:rFonts w:ascii="Palatino Linotype" w:hAnsi="Palatino Linotype"/>
        </w:rPr>
        <w:t xml:space="preserve"> </w:t>
      </w:r>
      <w:r w:rsidR="00430E28">
        <w:rPr>
          <w:rFonts w:ascii="Palatino Linotype" w:hAnsi="Palatino Linotype"/>
        </w:rPr>
        <w:t xml:space="preserve">(NECA) </w:t>
      </w:r>
      <w:r w:rsidR="00887E46" w:rsidRPr="000546E5">
        <w:rPr>
          <w:rFonts w:ascii="Palatino Linotype" w:hAnsi="Palatino Linotype"/>
        </w:rPr>
        <w:t>interpretational guidelines issued in January 2018.</w:t>
      </w:r>
    </w:p>
  </w:footnote>
  <w:footnote w:id="4">
    <w:p w:rsidR="00F06B84" w:rsidRPr="000546E5" w:rsidRDefault="00F06B84" w:rsidP="00F06B84">
      <w:pPr>
        <w:pStyle w:val="FootnoteText"/>
        <w:rPr>
          <w:rFonts w:ascii="Palatino Linotype" w:hAnsi="Palatino Linotype"/>
        </w:rPr>
      </w:pPr>
      <w:r>
        <w:rPr>
          <w:rStyle w:val="FootnoteReference"/>
        </w:rPr>
        <w:footnoteRef/>
      </w:r>
      <w:r>
        <w:t xml:space="preserve"> </w:t>
      </w:r>
      <w:r w:rsidRPr="000546E5">
        <w:rPr>
          <w:rFonts w:ascii="Palatino Linotype" w:hAnsi="Palatino Linotype"/>
        </w:rPr>
        <w:t>See Appendix B.</w:t>
      </w:r>
    </w:p>
  </w:footnote>
  <w:footnote w:id="5">
    <w:p w:rsidR="0094333D" w:rsidRPr="000546E5" w:rsidRDefault="0094333D">
      <w:pPr>
        <w:pStyle w:val="FootnoteText"/>
        <w:rPr>
          <w:rFonts w:ascii="Palatino Linotype" w:hAnsi="Palatino Linotype"/>
        </w:rPr>
      </w:pPr>
      <w:r w:rsidRPr="000546E5">
        <w:rPr>
          <w:rStyle w:val="FootnoteReference"/>
          <w:rFonts w:ascii="Palatino Linotype" w:hAnsi="Palatino Linotype"/>
        </w:rPr>
        <w:footnoteRef/>
      </w:r>
      <w:r w:rsidRPr="000546E5">
        <w:rPr>
          <w:rFonts w:ascii="Palatino Linotype" w:hAnsi="Palatino Linotype"/>
        </w:rPr>
        <w:t xml:space="preserve"> Staff also corrects for </w:t>
      </w:r>
      <w:r w:rsidR="00F46D1F" w:rsidRPr="000546E5">
        <w:rPr>
          <w:rFonts w:ascii="Palatino Linotype" w:hAnsi="Palatino Linotype"/>
        </w:rPr>
        <w:t>Calavera</w:t>
      </w:r>
      <w:r w:rsidR="0027782D" w:rsidRPr="000546E5">
        <w:rPr>
          <w:rFonts w:ascii="Palatino Linotype" w:hAnsi="Palatino Linotype"/>
        </w:rPr>
        <w:t>s’</w:t>
      </w:r>
      <w:r w:rsidRPr="000546E5">
        <w:rPr>
          <w:rFonts w:ascii="Palatino Linotype" w:hAnsi="Palatino Linotype"/>
        </w:rPr>
        <w:t xml:space="preserve"> removal of </w:t>
      </w:r>
      <w:r w:rsidR="007C274B" w:rsidRPr="000546E5">
        <w:rPr>
          <w:rFonts w:ascii="Palatino Linotype" w:hAnsi="Palatino Linotype"/>
        </w:rPr>
        <w:t xml:space="preserve">the entire </w:t>
      </w:r>
      <w:r w:rsidRPr="000546E5">
        <w:rPr>
          <w:rFonts w:ascii="Palatino Linotype" w:hAnsi="Palatino Linotype"/>
        </w:rPr>
        <w:t>excess deferred tax</w:t>
      </w:r>
      <w:r w:rsidR="007C274B" w:rsidRPr="000546E5">
        <w:rPr>
          <w:rFonts w:ascii="Palatino Linotype" w:hAnsi="Palatino Linotype"/>
        </w:rPr>
        <w:t xml:space="preserve"> balance</w:t>
      </w:r>
      <w:r w:rsidRPr="000546E5">
        <w:rPr>
          <w:rFonts w:ascii="Palatino Linotype" w:hAnsi="Palatino Linotype"/>
        </w:rPr>
        <w:t xml:space="preserve"> from rate base. </w:t>
      </w:r>
    </w:p>
  </w:footnote>
  <w:footnote w:id="6">
    <w:p w:rsidR="0096028C" w:rsidRPr="000546E5" w:rsidRDefault="0096028C">
      <w:pPr>
        <w:pStyle w:val="FootnoteText"/>
        <w:rPr>
          <w:rFonts w:ascii="Palatino Linotype" w:hAnsi="Palatino Linotype"/>
        </w:rPr>
      </w:pPr>
      <w:r w:rsidRPr="000546E5">
        <w:rPr>
          <w:rStyle w:val="FootnoteReference"/>
          <w:rFonts w:ascii="Palatino Linotype" w:hAnsi="Palatino Linotype"/>
        </w:rPr>
        <w:footnoteRef/>
      </w:r>
      <w:r w:rsidRPr="000546E5">
        <w:rPr>
          <w:rFonts w:ascii="Palatino Linotype" w:hAnsi="Palatino Linotype"/>
        </w:rPr>
        <w:t xml:space="preserve"> Energy Division agrees with CD’s proposed methodology.  Water Division’s methodology is quite similar, but further considers changes to franchise fees and uncollectibles, which is not a </w:t>
      </w:r>
      <w:r w:rsidR="000D05A6" w:rsidRPr="000546E5">
        <w:rPr>
          <w:rFonts w:ascii="Palatino Linotype" w:hAnsi="Palatino Linotype"/>
        </w:rPr>
        <w:t>material factor for communications companies.</w:t>
      </w:r>
    </w:p>
  </w:footnote>
  <w:footnote w:id="7">
    <w:p w:rsidR="006F11DF" w:rsidRPr="000546E5" w:rsidRDefault="006F11DF">
      <w:pPr>
        <w:pStyle w:val="FootnoteText"/>
        <w:rPr>
          <w:rFonts w:ascii="Palatino Linotype" w:hAnsi="Palatino Linotype"/>
        </w:rPr>
      </w:pPr>
      <w:r>
        <w:rPr>
          <w:rStyle w:val="FootnoteReference"/>
        </w:rPr>
        <w:footnoteRef/>
      </w:r>
      <w:r>
        <w:t xml:space="preserve"> </w:t>
      </w:r>
      <w:r w:rsidR="000C3961" w:rsidRPr="000546E5">
        <w:rPr>
          <w:rFonts w:ascii="Palatino Linotype" w:hAnsi="Palatino Linotype"/>
        </w:rPr>
        <w:t>I</w:t>
      </w:r>
      <w:r w:rsidR="00502857" w:rsidRPr="000546E5">
        <w:rPr>
          <w:rFonts w:ascii="Palatino Linotype" w:hAnsi="Palatino Linotype"/>
        </w:rPr>
        <w:t xml:space="preserve">nternal </w:t>
      </w:r>
      <w:r w:rsidR="000C3961" w:rsidRPr="000546E5">
        <w:rPr>
          <w:rFonts w:ascii="Palatino Linotype" w:hAnsi="Palatino Linotype"/>
        </w:rPr>
        <w:t>R</w:t>
      </w:r>
      <w:r w:rsidR="00502857" w:rsidRPr="000546E5">
        <w:rPr>
          <w:rFonts w:ascii="Palatino Linotype" w:hAnsi="Palatino Linotype"/>
        </w:rPr>
        <w:t xml:space="preserve">evenue </w:t>
      </w:r>
      <w:r w:rsidR="000C3961" w:rsidRPr="000546E5">
        <w:rPr>
          <w:rFonts w:ascii="Palatino Linotype" w:hAnsi="Palatino Linotype"/>
        </w:rPr>
        <w:t>C</w:t>
      </w:r>
      <w:r w:rsidR="00502857" w:rsidRPr="000546E5">
        <w:rPr>
          <w:rFonts w:ascii="Palatino Linotype" w:hAnsi="Palatino Linotype"/>
        </w:rPr>
        <w:t>ode</w:t>
      </w:r>
      <w:r w:rsidR="000C3961" w:rsidRPr="000546E5">
        <w:rPr>
          <w:rFonts w:ascii="Palatino Linotype" w:hAnsi="Palatino Linotype"/>
        </w:rPr>
        <w:t xml:space="preserve"> Sec. 168(f)(2) contain normalization requirements.</w:t>
      </w:r>
    </w:p>
  </w:footnote>
  <w:footnote w:id="8">
    <w:p w:rsidR="00887E46" w:rsidRPr="000546E5" w:rsidRDefault="00887E46" w:rsidP="000546E5">
      <w:pPr>
        <w:pStyle w:val="FootnoteText"/>
        <w:ind w:left="180" w:hanging="180"/>
        <w:rPr>
          <w:rFonts w:ascii="Palatino Linotype" w:hAnsi="Palatino Linotype"/>
        </w:rPr>
      </w:pPr>
      <w:r w:rsidRPr="000546E5">
        <w:rPr>
          <w:rStyle w:val="FootnoteReference"/>
          <w:rFonts w:ascii="Palatino Linotype" w:hAnsi="Palatino Linotype"/>
        </w:rPr>
        <w:footnoteRef/>
      </w:r>
      <w:r w:rsidRPr="000546E5">
        <w:rPr>
          <w:rFonts w:ascii="Palatino Linotype" w:hAnsi="Palatino Linotype"/>
        </w:rPr>
        <w:t xml:space="preserve"> Section 13001</w:t>
      </w:r>
      <w:r>
        <w:rPr>
          <w:rFonts w:ascii="Palatino Linotype" w:hAnsi="Palatino Linotype"/>
        </w:rPr>
        <w:t xml:space="preserve"> </w:t>
      </w:r>
      <w:r w:rsidR="004831C3">
        <w:rPr>
          <w:rFonts w:ascii="Palatino Linotype" w:hAnsi="Palatino Linotype"/>
        </w:rPr>
        <w:t>(d)(3)</w:t>
      </w:r>
      <w:r>
        <w:rPr>
          <w:rFonts w:ascii="Palatino Linotype" w:hAnsi="Palatino Linotype"/>
        </w:rPr>
        <w:t>(B)</w:t>
      </w:r>
      <w:r w:rsidRPr="000546E5">
        <w:rPr>
          <w:rFonts w:ascii="Palatino Linotype" w:hAnsi="Palatino Linotype"/>
        </w:rPr>
        <w:t xml:space="preserve"> of the Tax Cuts and Jobs Act of 2017 P.L. 115-97, “The </w:t>
      </w:r>
      <w:r w:rsidR="004831C3">
        <w:rPr>
          <w:rFonts w:ascii="Palatino Linotype" w:hAnsi="Palatino Linotype"/>
        </w:rPr>
        <w:t>average rate assumption method i</w:t>
      </w:r>
      <w:r w:rsidRPr="000546E5">
        <w:rPr>
          <w:rFonts w:ascii="Palatino Linotype" w:hAnsi="Palatino Linotype"/>
        </w:rPr>
        <w:t>s the method under which the excess in the reserve for deferred taxes is reduced over the remaining lives of the property as used in its regulated books of account which gave rise to the reserve for deferred taxes”.</w:t>
      </w:r>
    </w:p>
  </w:footnote>
  <w:footnote w:id="9">
    <w:p w:rsidR="004D087C" w:rsidRDefault="004D087C" w:rsidP="004D087C">
      <w:pPr>
        <w:pStyle w:val="FootnoteText"/>
      </w:pPr>
      <w:r>
        <w:rPr>
          <w:rStyle w:val="FootnoteReference"/>
        </w:rPr>
        <w:footnoteRef/>
      </w:r>
      <w:r>
        <w:t xml:space="preserve"> Internal Revenue Code 168(f)(2) states that the code section (use of accelerated depreciation) will not apply to any public utility property that does not use a normalization method of accounting.  Therefore, public utilities must use normalization to receive the benefit of accelerated depreciation.  The fact that Cal</w:t>
      </w:r>
      <w:r w:rsidR="003D55D3">
        <w:t>averas</w:t>
      </w:r>
      <w:r>
        <w:t xml:space="preserve"> has a deferred income tax balance demonstrates that it normalizes its deferred tax.</w:t>
      </w:r>
    </w:p>
  </w:footnote>
  <w:footnote w:id="10">
    <w:p w:rsidR="004D087C" w:rsidRDefault="004D087C" w:rsidP="004D087C">
      <w:pPr>
        <w:pStyle w:val="FootnoteText"/>
      </w:pPr>
      <w:r>
        <w:rPr>
          <w:rStyle w:val="FootnoteReference"/>
        </w:rPr>
        <w:footnoteRef/>
      </w:r>
      <w:r>
        <w:t xml:space="preserve"> The Tax Cut and Jobs Act 13001(d).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32CA" w:rsidRDefault="004F100D" w:rsidP="003432CA">
    <w:pPr>
      <w:tabs>
        <w:tab w:val="center" w:pos="4500"/>
        <w:tab w:val="right" w:pos="9000"/>
      </w:tabs>
      <w:spacing w:line="200" w:lineRule="exact"/>
      <w:rPr>
        <w:rFonts w:ascii="Palatino Linotype" w:hAnsi="Palatino Linotype"/>
        <w:sz w:val="24"/>
        <w:szCs w:val="24"/>
      </w:rPr>
    </w:pPr>
    <w:r w:rsidRPr="002877B3">
      <w:rPr>
        <w:rFonts w:ascii="Palatino Linotype" w:hAnsi="Palatino Linotype"/>
        <w:sz w:val="24"/>
        <w:szCs w:val="24"/>
      </w:rPr>
      <w:t>Resolution T-176</w:t>
    </w:r>
    <w:r w:rsidR="00F82A45">
      <w:rPr>
        <w:rFonts w:ascii="Palatino Linotype" w:hAnsi="Palatino Linotype"/>
        <w:sz w:val="24"/>
        <w:szCs w:val="24"/>
      </w:rPr>
      <w:t>26</w:t>
    </w:r>
    <w:r w:rsidR="00202755">
      <w:rPr>
        <w:rFonts w:ascii="Palatino Linotype" w:hAnsi="Palatino Linotype"/>
        <w:sz w:val="24"/>
        <w:szCs w:val="24"/>
      </w:rPr>
      <w:tab/>
    </w:r>
    <w:r w:rsidR="009A0D52" w:rsidRPr="002877B3">
      <w:rPr>
        <w:rFonts w:ascii="Palatino Linotype" w:hAnsi="Palatino Linotype"/>
        <w:sz w:val="24"/>
        <w:szCs w:val="24"/>
      </w:rPr>
      <w:t>DRAFT</w:t>
    </w:r>
    <w:r w:rsidR="003432CA">
      <w:rPr>
        <w:rFonts w:ascii="Palatino Linotype" w:hAnsi="Palatino Linotype"/>
        <w:sz w:val="24"/>
        <w:szCs w:val="24"/>
      </w:rPr>
      <w:tab/>
      <w:t>8/23/2018</w:t>
    </w:r>
  </w:p>
  <w:p w:rsidR="004F100D" w:rsidRDefault="004F100D" w:rsidP="002877B3">
    <w:pPr>
      <w:spacing w:line="300" w:lineRule="exact"/>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C</w:t>
    </w:r>
    <w:r>
      <w:rPr>
        <w:rFonts w:ascii="Palatino Linotype" w:eastAsia="Palatino Linotype" w:hAnsi="Palatino Linotype" w:cs="Palatino Linotype"/>
        <w:spacing w:val="-1"/>
        <w:sz w:val="24"/>
        <w:szCs w:val="24"/>
      </w:rPr>
      <w:t>D</w:t>
    </w:r>
    <w:r>
      <w:rPr>
        <w:rFonts w:ascii="Palatino Linotype" w:eastAsia="Palatino Linotype" w:hAnsi="Palatino Linotype" w:cs="Palatino Linotype"/>
        <w:spacing w:val="1"/>
        <w:sz w:val="24"/>
        <w:szCs w:val="24"/>
      </w:rPr>
      <w:t>\</w:t>
    </w:r>
    <w:r w:rsidR="00F82A45">
      <w:rPr>
        <w:rFonts w:ascii="Palatino Linotype" w:eastAsia="Palatino Linotype" w:hAnsi="Palatino Linotype" w:cs="Palatino Linotype"/>
        <w:spacing w:val="1"/>
        <w:sz w:val="24"/>
        <w:szCs w:val="24"/>
      </w:rPr>
      <w:t>MWC</w:t>
    </w:r>
  </w:p>
  <w:p w:rsidR="004F100D" w:rsidRPr="002877B3" w:rsidRDefault="004F100D">
    <w:pPr>
      <w:spacing w:line="200" w:lineRule="exact"/>
      <w:rPr>
        <w:rFonts w:ascii="Palatino Linotype" w:hAnsi="Palatino Linotype"/>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621E" w:rsidRDefault="004F100D" w:rsidP="0070621E">
    <w:pPr>
      <w:spacing w:before="20"/>
      <w:rPr>
        <w:rFonts w:ascii="Palatino Linotype" w:eastAsia="Palatino Linotype" w:hAnsi="Palatino Linotype" w:cs="Palatino Linotype"/>
        <w:spacing w:val="-1"/>
        <w:sz w:val="24"/>
        <w:szCs w:val="24"/>
      </w:rPr>
    </w:pPr>
    <w:r>
      <w:rPr>
        <w:rFonts w:ascii="Palatino Linotype" w:eastAsia="Palatino Linotype" w:hAnsi="Palatino Linotype" w:cs="Palatino Linotype"/>
        <w:sz w:val="24"/>
        <w:szCs w:val="24"/>
      </w:rPr>
      <w:t>Re</w:t>
    </w:r>
    <w:r>
      <w:rPr>
        <w:rFonts w:ascii="Palatino Linotype" w:eastAsia="Palatino Linotype" w:hAnsi="Palatino Linotype" w:cs="Palatino Linotype"/>
        <w:spacing w:val="-1"/>
        <w:sz w:val="24"/>
        <w:szCs w:val="24"/>
      </w:rPr>
      <w:t>s</w:t>
    </w:r>
    <w:r>
      <w:rPr>
        <w:rFonts w:ascii="Palatino Linotype" w:eastAsia="Palatino Linotype" w:hAnsi="Palatino Linotype" w:cs="Palatino Linotype"/>
        <w:spacing w:val="1"/>
        <w:sz w:val="24"/>
        <w:szCs w:val="24"/>
      </w:rPr>
      <w:t>o</w:t>
    </w:r>
    <w:r>
      <w:rPr>
        <w:rFonts w:ascii="Palatino Linotype" w:eastAsia="Palatino Linotype" w:hAnsi="Palatino Linotype" w:cs="Palatino Linotype"/>
        <w:sz w:val="24"/>
        <w:szCs w:val="24"/>
      </w:rPr>
      <w:t>l</w:t>
    </w:r>
    <w:r>
      <w:rPr>
        <w:rFonts w:ascii="Palatino Linotype" w:eastAsia="Palatino Linotype" w:hAnsi="Palatino Linotype" w:cs="Palatino Linotype"/>
        <w:spacing w:val="-1"/>
        <w:sz w:val="24"/>
        <w:szCs w:val="24"/>
      </w:rPr>
      <w:t>u</w:t>
    </w:r>
    <w:r>
      <w:rPr>
        <w:rFonts w:ascii="Palatino Linotype" w:eastAsia="Palatino Linotype" w:hAnsi="Palatino Linotype" w:cs="Palatino Linotype"/>
        <w:spacing w:val="1"/>
        <w:sz w:val="24"/>
        <w:szCs w:val="24"/>
      </w:rPr>
      <w:t>t</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pacing w:val="1"/>
        <w:sz w:val="24"/>
        <w:szCs w:val="24"/>
      </w:rPr>
      <w:t>o</w:t>
    </w:r>
    <w:r>
      <w:rPr>
        <w:rFonts w:ascii="Palatino Linotype" w:eastAsia="Palatino Linotype" w:hAnsi="Palatino Linotype" w:cs="Palatino Linotype"/>
        <w:sz w:val="24"/>
        <w:szCs w:val="24"/>
      </w:rPr>
      <w:t>n T</w:t>
    </w:r>
    <w:r>
      <w:rPr>
        <w:rFonts w:ascii="Palatino Linotype" w:eastAsia="Palatino Linotype" w:hAnsi="Palatino Linotype" w:cs="Palatino Linotype"/>
        <w:spacing w:val="-1"/>
        <w:sz w:val="24"/>
        <w:szCs w:val="24"/>
      </w:rPr>
      <w:t>-176</w:t>
    </w:r>
    <w:r w:rsidR="00F82A45">
      <w:rPr>
        <w:rFonts w:ascii="Palatino Linotype" w:eastAsia="Palatino Linotype" w:hAnsi="Palatino Linotype" w:cs="Palatino Linotype"/>
        <w:spacing w:val="-1"/>
        <w:sz w:val="24"/>
        <w:szCs w:val="24"/>
      </w:rPr>
      <w:t>26</w:t>
    </w:r>
    <w:r>
      <w:rPr>
        <w:rFonts w:ascii="Palatino Linotype" w:eastAsia="Palatino Linotype" w:hAnsi="Palatino Linotype" w:cs="Palatino Linotype"/>
        <w:sz w:val="24"/>
        <w:szCs w:val="24"/>
      </w:rPr>
      <w:t xml:space="preserve">                                   DRAFT                               </w:t>
    </w:r>
    <w:r>
      <w:rPr>
        <w:rFonts w:ascii="Palatino Linotype" w:eastAsia="Palatino Linotype" w:hAnsi="Palatino Linotype" w:cs="Palatino Linotype"/>
        <w:spacing w:val="-1"/>
        <w:sz w:val="24"/>
        <w:szCs w:val="24"/>
      </w:rPr>
      <w:t>Agenda ID#</w:t>
    </w:r>
    <w:r w:rsidR="009A316F">
      <w:rPr>
        <w:rFonts w:ascii="Palatino Linotype" w:eastAsia="Palatino Linotype" w:hAnsi="Palatino Linotype" w:cs="Palatino Linotype"/>
        <w:spacing w:val="-1"/>
        <w:sz w:val="24"/>
        <w:szCs w:val="24"/>
      </w:rPr>
      <w:t xml:space="preserve"> </w:t>
    </w:r>
    <w:r w:rsidR="00AB27ED">
      <w:rPr>
        <w:rFonts w:ascii="Palatino Linotype" w:eastAsia="Palatino Linotype" w:hAnsi="Palatino Linotype" w:cs="Palatino Linotype"/>
        <w:spacing w:val="-1"/>
        <w:sz w:val="24"/>
        <w:szCs w:val="24"/>
      </w:rPr>
      <w:t>16706</w:t>
    </w:r>
    <w:r w:rsidR="00246038">
      <w:rPr>
        <w:rFonts w:ascii="Palatino Linotype" w:eastAsia="Palatino Linotype" w:hAnsi="Palatino Linotype" w:cs="Palatino Linotype"/>
        <w:spacing w:val="-1"/>
        <w:sz w:val="24"/>
        <w:szCs w:val="24"/>
      </w:rPr>
      <w:t xml:space="preserve"> (Rev. 1)</w:t>
    </w:r>
  </w:p>
  <w:p w:rsidR="004F100D" w:rsidRDefault="004F100D" w:rsidP="0070621E">
    <w:pPr>
      <w:spacing w:before="20"/>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C</w:t>
    </w:r>
    <w:r>
      <w:rPr>
        <w:rFonts w:ascii="Palatino Linotype" w:eastAsia="Palatino Linotype" w:hAnsi="Palatino Linotype" w:cs="Palatino Linotype"/>
        <w:spacing w:val="-1"/>
        <w:sz w:val="24"/>
        <w:szCs w:val="24"/>
      </w:rPr>
      <w:t>D</w:t>
    </w:r>
    <w:r>
      <w:rPr>
        <w:rFonts w:ascii="Palatino Linotype" w:eastAsia="Palatino Linotype" w:hAnsi="Palatino Linotype" w:cs="Palatino Linotype"/>
        <w:spacing w:val="1"/>
        <w:sz w:val="24"/>
        <w:szCs w:val="24"/>
      </w:rPr>
      <w:t>\</w:t>
    </w:r>
    <w:r w:rsidR="00F82A45">
      <w:rPr>
        <w:rFonts w:ascii="Palatino Linotype" w:eastAsia="Palatino Linotype" w:hAnsi="Palatino Linotype" w:cs="Palatino Linotype"/>
        <w:spacing w:val="1"/>
        <w:sz w:val="24"/>
        <w:szCs w:val="24"/>
      </w:rPr>
      <w:t>MWC</w:t>
    </w:r>
    <w:r w:rsidR="003955C1">
      <w:rPr>
        <w:rFonts w:ascii="Palatino Linotype" w:eastAsia="Palatino Linotype" w:hAnsi="Palatino Linotype" w:cs="Palatino Linotype"/>
        <w:spacing w:val="1"/>
        <w:sz w:val="24"/>
        <w:szCs w:val="24"/>
      </w:rPr>
      <w:tab/>
    </w:r>
    <w:r w:rsidR="003955C1">
      <w:rPr>
        <w:rFonts w:ascii="Palatino Linotype" w:eastAsia="Palatino Linotype" w:hAnsi="Palatino Linotype" w:cs="Palatino Linotype"/>
        <w:spacing w:val="1"/>
        <w:sz w:val="24"/>
        <w:szCs w:val="24"/>
      </w:rPr>
      <w:tab/>
    </w:r>
    <w:r w:rsidR="003955C1">
      <w:rPr>
        <w:rFonts w:ascii="Palatino Linotype" w:eastAsia="Palatino Linotype" w:hAnsi="Palatino Linotype" w:cs="Palatino Linotype"/>
        <w:spacing w:val="1"/>
        <w:sz w:val="24"/>
        <w:szCs w:val="24"/>
      </w:rPr>
      <w:tab/>
    </w:r>
    <w:r w:rsidR="003955C1">
      <w:rPr>
        <w:rFonts w:ascii="Palatino Linotype" w:eastAsia="Palatino Linotype" w:hAnsi="Palatino Linotype" w:cs="Palatino Linotype"/>
        <w:spacing w:val="1"/>
        <w:sz w:val="24"/>
        <w:szCs w:val="24"/>
      </w:rPr>
      <w:tab/>
    </w:r>
    <w:r w:rsidR="003955C1">
      <w:rPr>
        <w:rFonts w:ascii="Palatino Linotype" w:eastAsia="Palatino Linotype" w:hAnsi="Palatino Linotype" w:cs="Palatino Linotype"/>
        <w:spacing w:val="1"/>
        <w:sz w:val="24"/>
        <w:szCs w:val="24"/>
      </w:rPr>
      <w:tab/>
    </w:r>
    <w:r w:rsidR="003955C1">
      <w:rPr>
        <w:rFonts w:ascii="Palatino Linotype" w:eastAsia="Palatino Linotype" w:hAnsi="Palatino Linotype" w:cs="Palatino Linotype"/>
        <w:spacing w:val="1"/>
        <w:sz w:val="24"/>
        <w:szCs w:val="24"/>
      </w:rPr>
      <w:tab/>
    </w:r>
    <w:r w:rsidR="003955C1">
      <w:rPr>
        <w:rFonts w:ascii="Palatino Linotype" w:eastAsia="Palatino Linotype" w:hAnsi="Palatino Linotype" w:cs="Palatino Linotype"/>
        <w:spacing w:val="1"/>
        <w:sz w:val="24"/>
        <w:szCs w:val="24"/>
      </w:rPr>
      <w:tab/>
    </w:r>
    <w:r w:rsidR="009A316F">
      <w:rPr>
        <w:rFonts w:ascii="Palatino Linotype" w:eastAsia="Palatino Linotype" w:hAnsi="Palatino Linotype" w:cs="Palatino Linotype"/>
        <w:spacing w:val="1"/>
        <w:sz w:val="24"/>
        <w:szCs w:val="24"/>
      </w:rPr>
      <w:tab/>
      <w:t xml:space="preserve">     </w:t>
    </w:r>
    <w:r w:rsidR="00246038">
      <w:rPr>
        <w:rFonts w:ascii="Palatino Linotype" w:eastAsia="Palatino Linotype" w:hAnsi="Palatino Linotype" w:cs="Palatino Linotype"/>
        <w:spacing w:val="1"/>
        <w:sz w:val="24"/>
        <w:szCs w:val="24"/>
      </w:rPr>
      <w:t>I</w:t>
    </w:r>
    <w:r w:rsidR="00F958A8">
      <w:rPr>
        <w:rFonts w:ascii="Palatino Linotype" w:eastAsia="Palatino Linotype" w:hAnsi="Palatino Linotype" w:cs="Palatino Linotype"/>
        <w:spacing w:val="1"/>
        <w:sz w:val="24"/>
        <w:szCs w:val="24"/>
      </w:rPr>
      <w:t>tem</w:t>
    </w:r>
    <w:r w:rsidR="009A316F">
      <w:rPr>
        <w:rFonts w:ascii="Palatino Linotype" w:eastAsia="Palatino Linotype" w:hAnsi="Palatino Linotype" w:cs="Palatino Linotype"/>
        <w:spacing w:val="1"/>
        <w:sz w:val="24"/>
        <w:szCs w:val="24"/>
      </w:rPr>
      <w:t xml:space="preserve"># </w:t>
    </w:r>
    <w:r w:rsidR="00F958A8">
      <w:rPr>
        <w:rFonts w:ascii="Palatino Linotype" w:eastAsia="Palatino Linotype" w:hAnsi="Palatino Linotype" w:cs="Palatino Linotype"/>
        <w:spacing w:val="1"/>
        <w:sz w:val="24"/>
        <w:szCs w:val="24"/>
      </w:rPr>
      <w:t>12</w:t>
    </w:r>
    <w:r w:rsidR="00246038">
      <w:rPr>
        <w:rFonts w:ascii="Palatino Linotype" w:eastAsia="Palatino Linotype" w:hAnsi="Palatino Linotype" w:cs="Palatino Linotype"/>
        <w:spacing w:val="1"/>
        <w:sz w:val="24"/>
        <w:szCs w:val="24"/>
      </w:rPr>
      <w:t xml:space="preserve"> </w:t>
    </w:r>
  </w:p>
  <w:p w:rsidR="004F100D" w:rsidRDefault="004F100D" w:rsidP="002877B3">
    <w:pPr>
      <w:spacing w:line="200" w:lineRule="exact"/>
    </w:pPr>
  </w:p>
  <w:p w:rsidR="004F100D" w:rsidRDefault="004F100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32CA" w:rsidRDefault="003432CA" w:rsidP="0070621E">
    <w:pPr>
      <w:spacing w:before="20"/>
      <w:rPr>
        <w:rFonts w:ascii="Palatino Linotype" w:eastAsia="Palatino Linotype" w:hAnsi="Palatino Linotype" w:cs="Palatino Linotype"/>
        <w:spacing w:val="-1"/>
        <w:sz w:val="24"/>
        <w:szCs w:val="24"/>
      </w:rPr>
    </w:pPr>
    <w:r>
      <w:rPr>
        <w:rFonts w:ascii="Palatino Linotype" w:eastAsia="Palatino Linotype" w:hAnsi="Palatino Linotype" w:cs="Palatino Linotype"/>
        <w:sz w:val="24"/>
        <w:szCs w:val="24"/>
      </w:rPr>
      <w:t>Re</w:t>
    </w:r>
    <w:r>
      <w:rPr>
        <w:rFonts w:ascii="Palatino Linotype" w:eastAsia="Palatino Linotype" w:hAnsi="Palatino Linotype" w:cs="Palatino Linotype"/>
        <w:spacing w:val="-1"/>
        <w:sz w:val="24"/>
        <w:szCs w:val="24"/>
      </w:rPr>
      <w:t>s</w:t>
    </w:r>
    <w:r>
      <w:rPr>
        <w:rFonts w:ascii="Palatino Linotype" w:eastAsia="Palatino Linotype" w:hAnsi="Palatino Linotype" w:cs="Palatino Linotype"/>
        <w:spacing w:val="1"/>
        <w:sz w:val="24"/>
        <w:szCs w:val="24"/>
      </w:rPr>
      <w:t>o</w:t>
    </w:r>
    <w:r>
      <w:rPr>
        <w:rFonts w:ascii="Palatino Linotype" w:eastAsia="Palatino Linotype" w:hAnsi="Palatino Linotype" w:cs="Palatino Linotype"/>
        <w:sz w:val="24"/>
        <w:szCs w:val="24"/>
      </w:rPr>
      <w:t>l</w:t>
    </w:r>
    <w:r>
      <w:rPr>
        <w:rFonts w:ascii="Palatino Linotype" w:eastAsia="Palatino Linotype" w:hAnsi="Palatino Linotype" w:cs="Palatino Linotype"/>
        <w:spacing w:val="-1"/>
        <w:sz w:val="24"/>
        <w:szCs w:val="24"/>
      </w:rPr>
      <w:t>u</w:t>
    </w:r>
    <w:r>
      <w:rPr>
        <w:rFonts w:ascii="Palatino Linotype" w:eastAsia="Palatino Linotype" w:hAnsi="Palatino Linotype" w:cs="Palatino Linotype"/>
        <w:spacing w:val="1"/>
        <w:sz w:val="24"/>
        <w:szCs w:val="24"/>
      </w:rPr>
      <w:t>t</w:t>
    </w:r>
    <w:r>
      <w:rPr>
        <w:rFonts w:ascii="Palatino Linotype" w:eastAsia="Palatino Linotype" w:hAnsi="Palatino Linotype" w:cs="Palatino Linotype"/>
        <w:spacing w:val="-3"/>
        <w:sz w:val="24"/>
        <w:szCs w:val="24"/>
      </w:rPr>
      <w:t>i</w:t>
    </w:r>
    <w:r>
      <w:rPr>
        <w:rFonts w:ascii="Palatino Linotype" w:eastAsia="Palatino Linotype" w:hAnsi="Palatino Linotype" w:cs="Palatino Linotype"/>
        <w:spacing w:val="1"/>
        <w:sz w:val="24"/>
        <w:szCs w:val="24"/>
      </w:rPr>
      <w:t>o</w:t>
    </w:r>
    <w:r>
      <w:rPr>
        <w:rFonts w:ascii="Palatino Linotype" w:eastAsia="Palatino Linotype" w:hAnsi="Palatino Linotype" w:cs="Palatino Linotype"/>
        <w:sz w:val="24"/>
        <w:szCs w:val="24"/>
      </w:rPr>
      <w:t>n T</w:t>
    </w:r>
    <w:r>
      <w:rPr>
        <w:rFonts w:ascii="Palatino Linotype" w:eastAsia="Palatino Linotype" w:hAnsi="Palatino Linotype" w:cs="Palatino Linotype"/>
        <w:spacing w:val="-1"/>
        <w:sz w:val="24"/>
        <w:szCs w:val="24"/>
      </w:rPr>
      <w:t>-17626</w:t>
    </w:r>
    <w:r>
      <w:rPr>
        <w:rFonts w:ascii="Palatino Linotype" w:eastAsia="Palatino Linotype" w:hAnsi="Palatino Linotype" w:cs="Palatino Linotype"/>
        <w:sz w:val="24"/>
        <w:szCs w:val="24"/>
      </w:rPr>
      <w:t xml:space="preserve">                                   </w:t>
    </w:r>
  </w:p>
  <w:p w:rsidR="003432CA" w:rsidRDefault="003432CA" w:rsidP="0070621E">
    <w:pPr>
      <w:spacing w:before="20"/>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C</w:t>
    </w:r>
    <w:r>
      <w:rPr>
        <w:rFonts w:ascii="Palatino Linotype" w:eastAsia="Palatino Linotype" w:hAnsi="Palatino Linotype" w:cs="Palatino Linotype"/>
        <w:spacing w:val="-1"/>
        <w:sz w:val="24"/>
        <w:szCs w:val="24"/>
      </w:rPr>
      <w:t>D</w:t>
    </w:r>
    <w:r>
      <w:rPr>
        <w:rFonts w:ascii="Palatino Linotype" w:eastAsia="Palatino Linotype" w:hAnsi="Palatino Linotype" w:cs="Palatino Linotype"/>
        <w:spacing w:val="1"/>
        <w:sz w:val="24"/>
        <w:szCs w:val="24"/>
      </w:rPr>
      <w:t>\MWC</w:t>
    </w:r>
    <w:r>
      <w:rPr>
        <w:rFonts w:ascii="Palatino Linotype" w:eastAsia="Palatino Linotype" w:hAnsi="Palatino Linotype" w:cs="Palatino Linotype"/>
        <w:spacing w:val="1"/>
        <w:sz w:val="24"/>
        <w:szCs w:val="24"/>
      </w:rPr>
      <w:tab/>
    </w:r>
    <w:r>
      <w:rPr>
        <w:rFonts w:ascii="Palatino Linotype" w:eastAsia="Palatino Linotype" w:hAnsi="Palatino Linotype" w:cs="Palatino Linotype"/>
        <w:spacing w:val="1"/>
        <w:sz w:val="24"/>
        <w:szCs w:val="24"/>
      </w:rPr>
      <w:tab/>
    </w:r>
    <w:r>
      <w:rPr>
        <w:rFonts w:ascii="Palatino Linotype" w:eastAsia="Palatino Linotype" w:hAnsi="Palatino Linotype" w:cs="Palatino Linotype"/>
        <w:spacing w:val="1"/>
        <w:sz w:val="24"/>
        <w:szCs w:val="24"/>
      </w:rPr>
      <w:tab/>
    </w:r>
    <w:r>
      <w:rPr>
        <w:rFonts w:ascii="Palatino Linotype" w:eastAsia="Palatino Linotype" w:hAnsi="Palatino Linotype" w:cs="Palatino Linotype"/>
        <w:spacing w:val="1"/>
        <w:sz w:val="24"/>
        <w:szCs w:val="24"/>
      </w:rPr>
      <w:tab/>
    </w:r>
    <w:r>
      <w:rPr>
        <w:rFonts w:ascii="Palatino Linotype" w:eastAsia="Palatino Linotype" w:hAnsi="Palatino Linotype" w:cs="Palatino Linotype"/>
        <w:spacing w:val="1"/>
        <w:sz w:val="24"/>
        <w:szCs w:val="24"/>
      </w:rPr>
      <w:tab/>
    </w:r>
    <w:r>
      <w:rPr>
        <w:rFonts w:ascii="Palatino Linotype" w:eastAsia="Palatino Linotype" w:hAnsi="Palatino Linotype" w:cs="Palatino Linotype"/>
        <w:spacing w:val="1"/>
        <w:sz w:val="24"/>
        <w:szCs w:val="24"/>
      </w:rPr>
      <w:tab/>
    </w:r>
    <w:r>
      <w:rPr>
        <w:rFonts w:ascii="Palatino Linotype" w:eastAsia="Palatino Linotype" w:hAnsi="Palatino Linotype" w:cs="Palatino Linotype"/>
        <w:spacing w:val="1"/>
        <w:sz w:val="24"/>
        <w:szCs w:val="24"/>
      </w:rPr>
      <w:tab/>
    </w:r>
    <w:r>
      <w:rPr>
        <w:rFonts w:ascii="Palatino Linotype" w:eastAsia="Palatino Linotype" w:hAnsi="Palatino Linotype" w:cs="Palatino Linotype"/>
        <w:spacing w:val="1"/>
        <w:sz w:val="24"/>
        <w:szCs w:val="24"/>
      </w:rPr>
      <w:tab/>
      <w:t xml:space="preserve"> </w:t>
    </w:r>
  </w:p>
  <w:p w:rsidR="003432CA" w:rsidRDefault="003432CA" w:rsidP="002877B3">
    <w:pPr>
      <w:spacing w:line="200" w:lineRule="exact"/>
    </w:pPr>
  </w:p>
  <w:p w:rsidR="003432CA" w:rsidRDefault="003432C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04DE" w:rsidRDefault="007C04DE">
    <w:pPr>
      <w:spacing w:line="200" w:lineRule="exact"/>
      <w:rPr>
        <w:rFonts w:ascii="Palatino Linotype" w:hAnsi="Palatino Linotype"/>
        <w:sz w:val="24"/>
        <w:szCs w:val="24"/>
      </w:rPr>
    </w:pPr>
    <w:r w:rsidRPr="002877B3">
      <w:rPr>
        <w:rFonts w:ascii="Palatino Linotype" w:hAnsi="Palatino Linotype"/>
        <w:sz w:val="24"/>
        <w:szCs w:val="24"/>
      </w:rPr>
      <w:t>Resolution T-176</w:t>
    </w:r>
    <w:r>
      <w:rPr>
        <w:rFonts w:ascii="Palatino Linotype" w:hAnsi="Palatino Linotype"/>
        <w:sz w:val="24"/>
        <w:szCs w:val="24"/>
      </w:rPr>
      <w:t>26</w:t>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t xml:space="preserve"> </w:t>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t xml:space="preserve">    </w:t>
    </w:r>
  </w:p>
  <w:p w:rsidR="007C04DE" w:rsidRDefault="007C04DE" w:rsidP="002877B3">
    <w:pPr>
      <w:spacing w:line="300" w:lineRule="exact"/>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C</w:t>
    </w:r>
    <w:r>
      <w:rPr>
        <w:rFonts w:ascii="Palatino Linotype" w:eastAsia="Palatino Linotype" w:hAnsi="Palatino Linotype" w:cs="Palatino Linotype"/>
        <w:spacing w:val="-1"/>
        <w:sz w:val="24"/>
        <w:szCs w:val="24"/>
      </w:rPr>
      <w:t>D</w:t>
    </w:r>
    <w:r>
      <w:rPr>
        <w:rFonts w:ascii="Palatino Linotype" w:eastAsia="Palatino Linotype" w:hAnsi="Palatino Linotype" w:cs="Palatino Linotype"/>
        <w:spacing w:val="1"/>
        <w:sz w:val="24"/>
        <w:szCs w:val="24"/>
      </w:rPr>
      <w:t>\MWC</w:t>
    </w:r>
  </w:p>
  <w:p w:rsidR="007C04DE" w:rsidRPr="002877B3" w:rsidRDefault="007C04DE">
    <w:pPr>
      <w:spacing w:line="200" w:lineRule="exact"/>
      <w:rPr>
        <w:rFonts w:ascii="Palatino Linotype" w:hAnsi="Palatino Linotype"/>
        <w:sz w:val="24"/>
        <w:szCs w:val="24"/>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752B" w:rsidRDefault="00AF752B">
    <w:pPr>
      <w:spacing w:line="200" w:lineRule="exact"/>
      <w:rPr>
        <w:rFonts w:ascii="Palatino Linotype" w:hAnsi="Palatino Linotype"/>
        <w:sz w:val="24"/>
        <w:szCs w:val="24"/>
      </w:rPr>
    </w:pPr>
    <w:r w:rsidRPr="002877B3">
      <w:rPr>
        <w:rFonts w:ascii="Palatino Linotype" w:hAnsi="Palatino Linotype"/>
        <w:sz w:val="24"/>
        <w:szCs w:val="24"/>
      </w:rPr>
      <w:t>Resolution T-176</w:t>
    </w:r>
    <w:r>
      <w:rPr>
        <w:rFonts w:ascii="Palatino Linotype" w:hAnsi="Palatino Linotype"/>
        <w:sz w:val="24"/>
        <w:szCs w:val="24"/>
      </w:rPr>
      <w:t>26</w:t>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t xml:space="preserve"> </w:t>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t xml:space="preserve">      </w:t>
    </w:r>
  </w:p>
  <w:p w:rsidR="00AF752B" w:rsidRDefault="00AF752B" w:rsidP="002877B3">
    <w:pPr>
      <w:spacing w:line="300" w:lineRule="exact"/>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C</w:t>
    </w:r>
    <w:r>
      <w:rPr>
        <w:rFonts w:ascii="Palatino Linotype" w:eastAsia="Palatino Linotype" w:hAnsi="Palatino Linotype" w:cs="Palatino Linotype"/>
        <w:spacing w:val="-1"/>
        <w:sz w:val="24"/>
        <w:szCs w:val="24"/>
      </w:rPr>
      <w:t>D</w:t>
    </w:r>
    <w:r>
      <w:rPr>
        <w:rFonts w:ascii="Palatino Linotype" w:eastAsia="Palatino Linotype" w:hAnsi="Palatino Linotype" w:cs="Palatino Linotype"/>
        <w:spacing w:val="1"/>
        <w:sz w:val="24"/>
        <w:szCs w:val="24"/>
      </w:rPr>
      <w:t>\MWC</w:t>
    </w:r>
  </w:p>
  <w:p w:rsidR="00AF752B" w:rsidRPr="002877B3" w:rsidRDefault="00AF752B">
    <w:pPr>
      <w:spacing w:line="200" w:lineRule="exact"/>
      <w:rPr>
        <w:rFonts w:ascii="Palatino Linotype" w:hAnsi="Palatino Linotype"/>
        <w:sz w:val="24"/>
        <w:szCs w:val="24"/>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04DE" w:rsidRDefault="007C04DE">
    <w:pPr>
      <w:spacing w:line="200" w:lineRule="exact"/>
      <w:rPr>
        <w:rFonts w:ascii="Palatino Linotype" w:hAnsi="Palatino Linotype"/>
        <w:sz w:val="24"/>
        <w:szCs w:val="24"/>
      </w:rPr>
    </w:pPr>
    <w:r w:rsidRPr="002877B3">
      <w:rPr>
        <w:rFonts w:ascii="Palatino Linotype" w:hAnsi="Palatino Linotype"/>
        <w:sz w:val="24"/>
        <w:szCs w:val="24"/>
      </w:rPr>
      <w:t>Resolution T-176</w:t>
    </w:r>
    <w:r>
      <w:rPr>
        <w:rFonts w:ascii="Palatino Linotype" w:hAnsi="Palatino Linotype"/>
        <w:sz w:val="24"/>
        <w:szCs w:val="24"/>
      </w:rPr>
      <w:t>26</w:t>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t xml:space="preserve"> </w:t>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t xml:space="preserve">      </w:t>
    </w:r>
  </w:p>
  <w:p w:rsidR="007C04DE" w:rsidRDefault="007C04DE" w:rsidP="002877B3">
    <w:pPr>
      <w:spacing w:line="300" w:lineRule="exact"/>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C</w:t>
    </w:r>
    <w:r>
      <w:rPr>
        <w:rFonts w:ascii="Palatino Linotype" w:eastAsia="Palatino Linotype" w:hAnsi="Palatino Linotype" w:cs="Palatino Linotype"/>
        <w:spacing w:val="-1"/>
        <w:sz w:val="24"/>
        <w:szCs w:val="24"/>
      </w:rPr>
      <w:t>D</w:t>
    </w:r>
    <w:r>
      <w:rPr>
        <w:rFonts w:ascii="Palatino Linotype" w:eastAsia="Palatino Linotype" w:hAnsi="Palatino Linotype" w:cs="Palatino Linotype"/>
        <w:spacing w:val="1"/>
        <w:sz w:val="24"/>
        <w:szCs w:val="24"/>
      </w:rPr>
      <w:t>\MWC</w:t>
    </w:r>
  </w:p>
  <w:p w:rsidR="007C04DE" w:rsidRPr="002877B3" w:rsidRDefault="007C04DE">
    <w:pPr>
      <w:spacing w:line="200" w:lineRule="exact"/>
      <w:rPr>
        <w:rFonts w:ascii="Palatino Linotype" w:hAnsi="Palatino Linotype"/>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D4E99"/>
    <w:multiLevelType w:val="hybridMultilevel"/>
    <w:tmpl w:val="BAC8435C"/>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 w15:restartNumberingAfterBreak="0">
    <w:nsid w:val="1AF269D6"/>
    <w:multiLevelType w:val="hybridMultilevel"/>
    <w:tmpl w:val="285CCC6E"/>
    <w:lvl w:ilvl="0" w:tplc="2E749E14">
      <w:start w:val="1"/>
      <w:numFmt w:val="decimal"/>
      <w:lvlText w:val="%1."/>
      <w:lvlJc w:val="left"/>
      <w:pPr>
        <w:ind w:left="720" w:hanging="360"/>
      </w:pPr>
      <w:rPr>
        <w:rFonts w:ascii="Palatino Linotype" w:hAnsi="Palatino Linotype"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862D9F"/>
    <w:multiLevelType w:val="hybridMultilevel"/>
    <w:tmpl w:val="ED30E918"/>
    <w:lvl w:ilvl="0" w:tplc="308CE190">
      <w:start w:val="1"/>
      <w:numFmt w:val="decimal"/>
      <w:lvlText w:val="%1."/>
      <w:lvlJc w:val="left"/>
      <w:pPr>
        <w:ind w:left="460" w:hanging="360"/>
      </w:pPr>
      <w:rPr>
        <w:rFonts w:ascii="Palatino Linotype" w:eastAsia="Palatino Linotype" w:hAnsi="Palatino Linotype" w:cs="Palatino Linotype" w:hint="default"/>
        <w:sz w:val="24"/>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3" w15:restartNumberingAfterBreak="0">
    <w:nsid w:val="5078516F"/>
    <w:multiLevelType w:val="hybridMultilevel"/>
    <w:tmpl w:val="89389E24"/>
    <w:lvl w:ilvl="0" w:tplc="640CA532">
      <w:start w:val="1"/>
      <w:numFmt w:val="decimal"/>
      <w:lvlText w:val="%1."/>
      <w:lvlJc w:val="left"/>
      <w:pPr>
        <w:ind w:left="820" w:hanging="360"/>
      </w:pPr>
      <w:rPr>
        <w:rFonts w:ascii="Palatino Linotype" w:hAnsi="Palatino Linotype" w:hint="default"/>
        <w:sz w:val="24"/>
        <w:szCs w:val="24"/>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4" w15:restartNumberingAfterBreak="0">
    <w:nsid w:val="64944D6B"/>
    <w:multiLevelType w:val="multilevel"/>
    <w:tmpl w:val="76C4B902"/>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5" w15:restartNumberingAfterBreak="0">
    <w:nsid w:val="6D331A9A"/>
    <w:multiLevelType w:val="hybridMultilevel"/>
    <w:tmpl w:val="76F4D9B2"/>
    <w:lvl w:ilvl="0" w:tplc="00DEC17C">
      <w:start w:val="1"/>
      <w:numFmt w:val="decimal"/>
      <w:lvlText w:val="%1."/>
      <w:lvlJc w:val="left"/>
      <w:pPr>
        <w:ind w:left="820" w:hanging="360"/>
      </w:pPr>
      <w:rPr>
        <w:b w:val="0"/>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6" w15:restartNumberingAfterBreak="0">
    <w:nsid w:val="7B425BF9"/>
    <w:multiLevelType w:val="hybridMultilevel"/>
    <w:tmpl w:val="81C875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6"/>
  </w:num>
  <w:num w:numId="4">
    <w:abstractNumId w:val="0"/>
  </w:num>
  <w:num w:numId="5">
    <w:abstractNumId w:val="5"/>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6611F"/>
    <w:rsid w:val="0000261E"/>
    <w:rsid w:val="00002731"/>
    <w:rsid w:val="00007156"/>
    <w:rsid w:val="00010820"/>
    <w:rsid w:val="00011082"/>
    <w:rsid w:val="0001213C"/>
    <w:rsid w:val="0001309E"/>
    <w:rsid w:val="00013E2C"/>
    <w:rsid w:val="00015B1C"/>
    <w:rsid w:val="000174CB"/>
    <w:rsid w:val="0001782D"/>
    <w:rsid w:val="00021A5C"/>
    <w:rsid w:val="000235FB"/>
    <w:rsid w:val="00024257"/>
    <w:rsid w:val="00031057"/>
    <w:rsid w:val="000348F4"/>
    <w:rsid w:val="0003635E"/>
    <w:rsid w:val="000372A3"/>
    <w:rsid w:val="0004514F"/>
    <w:rsid w:val="000546E5"/>
    <w:rsid w:val="00062248"/>
    <w:rsid w:val="00062EF1"/>
    <w:rsid w:val="000658CA"/>
    <w:rsid w:val="00065A08"/>
    <w:rsid w:val="00073446"/>
    <w:rsid w:val="00074970"/>
    <w:rsid w:val="00074B46"/>
    <w:rsid w:val="00075533"/>
    <w:rsid w:val="00075AA3"/>
    <w:rsid w:val="0007738D"/>
    <w:rsid w:val="00077795"/>
    <w:rsid w:val="000805D9"/>
    <w:rsid w:val="00083C8F"/>
    <w:rsid w:val="000842CA"/>
    <w:rsid w:val="000861D3"/>
    <w:rsid w:val="000863B5"/>
    <w:rsid w:val="000963A8"/>
    <w:rsid w:val="000A459C"/>
    <w:rsid w:val="000A4782"/>
    <w:rsid w:val="000A4C7A"/>
    <w:rsid w:val="000A76BA"/>
    <w:rsid w:val="000B30C9"/>
    <w:rsid w:val="000B670E"/>
    <w:rsid w:val="000B7DBB"/>
    <w:rsid w:val="000C272E"/>
    <w:rsid w:val="000C342A"/>
    <w:rsid w:val="000C3961"/>
    <w:rsid w:val="000C3FF0"/>
    <w:rsid w:val="000C578E"/>
    <w:rsid w:val="000C79CE"/>
    <w:rsid w:val="000D05A6"/>
    <w:rsid w:val="000D0DFD"/>
    <w:rsid w:val="000D223F"/>
    <w:rsid w:val="000D2432"/>
    <w:rsid w:val="000D258C"/>
    <w:rsid w:val="000F1058"/>
    <w:rsid w:val="000F1E6D"/>
    <w:rsid w:val="000F3AED"/>
    <w:rsid w:val="000F4AE1"/>
    <w:rsid w:val="000F7B45"/>
    <w:rsid w:val="00104FE2"/>
    <w:rsid w:val="0011050A"/>
    <w:rsid w:val="00110CD4"/>
    <w:rsid w:val="00117DBA"/>
    <w:rsid w:val="00117F9C"/>
    <w:rsid w:val="00120E3A"/>
    <w:rsid w:val="0012352B"/>
    <w:rsid w:val="00125C1D"/>
    <w:rsid w:val="001266FC"/>
    <w:rsid w:val="00130998"/>
    <w:rsid w:val="00133A94"/>
    <w:rsid w:val="001347EE"/>
    <w:rsid w:val="00141C00"/>
    <w:rsid w:val="0014232E"/>
    <w:rsid w:val="001433A1"/>
    <w:rsid w:val="00144861"/>
    <w:rsid w:val="00144D1F"/>
    <w:rsid w:val="001452A8"/>
    <w:rsid w:val="00150B2D"/>
    <w:rsid w:val="00151559"/>
    <w:rsid w:val="001517E6"/>
    <w:rsid w:val="00153FB8"/>
    <w:rsid w:val="00155638"/>
    <w:rsid w:val="00157D76"/>
    <w:rsid w:val="00162740"/>
    <w:rsid w:val="00165079"/>
    <w:rsid w:val="001676A1"/>
    <w:rsid w:val="00172409"/>
    <w:rsid w:val="00172BD6"/>
    <w:rsid w:val="00175F32"/>
    <w:rsid w:val="001775E5"/>
    <w:rsid w:val="00177CC9"/>
    <w:rsid w:val="001817B1"/>
    <w:rsid w:val="00182874"/>
    <w:rsid w:val="00185426"/>
    <w:rsid w:val="0019205A"/>
    <w:rsid w:val="001A08BE"/>
    <w:rsid w:val="001A3CFC"/>
    <w:rsid w:val="001A40F8"/>
    <w:rsid w:val="001B2EFE"/>
    <w:rsid w:val="001B60B9"/>
    <w:rsid w:val="001D3FBE"/>
    <w:rsid w:val="001D418D"/>
    <w:rsid w:val="001D5EA2"/>
    <w:rsid w:val="001D7481"/>
    <w:rsid w:val="001E09B4"/>
    <w:rsid w:val="001E6AD5"/>
    <w:rsid w:val="001E700F"/>
    <w:rsid w:val="001E7AAF"/>
    <w:rsid w:val="001F2EBA"/>
    <w:rsid w:val="001F5DE7"/>
    <w:rsid w:val="001F7DAF"/>
    <w:rsid w:val="00200CBB"/>
    <w:rsid w:val="00201A8D"/>
    <w:rsid w:val="00202755"/>
    <w:rsid w:val="00202C29"/>
    <w:rsid w:val="00204E51"/>
    <w:rsid w:val="002061B0"/>
    <w:rsid w:val="0021177A"/>
    <w:rsid w:val="00213B1D"/>
    <w:rsid w:val="00214D21"/>
    <w:rsid w:val="002152EF"/>
    <w:rsid w:val="0021764F"/>
    <w:rsid w:val="00222AED"/>
    <w:rsid w:val="00223185"/>
    <w:rsid w:val="00225632"/>
    <w:rsid w:val="00226615"/>
    <w:rsid w:val="00227AEB"/>
    <w:rsid w:val="00233256"/>
    <w:rsid w:val="0023388E"/>
    <w:rsid w:val="00233E78"/>
    <w:rsid w:val="002341BD"/>
    <w:rsid w:val="00242960"/>
    <w:rsid w:val="00243F84"/>
    <w:rsid w:val="002444E5"/>
    <w:rsid w:val="00246038"/>
    <w:rsid w:val="00251196"/>
    <w:rsid w:val="0025150D"/>
    <w:rsid w:val="00260344"/>
    <w:rsid w:val="00261EB5"/>
    <w:rsid w:val="0026222B"/>
    <w:rsid w:val="00263396"/>
    <w:rsid w:val="00263BF3"/>
    <w:rsid w:val="002640B5"/>
    <w:rsid w:val="00270009"/>
    <w:rsid w:val="00270A7C"/>
    <w:rsid w:val="00271D5E"/>
    <w:rsid w:val="00275F53"/>
    <w:rsid w:val="002770BF"/>
    <w:rsid w:val="0027746C"/>
    <w:rsid w:val="0027782D"/>
    <w:rsid w:val="002779EF"/>
    <w:rsid w:val="002826C6"/>
    <w:rsid w:val="002877B3"/>
    <w:rsid w:val="00290058"/>
    <w:rsid w:val="00292940"/>
    <w:rsid w:val="00292DFC"/>
    <w:rsid w:val="00292F45"/>
    <w:rsid w:val="00295544"/>
    <w:rsid w:val="00296FD5"/>
    <w:rsid w:val="00297A9B"/>
    <w:rsid w:val="002A2B16"/>
    <w:rsid w:val="002A4B06"/>
    <w:rsid w:val="002A64B4"/>
    <w:rsid w:val="002A6B5F"/>
    <w:rsid w:val="002A721B"/>
    <w:rsid w:val="002B08F2"/>
    <w:rsid w:val="002B1B6F"/>
    <w:rsid w:val="002B203C"/>
    <w:rsid w:val="002B3363"/>
    <w:rsid w:val="002B349A"/>
    <w:rsid w:val="002B5BB1"/>
    <w:rsid w:val="002B649E"/>
    <w:rsid w:val="002B7231"/>
    <w:rsid w:val="002C02EB"/>
    <w:rsid w:val="002C2B85"/>
    <w:rsid w:val="002C7691"/>
    <w:rsid w:val="002D5E56"/>
    <w:rsid w:val="002E2D31"/>
    <w:rsid w:val="002E5C3A"/>
    <w:rsid w:val="002E7B73"/>
    <w:rsid w:val="002F182C"/>
    <w:rsid w:val="002F2073"/>
    <w:rsid w:val="00300E8E"/>
    <w:rsid w:val="003060B3"/>
    <w:rsid w:val="00311143"/>
    <w:rsid w:val="00316844"/>
    <w:rsid w:val="00323513"/>
    <w:rsid w:val="00327962"/>
    <w:rsid w:val="0033110F"/>
    <w:rsid w:val="00333DEC"/>
    <w:rsid w:val="003358BF"/>
    <w:rsid w:val="0033672A"/>
    <w:rsid w:val="00337415"/>
    <w:rsid w:val="00340383"/>
    <w:rsid w:val="003422EA"/>
    <w:rsid w:val="00342698"/>
    <w:rsid w:val="00342CA1"/>
    <w:rsid w:val="003432CA"/>
    <w:rsid w:val="0035010B"/>
    <w:rsid w:val="00350FD8"/>
    <w:rsid w:val="00351034"/>
    <w:rsid w:val="003512B7"/>
    <w:rsid w:val="00352A79"/>
    <w:rsid w:val="003534B1"/>
    <w:rsid w:val="00353B88"/>
    <w:rsid w:val="003541A4"/>
    <w:rsid w:val="00356922"/>
    <w:rsid w:val="00357AF4"/>
    <w:rsid w:val="00361055"/>
    <w:rsid w:val="0036783A"/>
    <w:rsid w:val="003744D2"/>
    <w:rsid w:val="00376C9A"/>
    <w:rsid w:val="00377807"/>
    <w:rsid w:val="00382651"/>
    <w:rsid w:val="003944FA"/>
    <w:rsid w:val="003955C1"/>
    <w:rsid w:val="00397E00"/>
    <w:rsid w:val="003A03E0"/>
    <w:rsid w:val="003A1056"/>
    <w:rsid w:val="003A1457"/>
    <w:rsid w:val="003A2BCE"/>
    <w:rsid w:val="003A36E8"/>
    <w:rsid w:val="003A4D1F"/>
    <w:rsid w:val="003A557B"/>
    <w:rsid w:val="003A623D"/>
    <w:rsid w:val="003A6E9C"/>
    <w:rsid w:val="003B06E7"/>
    <w:rsid w:val="003C43FD"/>
    <w:rsid w:val="003C5075"/>
    <w:rsid w:val="003D0295"/>
    <w:rsid w:val="003D1EFB"/>
    <w:rsid w:val="003D440D"/>
    <w:rsid w:val="003D55D3"/>
    <w:rsid w:val="003E4C95"/>
    <w:rsid w:val="003E6085"/>
    <w:rsid w:val="003E6FFE"/>
    <w:rsid w:val="003F48A4"/>
    <w:rsid w:val="00400C32"/>
    <w:rsid w:val="00401D4D"/>
    <w:rsid w:val="0040731D"/>
    <w:rsid w:val="0041175D"/>
    <w:rsid w:val="00414D0E"/>
    <w:rsid w:val="0041656C"/>
    <w:rsid w:val="00424372"/>
    <w:rsid w:val="004250EB"/>
    <w:rsid w:val="0042518F"/>
    <w:rsid w:val="00425342"/>
    <w:rsid w:val="00427C9C"/>
    <w:rsid w:val="00430E28"/>
    <w:rsid w:val="00437787"/>
    <w:rsid w:val="00440938"/>
    <w:rsid w:val="00441D23"/>
    <w:rsid w:val="00446088"/>
    <w:rsid w:val="00460204"/>
    <w:rsid w:val="00460F7B"/>
    <w:rsid w:val="004636FB"/>
    <w:rsid w:val="00463B25"/>
    <w:rsid w:val="004640C2"/>
    <w:rsid w:val="00471202"/>
    <w:rsid w:val="00471D88"/>
    <w:rsid w:val="00471ECC"/>
    <w:rsid w:val="0047429E"/>
    <w:rsid w:val="00474E27"/>
    <w:rsid w:val="004817D9"/>
    <w:rsid w:val="004831C3"/>
    <w:rsid w:val="00490173"/>
    <w:rsid w:val="00492B24"/>
    <w:rsid w:val="00494041"/>
    <w:rsid w:val="004A2727"/>
    <w:rsid w:val="004A69DD"/>
    <w:rsid w:val="004B4815"/>
    <w:rsid w:val="004B4A92"/>
    <w:rsid w:val="004C017E"/>
    <w:rsid w:val="004C0F7F"/>
    <w:rsid w:val="004C1A81"/>
    <w:rsid w:val="004C337F"/>
    <w:rsid w:val="004C43AB"/>
    <w:rsid w:val="004C5898"/>
    <w:rsid w:val="004C59CE"/>
    <w:rsid w:val="004C5A86"/>
    <w:rsid w:val="004D087C"/>
    <w:rsid w:val="004D08C5"/>
    <w:rsid w:val="004D4162"/>
    <w:rsid w:val="004D4A77"/>
    <w:rsid w:val="004D6368"/>
    <w:rsid w:val="004D74E8"/>
    <w:rsid w:val="004D799E"/>
    <w:rsid w:val="004E0EBF"/>
    <w:rsid w:val="004E0F2C"/>
    <w:rsid w:val="004E2323"/>
    <w:rsid w:val="004F0B34"/>
    <w:rsid w:val="004F100D"/>
    <w:rsid w:val="004F3ED2"/>
    <w:rsid w:val="004F42FD"/>
    <w:rsid w:val="004F4B1B"/>
    <w:rsid w:val="005005AF"/>
    <w:rsid w:val="00501AE3"/>
    <w:rsid w:val="00502857"/>
    <w:rsid w:val="00503BBE"/>
    <w:rsid w:val="0050553F"/>
    <w:rsid w:val="00507609"/>
    <w:rsid w:val="0051251D"/>
    <w:rsid w:val="00512BFA"/>
    <w:rsid w:val="00516941"/>
    <w:rsid w:val="00526463"/>
    <w:rsid w:val="005269D7"/>
    <w:rsid w:val="0052703E"/>
    <w:rsid w:val="00527397"/>
    <w:rsid w:val="00532CA9"/>
    <w:rsid w:val="005338EC"/>
    <w:rsid w:val="005407B6"/>
    <w:rsid w:val="00542186"/>
    <w:rsid w:val="00542C34"/>
    <w:rsid w:val="005439B3"/>
    <w:rsid w:val="00544F44"/>
    <w:rsid w:val="0054639B"/>
    <w:rsid w:val="00546552"/>
    <w:rsid w:val="00547C3D"/>
    <w:rsid w:val="0055054D"/>
    <w:rsid w:val="005518CA"/>
    <w:rsid w:val="005532BC"/>
    <w:rsid w:val="00556DD8"/>
    <w:rsid w:val="0056179F"/>
    <w:rsid w:val="0056469C"/>
    <w:rsid w:val="00566065"/>
    <w:rsid w:val="00572F86"/>
    <w:rsid w:val="00577885"/>
    <w:rsid w:val="0058094D"/>
    <w:rsid w:val="0058439D"/>
    <w:rsid w:val="00585636"/>
    <w:rsid w:val="00586537"/>
    <w:rsid w:val="00587796"/>
    <w:rsid w:val="00593666"/>
    <w:rsid w:val="005A5147"/>
    <w:rsid w:val="005B0A45"/>
    <w:rsid w:val="005B2BCD"/>
    <w:rsid w:val="005C126A"/>
    <w:rsid w:val="005C18FE"/>
    <w:rsid w:val="005C2BE0"/>
    <w:rsid w:val="005D0253"/>
    <w:rsid w:val="005D0B3B"/>
    <w:rsid w:val="005D239A"/>
    <w:rsid w:val="005D3109"/>
    <w:rsid w:val="005D3F3F"/>
    <w:rsid w:val="005D5C71"/>
    <w:rsid w:val="005D7F94"/>
    <w:rsid w:val="005E476D"/>
    <w:rsid w:val="005E7ADB"/>
    <w:rsid w:val="005F0E7F"/>
    <w:rsid w:val="005F31AE"/>
    <w:rsid w:val="005F3951"/>
    <w:rsid w:val="005F3E53"/>
    <w:rsid w:val="00600AD8"/>
    <w:rsid w:val="006018AF"/>
    <w:rsid w:val="00601C4E"/>
    <w:rsid w:val="00604819"/>
    <w:rsid w:val="00620F3A"/>
    <w:rsid w:val="00624E8B"/>
    <w:rsid w:val="00626836"/>
    <w:rsid w:val="00627141"/>
    <w:rsid w:val="006408E5"/>
    <w:rsid w:val="00643872"/>
    <w:rsid w:val="00643B00"/>
    <w:rsid w:val="00645478"/>
    <w:rsid w:val="006468D2"/>
    <w:rsid w:val="00650BBF"/>
    <w:rsid w:val="00650ED8"/>
    <w:rsid w:val="0066262B"/>
    <w:rsid w:val="00666639"/>
    <w:rsid w:val="00666E97"/>
    <w:rsid w:val="006736D1"/>
    <w:rsid w:val="006765B8"/>
    <w:rsid w:val="0067736B"/>
    <w:rsid w:val="00687D67"/>
    <w:rsid w:val="006923EF"/>
    <w:rsid w:val="00693C67"/>
    <w:rsid w:val="0069547D"/>
    <w:rsid w:val="00695571"/>
    <w:rsid w:val="00695BE0"/>
    <w:rsid w:val="006A0F29"/>
    <w:rsid w:val="006A285F"/>
    <w:rsid w:val="006A3F84"/>
    <w:rsid w:val="006B55C7"/>
    <w:rsid w:val="006B590B"/>
    <w:rsid w:val="006B5A1C"/>
    <w:rsid w:val="006B65D6"/>
    <w:rsid w:val="006C35D0"/>
    <w:rsid w:val="006C5A7B"/>
    <w:rsid w:val="006C7962"/>
    <w:rsid w:val="006D2E81"/>
    <w:rsid w:val="006D36EA"/>
    <w:rsid w:val="006D3A63"/>
    <w:rsid w:val="006D4E4C"/>
    <w:rsid w:val="006D51A4"/>
    <w:rsid w:val="006D5AC7"/>
    <w:rsid w:val="006D6D61"/>
    <w:rsid w:val="006D7361"/>
    <w:rsid w:val="006E2017"/>
    <w:rsid w:val="006E204F"/>
    <w:rsid w:val="006E389E"/>
    <w:rsid w:val="006F11DF"/>
    <w:rsid w:val="006F2102"/>
    <w:rsid w:val="006F3A37"/>
    <w:rsid w:val="006F3F38"/>
    <w:rsid w:val="006F479B"/>
    <w:rsid w:val="006F4949"/>
    <w:rsid w:val="006F5528"/>
    <w:rsid w:val="00705DC6"/>
    <w:rsid w:val="00706139"/>
    <w:rsid w:val="0070621E"/>
    <w:rsid w:val="00710988"/>
    <w:rsid w:val="007116B3"/>
    <w:rsid w:val="0071278F"/>
    <w:rsid w:val="00714363"/>
    <w:rsid w:val="00716C4B"/>
    <w:rsid w:val="0071776C"/>
    <w:rsid w:val="00723E8F"/>
    <w:rsid w:val="00724586"/>
    <w:rsid w:val="00725969"/>
    <w:rsid w:val="0072744C"/>
    <w:rsid w:val="007341CE"/>
    <w:rsid w:val="00735A63"/>
    <w:rsid w:val="00740B8F"/>
    <w:rsid w:val="007433FE"/>
    <w:rsid w:val="007500B9"/>
    <w:rsid w:val="00750148"/>
    <w:rsid w:val="00751881"/>
    <w:rsid w:val="00751C19"/>
    <w:rsid w:val="00752DF9"/>
    <w:rsid w:val="007558BB"/>
    <w:rsid w:val="00766660"/>
    <w:rsid w:val="007668E1"/>
    <w:rsid w:val="00766AB8"/>
    <w:rsid w:val="00766F98"/>
    <w:rsid w:val="00767E71"/>
    <w:rsid w:val="00771D53"/>
    <w:rsid w:val="0077313C"/>
    <w:rsid w:val="00775C4B"/>
    <w:rsid w:val="0078420D"/>
    <w:rsid w:val="00786A5B"/>
    <w:rsid w:val="007878AF"/>
    <w:rsid w:val="007913A4"/>
    <w:rsid w:val="00797916"/>
    <w:rsid w:val="007A254D"/>
    <w:rsid w:val="007A5B6E"/>
    <w:rsid w:val="007A6C2D"/>
    <w:rsid w:val="007B2666"/>
    <w:rsid w:val="007B56B5"/>
    <w:rsid w:val="007C04DE"/>
    <w:rsid w:val="007C274B"/>
    <w:rsid w:val="007C33A2"/>
    <w:rsid w:val="007C372D"/>
    <w:rsid w:val="007C4D9D"/>
    <w:rsid w:val="007C591F"/>
    <w:rsid w:val="007D2AA6"/>
    <w:rsid w:val="007D5BD9"/>
    <w:rsid w:val="007D5D31"/>
    <w:rsid w:val="007D6073"/>
    <w:rsid w:val="007D65B6"/>
    <w:rsid w:val="007E525F"/>
    <w:rsid w:val="007F0059"/>
    <w:rsid w:val="008013DB"/>
    <w:rsid w:val="00801DCE"/>
    <w:rsid w:val="00806E88"/>
    <w:rsid w:val="00812661"/>
    <w:rsid w:val="00824749"/>
    <w:rsid w:val="008306ED"/>
    <w:rsid w:val="00832439"/>
    <w:rsid w:val="008324B8"/>
    <w:rsid w:val="00833106"/>
    <w:rsid w:val="008353D8"/>
    <w:rsid w:val="0084443B"/>
    <w:rsid w:val="008471B3"/>
    <w:rsid w:val="008476BC"/>
    <w:rsid w:val="008504D2"/>
    <w:rsid w:val="00850EF5"/>
    <w:rsid w:val="00853715"/>
    <w:rsid w:val="00861358"/>
    <w:rsid w:val="00866E66"/>
    <w:rsid w:val="00874AFB"/>
    <w:rsid w:val="0087520C"/>
    <w:rsid w:val="008840AC"/>
    <w:rsid w:val="0088595C"/>
    <w:rsid w:val="00887E46"/>
    <w:rsid w:val="008907A1"/>
    <w:rsid w:val="00890F45"/>
    <w:rsid w:val="008975E7"/>
    <w:rsid w:val="008A032F"/>
    <w:rsid w:val="008A1092"/>
    <w:rsid w:val="008B2484"/>
    <w:rsid w:val="008B3FC5"/>
    <w:rsid w:val="008B5537"/>
    <w:rsid w:val="008B5D2B"/>
    <w:rsid w:val="008B6216"/>
    <w:rsid w:val="008C33BA"/>
    <w:rsid w:val="008D470E"/>
    <w:rsid w:val="008D6077"/>
    <w:rsid w:val="008E1130"/>
    <w:rsid w:val="008E6812"/>
    <w:rsid w:val="008F258D"/>
    <w:rsid w:val="008F442D"/>
    <w:rsid w:val="008F4C07"/>
    <w:rsid w:val="00900495"/>
    <w:rsid w:val="00904A60"/>
    <w:rsid w:val="00904F37"/>
    <w:rsid w:val="00905D4C"/>
    <w:rsid w:val="00910982"/>
    <w:rsid w:val="00911EC2"/>
    <w:rsid w:val="00917179"/>
    <w:rsid w:val="00925F84"/>
    <w:rsid w:val="00930156"/>
    <w:rsid w:val="009347E6"/>
    <w:rsid w:val="00934ED7"/>
    <w:rsid w:val="0094333D"/>
    <w:rsid w:val="00943674"/>
    <w:rsid w:val="00946DEB"/>
    <w:rsid w:val="0095224C"/>
    <w:rsid w:val="009527C3"/>
    <w:rsid w:val="0095718F"/>
    <w:rsid w:val="0096028C"/>
    <w:rsid w:val="00962438"/>
    <w:rsid w:val="0096294D"/>
    <w:rsid w:val="0096503A"/>
    <w:rsid w:val="00965CCC"/>
    <w:rsid w:val="00966C1E"/>
    <w:rsid w:val="009676E7"/>
    <w:rsid w:val="009758B5"/>
    <w:rsid w:val="009763F3"/>
    <w:rsid w:val="00977143"/>
    <w:rsid w:val="009771AA"/>
    <w:rsid w:val="00981F82"/>
    <w:rsid w:val="009830AD"/>
    <w:rsid w:val="00983522"/>
    <w:rsid w:val="0098694C"/>
    <w:rsid w:val="0099122A"/>
    <w:rsid w:val="009945B5"/>
    <w:rsid w:val="009A0D52"/>
    <w:rsid w:val="009A21AB"/>
    <w:rsid w:val="009A316F"/>
    <w:rsid w:val="009A579C"/>
    <w:rsid w:val="009B23C4"/>
    <w:rsid w:val="009B2CF8"/>
    <w:rsid w:val="009B42F4"/>
    <w:rsid w:val="009B5F65"/>
    <w:rsid w:val="009B7668"/>
    <w:rsid w:val="009C5538"/>
    <w:rsid w:val="009C7010"/>
    <w:rsid w:val="009C7C47"/>
    <w:rsid w:val="009D07AB"/>
    <w:rsid w:val="009D5B00"/>
    <w:rsid w:val="009F7A99"/>
    <w:rsid w:val="00A06153"/>
    <w:rsid w:val="00A11DCC"/>
    <w:rsid w:val="00A155FB"/>
    <w:rsid w:val="00A16654"/>
    <w:rsid w:val="00A269B5"/>
    <w:rsid w:val="00A2726F"/>
    <w:rsid w:val="00A30233"/>
    <w:rsid w:val="00A3127E"/>
    <w:rsid w:val="00A32418"/>
    <w:rsid w:val="00A368CD"/>
    <w:rsid w:val="00A4615A"/>
    <w:rsid w:val="00A50080"/>
    <w:rsid w:val="00A53E46"/>
    <w:rsid w:val="00A54682"/>
    <w:rsid w:val="00A55CD6"/>
    <w:rsid w:val="00A61211"/>
    <w:rsid w:val="00A63F68"/>
    <w:rsid w:val="00A6459C"/>
    <w:rsid w:val="00A6797F"/>
    <w:rsid w:val="00A70806"/>
    <w:rsid w:val="00A71CBD"/>
    <w:rsid w:val="00A71F9E"/>
    <w:rsid w:val="00A722B5"/>
    <w:rsid w:val="00A83062"/>
    <w:rsid w:val="00A85164"/>
    <w:rsid w:val="00A866FE"/>
    <w:rsid w:val="00A955DA"/>
    <w:rsid w:val="00A95C1A"/>
    <w:rsid w:val="00AA100D"/>
    <w:rsid w:val="00AA33DC"/>
    <w:rsid w:val="00AB0E6E"/>
    <w:rsid w:val="00AB27ED"/>
    <w:rsid w:val="00AB2A18"/>
    <w:rsid w:val="00AB3D09"/>
    <w:rsid w:val="00AB4119"/>
    <w:rsid w:val="00AB50DF"/>
    <w:rsid w:val="00AB5683"/>
    <w:rsid w:val="00AB75C7"/>
    <w:rsid w:val="00AC16D3"/>
    <w:rsid w:val="00AC2548"/>
    <w:rsid w:val="00AC623B"/>
    <w:rsid w:val="00AC7379"/>
    <w:rsid w:val="00AD0D32"/>
    <w:rsid w:val="00AD53F7"/>
    <w:rsid w:val="00AE4579"/>
    <w:rsid w:val="00AE511C"/>
    <w:rsid w:val="00AE5940"/>
    <w:rsid w:val="00AF752B"/>
    <w:rsid w:val="00B00B4E"/>
    <w:rsid w:val="00B03769"/>
    <w:rsid w:val="00B06E49"/>
    <w:rsid w:val="00B12954"/>
    <w:rsid w:val="00B12B0F"/>
    <w:rsid w:val="00B147E5"/>
    <w:rsid w:val="00B17939"/>
    <w:rsid w:val="00B17A2A"/>
    <w:rsid w:val="00B21C2F"/>
    <w:rsid w:val="00B22181"/>
    <w:rsid w:val="00B347E9"/>
    <w:rsid w:val="00B36B20"/>
    <w:rsid w:val="00B3765E"/>
    <w:rsid w:val="00B41462"/>
    <w:rsid w:val="00B41BB8"/>
    <w:rsid w:val="00B426D5"/>
    <w:rsid w:val="00B44BC7"/>
    <w:rsid w:val="00B45DBB"/>
    <w:rsid w:val="00B463EF"/>
    <w:rsid w:val="00B50D3C"/>
    <w:rsid w:val="00B51FDE"/>
    <w:rsid w:val="00B53832"/>
    <w:rsid w:val="00B53B25"/>
    <w:rsid w:val="00B53E3C"/>
    <w:rsid w:val="00B60DD3"/>
    <w:rsid w:val="00B61DD1"/>
    <w:rsid w:val="00B64F2D"/>
    <w:rsid w:val="00B650EF"/>
    <w:rsid w:val="00B66139"/>
    <w:rsid w:val="00B7016D"/>
    <w:rsid w:val="00B72F46"/>
    <w:rsid w:val="00B734D7"/>
    <w:rsid w:val="00B76585"/>
    <w:rsid w:val="00B76869"/>
    <w:rsid w:val="00B80B4D"/>
    <w:rsid w:val="00B8269B"/>
    <w:rsid w:val="00B86153"/>
    <w:rsid w:val="00B86E48"/>
    <w:rsid w:val="00B876EB"/>
    <w:rsid w:val="00B934FE"/>
    <w:rsid w:val="00B93697"/>
    <w:rsid w:val="00B94F78"/>
    <w:rsid w:val="00B96FCB"/>
    <w:rsid w:val="00BA0961"/>
    <w:rsid w:val="00BA0ADD"/>
    <w:rsid w:val="00BA15AD"/>
    <w:rsid w:val="00BA52B3"/>
    <w:rsid w:val="00BA63F9"/>
    <w:rsid w:val="00BA7F6A"/>
    <w:rsid w:val="00BB2E8B"/>
    <w:rsid w:val="00BB6EC4"/>
    <w:rsid w:val="00BC1EE4"/>
    <w:rsid w:val="00BC21E7"/>
    <w:rsid w:val="00BC629E"/>
    <w:rsid w:val="00BD4CB7"/>
    <w:rsid w:val="00BE37DD"/>
    <w:rsid w:val="00BE43C9"/>
    <w:rsid w:val="00BE4471"/>
    <w:rsid w:val="00BE5180"/>
    <w:rsid w:val="00BE591F"/>
    <w:rsid w:val="00BE6667"/>
    <w:rsid w:val="00BE7E12"/>
    <w:rsid w:val="00BF2B48"/>
    <w:rsid w:val="00BF7193"/>
    <w:rsid w:val="00C03BF1"/>
    <w:rsid w:val="00C03C7B"/>
    <w:rsid w:val="00C10473"/>
    <w:rsid w:val="00C145B8"/>
    <w:rsid w:val="00C1621E"/>
    <w:rsid w:val="00C16819"/>
    <w:rsid w:val="00C178F2"/>
    <w:rsid w:val="00C17D40"/>
    <w:rsid w:val="00C2602F"/>
    <w:rsid w:val="00C26071"/>
    <w:rsid w:val="00C26191"/>
    <w:rsid w:val="00C315F0"/>
    <w:rsid w:val="00C31D81"/>
    <w:rsid w:val="00C32B22"/>
    <w:rsid w:val="00C32EFF"/>
    <w:rsid w:val="00C34035"/>
    <w:rsid w:val="00C40854"/>
    <w:rsid w:val="00C42566"/>
    <w:rsid w:val="00C42E00"/>
    <w:rsid w:val="00C4364F"/>
    <w:rsid w:val="00C50F20"/>
    <w:rsid w:val="00C51C6E"/>
    <w:rsid w:val="00C523D2"/>
    <w:rsid w:val="00C53737"/>
    <w:rsid w:val="00C545A5"/>
    <w:rsid w:val="00C56F23"/>
    <w:rsid w:val="00C61B7D"/>
    <w:rsid w:val="00C628AF"/>
    <w:rsid w:val="00C6420B"/>
    <w:rsid w:val="00C64EC9"/>
    <w:rsid w:val="00C67352"/>
    <w:rsid w:val="00C72188"/>
    <w:rsid w:val="00C72541"/>
    <w:rsid w:val="00C7337D"/>
    <w:rsid w:val="00C73740"/>
    <w:rsid w:val="00C74A8C"/>
    <w:rsid w:val="00C75FA4"/>
    <w:rsid w:val="00C76322"/>
    <w:rsid w:val="00C7723D"/>
    <w:rsid w:val="00C77D07"/>
    <w:rsid w:val="00C915CD"/>
    <w:rsid w:val="00C96409"/>
    <w:rsid w:val="00CA0466"/>
    <w:rsid w:val="00CA0909"/>
    <w:rsid w:val="00CA1EB0"/>
    <w:rsid w:val="00CA1F61"/>
    <w:rsid w:val="00CA47C8"/>
    <w:rsid w:val="00CA4B8E"/>
    <w:rsid w:val="00CB2DCA"/>
    <w:rsid w:val="00CB2F1D"/>
    <w:rsid w:val="00CB3819"/>
    <w:rsid w:val="00CB5E78"/>
    <w:rsid w:val="00CC04EC"/>
    <w:rsid w:val="00CC364C"/>
    <w:rsid w:val="00CC6F05"/>
    <w:rsid w:val="00CD034F"/>
    <w:rsid w:val="00CD1960"/>
    <w:rsid w:val="00CD5EEE"/>
    <w:rsid w:val="00CD635D"/>
    <w:rsid w:val="00CD78A2"/>
    <w:rsid w:val="00CE11E5"/>
    <w:rsid w:val="00CE2068"/>
    <w:rsid w:val="00CE3813"/>
    <w:rsid w:val="00CE7116"/>
    <w:rsid w:val="00CF21DC"/>
    <w:rsid w:val="00CF3514"/>
    <w:rsid w:val="00CF42FC"/>
    <w:rsid w:val="00CF6688"/>
    <w:rsid w:val="00D01FD2"/>
    <w:rsid w:val="00D01FD6"/>
    <w:rsid w:val="00D03E8B"/>
    <w:rsid w:val="00D05CFC"/>
    <w:rsid w:val="00D0786A"/>
    <w:rsid w:val="00D13299"/>
    <w:rsid w:val="00D15A06"/>
    <w:rsid w:val="00D254F0"/>
    <w:rsid w:val="00D25AFD"/>
    <w:rsid w:val="00D26F9F"/>
    <w:rsid w:val="00D3583E"/>
    <w:rsid w:val="00D4399F"/>
    <w:rsid w:val="00D4433A"/>
    <w:rsid w:val="00D45763"/>
    <w:rsid w:val="00D47414"/>
    <w:rsid w:val="00D4761D"/>
    <w:rsid w:val="00D47B1D"/>
    <w:rsid w:val="00D517BA"/>
    <w:rsid w:val="00D51F1E"/>
    <w:rsid w:val="00D54014"/>
    <w:rsid w:val="00D55E54"/>
    <w:rsid w:val="00D5792E"/>
    <w:rsid w:val="00D60068"/>
    <w:rsid w:val="00D6549C"/>
    <w:rsid w:val="00D6611F"/>
    <w:rsid w:val="00D66DAD"/>
    <w:rsid w:val="00D712BC"/>
    <w:rsid w:val="00D717B6"/>
    <w:rsid w:val="00D7374C"/>
    <w:rsid w:val="00D73A82"/>
    <w:rsid w:val="00D75075"/>
    <w:rsid w:val="00D75907"/>
    <w:rsid w:val="00D7608E"/>
    <w:rsid w:val="00D800DB"/>
    <w:rsid w:val="00D8116A"/>
    <w:rsid w:val="00D8188C"/>
    <w:rsid w:val="00D81C24"/>
    <w:rsid w:val="00D85136"/>
    <w:rsid w:val="00D85CED"/>
    <w:rsid w:val="00D921F0"/>
    <w:rsid w:val="00D9792F"/>
    <w:rsid w:val="00DA2B41"/>
    <w:rsid w:val="00DB1185"/>
    <w:rsid w:val="00DB5DA8"/>
    <w:rsid w:val="00DB7743"/>
    <w:rsid w:val="00DC3D96"/>
    <w:rsid w:val="00DC5EE4"/>
    <w:rsid w:val="00DC7127"/>
    <w:rsid w:val="00DE03E0"/>
    <w:rsid w:val="00DF0C71"/>
    <w:rsid w:val="00DF0FE9"/>
    <w:rsid w:val="00DF3CA1"/>
    <w:rsid w:val="00DF4201"/>
    <w:rsid w:val="00DF58C0"/>
    <w:rsid w:val="00DF7814"/>
    <w:rsid w:val="00E00A2C"/>
    <w:rsid w:val="00E00FA9"/>
    <w:rsid w:val="00E07A4F"/>
    <w:rsid w:val="00E11B4F"/>
    <w:rsid w:val="00E15220"/>
    <w:rsid w:val="00E15FCF"/>
    <w:rsid w:val="00E16A17"/>
    <w:rsid w:val="00E16A2E"/>
    <w:rsid w:val="00E17EFB"/>
    <w:rsid w:val="00E21EB8"/>
    <w:rsid w:val="00E24DAE"/>
    <w:rsid w:val="00E300A5"/>
    <w:rsid w:val="00E30692"/>
    <w:rsid w:val="00E34909"/>
    <w:rsid w:val="00E358B1"/>
    <w:rsid w:val="00E366B2"/>
    <w:rsid w:val="00E37BD3"/>
    <w:rsid w:val="00E407EE"/>
    <w:rsid w:val="00E47AFD"/>
    <w:rsid w:val="00E57E79"/>
    <w:rsid w:val="00E62111"/>
    <w:rsid w:val="00E62C3F"/>
    <w:rsid w:val="00E6651D"/>
    <w:rsid w:val="00E6713D"/>
    <w:rsid w:val="00E72A0D"/>
    <w:rsid w:val="00E72ED9"/>
    <w:rsid w:val="00E75294"/>
    <w:rsid w:val="00E82B1C"/>
    <w:rsid w:val="00E8563C"/>
    <w:rsid w:val="00E875BE"/>
    <w:rsid w:val="00E87FC4"/>
    <w:rsid w:val="00E92A14"/>
    <w:rsid w:val="00E92B0A"/>
    <w:rsid w:val="00E92D77"/>
    <w:rsid w:val="00EA0654"/>
    <w:rsid w:val="00EA43C5"/>
    <w:rsid w:val="00EA5445"/>
    <w:rsid w:val="00EC2A74"/>
    <w:rsid w:val="00ED4EF8"/>
    <w:rsid w:val="00EE0E71"/>
    <w:rsid w:val="00EF1F82"/>
    <w:rsid w:val="00EF2CD0"/>
    <w:rsid w:val="00EF5492"/>
    <w:rsid w:val="00EF5684"/>
    <w:rsid w:val="00EF625F"/>
    <w:rsid w:val="00EF6882"/>
    <w:rsid w:val="00EF6F20"/>
    <w:rsid w:val="00EF7071"/>
    <w:rsid w:val="00EF7891"/>
    <w:rsid w:val="00EF7A5D"/>
    <w:rsid w:val="00F059A2"/>
    <w:rsid w:val="00F059CA"/>
    <w:rsid w:val="00F06B84"/>
    <w:rsid w:val="00F114E3"/>
    <w:rsid w:val="00F12314"/>
    <w:rsid w:val="00F160FA"/>
    <w:rsid w:val="00F17B91"/>
    <w:rsid w:val="00F22B1B"/>
    <w:rsid w:val="00F22FA8"/>
    <w:rsid w:val="00F30E7F"/>
    <w:rsid w:val="00F31895"/>
    <w:rsid w:val="00F33374"/>
    <w:rsid w:val="00F367DF"/>
    <w:rsid w:val="00F37B21"/>
    <w:rsid w:val="00F40941"/>
    <w:rsid w:val="00F41A1F"/>
    <w:rsid w:val="00F41F1A"/>
    <w:rsid w:val="00F466ED"/>
    <w:rsid w:val="00F46D1F"/>
    <w:rsid w:val="00F508BF"/>
    <w:rsid w:val="00F51A62"/>
    <w:rsid w:val="00F52F88"/>
    <w:rsid w:val="00F56C0F"/>
    <w:rsid w:val="00F614A4"/>
    <w:rsid w:val="00F64EBD"/>
    <w:rsid w:val="00F65387"/>
    <w:rsid w:val="00F675C8"/>
    <w:rsid w:val="00F67F98"/>
    <w:rsid w:val="00F72C74"/>
    <w:rsid w:val="00F77215"/>
    <w:rsid w:val="00F772A8"/>
    <w:rsid w:val="00F82A45"/>
    <w:rsid w:val="00F83847"/>
    <w:rsid w:val="00F866F0"/>
    <w:rsid w:val="00F93A34"/>
    <w:rsid w:val="00F956D1"/>
    <w:rsid w:val="00F958A8"/>
    <w:rsid w:val="00F971E2"/>
    <w:rsid w:val="00F97255"/>
    <w:rsid w:val="00FB51DE"/>
    <w:rsid w:val="00FC26AD"/>
    <w:rsid w:val="00FC3DEC"/>
    <w:rsid w:val="00FC792A"/>
    <w:rsid w:val="00FD0973"/>
    <w:rsid w:val="00FD2A11"/>
    <w:rsid w:val="00FD703F"/>
    <w:rsid w:val="00FD7681"/>
    <w:rsid w:val="00FE324F"/>
    <w:rsid w:val="00FE3E43"/>
    <w:rsid w:val="00FE4457"/>
    <w:rsid w:val="00FE5D07"/>
    <w:rsid w:val="00FE7D8B"/>
    <w:rsid w:val="00FF0A56"/>
    <w:rsid w:val="00FF341D"/>
    <w:rsid w:val="00FF358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3BE31E6-DF0E-4536-9282-6DE5A5F37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BalloonText">
    <w:name w:val="Balloon Text"/>
    <w:basedOn w:val="Normal"/>
    <w:link w:val="BalloonTextChar"/>
    <w:uiPriority w:val="99"/>
    <w:semiHidden/>
    <w:unhideWhenUsed/>
    <w:rsid w:val="008E1130"/>
    <w:rPr>
      <w:rFonts w:ascii="Tahoma" w:hAnsi="Tahoma" w:cs="Tahoma"/>
      <w:sz w:val="16"/>
      <w:szCs w:val="16"/>
    </w:rPr>
  </w:style>
  <w:style w:type="character" w:customStyle="1" w:styleId="BalloonTextChar">
    <w:name w:val="Balloon Text Char"/>
    <w:basedOn w:val="DefaultParagraphFont"/>
    <w:link w:val="BalloonText"/>
    <w:uiPriority w:val="99"/>
    <w:semiHidden/>
    <w:rsid w:val="008E1130"/>
    <w:rPr>
      <w:rFonts w:ascii="Tahoma" w:hAnsi="Tahoma" w:cs="Tahoma"/>
      <w:sz w:val="16"/>
      <w:szCs w:val="16"/>
    </w:rPr>
  </w:style>
  <w:style w:type="paragraph" w:styleId="ListParagraph">
    <w:name w:val="List Paragraph"/>
    <w:basedOn w:val="Normal"/>
    <w:uiPriority w:val="34"/>
    <w:qFormat/>
    <w:rsid w:val="00353B88"/>
    <w:pPr>
      <w:ind w:left="720"/>
      <w:contextualSpacing/>
    </w:pPr>
  </w:style>
  <w:style w:type="character" w:styleId="CommentReference">
    <w:name w:val="annotation reference"/>
    <w:basedOn w:val="DefaultParagraphFont"/>
    <w:uiPriority w:val="99"/>
    <w:semiHidden/>
    <w:unhideWhenUsed/>
    <w:rsid w:val="00CB5E78"/>
    <w:rPr>
      <w:sz w:val="16"/>
      <w:szCs w:val="16"/>
    </w:rPr>
  </w:style>
  <w:style w:type="paragraph" w:styleId="CommentText">
    <w:name w:val="annotation text"/>
    <w:basedOn w:val="Normal"/>
    <w:link w:val="CommentTextChar"/>
    <w:uiPriority w:val="99"/>
    <w:semiHidden/>
    <w:unhideWhenUsed/>
    <w:rsid w:val="00CB5E78"/>
  </w:style>
  <w:style w:type="character" w:customStyle="1" w:styleId="CommentTextChar">
    <w:name w:val="Comment Text Char"/>
    <w:basedOn w:val="DefaultParagraphFont"/>
    <w:link w:val="CommentText"/>
    <w:uiPriority w:val="99"/>
    <w:semiHidden/>
    <w:rsid w:val="00CB5E78"/>
  </w:style>
  <w:style w:type="paragraph" w:styleId="CommentSubject">
    <w:name w:val="annotation subject"/>
    <w:basedOn w:val="CommentText"/>
    <w:next w:val="CommentText"/>
    <w:link w:val="CommentSubjectChar"/>
    <w:uiPriority w:val="99"/>
    <w:semiHidden/>
    <w:unhideWhenUsed/>
    <w:rsid w:val="00CB5E78"/>
    <w:rPr>
      <w:b/>
      <w:bCs/>
    </w:rPr>
  </w:style>
  <w:style w:type="character" w:customStyle="1" w:styleId="CommentSubjectChar">
    <w:name w:val="Comment Subject Char"/>
    <w:basedOn w:val="CommentTextChar"/>
    <w:link w:val="CommentSubject"/>
    <w:uiPriority w:val="99"/>
    <w:semiHidden/>
    <w:rsid w:val="00CB5E78"/>
    <w:rPr>
      <w:b/>
      <w:bCs/>
    </w:rPr>
  </w:style>
  <w:style w:type="paragraph" w:styleId="Header">
    <w:name w:val="header"/>
    <w:basedOn w:val="Normal"/>
    <w:link w:val="HeaderChar"/>
    <w:uiPriority w:val="99"/>
    <w:unhideWhenUsed/>
    <w:rsid w:val="00CC364C"/>
    <w:pPr>
      <w:tabs>
        <w:tab w:val="center" w:pos="4680"/>
        <w:tab w:val="right" w:pos="9360"/>
      </w:tabs>
    </w:pPr>
  </w:style>
  <w:style w:type="character" w:customStyle="1" w:styleId="HeaderChar">
    <w:name w:val="Header Char"/>
    <w:basedOn w:val="DefaultParagraphFont"/>
    <w:link w:val="Header"/>
    <w:uiPriority w:val="99"/>
    <w:rsid w:val="00CC364C"/>
  </w:style>
  <w:style w:type="paragraph" w:styleId="Footer">
    <w:name w:val="footer"/>
    <w:basedOn w:val="Normal"/>
    <w:link w:val="FooterChar"/>
    <w:uiPriority w:val="99"/>
    <w:unhideWhenUsed/>
    <w:rsid w:val="00CC364C"/>
    <w:pPr>
      <w:tabs>
        <w:tab w:val="center" w:pos="4680"/>
        <w:tab w:val="right" w:pos="9360"/>
      </w:tabs>
    </w:pPr>
  </w:style>
  <w:style w:type="character" w:customStyle="1" w:styleId="FooterChar">
    <w:name w:val="Footer Char"/>
    <w:basedOn w:val="DefaultParagraphFont"/>
    <w:link w:val="Footer"/>
    <w:uiPriority w:val="99"/>
    <w:rsid w:val="00CC364C"/>
  </w:style>
  <w:style w:type="paragraph" w:styleId="Revision">
    <w:name w:val="Revision"/>
    <w:hidden/>
    <w:uiPriority w:val="99"/>
    <w:semiHidden/>
    <w:rsid w:val="006A285F"/>
  </w:style>
  <w:style w:type="paragraph" w:styleId="FootnoteText">
    <w:name w:val="footnote text"/>
    <w:basedOn w:val="Normal"/>
    <w:link w:val="FootnoteTextChar"/>
    <w:uiPriority w:val="99"/>
    <w:semiHidden/>
    <w:unhideWhenUsed/>
    <w:rsid w:val="00D75075"/>
  </w:style>
  <w:style w:type="character" w:customStyle="1" w:styleId="FootnoteTextChar">
    <w:name w:val="Footnote Text Char"/>
    <w:basedOn w:val="DefaultParagraphFont"/>
    <w:link w:val="FootnoteText"/>
    <w:uiPriority w:val="99"/>
    <w:semiHidden/>
    <w:rsid w:val="00D75075"/>
  </w:style>
  <w:style w:type="character" w:styleId="FootnoteReference">
    <w:name w:val="footnote reference"/>
    <w:basedOn w:val="DefaultParagraphFont"/>
    <w:uiPriority w:val="99"/>
    <w:semiHidden/>
    <w:unhideWhenUsed/>
    <w:rsid w:val="00D75075"/>
    <w:rPr>
      <w:vertAlign w:val="superscript"/>
    </w:rPr>
  </w:style>
  <w:style w:type="character" w:styleId="Hyperlink">
    <w:name w:val="Hyperlink"/>
    <w:basedOn w:val="DefaultParagraphFont"/>
    <w:uiPriority w:val="99"/>
    <w:unhideWhenUsed/>
    <w:rsid w:val="00233E78"/>
    <w:rPr>
      <w:color w:val="0000FF" w:themeColor="hyperlink"/>
      <w:u w:val="single"/>
    </w:rPr>
  </w:style>
  <w:style w:type="table" w:styleId="TableGrid">
    <w:name w:val="Table Grid"/>
    <w:basedOn w:val="TableNormal"/>
    <w:uiPriority w:val="59"/>
    <w:rsid w:val="006468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177689">
      <w:bodyDiv w:val="1"/>
      <w:marLeft w:val="0"/>
      <w:marRight w:val="0"/>
      <w:marTop w:val="0"/>
      <w:marBottom w:val="0"/>
      <w:divBdr>
        <w:top w:val="none" w:sz="0" w:space="0" w:color="auto"/>
        <w:left w:val="none" w:sz="0" w:space="0" w:color="auto"/>
        <w:bottom w:val="none" w:sz="0" w:space="0" w:color="auto"/>
        <w:right w:val="none" w:sz="0" w:space="0" w:color="auto"/>
      </w:divBdr>
    </w:div>
    <w:div w:id="184639544">
      <w:bodyDiv w:val="1"/>
      <w:marLeft w:val="0"/>
      <w:marRight w:val="0"/>
      <w:marTop w:val="0"/>
      <w:marBottom w:val="0"/>
      <w:divBdr>
        <w:top w:val="none" w:sz="0" w:space="0" w:color="auto"/>
        <w:left w:val="none" w:sz="0" w:space="0" w:color="auto"/>
        <w:bottom w:val="none" w:sz="0" w:space="0" w:color="auto"/>
        <w:right w:val="none" w:sz="0" w:space="0" w:color="auto"/>
      </w:divBdr>
    </w:div>
    <w:div w:id="1242371538">
      <w:bodyDiv w:val="1"/>
      <w:marLeft w:val="0"/>
      <w:marRight w:val="0"/>
      <w:marTop w:val="0"/>
      <w:marBottom w:val="0"/>
      <w:divBdr>
        <w:top w:val="none" w:sz="0" w:space="0" w:color="auto"/>
        <w:left w:val="none" w:sz="0" w:space="0" w:color="auto"/>
        <w:bottom w:val="none" w:sz="0" w:space="0" w:color="auto"/>
        <w:right w:val="none" w:sz="0" w:space="0" w:color="auto"/>
      </w:divBdr>
    </w:div>
    <w:div w:id="1408728510">
      <w:bodyDiv w:val="1"/>
      <w:marLeft w:val="0"/>
      <w:marRight w:val="0"/>
      <w:marTop w:val="0"/>
      <w:marBottom w:val="0"/>
      <w:divBdr>
        <w:top w:val="none" w:sz="0" w:space="0" w:color="auto"/>
        <w:left w:val="none" w:sz="0" w:space="0" w:color="auto"/>
        <w:bottom w:val="none" w:sz="0" w:space="0" w:color="auto"/>
        <w:right w:val="none" w:sz="0" w:space="0" w:color="auto"/>
      </w:divBdr>
    </w:div>
    <w:div w:id="1418211124">
      <w:bodyDiv w:val="1"/>
      <w:marLeft w:val="0"/>
      <w:marRight w:val="0"/>
      <w:marTop w:val="0"/>
      <w:marBottom w:val="0"/>
      <w:divBdr>
        <w:top w:val="none" w:sz="0" w:space="0" w:color="auto"/>
        <w:left w:val="none" w:sz="0" w:space="0" w:color="auto"/>
        <w:bottom w:val="none" w:sz="0" w:space="0" w:color="auto"/>
        <w:right w:val="none" w:sz="0" w:space="0" w:color="auto"/>
      </w:divBdr>
    </w:div>
    <w:div w:id="1500460873">
      <w:bodyDiv w:val="1"/>
      <w:marLeft w:val="0"/>
      <w:marRight w:val="0"/>
      <w:marTop w:val="0"/>
      <w:marBottom w:val="0"/>
      <w:divBdr>
        <w:top w:val="none" w:sz="0" w:space="0" w:color="auto"/>
        <w:left w:val="none" w:sz="0" w:space="0" w:color="auto"/>
        <w:bottom w:val="none" w:sz="0" w:space="0" w:color="auto"/>
        <w:right w:val="none" w:sz="0" w:space="0" w:color="auto"/>
      </w:divBdr>
    </w:div>
    <w:div w:id="1999337089">
      <w:bodyDiv w:val="1"/>
      <w:marLeft w:val="0"/>
      <w:marRight w:val="0"/>
      <w:marTop w:val="0"/>
      <w:marBottom w:val="0"/>
      <w:divBdr>
        <w:top w:val="none" w:sz="0" w:space="0" w:color="auto"/>
        <w:left w:val="none" w:sz="0" w:space="0" w:color="auto"/>
        <w:bottom w:val="none" w:sz="0" w:space="0" w:color="auto"/>
        <w:right w:val="none" w:sz="0" w:space="0" w:color="auto"/>
      </w:divBdr>
    </w:div>
    <w:div w:id="20424405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puc.ca.gov" TargetMode="Externa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1.emf"/><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6.xml"/><Relationship Id="rId10" Type="http://schemas.openxmlformats.org/officeDocument/2006/relationships/header" Target="header1.xml"/><Relationship Id="rId19"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cpuc.ca.gov" TargetMode="External"/><Relationship Id="rId14" Type="http://schemas.openxmlformats.org/officeDocument/2006/relationships/header" Target="header3.xml"/><Relationship Id="rId22"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4839FB-FE6E-4F6C-8FFA-FAA99CF1D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204</TotalTime>
  <Pages>1</Pages>
  <Words>2885</Words>
  <Characters>16450</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CPUC</Company>
  <LinksUpToDate>false</LinksUpToDate>
  <CharactersWithSpaces>19297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michael.coen@cpuc.ca.gov</dc:creator>
  <cp:lastModifiedBy>Palma, Sunshine J.</cp:lastModifiedBy>
  <cp:revision>57</cp:revision>
  <cp:lastPrinted>2018-07-17T20:50:00Z</cp:lastPrinted>
  <dcterms:created xsi:type="dcterms:W3CDTF">2018-07-17T20:52:00Z</dcterms:created>
  <dcterms:modified xsi:type="dcterms:W3CDTF">2018-08-20T16:54:00Z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oFAAoY+b3dyoaiTu7a2oPkYrKEw1RSTF0iMo9a2XrETeKEyVNAelhD2ugwr3M8OM+3gKvVQ1aziT3w2T
vTvzK4kUlb/Z/SLWFoEcXSjInQ05rLLScmWxmf9AlB36XYsOVamHwx95LU3wLpiTvTvzK4kUlb/Z
/SLWFoEcXSjInQ05rLLScmWxmf9AlE07QR9gLQAPtk++laT028uMclvYUyKDWufVYnd4mwGrxWwQ
mE0EF3+HRw0L3n+lx</vt:lpwstr>
  </property>
  <property fmtid="{D5CDD505-2E9C-101B-9397-08002B2CF9AE}" pid="3" name="MAIL_MSG_ID2">
    <vt:lpwstr>AJzpawtjJhGv4/Uc1ARaJUJXjo+eN6nDVTC1PiXnr4iRk5h5ZIiFgfXjapz
/A3ASSl0kdr7o0P2v2RbZGjaAIMV4068Of71IwsLLfChOAog</vt:lpwstr>
  </property>
  <property fmtid="{D5CDD505-2E9C-101B-9397-08002B2CF9AE}" pid="4" name="RESPONSE_SENDER_NAME">
    <vt:lpwstr>sAAAGYoQX4c3X/KNn2DL+dzq9FOXsLHq8Pnz8XrL0CgMGrY=</vt:lpwstr>
  </property>
  <property fmtid="{D5CDD505-2E9C-101B-9397-08002B2CF9AE}" pid="5" name="EMAIL_OWNER_ADDRESS">
    <vt:lpwstr>4AAAv2pPQheLA5Xvg5lWlXESk+KXDVUyhTOhi36q1rtmSarWqOSnSqp0JQ==</vt:lpwstr>
  </property>
</Properties>
</file>