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13000" w14:textId="73681D6E" w:rsidR="00866F70" w:rsidRDefault="00866F70" w:rsidP="00866F70">
      <w:pPr>
        <w:tabs>
          <w:tab w:val="center" w:pos="4680"/>
          <w:tab w:val="center" w:pos="7110"/>
        </w:tabs>
        <w:rPr>
          <w:rFonts w:ascii="Palatino" w:hAnsi="Palatino"/>
          <w:b/>
          <w:sz w:val="32"/>
          <w:szCs w:val="32"/>
        </w:rPr>
      </w:pPr>
      <w:r>
        <w:rPr>
          <w:rFonts w:ascii="Palatino" w:hAnsi="Palatino"/>
        </w:rPr>
        <w:t>ALJ/JF2/</w:t>
      </w:r>
      <w:proofErr w:type="spellStart"/>
      <w:r>
        <w:rPr>
          <w:rFonts w:ascii="Palatino" w:hAnsi="Palatino"/>
        </w:rPr>
        <w:t>lil</w:t>
      </w:r>
      <w:proofErr w:type="spellEnd"/>
      <w:r>
        <w:rPr>
          <w:rFonts w:ascii="Palatino" w:hAnsi="Palatino"/>
        </w:rPr>
        <w:tab/>
      </w:r>
      <w:r w:rsidRPr="00E52B2F">
        <w:rPr>
          <w:rFonts w:ascii="Palatino" w:hAnsi="Palatino"/>
          <w:b/>
          <w:sz w:val="32"/>
          <w:szCs w:val="32"/>
        </w:rPr>
        <w:t>PROPOSED DECISION</w:t>
      </w:r>
    </w:p>
    <w:p w14:paraId="173F00B6" w14:textId="1D7AE876" w:rsidR="00866F70" w:rsidRPr="00866F70" w:rsidRDefault="00866F70" w:rsidP="00866F70">
      <w:pPr>
        <w:suppressAutoHyphens/>
        <w:rPr>
          <w:color w:val="000000"/>
        </w:rPr>
      </w:pPr>
      <w:r>
        <w:rPr>
          <w:rFonts w:ascii="Palatino" w:hAnsi="Palatino"/>
          <w:b/>
          <w:sz w:val="32"/>
          <w:szCs w:val="32"/>
        </w:rPr>
        <w:tab/>
      </w:r>
      <w:r>
        <w:rPr>
          <w:rFonts w:ascii="Palatino" w:hAnsi="Palatino"/>
          <w:b/>
          <w:sz w:val="32"/>
          <w:szCs w:val="32"/>
        </w:rPr>
        <w:tab/>
      </w:r>
      <w:r>
        <w:rPr>
          <w:rFonts w:ascii="Palatino" w:hAnsi="Palatino"/>
          <w:b/>
          <w:sz w:val="32"/>
          <w:szCs w:val="32"/>
        </w:rPr>
        <w:tab/>
      </w:r>
      <w:r>
        <w:rPr>
          <w:rFonts w:ascii="Palatino" w:hAnsi="Palatino"/>
          <w:b/>
          <w:sz w:val="32"/>
          <w:szCs w:val="32"/>
        </w:rPr>
        <w:tab/>
      </w:r>
      <w:r>
        <w:rPr>
          <w:rFonts w:ascii="Palatino" w:hAnsi="Palatino"/>
          <w:b/>
          <w:sz w:val="32"/>
          <w:szCs w:val="32"/>
        </w:rPr>
        <w:tab/>
      </w:r>
      <w:r>
        <w:rPr>
          <w:rFonts w:ascii="Palatino" w:hAnsi="Palatino"/>
          <w:b/>
          <w:sz w:val="32"/>
          <w:szCs w:val="32"/>
        </w:rPr>
        <w:tab/>
      </w:r>
      <w:r>
        <w:rPr>
          <w:rFonts w:ascii="Palatino" w:hAnsi="Palatino"/>
          <w:b/>
          <w:sz w:val="32"/>
          <w:szCs w:val="32"/>
        </w:rPr>
        <w:tab/>
      </w:r>
      <w:r>
        <w:rPr>
          <w:rFonts w:ascii="Palatino" w:hAnsi="Palatino"/>
          <w:b/>
          <w:sz w:val="32"/>
          <w:szCs w:val="32"/>
        </w:rPr>
        <w:tab/>
      </w:r>
      <w:r>
        <w:rPr>
          <w:rFonts w:ascii="Palatino" w:hAnsi="Palatino"/>
          <w:b/>
          <w:sz w:val="32"/>
          <w:szCs w:val="32"/>
        </w:rPr>
        <w:tab/>
      </w:r>
      <w:r w:rsidRPr="00866F70">
        <w:rPr>
          <w:color w:val="000000"/>
        </w:rPr>
        <w:t>Agenda ID #</w:t>
      </w:r>
      <w:r w:rsidR="005B0535">
        <w:rPr>
          <w:color w:val="000000"/>
        </w:rPr>
        <w:t>16783</w:t>
      </w:r>
      <w:bookmarkStart w:id="0" w:name="_GoBack"/>
      <w:bookmarkEnd w:id="0"/>
    </w:p>
    <w:p w14:paraId="3E3E997C" w14:textId="4F884204" w:rsidR="00866F70" w:rsidRDefault="00866F70">
      <w:pPr>
        <w:suppressAutoHyphen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Ratesetting</w:t>
      </w:r>
      <w:proofErr w:type="spellEnd"/>
    </w:p>
    <w:p w14:paraId="1B86EEA1" w14:textId="77777777" w:rsidR="00866F70" w:rsidRDefault="00866F70">
      <w:pPr>
        <w:suppressAutoHyphens/>
        <w:rPr>
          <w:color w:val="000000"/>
        </w:rPr>
      </w:pPr>
    </w:p>
    <w:p w14:paraId="5BDA9FD4" w14:textId="7D96C16A" w:rsidR="00A92D0B" w:rsidRPr="002C5FE7" w:rsidRDefault="00A92D0B">
      <w:pPr>
        <w:suppressAutoHyphens/>
        <w:rPr>
          <w:color w:val="000000"/>
        </w:rPr>
      </w:pPr>
      <w:r w:rsidRPr="002C5FE7">
        <w:rPr>
          <w:color w:val="000000"/>
        </w:rPr>
        <w:t xml:space="preserve">Decision </w:t>
      </w:r>
      <w:r w:rsidRPr="002C5FE7">
        <w:rPr>
          <w:color w:val="000000"/>
          <w:u w:val="single"/>
        </w:rPr>
        <w:tab/>
      </w:r>
      <w:r w:rsidRPr="002C5FE7">
        <w:rPr>
          <w:color w:val="000000"/>
          <w:u w:val="single"/>
        </w:rPr>
        <w:tab/>
      </w:r>
      <w:r w:rsidRPr="002C5FE7">
        <w:rPr>
          <w:color w:val="000000"/>
          <w:u w:val="single"/>
        </w:rPr>
        <w:tab/>
      </w:r>
    </w:p>
    <w:p w14:paraId="44E03231" w14:textId="77777777" w:rsidR="00A92D0B" w:rsidRPr="002C5FE7" w:rsidRDefault="00A92D0B" w:rsidP="00866F70">
      <w:pPr>
        <w:pStyle w:val="titlebar"/>
        <w:jc w:val="left"/>
        <w:rPr>
          <w:rFonts w:ascii="Times New Roman" w:hAnsi="Times New Roman"/>
          <w:color w:val="000000"/>
          <w:sz w:val="24"/>
          <w:szCs w:val="24"/>
        </w:rPr>
      </w:pPr>
    </w:p>
    <w:p w14:paraId="67F2520C" w14:textId="77777777" w:rsidR="00A92D0B" w:rsidRPr="007E1B9F" w:rsidRDefault="00A92D0B">
      <w:pPr>
        <w:pStyle w:val="titlebar"/>
        <w:rPr>
          <w:rFonts w:ascii="Times New Roman" w:hAnsi="Times New Roman"/>
          <w:color w:val="000000"/>
          <w:sz w:val="22"/>
          <w:szCs w:val="22"/>
        </w:rPr>
      </w:pPr>
      <w:r w:rsidRPr="007E1B9F">
        <w:rPr>
          <w:rFonts w:ascii="Times New Roman" w:hAnsi="Times New Roman"/>
          <w:color w:val="000000"/>
          <w:sz w:val="22"/>
          <w:szCs w:val="22"/>
        </w:rPr>
        <w:t>BEFORE THE PUBLIC UTILITIES COMMISSION OF THE STATE OF CALIFORNIA</w:t>
      </w:r>
    </w:p>
    <w:p w14:paraId="564284CD" w14:textId="77777777" w:rsidR="00A92D0B" w:rsidRPr="002C5FE7" w:rsidRDefault="00A92D0B">
      <w:pPr>
        <w:suppressAutoHyphens/>
        <w:rPr>
          <w:color w:val="00000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5125"/>
        <w:gridCol w:w="3690"/>
      </w:tblGrid>
      <w:tr w:rsidR="00A92D0B" w:rsidRPr="002C5FE7" w14:paraId="3942D7B4" w14:textId="77777777" w:rsidTr="00866F70">
        <w:tc>
          <w:tcPr>
            <w:tcW w:w="5125" w:type="dxa"/>
            <w:shd w:val="clear" w:color="auto" w:fill="auto"/>
          </w:tcPr>
          <w:tbl>
            <w:tblPr>
              <w:tblW w:w="5823" w:type="dxa"/>
              <w:tblBorders>
                <w:top w:val="nil"/>
                <w:left w:val="nil"/>
                <w:bottom w:val="nil"/>
                <w:right w:val="nil"/>
              </w:tblBorders>
              <w:tblLayout w:type="fixed"/>
              <w:tblLook w:val="0000" w:firstRow="0" w:lastRow="0" w:firstColumn="0" w:lastColumn="0" w:noHBand="0" w:noVBand="0"/>
            </w:tblPr>
            <w:tblGrid>
              <w:gridCol w:w="5823"/>
            </w:tblGrid>
            <w:tr w:rsidR="00E53E19" w:rsidRPr="002C5FE7" w14:paraId="52D47B7F" w14:textId="77777777" w:rsidTr="00866F70">
              <w:trPr>
                <w:trHeight w:val="759"/>
              </w:trPr>
              <w:tc>
                <w:tcPr>
                  <w:tcW w:w="5823" w:type="dxa"/>
                </w:tcPr>
                <w:p w14:paraId="128D53CC" w14:textId="305E0B52" w:rsidR="00E53E19" w:rsidRPr="002C5FE7" w:rsidRDefault="00E53E19" w:rsidP="00866F70">
                  <w:pPr>
                    <w:pStyle w:val="Default"/>
                    <w:ind w:right="551"/>
                    <w:rPr>
                      <w:rFonts w:ascii="Times New Roman" w:hAnsi="Times New Roman" w:cs="Times New Roman"/>
                    </w:rPr>
                  </w:pPr>
                  <w:r w:rsidRPr="002C5FE7">
                    <w:rPr>
                      <w:rFonts w:ascii="Times New Roman" w:hAnsi="Times New Roman" w:cs="Times New Roman"/>
                    </w:rPr>
                    <w:t xml:space="preserve">Order Instituting Rulemaking to Develop an Electricity Integrated Resource Planning Framework and to </w:t>
                  </w:r>
                  <w:r w:rsidR="00866F70">
                    <w:rPr>
                      <w:rFonts w:ascii="Times New Roman" w:hAnsi="Times New Roman" w:cs="Times New Roman"/>
                    </w:rPr>
                    <w:t>Coordinate and Refine Long</w:t>
                  </w:r>
                  <w:r w:rsidR="00866F70">
                    <w:rPr>
                      <w:rFonts w:ascii="Times New Roman" w:hAnsi="Times New Roman" w:cs="Times New Roman"/>
                    </w:rPr>
                    <w:noBreakHyphen/>
                  </w:r>
                  <w:r w:rsidRPr="002C5FE7">
                    <w:rPr>
                      <w:rFonts w:ascii="Times New Roman" w:hAnsi="Times New Roman" w:cs="Times New Roman"/>
                    </w:rPr>
                    <w:t>Term Procurement Planning Requirements</w:t>
                  </w:r>
                  <w:r w:rsidR="000C6B8E" w:rsidRPr="002C5FE7">
                    <w:rPr>
                      <w:rFonts w:ascii="Times New Roman" w:hAnsi="Times New Roman" w:cs="Times New Roman"/>
                    </w:rPr>
                    <w:t xml:space="preserve"> (LTPP)</w:t>
                  </w:r>
                  <w:r w:rsidRPr="002C5FE7">
                    <w:rPr>
                      <w:rFonts w:ascii="Times New Roman" w:hAnsi="Times New Roman" w:cs="Times New Roman"/>
                    </w:rPr>
                    <w:t xml:space="preserve">. </w:t>
                  </w:r>
                </w:p>
              </w:tc>
            </w:tr>
          </w:tbl>
          <w:p w14:paraId="47850BD9" w14:textId="77777777" w:rsidR="00A92D0B" w:rsidRPr="002C5FE7" w:rsidRDefault="00A92D0B">
            <w:pPr>
              <w:rPr>
                <w:color w:val="000000"/>
              </w:rPr>
            </w:pPr>
          </w:p>
        </w:tc>
        <w:tc>
          <w:tcPr>
            <w:tcW w:w="3690" w:type="dxa"/>
            <w:shd w:val="clear" w:color="auto" w:fill="auto"/>
          </w:tcPr>
          <w:p w14:paraId="0E05FEFF" w14:textId="1736B09F" w:rsidR="00866F70" w:rsidRDefault="00866F70" w:rsidP="00866F70">
            <w:pPr>
              <w:autoSpaceDE w:val="0"/>
              <w:autoSpaceDN w:val="0"/>
              <w:adjustRightInd w:val="0"/>
            </w:pPr>
          </w:p>
          <w:p w14:paraId="28228853" w14:textId="77777777" w:rsidR="00866F70" w:rsidRDefault="00866F70" w:rsidP="00866F70">
            <w:pPr>
              <w:autoSpaceDE w:val="0"/>
              <w:autoSpaceDN w:val="0"/>
              <w:adjustRightInd w:val="0"/>
            </w:pPr>
          </w:p>
          <w:p w14:paraId="4E5DC7CF" w14:textId="12317298" w:rsidR="00A92D0B" w:rsidRPr="002C5FE7" w:rsidRDefault="00E53E19" w:rsidP="00866F70">
            <w:pPr>
              <w:autoSpaceDE w:val="0"/>
              <w:autoSpaceDN w:val="0"/>
              <w:adjustRightInd w:val="0"/>
              <w:jc w:val="center"/>
              <w:rPr>
                <w:color w:val="000000"/>
              </w:rPr>
            </w:pPr>
            <w:r w:rsidRPr="002C5FE7">
              <w:t>Rulemaking 16-02-007</w:t>
            </w:r>
          </w:p>
          <w:p w14:paraId="7EC7277D" w14:textId="77777777" w:rsidR="00A92D0B" w:rsidRPr="002C5FE7" w:rsidRDefault="00A92D0B">
            <w:pPr>
              <w:jc w:val="center"/>
              <w:rPr>
                <w:color w:val="000000"/>
              </w:rPr>
            </w:pPr>
          </w:p>
        </w:tc>
      </w:tr>
    </w:tbl>
    <w:p w14:paraId="5459E071" w14:textId="77777777" w:rsidR="00FC72B7" w:rsidRPr="002C5FE7" w:rsidRDefault="00FC72B7">
      <w:pPr>
        <w:jc w:val="center"/>
        <w:rPr>
          <w:b/>
          <w:color w:val="000000"/>
        </w:rPr>
      </w:pPr>
    </w:p>
    <w:p w14:paraId="17BB0C52" w14:textId="2583CD6F" w:rsidR="00A92D0B" w:rsidRPr="002C5FE7" w:rsidRDefault="008F16A6" w:rsidP="00F14799">
      <w:pPr>
        <w:jc w:val="center"/>
        <w:rPr>
          <w:b/>
        </w:rPr>
      </w:pPr>
      <w:r>
        <w:rPr>
          <w:b/>
        </w:rPr>
        <w:t xml:space="preserve">DECISION GRANTING COMPENSATION TO THE PROTECT OUR COMMUNITIES FOUNDATION FOR SUBSTANTIAL </w:t>
      </w:r>
      <w:r w:rsidR="00866F70">
        <w:rPr>
          <w:b/>
        </w:rPr>
        <w:br/>
      </w:r>
      <w:r>
        <w:rPr>
          <w:b/>
        </w:rPr>
        <w:t>CONTRIBUTION TO DECISION 18-02-018</w:t>
      </w:r>
    </w:p>
    <w:p w14:paraId="4BEAFF75" w14:textId="59CF697D" w:rsidR="00A92D0B" w:rsidRPr="002C5FE7" w:rsidRDefault="00A92D0B">
      <w:pPr>
        <w:suppressAutoHyphens/>
        <w:rPr>
          <w:color w:val="00000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140"/>
      </w:tblGrid>
      <w:tr w:rsidR="00A92D0B" w:rsidRPr="002C5FE7" w14:paraId="0FE98F62" w14:textId="77777777" w:rsidTr="00300910">
        <w:tc>
          <w:tcPr>
            <w:tcW w:w="4675" w:type="dxa"/>
            <w:shd w:val="clear" w:color="auto" w:fill="auto"/>
          </w:tcPr>
          <w:p w14:paraId="11570D4A" w14:textId="51394B1F" w:rsidR="00A92D0B" w:rsidRPr="008F16A6" w:rsidRDefault="005A63D4" w:rsidP="00AF50CC">
            <w:pPr>
              <w:tabs>
                <w:tab w:val="left" w:pos="1620"/>
                <w:tab w:val="right" w:pos="4500"/>
              </w:tabs>
              <w:rPr>
                <w:color w:val="000000"/>
              </w:rPr>
            </w:pPr>
            <w:proofErr w:type="spellStart"/>
            <w:r w:rsidRPr="008F16A6">
              <w:rPr>
                <w:color w:val="000000"/>
              </w:rPr>
              <w:t>Intervenor</w:t>
            </w:r>
            <w:proofErr w:type="spellEnd"/>
            <w:r w:rsidR="00F63C29" w:rsidRPr="008F16A6">
              <w:rPr>
                <w:color w:val="000000"/>
              </w:rPr>
              <w:t>:</w:t>
            </w:r>
            <w:r w:rsidR="00691528" w:rsidRPr="008F16A6">
              <w:rPr>
                <w:color w:val="000000"/>
              </w:rPr>
              <w:t xml:space="preserve"> </w:t>
            </w:r>
            <w:r w:rsidR="007E1B9F">
              <w:rPr>
                <w:color w:val="000000"/>
              </w:rPr>
              <w:t xml:space="preserve"> </w:t>
            </w:r>
            <w:r w:rsidR="00F87969" w:rsidRPr="008F16A6">
              <w:rPr>
                <w:color w:val="000000"/>
              </w:rPr>
              <w:t>The Protect Our Communities Foundation</w:t>
            </w:r>
          </w:p>
        </w:tc>
        <w:tc>
          <w:tcPr>
            <w:tcW w:w="4140" w:type="dxa"/>
            <w:shd w:val="clear" w:color="auto" w:fill="auto"/>
          </w:tcPr>
          <w:p w14:paraId="53A584EE" w14:textId="7688C7DA" w:rsidR="00A92D0B" w:rsidRPr="008F16A6" w:rsidRDefault="00A92D0B" w:rsidP="00300910">
            <w:pPr>
              <w:tabs>
                <w:tab w:val="left" w:pos="1872"/>
                <w:tab w:val="right" w:pos="3672"/>
              </w:tabs>
              <w:rPr>
                <w:color w:val="000000"/>
              </w:rPr>
            </w:pPr>
            <w:r w:rsidRPr="008F16A6">
              <w:rPr>
                <w:color w:val="000000"/>
              </w:rPr>
              <w:t>For contribution to D</w:t>
            </w:r>
            <w:r w:rsidR="00DE3A5D" w:rsidRPr="008F16A6">
              <w:rPr>
                <w:color w:val="000000"/>
              </w:rPr>
              <w:t xml:space="preserve">ecision </w:t>
            </w:r>
            <w:bookmarkStart w:id="1" w:name="_Hlk511301562"/>
            <w:r w:rsidR="00074E71" w:rsidRPr="008F16A6">
              <w:rPr>
                <w:bCs/>
              </w:rPr>
              <w:t>18-02-01</w:t>
            </w:r>
            <w:r w:rsidR="00067005" w:rsidRPr="008F16A6">
              <w:rPr>
                <w:bCs/>
              </w:rPr>
              <w:t>8</w:t>
            </w:r>
            <w:bookmarkEnd w:id="1"/>
          </w:p>
        </w:tc>
      </w:tr>
      <w:tr w:rsidR="00A92D0B" w:rsidRPr="002C5FE7" w14:paraId="47003B8E" w14:textId="77777777" w:rsidTr="00300910">
        <w:tc>
          <w:tcPr>
            <w:tcW w:w="4675" w:type="dxa"/>
            <w:shd w:val="clear" w:color="auto" w:fill="auto"/>
          </w:tcPr>
          <w:p w14:paraId="0E2E4BD1" w14:textId="4395C64E" w:rsidR="00A92D0B" w:rsidRPr="008F16A6" w:rsidRDefault="00A92D0B" w:rsidP="00AF50CC">
            <w:pPr>
              <w:tabs>
                <w:tab w:val="left" w:pos="1620"/>
                <w:tab w:val="right" w:pos="4500"/>
              </w:tabs>
              <w:rPr>
                <w:color w:val="000000"/>
                <w:u w:val="single"/>
              </w:rPr>
            </w:pPr>
            <w:r w:rsidRPr="008F16A6">
              <w:rPr>
                <w:color w:val="000000"/>
              </w:rPr>
              <w:t>Claimed:</w:t>
            </w:r>
            <w:r w:rsidR="00F63C29" w:rsidRPr="008F16A6">
              <w:rPr>
                <w:color w:val="000000"/>
              </w:rPr>
              <w:t xml:space="preserve"> </w:t>
            </w:r>
            <w:r w:rsidR="002D21CA" w:rsidRPr="008F16A6">
              <w:rPr>
                <w:color w:val="000000"/>
              </w:rPr>
              <w:t xml:space="preserve"> </w:t>
            </w:r>
            <w:r w:rsidR="00107176" w:rsidRPr="008F16A6">
              <w:rPr>
                <w:color w:val="000000"/>
              </w:rPr>
              <w:t>$</w:t>
            </w:r>
            <w:r w:rsidR="00765A24" w:rsidRPr="008F16A6">
              <w:rPr>
                <w:color w:val="000000"/>
              </w:rPr>
              <w:t>63,389.00</w:t>
            </w:r>
          </w:p>
        </w:tc>
        <w:tc>
          <w:tcPr>
            <w:tcW w:w="4140" w:type="dxa"/>
            <w:tcBorders>
              <w:bottom w:val="single" w:sz="4" w:space="0" w:color="auto"/>
            </w:tcBorders>
            <w:shd w:val="clear" w:color="auto" w:fill="auto"/>
          </w:tcPr>
          <w:p w14:paraId="211F40A8" w14:textId="50681870" w:rsidR="00A92D0B" w:rsidRPr="008F16A6" w:rsidRDefault="00A92D0B" w:rsidP="00AF50CC">
            <w:pPr>
              <w:tabs>
                <w:tab w:val="left" w:pos="1872"/>
                <w:tab w:val="right" w:pos="3672"/>
              </w:tabs>
              <w:rPr>
                <w:color w:val="000000"/>
                <w:u w:val="single"/>
              </w:rPr>
            </w:pPr>
            <w:r w:rsidRPr="008F16A6">
              <w:rPr>
                <w:color w:val="000000"/>
              </w:rPr>
              <w:t>Awarded:</w:t>
            </w:r>
            <w:r w:rsidR="00FC72B7" w:rsidRPr="008F16A6">
              <w:rPr>
                <w:color w:val="000000"/>
              </w:rPr>
              <w:t xml:space="preserve">  $</w:t>
            </w:r>
            <w:r w:rsidR="000D521F">
              <w:rPr>
                <w:color w:val="000000"/>
              </w:rPr>
              <w:t>64,306.14</w:t>
            </w:r>
          </w:p>
        </w:tc>
      </w:tr>
      <w:tr w:rsidR="00A92D0B" w:rsidRPr="002C5FE7" w14:paraId="5C56877D" w14:textId="77777777" w:rsidTr="00300910">
        <w:tc>
          <w:tcPr>
            <w:tcW w:w="4675" w:type="dxa"/>
            <w:shd w:val="clear" w:color="auto" w:fill="auto"/>
          </w:tcPr>
          <w:p w14:paraId="6EF99E36" w14:textId="1B968224" w:rsidR="00A92D0B" w:rsidRPr="008F16A6" w:rsidRDefault="00A92D0B" w:rsidP="007E1B9F">
            <w:pPr>
              <w:autoSpaceDE w:val="0"/>
              <w:autoSpaceDN w:val="0"/>
              <w:adjustRightInd w:val="0"/>
              <w:rPr>
                <w:color w:val="000000"/>
                <w:u w:val="single"/>
              </w:rPr>
            </w:pPr>
            <w:r w:rsidRPr="008F16A6">
              <w:rPr>
                <w:color w:val="000000"/>
              </w:rPr>
              <w:t xml:space="preserve">Assigned Commissioner: </w:t>
            </w:r>
            <w:r w:rsidR="007E1B9F">
              <w:rPr>
                <w:color w:val="000000"/>
              </w:rPr>
              <w:t xml:space="preserve"> </w:t>
            </w:r>
            <w:proofErr w:type="spellStart"/>
            <w:r w:rsidR="001E2CFF" w:rsidRPr="008F16A6">
              <w:t>Liane</w:t>
            </w:r>
            <w:proofErr w:type="spellEnd"/>
            <w:r w:rsidR="007E1B9F">
              <w:t xml:space="preserve"> </w:t>
            </w:r>
            <w:r w:rsidR="00300910">
              <w:t xml:space="preserve">M. </w:t>
            </w:r>
            <w:r w:rsidR="001E2CFF" w:rsidRPr="008F16A6">
              <w:t>Randolph</w:t>
            </w:r>
          </w:p>
        </w:tc>
        <w:tc>
          <w:tcPr>
            <w:tcW w:w="4140" w:type="dxa"/>
            <w:shd w:val="clear" w:color="auto" w:fill="auto"/>
          </w:tcPr>
          <w:p w14:paraId="79375F78" w14:textId="07845357" w:rsidR="00A92D0B" w:rsidRPr="008F16A6" w:rsidRDefault="00A92D0B" w:rsidP="00AF50CC">
            <w:pPr>
              <w:tabs>
                <w:tab w:val="left" w:pos="1872"/>
                <w:tab w:val="right" w:pos="3672"/>
              </w:tabs>
              <w:rPr>
                <w:color w:val="000000"/>
                <w:u w:val="single"/>
              </w:rPr>
            </w:pPr>
            <w:r w:rsidRPr="008F16A6">
              <w:rPr>
                <w:color w:val="000000"/>
              </w:rPr>
              <w:t>Assigned ALJ:</w:t>
            </w:r>
            <w:r w:rsidR="00F63C29" w:rsidRPr="008F16A6">
              <w:rPr>
                <w:color w:val="000000"/>
              </w:rPr>
              <w:t xml:space="preserve"> </w:t>
            </w:r>
            <w:r w:rsidR="007E1B9F">
              <w:rPr>
                <w:color w:val="000000"/>
              </w:rPr>
              <w:t xml:space="preserve"> </w:t>
            </w:r>
            <w:r w:rsidR="001E2CFF" w:rsidRPr="008F16A6">
              <w:t>Julie A. Fitch</w:t>
            </w:r>
          </w:p>
        </w:tc>
      </w:tr>
    </w:tbl>
    <w:p w14:paraId="5F1ED56E" w14:textId="77777777" w:rsidR="00A92D0B" w:rsidRPr="002C5FE7" w:rsidRDefault="00A92D0B">
      <w:pPr>
        <w:rPr>
          <w:color w:val="000000"/>
        </w:rPr>
      </w:pPr>
    </w:p>
    <w:p w14:paraId="3CEED871" w14:textId="1F452645" w:rsidR="00691528" w:rsidRPr="002C5FE7" w:rsidRDefault="00A92D0B" w:rsidP="008F16A6">
      <w:pPr>
        <w:rPr>
          <w:b/>
          <w:color w:val="000000"/>
        </w:rPr>
      </w:pPr>
      <w:r w:rsidRPr="002C5FE7">
        <w:rPr>
          <w:b/>
          <w:color w:val="000000"/>
        </w:rPr>
        <w:t>PART I:  PROCEDURAL ISSUES</w:t>
      </w:r>
      <w:r w:rsidR="008F16A6">
        <w:rPr>
          <w:b/>
          <w:color w:val="000000"/>
        </w:rPr>
        <w:t>:</w:t>
      </w:r>
    </w:p>
    <w:p w14:paraId="37AA25BD" w14:textId="77777777" w:rsidR="00A92D0B" w:rsidRPr="002C5FE7" w:rsidRDefault="00A92D0B">
      <w:pPr>
        <w:rPr>
          <w:color w:val="00000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670"/>
      </w:tblGrid>
      <w:tr w:rsidR="00A92D0B" w:rsidRPr="002C5FE7" w14:paraId="3C5C25ED" w14:textId="77777777" w:rsidTr="00866F70">
        <w:tc>
          <w:tcPr>
            <w:tcW w:w="3145" w:type="dxa"/>
            <w:shd w:val="clear" w:color="auto" w:fill="auto"/>
          </w:tcPr>
          <w:p w14:paraId="1576A0A6" w14:textId="77777777" w:rsidR="00A92D0B" w:rsidRPr="008F16A6" w:rsidRDefault="00A92D0B" w:rsidP="00915118">
            <w:pPr>
              <w:rPr>
                <w:color w:val="000000"/>
              </w:rPr>
            </w:pPr>
            <w:r w:rsidRPr="008F16A6">
              <w:rPr>
                <w:color w:val="000000"/>
              </w:rPr>
              <w:t xml:space="preserve">A.  Brief </w:t>
            </w:r>
            <w:r w:rsidR="00A319DE" w:rsidRPr="008F16A6">
              <w:rPr>
                <w:color w:val="000000"/>
              </w:rPr>
              <w:t>d</w:t>
            </w:r>
            <w:r w:rsidRPr="008F16A6">
              <w:rPr>
                <w:color w:val="000000"/>
              </w:rPr>
              <w:t xml:space="preserve">escription of Decision: </w:t>
            </w:r>
          </w:p>
        </w:tc>
        <w:tc>
          <w:tcPr>
            <w:tcW w:w="5670" w:type="dxa"/>
            <w:shd w:val="clear" w:color="auto" w:fill="auto"/>
          </w:tcPr>
          <w:p w14:paraId="67B8ECAA" w14:textId="42382FDD" w:rsidR="00C02649" w:rsidRPr="002C5FE7" w:rsidRDefault="00776442" w:rsidP="00143586">
            <w:pPr>
              <w:autoSpaceDE w:val="0"/>
              <w:autoSpaceDN w:val="0"/>
              <w:adjustRightInd w:val="0"/>
            </w:pPr>
            <w:r>
              <w:t xml:space="preserve">Decision </w:t>
            </w:r>
            <w:r w:rsidR="00963DBE" w:rsidRPr="002C5FE7">
              <w:t>D.18-02-018 sets forth requirements for load-serving</w:t>
            </w:r>
            <w:r w:rsidR="00CE09D0" w:rsidRPr="002C5FE7">
              <w:t xml:space="preserve"> </w:t>
            </w:r>
            <w:r w:rsidR="00963DBE" w:rsidRPr="002C5FE7">
              <w:t xml:space="preserve">entities </w:t>
            </w:r>
            <w:r w:rsidR="00CE09D0" w:rsidRPr="002C5FE7">
              <w:t xml:space="preserve">(LSEs) </w:t>
            </w:r>
            <w:r w:rsidR="009D32A2" w:rsidRPr="002C5FE7">
              <w:t>to abide by in their</w:t>
            </w:r>
            <w:r w:rsidR="00963DBE" w:rsidRPr="002C5FE7">
              <w:t xml:space="preserve"> integrated resource plans </w:t>
            </w:r>
            <w:r w:rsidR="00AF50CC">
              <w:t>(IRPs). The decision adopts a 2-</w:t>
            </w:r>
            <w:r w:rsidR="00963DBE" w:rsidRPr="002C5FE7">
              <w:t xml:space="preserve">year cycle in which the </w:t>
            </w:r>
            <w:r>
              <w:t>Commission will</w:t>
            </w:r>
            <w:r w:rsidR="00963DBE" w:rsidRPr="002C5FE7">
              <w:t xml:space="preserve"> “conduct modeling and analysis, set greenhouse gas (GHG) emissions targets, and consider IRP filings from all LSEs.” The </w:t>
            </w:r>
            <w:r>
              <w:t>D</w:t>
            </w:r>
            <w:r w:rsidR="00963DBE" w:rsidRPr="002C5FE7">
              <w:t>ecision recommends a greenhouse gas (GHG)</w:t>
            </w:r>
            <w:r w:rsidR="00603DC7" w:rsidRPr="002C5FE7">
              <w:t xml:space="preserve"> </w:t>
            </w:r>
            <w:r w:rsidR="00963DBE" w:rsidRPr="002C5FE7">
              <w:t xml:space="preserve">emission planning target of 42 </w:t>
            </w:r>
            <w:r w:rsidR="00C35D5B" w:rsidRPr="002C5FE7">
              <w:t>MMT</w:t>
            </w:r>
            <w:r w:rsidR="00963DBE" w:rsidRPr="002C5FE7">
              <w:t xml:space="preserve"> by 2030</w:t>
            </w:r>
            <w:r w:rsidR="00603DC7" w:rsidRPr="002C5FE7">
              <w:t xml:space="preserve"> </w:t>
            </w:r>
            <w:r w:rsidR="00AC226C" w:rsidRPr="002C5FE7">
              <w:t xml:space="preserve">for the statewide electricity sector </w:t>
            </w:r>
            <w:r w:rsidR="00963DBE" w:rsidRPr="002C5FE7">
              <w:t>and describes and adopts</w:t>
            </w:r>
            <w:r w:rsidR="009D1C30" w:rsidRPr="002C5FE7">
              <w:t xml:space="preserve"> an associated optimal resource </w:t>
            </w:r>
            <w:r w:rsidR="00603DC7" w:rsidRPr="002C5FE7">
              <w:t xml:space="preserve">portfolio. </w:t>
            </w:r>
            <w:r w:rsidR="00E41ACD" w:rsidRPr="002C5FE7">
              <w:t xml:space="preserve"> </w:t>
            </w:r>
            <w:r>
              <w:t xml:space="preserve">The Decision does not include an order for </w:t>
            </w:r>
            <w:r w:rsidR="00CA3922" w:rsidRPr="002C5FE7">
              <w:t xml:space="preserve">immediate procurement of additional </w:t>
            </w:r>
            <w:r>
              <w:t>resources</w:t>
            </w:r>
            <w:r w:rsidR="00BF6DEB" w:rsidRPr="002C5FE7">
              <w:t xml:space="preserve">. </w:t>
            </w:r>
          </w:p>
        </w:tc>
      </w:tr>
    </w:tbl>
    <w:p w14:paraId="3627CBB7" w14:textId="77777777" w:rsidR="00A92D0B" w:rsidRPr="002C5FE7" w:rsidRDefault="00A92D0B">
      <w:pPr>
        <w:rPr>
          <w:color w:val="000000"/>
        </w:rPr>
      </w:pPr>
    </w:p>
    <w:p w14:paraId="2FBF046C" w14:textId="2AE37522" w:rsidR="00A92D0B" w:rsidRPr="008F16A6" w:rsidRDefault="005A63D4" w:rsidP="007E1B9F">
      <w:pPr>
        <w:keepNext/>
        <w:numPr>
          <w:ilvl w:val="0"/>
          <w:numId w:val="5"/>
        </w:numPr>
        <w:rPr>
          <w:color w:val="000000"/>
        </w:rPr>
      </w:pPr>
      <w:proofErr w:type="spellStart"/>
      <w:r w:rsidRPr="008F16A6">
        <w:rPr>
          <w:color w:val="000000"/>
        </w:rPr>
        <w:lastRenderedPageBreak/>
        <w:t>Intervenor</w:t>
      </w:r>
      <w:proofErr w:type="spellEnd"/>
      <w:r w:rsidRPr="008F16A6">
        <w:rPr>
          <w:color w:val="000000"/>
        </w:rPr>
        <w:t xml:space="preserve"> </w:t>
      </w:r>
      <w:r w:rsidR="00A92D0B" w:rsidRPr="008F16A6">
        <w:rPr>
          <w:color w:val="000000"/>
        </w:rPr>
        <w:t xml:space="preserve">must satisfy </w:t>
      </w:r>
      <w:proofErr w:type="spellStart"/>
      <w:r w:rsidR="00A92D0B" w:rsidRPr="008F16A6">
        <w:rPr>
          <w:color w:val="000000"/>
        </w:rPr>
        <w:t>intervenor</w:t>
      </w:r>
      <w:proofErr w:type="spellEnd"/>
      <w:r w:rsidR="00A92D0B" w:rsidRPr="008F16A6">
        <w:rPr>
          <w:color w:val="000000"/>
        </w:rPr>
        <w:t xml:space="preserve"> compensation </w:t>
      </w:r>
      <w:r w:rsidR="00DE3A5D" w:rsidRPr="008F16A6">
        <w:rPr>
          <w:color w:val="000000"/>
        </w:rPr>
        <w:t>requirements set forth in Pub. Util.</w:t>
      </w:r>
      <w:r w:rsidR="00866F70">
        <w:rPr>
          <w:color w:val="000000"/>
        </w:rPr>
        <w:t xml:space="preserve"> Code §§ </w:t>
      </w:r>
      <w:r w:rsidR="00A92D0B" w:rsidRPr="008F16A6">
        <w:rPr>
          <w:color w:val="000000"/>
        </w:rPr>
        <w:t>1801-1812</w:t>
      </w:r>
      <w:r w:rsidR="003B6A1B" w:rsidRPr="008F16A6">
        <w:rPr>
          <w:rStyle w:val="FootnoteReference"/>
          <w:color w:val="000000"/>
        </w:rPr>
        <w:footnoteReference w:id="1"/>
      </w:r>
      <w:r w:rsidR="00A92D0B" w:rsidRPr="008F16A6">
        <w:rPr>
          <w:color w:val="000000"/>
        </w:rPr>
        <w:t>:</w:t>
      </w:r>
    </w:p>
    <w:p w14:paraId="4E196E03" w14:textId="77777777" w:rsidR="00A92D0B" w:rsidRPr="002C5FE7" w:rsidRDefault="00A92D0B" w:rsidP="007E1B9F">
      <w:pPr>
        <w:keepNext/>
        <w:tabs>
          <w:tab w:val="left" w:pos="360"/>
        </w:tabs>
        <w:rPr>
          <w:color w:val="000000"/>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3150"/>
        <w:gridCol w:w="1800"/>
      </w:tblGrid>
      <w:tr w:rsidR="00A92D0B" w:rsidRPr="002C5FE7" w14:paraId="640CF70A" w14:textId="77777777" w:rsidTr="008F16A6">
        <w:tc>
          <w:tcPr>
            <w:tcW w:w="3595" w:type="dxa"/>
            <w:tcBorders>
              <w:bottom w:val="single" w:sz="4" w:space="0" w:color="auto"/>
            </w:tcBorders>
            <w:shd w:val="clear" w:color="auto" w:fill="auto"/>
          </w:tcPr>
          <w:p w14:paraId="409E4D92" w14:textId="77777777" w:rsidR="00A92D0B" w:rsidRPr="008F16A6" w:rsidRDefault="00A92D0B" w:rsidP="007E1B9F">
            <w:pPr>
              <w:keepNext/>
              <w:tabs>
                <w:tab w:val="left" w:pos="360"/>
              </w:tabs>
              <w:spacing w:before="120"/>
              <w:jc w:val="center"/>
              <w:rPr>
                <w:color w:val="000000"/>
              </w:rPr>
            </w:pPr>
          </w:p>
        </w:tc>
        <w:tc>
          <w:tcPr>
            <w:tcW w:w="3150" w:type="dxa"/>
            <w:tcBorders>
              <w:bottom w:val="single" w:sz="4" w:space="0" w:color="auto"/>
            </w:tcBorders>
            <w:shd w:val="clear" w:color="auto" w:fill="auto"/>
          </w:tcPr>
          <w:p w14:paraId="1412A3C6" w14:textId="77777777" w:rsidR="00A92D0B" w:rsidRPr="008F16A6" w:rsidRDefault="005A63D4" w:rsidP="007E1B9F">
            <w:pPr>
              <w:keepNext/>
              <w:tabs>
                <w:tab w:val="left" w:pos="360"/>
              </w:tabs>
              <w:spacing w:before="120"/>
              <w:jc w:val="center"/>
              <w:rPr>
                <w:color w:val="000000"/>
              </w:rPr>
            </w:pPr>
            <w:proofErr w:type="spellStart"/>
            <w:r w:rsidRPr="008F16A6">
              <w:rPr>
                <w:color w:val="000000"/>
              </w:rPr>
              <w:t>Intervenor</w:t>
            </w:r>
            <w:proofErr w:type="spellEnd"/>
          </w:p>
        </w:tc>
        <w:tc>
          <w:tcPr>
            <w:tcW w:w="1800" w:type="dxa"/>
            <w:tcBorders>
              <w:bottom w:val="single" w:sz="4" w:space="0" w:color="auto"/>
            </w:tcBorders>
            <w:shd w:val="clear" w:color="auto" w:fill="auto"/>
          </w:tcPr>
          <w:p w14:paraId="2A218C38" w14:textId="386C9A6A" w:rsidR="00A92D0B" w:rsidRPr="008F16A6" w:rsidRDefault="00A92D0B" w:rsidP="007E1B9F">
            <w:pPr>
              <w:keepNext/>
              <w:tabs>
                <w:tab w:val="left" w:pos="360"/>
              </w:tabs>
              <w:spacing w:before="120"/>
              <w:jc w:val="center"/>
              <w:rPr>
                <w:color w:val="000000"/>
              </w:rPr>
            </w:pPr>
            <w:r w:rsidRPr="008F16A6">
              <w:rPr>
                <w:color w:val="000000"/>
              </w:rPr>
              <w:t xml:space="preserve">CPUC </w:t>
            </w:r>
            <w:r w:rsidR="0081626F" w:rsidRPr="008F16A6">
              <w:rPr>
                <w:color w:val="000000"/>
              </w:rPr>
              <w:t>Verification</w:t>
            </w:r>
          </w:p>
        </w:tc>
      </w:tr>
      <w:tr w:rsidR="00A92D0B" w:rsidRPr="002C5FE7" w14:paraId="7D83D00D" w14:textId="77777777" w:rsidTr="008F16A6">
        <w:tc>
          <w:tcPr>
            <w:tcW w:w="85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E2B66" w14:textId="77777777" w:rsidR="00A92D0B" w:rsidRPr="008F16A6" w:rsidRDefault="00A92D0B" w:rsidP="007E1B9F">
            <w:pPr>
              <w:keepNext/>
              <w:tabs>
                <w:tab w:val="left" w:pos="360"/>
              </w:tabs>
              <w:spacing w:before="60"/>
              <w:jc w:val="center"/>
            </w:pPr>
            <w:r w:rsidRPr="008F16A6">
              <w:t>Timely filing of notice of intent to claim compensation (NOI) (§ 1804(a)):</w:t>
            </w:r>
          </w:p>
        </w:tc>
      </w:tr>
      <w:tr w:rsidR="00A92D0B" w:rsidRPr="002C5FE7" w14:paraId="160E284A" w14:textId="77777777" w:rsidTr="008F16A6">
        <w:tc>
          <w:tcPr>
            <w:tcW w:w="3595" w:type="dxa"/>
            <w:tcBorders>
              <w:top w:val="single" w:sz="4" w:space="0" w:color="auto"/>
            </w:tcBorders>
            <w:shd w:val="clear" w:color="auto" w:fill="auto"/>
          </w:tcPr>
          <w:p w14:paraId="44D1876C" w14:textId="77777777" w:rsidR="00A92D0B" w:rsidRPr="002C5FE7" w:rsidRDefault="00FC72B7" w:rsidP="007E1B9F">
            <w:pPr>
              <w:keepNext/>
              <w:tabs>
                <w:tab w:val="left" w:pos="360"/>
              </w:tabs>
              <w:spacing w:before="120"/>
              <w:ind w:left="360" w:hanging="360"/>
              <w:rPr>
                <w:color w:val="000000"/>
              </w:rPr>
            </w:pPr>
            <w:r w:rsidRPr="002C5FE7">
              <w:rPr>
                <w:color w:val="000000"/>
              </w:rPr>
              <w:t xml:space="preserve"> </w:t>
            </w:r>
            <w:r w:rsidR="00A92D0B" w:rsidRPr="002C5FE7">
              <w:rPr>
                <w:color w:val="000000"/>
              </w:rPr>
              <w:t>1.  Date of Prehearing Conference:</w:t>
            </w:r>
          </w:p>
        </w:tc>
        <w:tc>
          <w:tcPr>
            <w:tcW w:w="3150" w:type="dxa"/>
            <w:tcBorders>
              <w:top w:val="single" w:sz="4" w:space="0" w:color="auto"/>
            </w:tcBorders>
            <w:shd w:val="clear" w:color="auto" w:fill="auto"/>
          </w:tcPr>
          <w:p w14:paraId="35450816" w14:textId="00CEF886" w:rsidR="00A92D0B" w:rsidRPr="002C5FE7" w:rsidRDefault="00F62D39" w:rsidP="007E1B9F">
            <w:pPr>
              <w:keepNext/>
              <w:keepLines/>
              <w:tabs>
                <w:tab w:val="left" w:pos="360"/>
              </w:tabs>
              <w:spacing w:before="120"/>
              <w:ind w:left="360" w:hanging="360"/>
              <w:rPr>
                <w:color w:val="000000"/>
              </w:rPr>
            </w:pPr>
            <w:r w:rsidRPr="002C5FE7">
              <w:rPr>
                <w:color w:val="000000"/>
              </w:rPr>
              <w:t>2/25/14</w:t>
            </w:r>
            <w:r w:rsidR="003202C8">
              <w:rPr>
                <w:color w:val="000000"/>
              </w:rPr>
              <w:t xml:space="preserve"> in R.13-12-</w:t>
            </w:r>
            <w:r w:rsidR="00733B25">
              <w:rPr>
                <w:color w:val="000000"/>
              </w:rPr>
              <w:t>0</w:t>
            </w:r>
            <w:r w:rsidR="003202C8">
              <w:rPr>
                <w:color w:val="000000"/>
              </w:rPr>
              <w:t>10</w:t>
            </w:r>
          </w:p>
        </w:tc>
        <w:tc>
          <w:tcPr>
            <w:tcW w:w="1800" w:type="dxa"/>
            <w:tcBorders>
              <w:top w:val="single" w:sz="4" w:space="0" w:color="auto"/>
            </w:tcBorders>
            <w:shd w:val="clear" w:color="auto" w:fill="auto"/>
          </w:tcPr>
          <w:p w14:paraId="34540344" w14:textId="207A8D2F" w:rsidR="00A92D0B" w:rsidRPr="002C5FE7" w:rsidRDefault="00655F84" w:rsidP="007E1B9F">
            <w:pPr>
              <w:keepNext/>
              <w:tabs>
                <w:tab w:val="left" w:pos="360"/>
              </w:tabs>
              <w:spacing w:before="120"/>
              <w:jc w:val="both"/>
              <w:rPr>
                <w:color w:val="000000"/>
              </w:rPr>
            </w:pPr>
            <w:r>
              <w:rPr>
                <w:color w:val="000000"/>
              </w:rPr>
              <w:t>R.13-12-010</w:t>
            </w:r>
          </w:p>
        </w:tc>
      </w:tr>
      <w:tr w:rsidR="00A92D0B" w:rsidRPr="002C5FE7" w14:paraId="24C85564" w14:textId="77777777" w:rsidTr="008F16A6">
        <w:tc>
          <w:tcPr>
            <w:tcW w:w="3595" w:type="dxa"/>
            <w:shd w:val="clear" w:color="auto" w:fill="auto"/>
          </w:tcPr>
          <w:p w14:paraId="382C5788" w14:textId="77777777" w:rsidR="00A92D0B" w:rsidRPr="002C5FE7" w:rsidRDefault="00FC72B7" w:rsidP="007E1B9F">
            <w:pPr>
              <w:keepNext/>
              <w:tabs>
                <w:tab w:val="left" w:pos="360"/>
              </w:tabs>
              <w:spacing w:before="120"/>
              <w:ind w:left="360" w:hanging="360"/>
              <w:rPr>
                <w:color w:val="000000"/>
              </w:rPr>
            </w:pPr>
            <w:r w:rsidRPr="002C5FE7">
              <w:rPr>
                <w:color w:val="000000"/>
              </w:rPr>
              <w:t xml:space="preserve"> </w:t>
            </w:r>
            <w:r w:rsidR="00A92D0B" w:rsidRPr="002C5FE7">
              <w:rPr>
                <w:color w:val="000000"/>
              </w:rPr>
              <w:t xml:space="preserve">2.  Other </w:t>
            </w:r>
            <w:r w:rsidR="00A319DE" w:rsidRPr="002C5FE7">
              <w:rPr>
                <w:color w:val="000000"/>
              </w:rPr>
              <w:t>s</w:t>
            </w:r>
            <w:r w:rsidR="00A92D0B" w:rsidRPr="002C5FE7">
              <w:rPr>
                <w:color w:val="000000"/>
              </w:rPr>
              <w:t xml:space="preserve">pecified </w:t>
            </w:r>
            <w:r w:rsidR="00A319DE" w:rsidRPr="002C5FE7">
              <w:rPr>
                <w:color w:val="000000"/>
              </w:rPr>
              <w:t>d</w:t>
            </w:r>
            <w:r w:rsidR="00A92D0B" w:rsidRPr="002C5FE7">
              <w:rPr>
                <w:color w:val="000000"/>
              </w:rPr>
              <w:t>ate for NOI:</w:t>
            </w:r>
          </w:p>
        </w:tc>
        <w:tc>
          <w:tcPr>
            <w:tcW w:w="3150" w:type="dxa"/>
            <w:shd w:val="clear" w:color="auto" w:fill="auto"/>
          </w:tcPr>
          <w:p w14:paraId="1826BC2C" w14:textId="11B13E1F" w:rsidR="00A92D0B" w:rsidRPr="002C5FE7" w:rsidRDefault="003202C8" w:rsidP="007E1B9F">
            <w:pPr>
              <w:pStyle w:val="NoSpacing"/>
              <w:keepNext/>
            </w:pPr>
            <w:r>
              <w:t xml:space="preserve">NOI in </w:t>
            </w:r>
            <w:r w:rsidR="00CB3960" w:rsidRPr="002C5FE7">
              <w:t>R.13-12-</w:t>
            </w:r>
            <w:r w:rsidR="00597118">
              <w:t>0</w:t>
            </w:r>
            <w:r w:rsidR="00CB3960" w:rsidRPr="002C5FE7">
              <w:t>10</w:t>
            </w:r>
            <w:r>
              <w:t xml:space="preserve"> accepted in R.16-02-007</w:t>
            </w:r>
          </w:p>
        </w:tc>
        <w:tc>
          <w:tcPr>
            <w:tcW w:w="1800" w:type="dxa"/>
            <w:shd w:val="clear" w:color="auto" w:fill="auto"/>
          </w:tcPr>
          <w:p w14:paraId="210DAD91" w14:textId="129035EF" w:rsidR="00A92D0B" w:rsidRPr="002C5FE7" w:rsidRDefault="00655F84" w:rsidP="007E1B9F">
            <w:pPr>
              <w:keepNext/>
              <w:tabs>
                <w:tab w:val="left" w:pos="360"/>
              </w:tabs>
              <w:spacing w:before="120"/>
              <w:jc w:val="both"/>
              <w:rPr>
                <w:color w:val="000000"/>
              </w:rPr>
            </w:pPr>
            <w:r>
              <w:rPr>
                <w:color w:val="000000"/>
              </w:rPr>
              <w:t>R.13-12-010</w:t>
            </w:r>
          </w:p>
        </w:tc>
      </w:tr>
      <w:tr w:rsidR="00A92D0B" w:rsidRPr="002C5FE7" w14:paraId="4836EEA6" w14:textId="77777777" w:rsidTr="008F16A6">
        <w:tc>
          <w:tcPr>
            <w:tcW w:w="3595" w:type="dxa"/>
            <w:shd w:val="clear" w:color="auto" w:fill="auto"/>
          </w:tcPr>
          <w:p w14:paraId="34809C45" w14:textId="77777777" w:rsidR="00A92D0B" w:rsidRPr="002C5FE7" w:rsidRDefault="00FC72B7" w:rsidP="007E1B9F">
            <w:pPr>
              <w:keepNext/>
              <w:tabs>
                <w:tab w:val="left" w:pos="360"/>
              </w:tabs>
              <w:spacing w:before="120"/>
              <w:ind w:left="360" w:hanging="360"/>
              <w:rPr>
                <w:color w:val="000000"/>
              </w:rPr>
            </w:pPr>
            <w:r w:rsidRPr="002C5FE7">
              <w:rPr>
                <w:color w:val="000000"/>
              </w:rPr>
              <w:t xml:space="preserve"> </w:t>
            </w:r>
            <w:r w:rsidR="00A92D0B" w:rsidRPr="002C5FE7">
              <w:rPr>
                <w:color w:val="000000"/>
              </w:rPr>
              <w:t xml:space="preserve">3.  Date NOI </w:t>
            </w:r>
            <w:r w:rsidR="00A319DE" w:rsidRPr="002C5FE7">
              <w:rPr>
                <w:color w:val="000000"/>
              </w:rPr>
              <w:t>f</w:t>
            </w:r>
            <w:r w:rsidR="00A92D0B" w:rsidRPr="002C5FE7">
              <w:rPr>
                <w:color w:val="000000"/>
              </w:rPr>
              <w:t>iled:</w:t>
            </w:r>
          </w:p>
        </w:tc>
        <w:tc>
          <w:tcPr>
            <w:tcW w:w="3150" w:type="dxa"/>
            <w:tcBorders>
              <w:bottom w:val="single" w:sz="4" w:space="0" w:color="auto"/>
            </w:tcBorders>
            <w:shd w:val="clear" w:color="auto" w:fill="auto"/>
          </w:tcPr>
          <w:p w14:paraId="10E5EA50" w14:textId="77777777" w:rsidR="00A92D0B" w:rsidRDefault="00A17A13" w:rsidP="007E1B9F">
            <w:pPr>
              <w:pStyle w:val="NoSpacing"/>
              <w:keepNext/>
              <w:rPr>
                <w:bCs/>
              </w:rPr>
            </w:pPr>
            <w:r w:rsidRPr="002C5FE7">
              <w:t xml:space="preserve">3/27/2014 </w:t>
            </w:r>
            <w:r w:rsidR="008D0206" w:rsidRPr="002C5FE7">
              <w:t>(</w:t>
            </w:r>
            <w:r w:rsidR="00865A7A" w:rsidRPr="002C5FE7">
              <w:t xml:space="preserve">for </w:t>
            </w:r>
            <w:r w:rsidR="00EE543D" w:rsidRPr="002C5FE7">
              <w:t>R.13-12-010)</w:t>
            </w:r>
            <w:r w:rsidR="00865A7A" w:rsidRPr="002C5FE7">
              <w:t xml:space="preserve"> </w:t>
            </w:r>
            <w:r w:rsidR="00153F3C" w:rsidRPr="002C5FE7">
              <w:rPr>
                <w:bCs/>
              </w:rPr>
              <w:t xml:space="preserve"> </w:t>
            </w:r>
          </w:p>
          <w:p w14:paraId="44F7CCB9" w14:textId="08076AD9" w:rsidR="00580FF2" w:rsidRPr="002C5FE7" w:rsidRDefault="00733B25" w:rsidP="007E1B9F">
            <w:pPr>
              <w:pStyle w:val="NoSpacing"/>
              <w:keepNext/>
            </w:pPr>
            <w:r>
              <w:t>9/8/2014 (Amended for R.13</w:t>
            </w:r>
            <w:r>
              <w:noBreakHyphen/>
            </w:r>
            <w:r w:rsidR="003202C8">
              <w:t>12-010)</w:t>
            </w:r>
          </w:p>
        </w:tc>
        <w:tc>
          <w:tcPr>
            <w:tcW w:w="1800" w:type="dxa"/>
            <w:tcBorders>
              <w:bottom w:val="single" w:sz="4" w:space="0" w:color="auto"/>
            </w:tcBorders>
            <w:shd w:val="clear" w:color="auto" w:fill="auto"/>
          </w:tcPr>
          <w:p w14:paraId="71759DE3" w14:textId="631C69AF" w:rsidR="00A92D0B" w:rsidRPr="002C5FE7" w:rsidRDefault="00655F84" w:rsidP="007E1B9F">
            <w:pPr>
              <w:keepNext/>
              <w:tabs>
                <w:tab w:val="left" w:pos="360"/>
              </w:tabs>
              <w:spacing w:before="120"/>
              <w:jc w:val="both"/>
              <w:rPr>
                <w:color w:val="000000"/>
              </w:rPr>
            </w:pPr>
            <w:r>
              <w:rPr>
                <w:color w:val="000000"/>
              </w:rPr>
              <w:t>Verified</w:t>
            </w:r>
          </w:p>
        </w:tc>
      </w:tr>
      <w:tr w:rsidR="00A92D0B" w:rsidRPr="002C5FE7" w14:paraId="22BBCDE3" w14:textId="77777777" w:rsidTr="008F16A6">
        <w:tc>
          <w:tcPr>
            <w:tcW w:w="6745" w:type="dxa"/>
            <w:gridSpan w:val="2"/>
            <w:tcBorders>
              <w:bottom w:val="single" w:sz="4" w:space="0" w:color="auto"/>
            </w:tcBorders>
            <w:shd w:val="clear" w:color="auto" w:fill="auto"/>
          </w:tcPr>
          <w:p w14:paraId="79174071" w14:textId="0C1024FE" w:rsidR="00A92D0B" w:rsidRPr="008F16A6" w:rsidRDefault="00FC72B7" w:rsidP="007E1B9F">
            <w:pPr>
              <w:keepNext/>
              <w:tabs>
                <w:tab w:val="left" w:pos="360"/>
              </w:tabs>
              <w:spacing w:before="120"/>
              <w:ind w:left="360" w:hanging="360"/>
              <w:rPr>
                <w:color w:val="000000"/>
              </w:rPr>
            </w:pPr>
            <w:r w:rsidRPr="008F16A6">
              <w:rPr>
                <w:color w:val="000000"/>
              </w:rPr>
              <w:t xml:space="preserve"> </w:t>
            </w:r>
            <w:r w:rsidR="00A92D0B" w:rsidRPr="008F16A6">
              <w:rPr>
                <w:color w:val="000000"/>
              </w:rPr>
              <w:t xml:space="preserve">4. </w:t>
            </w:r>
            <w:r w:rsidRPr="008F16A6">
              <w:rPr>
                <w:color w:val="000000"/>
              </w:rPr>
              <w:t xml:space="preserve"> </w:t>
            </w:r>
            <w:r w:rsidR="00A92D0B" w:rsidRPr="008F16A6">
              <w:rPr>
                <w:color w:val="000000"/>
              </w:rPr>
              <w:t>Was the NOI timely filed?</w:t>
            </w:r>
            <w:r w:rsidR="0015088C" w:rsidRPr="008F16A6">
              <w:rPr>
                <w:color w:val="000000"/>
              </w:rPr>
              <w:t xml:space="preserve"> </w:t>
            </w:r>
          </w:p>
          <w:p w14:paraId="7E6E2068" w14:textId="47ADBE85" w:rsidR="0015088C" w:rsidRPr="008F16A6" w:rsidRDefault="0015088C" w:rsidP="007E1B9F">
            <w:pPr>
              <w:keepNext/>
              <w:tabs>
                <w:tab w:val="left" w:pos="360"/>
              </w:tabs>
              <w:rPr>
                <w:color w:val="000000"/>
              </w:rPr>
            </w:pPr>
          </w:p>
        </w:tc>
        <w:tc>
          <w:tcPr>
            <w:tcW w:w="1800" w:type="dxa"/>
            <w:tcBorders>
              <w:bottom w:val="single" w:sz="4" w:space="0" w:color="auto"/>
            </w:tcBorders>
            <w:shd w:val="clear" w:color="auto" w:fill="auto"/>
          </w:tcPr>
          <w:p w14:paraId="61DE2845" w14:textId="493A2F59" w:rsidR="00A92D0B" w:rsidRPr="002C5FE7" w:rsidRDefault="00655F84" w:rsidP="007E1B9F">
            <w:pPr>
              <w:keepNext/>
              <w:tabs>
                <w:tab w:val="left" w:pos="360"/>
              </w:tabs>
              <w:rPr>
                <w:color w:val="000000"/>
              </w:rPr>
            </w:pPr>
            <w:r>
              <w:rPr>
                <w:color w:val="000000"/>
              </w:rPr>
              <w:t>Yes</w:t>
            </w:r>
          </w:p>
        </w:tc>
      </w:tr>
      <w:tr w:rsidR="00A92D0B" w:rsidRPr="002C5FE7" w14:paraId="4CD7D46A" w14:textId="77777777" w:rsidTr="008F16A6">
        <w:tc>
          <w:tcPr>
            <w:tcW w:w="8545" w:type="dxa"/>
            <w:gridSpan w:val="3"/>
            <w:tcBorders>
              <w:top w:val="single" w:sz="4" w:space="0" w:color="auto"/>
              <w:left w:val="single" w:sz="4" w:space="0" w:color="auto"/>
              <w:bottom w:val="single" w:sz="4" w:space="0" w:color="auto"/>
              <w:right w:val="single" w:sz="4" w:space="0" w:color="auto"/>
            </w:tcBorders>
            <w:shd w:val="clear" w:color="auto" w:fill="E6E6E6"/>
          </w:tcPr>
          <w:p w14:paraId="19D649BF" w14:textId="1622B44E" w:rsidR="00A92D0B" w:rsidRPr="008F16A6" w:rsidRDefault="00A92D0B" w:rsidP="00733B25">
            <w:pPr>
              <w:keepNext/>
              <w:keepLines/>
              <w:tabs>
                <w:tab w:val="left" w:pos="360"/>
              </w:tabs>
              <w:spacing w:before="60"/>
              <w:jc w:val="center"/>
              <w:rPr>
                <w:color w:val="000000"/>
              </w:rPr>
            </w:pPr>
            <w:r w:rsidRPr="008F16A6">
              <w:rPr>
                <w:color w:val="000000"/>
              </w:rPr>
              <w:t xml:space="preserve">Showing of </w:t>
            </w:r>
            <w:r w:rsidR="00F63C29" w:rsidRPr="008F16A6">
              <w:rPr>
                <w:color w:val="000000"/>
              </w:rPr>
              <w:t xml:space="preserve">eligible </w:t>
            </w:r>
            <w:r w:rsidRPr="008F16A6">
              <w:rPr>
                <w:color w:val="000000"/>
              </w:rPr>
              <w:t xml:space="preserve">customer </w:t>
            </w:r>
            <w:r w:rsidR="00F63C29" w:rsidRPr="008F16A6">
              <w:rPr>
                <w:color w:val="000000"/>
              </w:rPr>
              <w:t>status (§ 1802(b) or e</w:t>
            </w:r>
            <w:r w:rsidR="008F16A6">
              <w:rPr>
                <w:color w:val="000000"/>
              </w:rPr>
              <w:t xml:space="preserve">ligible local government entity </w:t>
            </w:r>
            <w:r w:rsidR="00ED6B6B" w:rsidRPr="008F16A6">
              <w:rPr>
                <w:color w:val="000000"/>
              </w:rPr>
              <w:t>status</w:t>
            </w:r>
            <w:r w:rsidR="00733B25">
              <w:rPr>
                <w:color w:val="000000"/>
              </w:rPr>
              <w:t xml:space="preserve"> </w:t>
            </w:r>
            <w:r w:rsidR="00F63C29" w:rsidRPr="008F16A6">
              <w:rPr>
                <w:color w:val="000000"/>
              </w:rPr>
              <w:t>(§§ 1802(d), 1802.4)</w:t>
            </w:r>
            <w:r w:rsidRPr="008F16A6">
              <w:rPr>
                <w:color w:val="000000"/>
              </w:rPr>
              <w:t>:</w:t>
            </w:r>
          </w:p>
        </w:tc>
      </w:tr>
      <w:tr w:rsidR="00A92D0B" w:rsidRPr="002C5FE7" w14:paraId="259EC227" w14:textId="77777777" w:rsidTr="008F16A6">
        <w:tc>
          <w:tcPr>
            <w:tcW w:w="3595" w:type="dxa"/>
            <w:tcBorders>
              <w:top w:val="single" w:sz="4" w:space="0" w:color="auto"/>
            </w:tcBorders>
            <w:shd w:val="clear" w:color="auto" w:fill="auto"/>
          </w:tcPr>
          <w:p w14:paraId="0EFCD0E9" w14:textId="77777777" w:rsidR="00A92D0B" w:rsidRPr="002C5FE7" w:rsidRDefault="00FC72B7" w:rsidP="0009793B">
            <w:pPr>
              <w:keepNext/>
              <w:keepLines/>
              <w:spacing w:before="120"/>
              <w:ind w:left="360" w:hanging="360"/>
              <w:rPr>
                <w:color w:val="000000"/>
              </w:rPr>
            </w:pPr>
            <w:r w:rsidRPr="002C5FE7">
              <w:rPr>
                <w:color w:val="000000"/>
              </w:rPr>
              <w:t xml:space="preserve"> </w:t>
            </w:r>
            <w:r w:rsidR="00A92D0B" w:rsidRPr="002C5FE7">
              <w:rPr>
                <w:color w:val="000000"/>
              </w:rPr>
              <w:t xml:space="preserve">5.  Based on ALJ ruling issued in proceeding </w:t>
            </w:r>
            <w:r w:rsidR="00E3786F" w:rsidRPr="002C5FE7">
              <w:rPr>
                <w:color w:val="000000"/>
              </w:rPr>
              <w:t xml:space="preserve">  </w:t>
            </w:r>
            <w:r w:rsidR="00A92D0B" w:rsidRPr="002C5FE7">
              <w:rPr>
                <w:color w:val="000000"/>
              </w:rPr>
              <w:t>number:</w:t>
            </w:r>
          </w:p>
        </w:tc>
        <w:tc>
          <w:tcPr>
            <w:tcW w:w="3150" w:type="dxa"/>
            <w:tcBorders>
              <w:top w:val="single" w:sz="4" w:space="0" w:color="auto"/>
            </w:tcBorders>
            <w:shd w:val="clear" w:color="auto" w:fill="auto"/>
          </w:tcPr>
          <w:p w14:paraId="2EDAAE43" w14:textId="77777777" w:rsidR="00E433C8" w:rsidRPr="002C5FE7" w:rsidRDefault="00E433C8" w:rsidP="006C05BC">
            <w:pPr>
              <w:pStyle w:val="NoSpacing"/>
            </w:pPr>
          </w:p>
          <w:p w14:paraId="13E72B6D" w14:textId="06203E88" w:rsidR="00A92D0B" w:rsidRPr="002C5FE7" w:rsidRDefault="000D2DBC" w:rsidP="006C05BC">
            <w:pPr>
              <w:pStyle w:val="NoSpacing"/>
              <w:rPr>
                <w:color w:val="000000"/>
              </w:rPr>
            </w:pPr>
            <w:r w:rsidRPr="002C5FE7">
              <w:t>R.13-12-010</w:t>
            </w:r>
          </w:p>
        </w:tc>
        <w:tc>
          <w:tcPr>
            <w:tcW w:w="1800" w:type="dxa"/>
            <w:tcBorders>
              <w:top w:val="single" w:sz="4" w:space="0" w:color="auto"/>
            </w:tcBorders>
            <w:shd w:val="clear" w:color="auto" w:fill="auto"/>
          </w:tcPr>
          <w:p w14:paraId="2679B197" w14:textId="759F839E" w:rsidR="00A92D0B" w:rsidRPr="002C5FE7" w:rsidRDefault="00655F84" w:rsidP="007E71C3">
            <w:pPr>
              <w:keepNext/>
              <w:keepLines/>
              <w:tabs>
                <w:tab w:val="left" w:pos="360"/>
              </w:tabs>
              <w:spacing w:before="120"/>
              <w:rPr>
                <w:color w:val="000000"/>
              </w:rPr>
            </w:pPr>
            <w:r>
              <w:rPr>
                <w:color w:val="000000"/>
              </w:rPr>
              <w:t>Verified</w:t>
            </w:r>
          </w:p>
        </w:tc>
      </w:tr>
      <w:tr w:rsidR="00A92D0B" w:rsidRPr="002C5FE7" w14:paraId="4E0FB3B6" w14:textId="77777777" w:rsidTr="008F16A6">
        <w:tc>
          <w:tcPr>
            <w:tcW w:w="3595" w:type="dxa"/>
            <w:shd w:val="clear" w:color="auto" w:fill="auto"/>
          </w:tcPr>
          <w:p w14:paraId="568B12E8" w14:textId="77777777" w:rsidR="00A92D0B" w:rsidRPr="002C5FE7" w:rsidRDefault="00FC72B7" w:rsidP="00FC72B7">
            <w:pPr>
              <w:tabs>
                <w:tab w:val="left" w:pos="360"/>
              </w:tabs>
              <w:spacing w:before="120"/>
              <w:ind w:left="360" w:hanging="360"/>
              <w:rPr>
                <w:color w:val="000000"/>
              </w:rPr>
            </w:pPr>
            <w:r w:rsidRPr="002C5FE7">
              <w:rPr>
                <w:color w:val="000000"/>
              </w:rPr>
              <w:t xml:space="preserve"> </w:t>
            </w:r>
            <w:r w:rsidR="00A92D0B" w:rsidRPr="002C5FE7">
              <w:rPr>
                <w:color w:val="000000"/>
              </w:rPr>
              <w:t>6.  Date of ALJ ruling:</w:t>
            </w:r>
          </w:p>
        </w:tc>
        <w:tc>
          <w:tcPr>
            <w:tcW w:w="3150" w:type="dxa"/>
            <w:shd w:val="clear" w:color="auto" w:fill="auto"/>
          </w:tcPr>
          <w:p w14:paraId="306125B9" w14:textId="3CCAA20F" w:rsidR="00A92D0B" w:rsidRPr="002C5FE7" w:rsidRDefault="00324317" w:rsidP="00A92D0B">
            <w:pPr>
              <w:tabs>
                <w:tab w:val="left" w:pos="360"/>
              </w:tabs>
              <w:spacing w:before="120"/>
              <w:ind w:left="360" w:hanging="360"/>
              <w:rPr>
                <w:color w:val="000000"/>
              </w:rPr>
            </w:pPr>
            <w:r>
              <w:t>9</w:t>
            </w:r>
            <w:r w:rsidR="00F5456C" w:rsidRPr="002C5FE7">
              <w:t>/</w:t>
            </w:r>
            <w:r>
              <w:t>2</w:t>
            </w:r>
            <w:r w:rsidR="00F5456C" w:rsidRPr="002C5FE7">
              <w:t>6/2014</w:t>
            </w:r>
          </w:p>
        </w:tc>
        <w:tc>
          <w:tcPr>
            <w:tcW w:w="1800" w:type="dxa"/>
            <w:shd w:val="clear" w:color="auto" w:fill="auto"/>
          </w:tcPr>
          <w:p w14:paraId="19F10313" w14:textId="56762523" w:rsidR="00A92D0B" w:rsidRPr="002C5FE7" w:rsidRDefault="00655F84" w:rsidP="00A92D0B">
            <w:pPr>
              <w:tabs>
                <w:tab w:val="left" w:pos="360"/>
              </w:tabs>
              <w:spacing w:before="120"/>
              <w:rPr>
                <w:color w:val="000000"/>
              </w:rPr>
            </w:pPr>
            <w:r>
              <w:rPr>
                <w:color w:val="000000"/>
              </w:rPr>
              <w:t>Verified</w:t>
            </w:r>
          </w:p>
        </w:tc>
      </w:tr>
      <w:tr w:rsidR="00A92D0B" w:rsidRPr="002C5FE7" w14:paraId="7F6C1E54" w14:textId="77777777" w:rsidTr="008F16A6">
        <w:tc>
          <w:tcPr>
            <w:tcW w:w="3595" w:type="dxa"/>
            <w:shd w:val="clear" w:color="auto" w:fill="auto"/>
          </w:tcPr>
          <w:p w14:paraId="4B6E35B7" w14:textId="77777777" w:rsidR="00A92D0B" w:rsidRPr="002C5FE7" w:rsidRDefault="00FC72B7" w:rsidP="00FC72B7">
            <w:pPr>
              <w:tabs>
                <w:tab w:val="left" w:pos="360"/>
              </w:tabs>
              <w:spacing w:before="120"/>
              <w:ind w:left="360" w:hanging="360"/>
              <w:rPr>
                <w:color w:val="000000"/>
              </w:rPr>
            </w:pPr>
            <w:r w:rsidRPr="002C5FE7">
              <w:rPr>
                <w:color w:val="000000"/>
              </w:rPr>
              <w:t xml:space="preserve"> </w:t>
            </w:r>
            <w:r w:rsidR="00A92D0B" w:rsidRPr="002C5FE7">
              <w:rPr>
                <w:color w:val="000000"/>
              </w:rPr>
              <w:t>7.  Based on another CPUC determination (specify):</w:t>
            </w:r>
          </w:p>
        </w:tc>
        <w:tc>
          <w:tcPr>
            <w:tcW w:w="3150" w:type="dxa"/>
            <w:tcBorders>
              <w:bottom w:val="single" w:sz="4" w:space="0" w:color="auto"/>
            </w:tcBorders>
            <w:shd w:val="clear" w:color="auto" w:fill="auto"/>
          </w:tcPr>
          <w:p w14:paraId="5E0F9D32" w14:textId="142CFB04" w:rsidR="00A92D0B" w:rsidRPr="002C5FE7" w:rsidRDefault="00EA743F" w:rsidP="009D2A42">
            <w:pPr>
              <w:spacing w:before="120"/>
              <w:ind w:left="-14"/>
              <w:rPr>
                <w:color w:val="000000"/>
              </w:rPr>
            </w:pPr>
            <w:r>
              <w:t xml:space="preserve">R.16-02-007 </w:t>
            </w:r>
            <w:r w:rsidR="00776442">
              <w:rPr>
                <w:color w:val="000000"/>
              </w:rPr>
              <w:t xml:space="preserve">OIR </w:t>
            </w:r>
            <w:r w:rsidR="00A02F16">
              <w:rPr>
                <w:color w:val="000000"/>
              </w:rPr>
              <w:t xml:space="preserve">2/11/2016 </w:t>
            </w:r>
            <w:r w:rsidR="00776442">
              <w:rPr>
                <w:color w:val="000000"/>
              </w:rPr>
              <w:t>and</w:t>
            </w:r>
            <w:r w:rsidR="00FE6DE2">
              <w:rPr>
                <w:color w:val="000000"/>
              </w:rPr>
              <w:t xml:space="preserve"> ALJ email</w:t>
            </w:r>
            <w:r w:rsidR="00776442">
              <w:rPr>
                <w:color w:val="000000"/>
              </w:rPr>
              <w:t xml:space="preserve"> </w:t>
            </w:r>
            <w:r w:rsidR="000D455F">
              <w:t>7</w:t>
            </w:r>
            <w:r w:rsidR="00776442" w:rsidRPr="002C5FE7">
              <w:t>/</w:t>
            </w:r>
            <w:r w:rsidR="000D455F">
              <w:t>10</w:t>
            </w:r>
            <w:r w:rsidR="00776442" w:rsidRPr="002C5FE7">
              <w:t>/2016</w:t>
            </w:r>
          </w:p>
        </w:tc>
        <w:tc>
          <w:tcPr>
            <w:tcW w:w="1800" w:type="dxa"/>
            <w:tcBorders>
              <w:bottom w:val="single" w:sz="4" w:space="0" w:color="auto"/>
            </w:tcBorders>
            <w:shd w:val="clear" w:color="auto" w:fill="auto"/>
          </w:tcPr>
          <w:p w14:paraId="180E80B3" w14:textId="33A3135A" w:rsidR="00A92D0B" w:rsidRPr="002C5FE7" w:rsidRDefault="00655F84" w:rsidP="00A92D0B">
            <w:pPr>
              <w:tabs>
                <w:tab w:val="left" w:pos="360"/>
              </w:tabs>
              <w:spacing w:before="120"/>
              <w:rPr>
                <w:color w:val="000000"/>
              </w:rPr>
            </w:pPr>
            <w:r>
              <w:rPr>
                <w:color w:val="000000"/>
              </w:rPr>
              <w:t>Verified</w:t>
            </w:r>
          </w:p>
        </w:tc>
      </w:tr>
      <w:tr w:rsidR="00A92D0B" w:rsidRPr="002C5FE7" w14:paraId="397CC4AD" w14:textId="77777777" w:rsidTr="008F16A6">
        <w:tc>
          <w:tcPr>
            <w:tcW w:w="6745" w:type="dxa"/>
            <w:gridSpan w:val="2"/>
            <w:tcBorders>
              <w:bottom w:val="single" w:sz="4" w:space="0" w:color="auto"/>
            </w:tcBorders>
            <w:shd w:val="clear" w:color="auto" w:fill="auto"/>
          </w:tcPr>
          <w:p w14:paraId="53C06C06" w14:textId="77777777" w:rsidR="00A92D0B" w:rsidRPr="002C5FE7" w:rsidRDefault="00FC72B7" w:rsidP="00ED6B6B">
            <w:pPr>
              <w:tabs>
                <w:tab w:val="left" w:pos="360"/>
              </w:tabs>
              <w:spacing w:before="120"/>
              <w:ind w:left="360" w:hanging="360"/>
              <w:rPr>
                <w:color w:val="000000"/>
              </w:rPr>
            </w:pPr>
            <w:r w:rsidRPr="002C5FE7">
              <w:rPr>
                <w:color w:val="000000"/>
              </w:rPr>
              <w:t xml:space="preserve"> </w:t>
            </w:r>
            <w:r w:rsidR="00A92D0B" w:rsidRPr="002C5FE7">
              <w:rPr>
                <w:color w:val="000000"/>
              </w:rPr>
              <w:t xml:space="preserve">8. </w:t>
            </w:r>
            <w:r w:rsidRPr="002C5FE7">
              <w:rPr>
                <w:color w:val="000000"/>
              </w:rPr>
              <w:t xml:space="preserve"> </w:t>
            </w:r>
            <w:r w:rsidR="00A92D0B" w:rsidRPr="002C5FE7">
              <w:rPr>
                <w:color w:val="000000"/>
              </w:rPr>
              <w:t xml:space="preserve">Has the </w:t>
            </w:r>
            <w:proofErr w:type="spellStart"/>
            <w:r w:rsidR="005A63D4" w:rsidRPr="002C5FE7">
              <w:rPr>
                <w:color w:val="000000"/>
              </w:rPr>
              <w:t>Intervenor</w:t>
            </w:r>
            <w:proofErr w:type="spellEnd"/>
            <w:r w:rsidR="005A63D4" w:rsidRPr="002C5FE7">
              <w:rPr>
                <w:color w:val="000000"/>
              </w:rPr>
              <w:t xml:space="preserve"> </w:t>
            </w:r>
            <w:r w:rsidR="00A92D0B" w:rsidRPr="002C5FE7">
              <w:rPr>
                <w:color w:val="000000"/>
              </w:rPr>
              <w:t xml:space="preserve">demonstrated </w:t>
            </w:r>
            <w:r w:rsidR="00A92D0B" w:rsidRPr="002C5FE7">
              <w:t>customer</w:t>
            </w:r>
            <w:r w:rsidR="00A92D0B" w:rsidRPr="002C5FE7">
              <w:rPr>
                <w:color w:val="000000"/>
              </w:rPr>
              <w:t xml:space="preserve"> </w:t>
            </w:r>
            <w:r w:rsidR="00ED6B6B" w:rsidRPr="002C5FE7">
              <w:rPr>
                <w:color w:val="000000"/>
              </w:rPr>
              <w:t>status or eligible government entity status</w:t>
            </w:r>
            <w:r w:rsidR="00A92D0B" w:rsidRPr="002C5FE7">
              <w:rPr>
                <w:color w:val="000000"/>
              </w:rPr>
              <w:t>?</w:t>
            </w:r>
          </w:p>
          <w:p w14:paraId="71D46B68" w14:textId="6FA644C3" w:rsidR="009B1A4E" w:rsidRPr="002C5FE7" w:rsidRDefault="009B1A4E" w:rsidP="00BB6EBF">
            <w:pPr>
              <w:tabs>
                <w:tab w:val="left" w:pos="360"/>
              </w:tabs>
              <w:ind w:left="360" w:hanging="360"/>
              <w:rPr>
                <w:color w:val="000000"/>
              </w:rPr>
            </w:pPr>
          </w:p>
        </w:tc>
        <w:tc>
          <w:tcPr>
            <w:tcW w:w="1800" w:type="dxa"/>
            <w:tcBorders>
              <w:bottom w:val="single" w:sz="4" w:space="0" w:color="auto"/>
            </w:tcBorders>
            <w:shd w:val="clear" w:color="auto" w:fill="auto"/>
          </w:tcPr>
          <w:p w14:paraId="7D296E63" w14:textId="4C63BA08" w:rsidR="00A92D0B" w:rsidRPr="002C5FE7" w:rsidRDefault="00655F84" w:rsidP="00BB6EBF">
            <w:pPr>
              <w:tabs>
                <w:tab w:val="left" w:pos="360"/>
              </w:tabs>
              <w:rPr>
                <w:color w:val="000000"/>
              </w:rPr>
            </w:pPr>
            <w:r>
              <w:rPr>
                <w:color w:val="000000"/>
              </w:rPr>
              <w:t>Yes</w:t>
            </w:r>
          </w:p>
        </w:tc>
      </w:tr>
      <w:tr w:rsidR="00A92D0B" w:rsidRPr="002C5FE7" w14:paraId="33231C71" w14:textId="77777777" w:rsidTr="008F16A6">
        <w:tc>
          <w:tcPr>
            <w:tcW w:w="8545" w:type="dxa"/>
            <w:gridSpan w:val="3"/>
            <w:tcBorders>
              <w:top w:val="single" w:sz="4" w:space="0" w:color="auto"/>
              <w:left w:val="single" w:sz="4" w:space="0" w:color="auto"/>
              <w:bottom w:val="single" w:sz="4" w:space="0" w:color="auto"/>
              <w:right w:val="single" w:sz="4" w:space="0" w:color="auto"/>
            </w:tcBorders>
            <w:shd w:val="clear" w:color="auto" w:fill="E6E6E6"/>
          </w:tcPr>
          <w:p w14:paraId="0291EC4E" w14:textId="77777777" w:rsidR="00A92D0B" w:rsidRPr="008F16A6" w:rsidRDefault="00A92D0B" w:rsidP="00ED6B6B">
            <w:pPr>
              <w:tabs>
                <w:tab w:val="left" w:pos="360"/>
              </w:tabs>
              <w:spacing w:before="60"/>
              <w:jc w:val="center"/>
              <w:rPr>
                <w:color w:val="000000"/>
              </w:rPr>
            </w:pPr>
            <w:r w:rsidRPr="008F16A6">
              <w:rPr>
                <w:color w:val="000000"/>
              </w:rPr>
              <w:t>Showing of “significant</w:t>
            </w:r>
            <w:r w:rsidR="00F63C29" w:rsidRPr="008F16A6">
              <w:rPr>
                <w:color w:val="000000"/>
              </w:rPr>
              <w:t xml:space="preserve"> financial hardship” (§1802(</w:t>
            </w:r>
            <w:r w:rsidR="00175865" w:rsidRPr="008F16A6">
              <w:rPr>
                <w:color w:val="000000"/>
              </w:rPr>
              <w:t>h</w:t>
            </w:r>
            <w:r w:rsidR="00F63C29" w:rsidRPr="008F16A6">
              <w:rPr>
                <w:color w:val="000000"/>
              </w:rPr>
              <w:t xml:space="preserve">) or </w:t>
            </w:r>
            <w:r w:rsidR="00ED6B6B" w:rsidRPr="008F16A6">
              <w:rPr>
                <w:color w:val="000000"/>
              </w:rPr>
              <w:t>§</w:t>
            </w:r>
            <w:r w:rsidR="00F63C29" w:rsidRPr="008F16A6">
              <w:rPr>
                <w:color w:val="000000"/>
              </w:rPr>
              <w:t>1803.1(b))</w:t>
            </w:r>
            <w:r w:rsidR="00C02649" w:rsidRPr="008F16A6">
              <w:rPr>
                <w:color w:val="000000"/>
              </w:rPr>
              <w:t>:</w:t>
            </w:r>
          </w:p>
        </w:tc>
      </w:tr>
      <w:tr w:rsidR="00A92D0B" w:rsidRPr="002C5FE7" w14:paraId="77F91856" w14:textId="77777777" w:rsidTr="008F16A6">
        <w:tc>
          <w:tcPr>
            <w:tcW w:w="3595" w:type="dxa"/>
            <w:tcBorders>
              <w:top w:val="single" w:sz="4" w:space="0" w:color="auto"/>
            </w:tcBorders>
            <w:shd w:val="clear" w:color="auto" w:fill="auto"/>
          </w:tcPr>
          <w:p w14:paraId="6506E60E" w14:textId="77777777" w:rsidR="00A92D0B" w:rsidRPr="002C5FE7" w:rsidRDefault="00FC72B7" w:rsidP="00E3786F">
            <w:pPr>
              <w:tabs>
                <w:tab w:val="left" w:pos="315"/>
              </w:tabs>
              <w:spacing w:before="120"/>
              <w:ind w:left="360" w:hanging="360"/>
              <w:rPr>
                <w:color w:val="000000"/>
              </w:rPr>
            </w:pPr>
            <w:r w:rsidRPr="002C5FE7">
              <w:rPr>
                <w:color w:val="000000"/>
              </w:rPr>
              <w:t xml:space="preserve"> </w:t>
            </w:r>
            <w:r w:rsidR="00A92D0B" w:rsidRPr="002C5FE7">
              <w:rPr>
                <w:color w:val="000000"/>
              </w:rPr>
              <w:t>9.  Based on ALJ ruling issued in proceeding number:</w:t>
            </w:r>
          </w:p>
        </w:tc>
        <w:tc>
          <w:tcPr>
            <w:tcW w:w="3150" w:type="dxa"/>
            <w:tcBorders>
              <w:top w:val="single" w:sz="4" w:space="0" w:color="auto"/>
            </w:tcBorders>
            <w:shd w:val="clear" w:color="auto" w:fill="auto"/>
          </w:tcPr>
          <w:p w14:paraId="34EF9863" w14:textId="77777777" w:rsidR="00821096" w:rsidRDefault="00821096" w:rsidP="00DE01F6">
            <w:pPr>
              <w:autoSpaceDE w:val="0"/>
              <w:autoSpaceDN w:val="0"/>
              <w:adjustRightInd w:val="0"/>
            </w:pPr>
          </w:p>
          <w:p w14:paraId="54B4911C" w14:textId="31B98351" w:rsidR="00A92D0B" w:rsidRPr="002C5FE7" w:rsidRDefault="00713980" w:rsidP="00DE01F6">
            <w:pPr>
              <w:autoSpaceDE w:val="0"/>
              <w:autoSpaceDN w:val="0"/>
              <w:adjustRightInd w:val="0"/>
            </w:pPr>
            <w:r w:rsidRPr="002C5FE7">
              <w:t>R.13-12-010</w:t>
            </w:r>
          </w:p>
        </w:tc>
        <w:tc>
          <w:tcPr>
            <w:tcW w:w="1800" w:type="dxa"/>
            <w:tcBorders>
              <w:top w:val="single" w:sz="4" w:space="0" w:color="auto"/>
            </w:tcBorders>
            <w:shd w:val="clear" w:color="auto" w:fill="auto"/>
          </w:tcPr>
          <w:p w14:paraId="2E2FB9D6" w14:textId="370B081A" w:rsidR="00A92D0B" w:rsidRPr="002C5FE7" w:rsidRDefault="00655F84" w:rsidP="00A92D0B">
            <w:pPr>
              <w:tabs>
                <w:tab w:val="left" w:pos="360"/>
              </w:tabs>
              <w:spacing w:before="120"/>
              <w:rPr>
                <w:color w:val="000000"/>
              </w:rPr>
            </w:pPr>
            <w:r>
              <w:rPr>
                <w:color w:val="000000"/>
              </w:rPr>
              <w:t>Verified</w:t>
            </w:r>
          </w:p>
        </w:tc>
      </w:tr>
      <w:tr w:rsidR="00A92D0B" w:rsidRPr="002C5FE7" w14:paraId="4AD750C1" w14:textId="77777777" w:rsidTr="008F16A6">
        <w:tc>
          <w:tcPr>
            <w:tcW w:w="3595" w:type="dxa"/>
            <w:shd w:val="clear" w:color="auto" w:fill="auto"/>
          </w:tcPr>
          <w:p w14:paraId="2A279407" w14:textId="77777777" w:rsidR="00A92D0B" w:rsidRPr="002C5FE7" w:rsidRDefault="00A92D0B" w:rsidP="00A92D0B">
            <w:pPr>
              <w:tabs>
                <w:tab w:val="left" w:pos="315"/>
              </w:tabs>
              <w:spacing w:before="120"/>
              <w:ind w:left="360" w:hanging="360"/>
              <w:rPr>
                <w:color w:val="000000"/>
              </w:rPr>
            </w:pPr>
            <w:r w:rsidRPr="002C5FE7">
              <w:rPr>
                <w:color w:val="000000"/>
              </w:rPr>
              <w:t>10.</w:t>
            </w:r>
            <w:r w:rsidRPr="002C5FE7">
              <w:rPr>
                <w:color w:val="000000"/>
              </w:rPr>
              <w:tab/>
            </w:r>
            <w:r w:rsidR="00FC72B7" w:rsidRPr="002C5FE7">
              <w:rPr>
                <w:color w:val="000000"/>
              </w:rPr>
              <w:t xml:space="preserve"> </w:t>
            </w:r>
            <w:r w:rsidRPr="002C5FE7">
              <w:rPr>
                <w:color w:val="000000"/>
              </w:rPr>
              <w:t>Date of ALJ ruling:</w:t>
            </w:r>
          </w:p>
        </w:tc>
        <w:tc>
          <w:tcPr>
            <w:tcW w:w="3150" w:type="dxa"/>
            <w:shd w:val="clear" w:color="auto" w:fill="auto"/>
          </w:tcPr>
          <w:p w14:paraId="4B66A2E4" w14:textId="61CBC5A3" w:rsidR="00A92D0B" w:rsidRPr="002C5FE7" w:rsidRDefault="00F714B7" w:rsidP="00C04DE8">
            <w:pPr>
              <w:tabs>
                <w:tab w:val="center" w:pos="882"/>
              </w:tabs>
              <w:spacing w:before="120"/>
              <w:ind w:hanging="360"/>
              <w:rPr>
                <w:color w:val="000000"/>
              </w:rPr>
            </w:pPr>
            <w:r w:rsidRPr="002C5FE7">
              <w:t>6</w:t>
            </w:r>
            <w:r w:rsidRPr="002C5FE7">
              <w:tab/>
            </w:r>
            <w:r w:rsidR="00324317">
              <w:t>9</w:t>
            </w:r>
            <w:r w:rsidR="00567692" w:rsidRPr="002C5FE7">
              <w:t>/</w:t>
            </w:r>
            <w:r w:rsidR="00324317">
              <w:t>2</w:t>
            </w:r>
            <w:r w:rsidR="00567692" w:rsidRPr="002C5FE7">
              <w:t>6/2014</w:t>
            </w:r>
          </w:p>
        </w:tc>
        <w:tc>
          <w:tcPr>
            <w:tcW w:w="1800" w:type="dxa"/>
            <w:shd w:val="clear" w:color="auto" w:fill="auto"/>
          </w:tcPr>
          <w:p w14:paraId="3B83D035" w14:textId="1015DBC8" w:rsidR="00A92D0B" w:rsidRPr="002C5FE7" w:rsidRDefault="00655F84" w:rsidP="00A92D0B">
            <w:pPr>
              <w:tabs>
                <w:tab w:val="left" w:pos="360"/>
              </w:tabs>
              <w:spacing w:before="120"/>
              <w:rPr>
                <w:color w:val="000000"/>
              </w:rPr>
            </w:pPr>
            <w:r>
              <w:rPr>
                <w:color w:val="000000"/>
              </w:rPr>
              <w:t>Verified</w:t>
            </w:r>
          </w:p>
        </w:tc>
      </w:tr>
      <w:tr w:rsidR="00357F1A" w:rsidRPr="002C5FE7" w14:paraId="7C183C5E" w14:textId="77777777" w:rsidTr="008F16A6">
        <w:tc>
          <w:tcPr>
            <w:tcW w:w="3595" w:type="dxa"/>
            <w:shd w:val="clear" w:color="auto" w:fill="auto"/>
          </w:tcPr>
          <w:p w14:paraId="4141CB3D" w14:textId="77777777" w:rsidR="00357F1A" w:rsidRPr="002C5FE7" w:rsidRDefault="00357F1A" w:rsidP="00357F1A">
            <w:pPr>
              <w:tabs>
                <w:tab w:val="left" w:pos="315"/>
              </w:tabs>
              <w:spacing w:before="120"/>
              <w:ind w:left="360" w:hanging="360"/>
              <w:rPr>
                <w:color w:val="000000"/>
              </w:rPr>
            </w:pPr>
            <w:r w:rsidRPr="002C5FE7">
              <w:rPr>
                <w:color w:val="000000"/>
              </w:rPr>
              <w:t>11. Based on another CPUC determination (specify):</w:t>
            </w:r>
          </w:p>
        </w:tc>
        <w:tc>
          <w:tcPr>
            <w:tcW w:w="3150" w:type="dxa"/>
            <w:shd w:val="clear" w:color="auto" w:fill="auto"/>
          </w:tcPr>
          <w:p w14:paraId="141EB5CF" w14:textId="03EE6FAE" w:rsidR="00357F1A" w:rsidRPr="002C5FE7" w:rsidRDefault="00FE6DE2" w:rsidP="00733B25">
            <w:pPr>
              <w:tabs>
                <w:tab w:val="left" w:pos="360"/>
              </w:tabs>
              <w:spacing w:before="120"/>
              <w:rPr>
                <w:color w:val="000000"/>
              </w:rPr>
            </w:pPr>
            <w:r>
              <w:rPr>
                <w:color w:val="000000"/>
              </w:rPr>
              <w:t xml:space="preserve">As </w:t>
            </w:r>
            <w:r w:rsidR="00EA743F">
              <w:t xml:space="preserve">R.16-02-007 </w:t>
            </w:r>
            <w:r>
              <w:rPr>
                <w:color w:val="000000"/>
              </w:rPr>
              <w:t xml:space="preserve">OIR 2/11/2016 and ALJ email  </w:t>
            </w:r>
            <w:r w:rsidR="000D455F">
              <w:t>7</w:t>
            </w:r>
            <w:r w:rsidRPr="002C5FE7">
              <w:t>/</w:t>
            </w:r>
            <w:r w:rsidR="000D455F">
              <w:t>10</w:t>
            </w:r>
            <w:r w:rsidRPr="002C5FE7">
              <w:t>/2016</w:t>
            </w:r>
          </w:p>
        </w:tc>
        <w:tc>
          <w:tcPr>
            <w:tcW w:w="1800" w:type="dxa"/>
            <w:shd w:val="clear" w:color="auto" w:fill="auto"/>
          </w:tcPr>
          <w:p w14:paraId="79318715" w14:textId="4A71CE50" w:rsidR="00357F1A" w:rsidRPr="002C5FE7" w:rsidRDefault="00655F84" w:rsidP="00A92D0B">
            <w:pPr>
              <w:tabs>
                <w:tab w:val="left" w:pos="360"/>
              </w:tabs>
              <w:spacing w:before="120"/>
              <w:rPr>
                <w:color w:val="000000"/>
              </w:rPr>
            </w:pPr>
            <w:r>
              <w:rPr>
                <w:color w:val="000000"/>
              </w:rPr>
              <w:t>Verified</w:t>
            </w:r>
          </w:p>
        </w:tc>
      </w:tr>
      <w:tr w:rsidR="00A92D0B" w:rsidRPr="002C5FE7" w14:paraId="4E8D20BF" w14:textId="77777777" w:rsidTr="008F16A6">
        <w:tc>
          <w:tcPr>
            <w:tcW w:w="6745" w:type="dxa"/>
            <w:gridSpan w:val="2"/>
            <w:tcBorders>
              <w:bottom w:val="single" w:sz="4" w:space="0" w:color="auto"/>
            </w:tcBorders>
            <w:shd w:val="clear" w:color="auto" w:fill="auto"/>
          </w:tcPr>
          <w:p w14:paraId="48D0D936" w14:textId="150D8B9D" w:rsidR="0007216A" w:rsidRPr="002C5FE7" w:rsidRDefault="00180E8C" w:rsidP="007E1B9F">
            <w:pPr>
              <w:tabs>
                <w:tab w:val="left" w:pos="360"/>
              </w:tabs>
              <w:spacing w:before="120"/>
              <w:rPr>
                <w:color w:val="000000"/>
              </w:rPr>
            </w:pPr>
            <w:proofErr w:type="gramStart"/>
            <w:r w:rsidRPr="002C5FE7">
              <w:rPr>
                <w:color w:val="000000"/>
              </w:rPr>
              <w:t>12</w:t>
            </w:r>
            <w:r w:rsidR="00A92D0B" w:rsidRPr="002C5FE7">
              <w:rPr>
                <w:color w:val="000000"/>
              </w:rPr>
              <w:t xml:space="preserve"> </w:t>
            </w:r>
            <w:r w:rsidR="00FC72B7" w:rsidRPr="002C5FE7">
              <w:rPr>
                <w:color w:val="000000"/>
              </w:rPr>
              <w:t xml:space="preserve"> </w:t>
            </w:r>
            <w:r w:rsidR="00A92D0B" w:rsidRPr="002C5FE7">
              <w:rPr>
                <w:color w:val="000000"/>
              </w:rPr>
              <w:t>Has</w:t>
            </w:r>
            <w:proofErr w:type="gramEnd"/>
            <w:r w:rsidR="00A92D0B" w:rsidRPr="002C5FE7">
              <w:rPr>
                <w:color w:val="000000"/>
              </w:rPr>
              <w:t xml:space="preserve"> the</w:t>
            </w:r>
            <w:r w:rsidR="00A319DE" w:rsidRPr="002C5FE7">
              <w:rPr>
                <w:color w:val="000000"/>
              </w:rPr>
              <w:t xml:space="preserve"> </w:t>
            </w:r>
            <w:proofErr w:type="spellStart"/>
            <w:r w:rsidR="005A63D4" w:rsidRPr="002C5FE7">
              <w:rPr>
                <w:color w:val="000000"/>
              </w:rPr>
              <w:t>Intervenor</w:t>
            </w:r>
            <w:proofErr w:type="spellEnd"/>
            <w:r w:rsidR="00A92D0B" w:rsidRPr="002C5FE7">
              <w:rPr>
                <w:color w:val="000000"/>
              </w:rPr>
              <w:t xml:space="preserve"> demonstrated significant financial hardship?</w:t>
            </w:r>
            <w:r w:rsidR="0007216A" w:rsidRPr="002C5FE7">
              <w:rPr>
                <w:color w:val="000000"/>
              </w:rPr>
              <w:tab/>
            </w:r>
          </w:p>
        </w:tc>
        <w:tc>
          <w:tcPr>
            <w:tcW w:w="1800" w:type="dxa"/>
            <w:tcBorders>
              <w:bottom w:val="single" w:sz="4" w:space="0" w:color="auto"/>
            </w:tcBorders>
            <w:shd w:val="clear" w:color="auto" w:fill="auto"/>
          </w:tcPr>
          <w:p w14:paraId="0F29B839" w14:textId="3973BB76" w:rsidR="00A92D0B" w:rsidRPr="002C5FE7" w:rsidRDefault="00655F84" w:rsidP="00BB6EBF">
            <w:pPr>
              <w:tabs>
                <w:tab w:val="left" w:pos="360"/>
              </w:tabs>
              <w:rPr>
                <w:color w:val="000000"/>
              </w:rPr>
            </w:pPr>
            <w:r>
              <w:rPr>
                <w:color w:val="000000"/>
              </w:rPr>
              <w:t>Yes</w:t>
            </w:r>
          </w:p>
        </w:tc>
      </w:tr>
      <w:tr w:rsidR="00A92D0B" w:rsidRPr="002C5FE7" w14:paraId="60D4FD5C" w14:textId="77777777" w:rsidTr="008F16A6">
        <w:tc>
          <w:tcPr>
            <w:tcW w:w="8545" w:type="dxa"/>
            <w:gridSpan w:val="3"/>
            <w:tcBorders>
              <w:top w:val="single" w:sz="4" w:space="0" w:color="auto"/>
              <w:left w:val="single" w:sz="4" w:space="0" w:color="auto"/>
              <w:bottom w:val="single" w:sz="4" w:space="0" w:color="auto"/>
              <w:right w:val="single" w:sz="4" w:space="0" w:color="auto"/>
            </w:tcBorders>
            <w:shd w:val="clear" w:color="auto" w:fill="E6E6E6"/>
          </w:tcPr>
          <w:p w14:paraId="172E2884" w14:textId="77777777" w:rsidR="00A92D0B" w:rsidRPr="008F16A6" w:rsidRDefault="00A92D0B" w:rsidP="00A92D0B">
            <w:pPr>
              <w:tabs>
                <w:tab w:val="left" w:pos="360"/>
              </w:tabs>
              <w:spacing w:before="60"/>
              <w:jc w:val="center"/>
              <w:rPr>
                <w:color w:val="000000"/>
              </w:rPr>
            </w:pPr>
            <w:r w:rsidRPr="008F16A6">
              <w:rPr>
                <w:color w:val="000000"/>
              </w:rPr>
              <w:t>Timely request for compensation (§ 1804(c)):</w:t>
            </w:r>
          </w:p>
        </w:tc>
      </w:tr>
      <w:tr w:rsidR="00A92D0B" w:rsidRPr="002C5FE7" w14:paraId="3E7938B0" w14:textId="77777777" w:rsidTr="008F16A6">
        <w:tc>
          <w:tcPr>
            <w:tcW w:w="3595" w:type="dxa"/>
            <w:tcBorders>
              <w:top w:val="single" w:sz="4" w:space="0" w:color="auto"/>
            </w:tcBorders>
            <w:shd w:val="clear" w:color="auto" w:fill="auto"/>
          </w:tcPr>
          <w:p w14:paraId="66088F1B" w14:textId="77777777" w:rsidR="00A92D0B" w:rsidRPr="002C5FE7" w:rsidRDefault="00A92D0B" w:rsidP="00A92D0B">
            <w:pPr>
              <w:keepNext/>
              <w:tabs>
                <w:tab w:val="left" w:pos="612"/>
              </w:tabs>
              <w:spacing w:before="120"/>
              <w:ind w:left="360" w:hanging="360"/>
              <w:rPr>
                <w:color w:val="000000"/>
              </w:rPr>
            </w:pPr>
            <w:r w:rsidRPr="002C5FE7">
              <w:rPr>
                <w:color w:val="000000"/>
              </w:rPr>
              <w:lastRenderedPageBreak/>
              <w:t>13.  Identify Final Decision:</w:t>
            </w:r>
          </w:p>
        </w:tc>
        <w:tc>
          <w:tcPr>
            <w:tcW w:w="3150" w:type="dxa"/>
            <w:tcBorders>
              <w:top w:val="single" w:sz="4" w:space="0" w:color="auto"/>
            </w:tcBorders>
            <w:shd w:val="clear" w:color="auto" w:fill="auto"/>
          </w:tcPr>
          <w:p w14:paraId="7166F318" w14:textId="5168C65F" w:rsidR="00A92D0B" w:rsidRPr="002C5FE7" w:rsidRDefault="00371EEA" w:rsidP="00821096">
            <w:pPr>
              <w:rPr>
                <w:color w:val="000000"/>
              </w:rPr>
            </w:pPr>
            <w:r w:rsidRPr="002C5FE7">
              <w:t>D.</w:t>
            </w:r>
            <w:r w:rsidR="00107176">
              <w:t>1</w:t>
            </w:r>
            <w:r w:rsidRPr="002C5FE7">
              <w:t>8-02-018</w:t>
            </w:r>
            <w:r w:rsidR="00E0227E" w:rsidRPr="002C5FE7">
              <w:t xml:space="preserve"> (</w:t>
            </w:r>
            <w:r w:rsidR="006F7711" w:rsidRPr="002C5FE7">
              <w:t>R.</w:t>
            </w:r>
            <w:r w:rsidR="007859D2" w:rsidRPr="002C5FE7">
              <w:t>16-02-007)</w:t>
            </w:r>
          </w:p>
        </w:tc>
        <w:tc>
          <w:tcPr>
            <w:tcW w:w="1800" w:type="dxa"/>
            <w:tcBorders>
              <w:top w:val="single" w:sz="4" w:space="0" w:color="auto"/>
            </w:tcBorders>
            <w:shd w:val="clear" w:color="auto" w:fill="auto"/>
          </w:tcPr>
          <w:p w14:paraId="1588DC54" w14:textId="770FE7B9" w:rsidR="00A92D0B" w:rsidRPr="002C5FE7" w:rsidRDefault="00655F84" w:rsidP="00A92D0B">
            <w:pPr>
              <w:tabs>
                <w:tab w:val="left" w:pos="360"/>
              </w:tabs>
              <w:spacing w:before="120"/>
              <w:rPr>
                <w:color w:val="000000"/>
              </w:rPr>
            </w:pPr>
            <w:r>
              <w:rPr>
                <w:color w:val="000000"/>
              </w:rPr>
              <w:t>Verified</w:t>
            </w:r>
          </w:p>
        </w:tc>
      </w:tr>
      <w:tr w:rsidR="00A92D0B" w:rsidRPr="002C5FE7" w14:paraId="6360DE59" w14:textId="77777777" w:rsidTr="008F16A6">
        <w:tc>
          <w:tcPr>
            <w:tcW w:w="3595" w:type="dxa"/>
            <w:shd w:val="clear" w:color="auto" w:fill="auto"/>
          </w:tcPr>
          <w:p w14:paraId="4B809E4A" w14:textId="77777777" w:rsidR="00A92D0B" w:rsidRPr="002C5FE7" w:rsidRDefault="00A92D0B" w:rsidP="00A92D0B">
            <w:pPr>
              <w:keepNext/>
              <w:tabs>
                <w:tab w:val="left" w:pos="612"/>
              </w:tabs>
              <w:spacing w:before="120"/>
              <w:ind w:left="360" w:hanging="360"/>
              <w:rPr>
                <w:color w:val="000000"/>
              </w:rPr>
            </w:pPr>
            <w:r w:rsidRPr="002C5FE7">
              <w:rPr>
                <w:color w:val="000000"/>
              </w:rPr>
              <w:t xml:space="preserve">14. </w:t>
            </w:r>
            <w:r w:rsidR="00FC72B7" w:rsidRPr="002C5FE7">
              <w:rPr>
                <w:color w:val="000000"/>
              </w:rPr>
              <w:t xml:space="preserve"> </w:t>
            </w:r>
            <w:r w:rsidRPr="002C5FE7">
              <w:rPr>
                <w:color w:val="000000"/>
              </w:rPr>
              <w:t xml:space="preserve">Date of </w:t>
            </w:r>
            <w:r w:rsidR="00A319DE" w:rsidRPr="002C5FE7">
              <w:rPr>
                <w:color w:val="000000"/>
              </w:rPr>
              <w:t>i</w:t>
            </w:r>
            <w:r w:rsidRPr="002C5FE7">
              <w:rPr>
                <w:color w:val="000000"/>
              </w:rPr>
              <w:t xml:space="preserve">ssuance of Final Order or Decision:    </w:t>
            </w:r>
          </w:p>
        </w:tc>
        <w:tc>
          <w:tcPr>
            <w:tcW w:w="3150" w:type="dxa"/>
            <w:shd w:val="clear" w:color="auto" w:fill="auto"/>
          </w:tcPr>
          <w:p w14:paraId="20455B5F" w14:textId="301CA1E2" w:rsidR="00A92D0B" w:rsidRPr="002C5FE7" w:rsidRDefault="003B2F41" w:rsidP="00A92D0B">
            <w:pPr>
              <w:tabs>
                <w:tab w:val="left" w:pos="360"/>
              </w:tabs>
              <w:spacing w:before="120"/>
              <w:rPr>
                <w:color w:val="000000"/>
              </w:rPr>
            </w:pPr>
            <w:r w:rsidRPr="002C5FE7">
              <w:rPr>
                <w:color w:val="000000"/>
              </w:rPr>
              <w:t>2/</w:t>
            </w:r>
            <w:r w:rsidR="00ED6981">
              <w:rPr>
                <w:color w:val="000000"/>
              </w:rPr>
              <w:t>13</w:t>
            </w:r>
            <w:r w:rsidRPr="002C5FE7">
              <w:rPr>
                <w:color w:val="000000"/>
              </w:rPr>
              <w:t>/2018</w:t>
            </w:r>
          </w:p>
        </w:tc>
        <w:tc>
          <w:tcPr>
            <w:tcW w:w="1800" w:type="dxa"/>
            <w:shd w:val="clear" w:color="auto" w:fill="auto"/>
          </w:tcPr>
          <w:p w14:paraId="1FCF00DD" w14:textId="056EBC11" w:rsidR="00A92D0B" w:rsidRPr="002C5FE7" w:rsidRDefault="00655F84" w:rsidP="00A92D0B">
            <w:pPr>
              <w:tabs>
                <w:tab w:val="left" w:pos="360"/>
              </w:tabs>
              <w:spacing w:before="120"/>
              <w:rPr>
                <w:color w:val="000000"/>
              </w:rPr>
            </w:pPr>
            <w:r>
              <w:rPr>
                <w:color w:val="000000"/>
              </w:rPr>
              <w:t>Verified</w:t>
            </w:r>
          </w:p>
        </w:tc>
      </w:tr>
      <w:tr w:rsidR="00A92D0B" w:rsidRPr="002C5FE7" w14:paraId="723259E3" w14:textId="77777777" w:rsidTr="008F16A6">
        <w:tc>
          <w:tcPr>
            <w:tcW w:w="3595" w:type="dxa"/>
            <w:shd w:val="clear" w:color="auto" w:fill="auto"/>
          </w:tcPr>
          <w:p w14:paraId="163EE1CA" w14:textId="77777777" w:rsidR="00A92D0B" w:rsidRPr="002C5FE7" w:rsidRDefault="00A92D0B" w:rsidP="00A92D0B">
            <w:pPr>
              <w:keepNext/>
              <w:tabs>
                <w:tab w:val="left" w:pos="612"/>
              </w:tabs>
              <w:spacing w:before="120"/>
              <w:ind w:left="360" w:hanging="360"/>
              <w:rPr>
                <w:color w:val="000000"/>
              </w:rPr>
            </w:pPr>
            <w:r w:rsidRPr="002C5FE7">
              <w:rPr>
                <w:color w:val="000000"/>
              </w:rPr>
              <w:t xml:space="preserve">15. </w:t>
            </w:r>
            <w:r w:rsidR="00FC72B7" w:rsidRPr="002C5FE7">
              <w:rPr>
                <w:color w:val="000000"/>
              </w:rPr>
              <w:t xml:space="preserve"> </w:t>
            </w:r>
            <w:r w:rsidRPr="002C5FE7">
              <w:rPr>
                <w:color w:val="000000"/>
              </w:rPr>
              <w:t>File date of compensation request:</w:t>
            </w:r>
          </w:p>
        </w:tc>
        <w:tc>
          <w:tcPr>
            <w:tcW w:w="3150" w:type="dxa"/>
            <w:shd w:val="clear" w:color="auto" w:fill="auto"/>
          </w:tcPr>
          <w:p w14:paraId="0568B39D" w14:textId="557B34B7" w:rsidR="00A92D0B" w:rsidRPr="002C5FE7" w:rsidRDefault="00107176" w:rsidP="00C04DE8">
            <w:pPr>
              <w:tabs>
                <w:tab w:val="left" w:pos="360"/>
              </w:tabs>
              <w:spacing w:before="120"/>
              <w:rPr>
                <w:color w:val="000000"/>
              </w:rPr>
            </w:pPr>
            <w:r>
              <w:rPr>
                <w:color w:val="000000"/>
              </w:rPr>
              <w:t>4/13/2018</w:t>
            </w:r>
          </w:p>
        </w:tc>
        <w:tc>
          <w:tcPr>
            <w:tcW w:w="1800" w:type="dxa"/>
            <w:shd w:val="clear" w:color="auto" w:fill="auto"/>
          </w:tcPr>
          <w:p w14:paraId="1CBF4E7A" w14:textId="17B4DF71" w:rsidR="00A92D0B" w:rsidRPr="002C5FE7" w:rsidRDefault="00655F84" w:rsidP="00A92D0B">
            <w:pPr>
              <w:tabs>
                <w:tab w:val="left" w:pos="360"/>
              </w:tabs>
              <w:spacing w:before="120"/>
              <w:rPr>
                <w:color w:val="000000"/>
              </w:rPr>
            </w:pPr>
            <w:r>
              <w:rPr>
                <w:color w:val="000000"/>
              </w:rPr>
              <w:t>Verified</w:t>
            </w:r>
          </w:p>
        </w:tc>
      </w:tr>
      <w:tr w:rsidR="00A92D0B" w:rsidRPr="002C5FE7" w14:paraId="406BCA3A" w14:textId="77777777" w:rsidTr="008F16A6">
        <w:tc>
          <w:tcPr>
            <w:tcW w:w="6745" w:type="dxa"/>
            <w:gridSpan w:val="2"/>
            <w:shd w:val="clear" w:color="auto" w:fill="auto"/>
          </w:tcPr>
          <w:p w14:paraId="10AF42D1" w14:textId="07B1D5C3" w:rsidR="00A1584E" w:rsidRPr="002C5FE7" w:rsidRDefault="00A92D0B" w:rsidP="002D4EB9">
            <w:pPr>
              <w:tabs>
                <w:tab w:val="left" w:pos="360"/>
              </w:tabs>
              <w:spacing w:before="120"/>
              <w:ind w:left="360" w:hanging="360"/>
              <w:rPr>
                <w:color w:val="000000"/>
              </w:rPr>
            </w:pPr>
            <w:r w:rsidRPr="002C5FE7">
              <w:rPr>
                <w:color w:val="000000"/>
              </w:rPr>
              <w:t xml:space="preserve">16. </w:t>
            </w:r>
            <w:r w:rsidR="007E1B9F">
              <w:rPr>
                <w:color w:val="000000"/>
              </w:rPr>
              <w:t xml:space="preserve"> </w:t>
            </w:r>
            <w:r w:rsidRPr="002C5FE7">
              <w:rPr>
                <w:color w:val="000000"/>
              </w:rPr>
              <w:t>Was the request for compensation timely?</w:t>
            </w:r>
          </w:p>
        </w:tc>
        <w:tc>
          <w:tcPr>
            <w:tcW w:w="1800" w:type="dxa"/>
            <w:shd w:val="clear" w:color="auto" w:fill="auto"/>
          </w:tcPr>
          <w:p w14:paraId="2EA30E63" w14:textId="7B13617B" w:rsidR="00A92D0B" w:rsidRPr="002C5FE7" w:rsidRDefault="00655F84" w:rsidP="00A92D0B">
            <w:pPr>
              <w:tabs>
                <w:tab w:val="left" w:pos="360"/>
              </w:tabs>
              <w:spacing w:before="120"/>
              <w:rPr>
                <w:color w:val="000000"/>
              </w:rPr>
            </w:pPr>
            <w:r>
              <w:rPr>
                <w:color w:val="000000"/>
              </w:rPr>
              <w:t>Yes</w:t>
            </w:r>
          </w:p>
        </w:tc>
      </w:tr>
    </w:tbl>
    <w:p w14:paraId="0239D9E2" w14:textId="77777777" w:rsidR="00A92D0B" w:rsidRPr="008F16A6" w:rsidRDefault="00A92D0B">
      <w:pPr>
        <w:tabs>
          <w:tab w:val="left" w:pos="360"/>
        </w:tabs>
        <w:rPr>
          <w:color w:val="000000"/>
        </w:rPr>
      </w:pPr>
    </w:p>
    <w:p w14:paraId="3E318497" w14:textId="1438546F" w:rsidR="00A92D0B" w:rsidRPr="008F16A6" w:rsidRDefault="00A92D0B" w:rsidP="008F16A6">
      <w:pPr>
        <w:numPr>
          <w:ilvl w:val="0"/>
          <w:numId w:val="5"/>
        </w:numPr>
        <w:rPr>
          <w:b/>
          <w:color w:val="000000"/>
        </w:rPr>
      </w:pPr>
      <w:r w:rsidRPr="008F16A6">
        <w:rPr>
          <w:color w:val="000000"/>
        </w:rPr>
        <w:t>Additional Comments on Part I</w:t>
      </w:r>
      <w:r w:rsidR="00C02649" w:rsidRPr="008F16A6">
        <w:rPr>
          <w:color w:val="000000"/>
        </w:rPr>
        <w:t>:</w:t>
      </w:r>
    </w:p>
    <w:p w14:paraId="500BF2D3" w14:textId="77777777" w:rsidR="008F16A6" w:rsidRPr="008F16A6" w:rsidRDefault="008F16A6" w:rsidP="008F16A6">
      <w:pPr>
        <w:tabs>
          <w:tab w:val="left" w:pos="360"/>
        </w:tabs>
        <w:ind w:left="360"/>
        <w:rPr>
          <w:b/>
          <w:color w:val="000000"/>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343"/>
        <w:gridCol w:w="3217"/>
      </w:tblGrid>
      <w:tr w:rsidR="003C608A" w:rsidRPr="002C5FE7" w14:paraId="046F77BA" w14:textId="77777777" w:rsidTr="007E1B9F">
        <w:trPr>
          <w:trHeight w:val="589"/>
        </w:trPr>
        <w:tc>
          <w:tcPr>
            <w:tcW w:w="985" w:type="dxa"/>
            <w:tcBorders>
              <w:bottom w:val="single" w:sz="4" w:space="0" w:color="auto"/>
            </w:tcBorders>
            <w:shd w:val="clear" w:color="auto" w:fill="D9D9D9" w:themeFill="background1" w:themeFillShade="D9"/>
          </w:tcPr>
          <w:p w14:paraId="0CB867A6" w14:textId="77777777" w:rsidR="003C608A" w:rsidRPr="008F16A6" w:rsidRDefault="003C608A" w:rsidP="00A92D0B">
            <w:pPr>
              <w:tabs>
                <w:tab w:val="left" w:pos="360"/>
              </w:tabs>
              <w:spacing w:before="120"/>
              <w:jc w:val="center"/>
              <w:rPr>
                <w:color w:val="000000"/>
              </w:rPr>
            </w:pPr>
            <w:r w:rsidRPr="008F16A6">
              <w:rPr>
                <w:color w:val="000000"/>
              </w:rPr>
              <w:t>#</w:t>
            </w:r>
          </w:p>
        </w:tc>
        <w:tc>
          <w:tcPr>
            <w:tcW w:w="4343" w:type="dxa"/>
            <w:tcBorders>
              <w:bottom w:val="single" w:sz="4" w:space="0" w:color="auto"/>
            </w:tcBorders>
            <w:shd w:val="clear" w:color="auto" w:fill="D9D9D9" w:themeFill="background1" w:themeFillShade="D9"/>
          </w:tcPr>
          <w:p w14:paraId="196D09DF" w14:textId="77777777" w:rsidR="003C608A" w:rsidRPr="008F16A6" w:rsidRDefault="003C608A" w:rsidP="00A92D0B">
            <w:pPr>
              <w:tabs>
                <w:tab w:val="left" w:pos="360"/>
              </w:tabs>
              <w:spacing w:before="120"/>
              <w:jc w:val="center"/>
              <w:rPr>
                <w:color w:val="000000"/>
              </w:rPr>
            </w:pPr>
            <w:proofErr w:type="spellStart"/>
            <w:r w:rsidRPr="008F16A6">
              <w:rPr>
                <w:color w:val="000000"/>
              </w:rPr>
              <w:t>Intervenor’s</w:t>
            </w:r>
            <w:proofErr w:type="spellEnd"/>
            <w:r w:rsidRPr="008F16A6">
              <w:rPr>
                <w:color w:val="000000"/>
              </w:rPr>
              <w:t xml:space="preserve"> Comment(s)</w:t>
            </w:r>
          </w:p>
        </w:tc>
        <w:tc>
          <w:tcPr>
            <w:tcW w:w="3217" w:type="dxa"/>
            <w:shd w:val="clear" w:color="auto" w:fill="D9D9D9" w:themeFill="background1" w:themeFillShade="D9"/>
          </w:tcPr>
          <w:p w14:paraId="07207D31" w14:textId="77777777" w:rsidR="003C608A" w:rsidRPr="008F16A6" w:rsidRDefault="003C608A" w:rsidP="00A92D0B">
            <w:pPr>
              <w:tabs>
                <w:tab w:val="left" w:pos="360"/>
              </w:tabs>
              <w:spacing w:before="120"/>
              <w:jc w:val="center"/>
              <w:rPr>
                <w:color w:val="000000"/>
              </w:rPr>
            </w:pPr>
            <w:r w:rsidRPr="008F16A6">
              <w:rPr>
                <w:color w:val="000000"/>
              </w:rPr>
              <w:t>CPUC Discussion</w:t>
            </w:r>
          </w:p>
        </w:tc>
      </w:tr>
      <w:tr w:rsidR="00FE6DE2" w:rsidRPr="002C5FE7" w14:paraId="1C6180A4" w14:textId="77777777" w:rsidTr="007E1B9F">
        <w:trPr>
          <w:trHeight w:val="67"/>
        </w:trPr>
        <w:tc>
          <w:tcPr>
            <w:tcW w:w="985" w:type="dxa"/>
            <w:shd w:val="clear" w:color="auto" w:fill="auto"/>
          </w:tcPr>
          <w:p w14:paraId="4350D384" w14:textId="72A2339C" w:rsidR="00FE6DE2" w:rsidRPr="002C5FE7" w:rsidRDefault="00324317" w:rsidP="00FE6DE2">
            <w:pPr>
              <w:tabs>
                <w:tab w:val="left" w:pos="360"/>
              </w:tabs>
              <w:spacing w:before="120"/>
              <w:rPr>
                <w:color w:val="000000"/>
              </w:rPr>
            </w:pPr>
            <w:r>
              <w:rPr>
                <w:color w:val="000000"/>
              </w:rPr>
              <w:t>4, 8, 12</w:t>
            </w:r>
          </w:p>
        </w:tc>
        <w:tc>
          <w:tcPr>
            <w:tcW w:w="4343" w:type="dxa"/>
            <w:shd w:val="clear" w:color="auto" w:fill="auto"/>
          </w:tcPr>
          <w:p w14:paraId="0450A501" w14:textId="1EC54856" w:rsidR="00193B6B" w:rsidRDefault="00193B6B" w:rsidP="00FE6DE2">
            <w:pPr>
              <w:pStyle w:val="NoSpacing"/>
            </w:pPr>
            <w:r w:rsidRPr="002C5FE7">
              <w:t xml:space="preserve">POC </w:t>
            </w:r>
            <w:r>
              <w:t>is</w:t>
            </w:r>
            <w:r w:rsidRPr="002C5FE7">
              <w:t xml:space="preserve"> eligible for </w:t>
            </w:r>
            <w:proofErr w:type="spellStart"/>
            <w:r w:rsidR="00765A24">
              <w:t>intervenor</w:t>
            </w:r>
            <w:proofErr w:type="spellEnd"/>
            <w:r w:rsidR="00765A24">
              <w:t xml:space="preserve"> </w:t>
            </w:r>
            <w:r w:rsidRPr="002C5FE7">
              <w:t>compensation for the current proceeding R.16</w:t>
            </w:r>
            <w:r w:rsidR="00733B25">
              <w:t>-02-007, which absorbed R.13</w:t>
            </w:r>
            <w:r w:rsidR="00733B25">
              <w:noBreakHyphen/>
              <w:t>12</w:t>
            </w:r>
            <w:r w:rsidR="00733B25">
              <w:noBreakHyphen/>
            </w:r>
            <w:r w:rsidRPr="002C5FE7">
              <w:t>010, because it has previously met and continues to meet the Commission’s long-standing definition</w:t>
            </w:r>
            <w:r>
              <w:t>s of eligibility</w:t>
            </w:r>
            <w:r w:rsidRPr="002C5FE7">
              <w:t xml:space="preserve">. </w:t>
            </w:r>
            <w:r w:rsidR="00EA743F">
              <w:t>(</w:t>
            </w:r>
            <w:r w:rsidRPr="002C5FE7">
              <w:rPr>
                <w:i/>
              </w:rPr>
              <w:t xml:space="preserve">See </w:t>
            </w:r>
            <w:r w:rsidRPr="002C5FE7">
              <w:t>9/26/2014 ALJ Ruling on POC’s Amend</w:t>
            </w:r>
            <w:r>
              <w:t>ed</w:t>
            </w:r>
            <w:r w:rsidRPr="002C5FE7">
              <w:t xml:space="preserve"> Showing of Significant Financial Hardship.</w:t>
            </w:r>
            <w:r w:rsidR="00EA743F">
              <w:t>)</w:t>
            </w:r>
          </w:p>
          <w:p w14:paraId="61E24CBD" w14:textId="77777777" w:rsidR="00193B6B" w:rsidRDefault="00193B6B" w:rsidP="00FE6DE2">
            <w:pPr>
              <w:pStyle w:val="NoSpacing"/>
            </w:pPr>
          </w:p>
          <w:p w14:paraId="508F07CF" w14:textId="0891C9EC" w:rsidR="00FE6DE2" w:rsidRPr="002C5FE7" w:rsidRDefault="00FE6DE2" w:rsidP="00FE6DE2">
            <w:pPr>
              <w:pStyle w:val="NoSpacing"/>
            </w:pPr>
            <w:r w:rsidRPr="002C5FE7">
              <w:t>The O</w:t>
            </w:r>
            <w:r>
              <w:t xml:space="preserve">rder </w:t>
            </w:r>
            <w:r w:rsidRPr="002C5FE7">
              <w:t>I</w:t>
            </w:r>
            <w:r>
              <w:t xml:space="preserve">nstitution </w:t>
            </w:r>
            <w:r w:rsidRPr="002C5FE7">
              <w:t>R</w:t>
            </w:r>
            <w:r>
              <w:t>ulemaking (OIR) in R.</w:t>
            </w:r>
            <w:r w:rsidRPr="002C5FE7">
              <w:t>16-02-007</w:t>
            </w:r>
            <w:r>
              <w:t xml:space="preserve"> </w:t>
            </w:r>
            <w:r w:rsidRPr="002C5FE7">
              <w:t>at pages 34-35 stated that “Parties who were previously found eligible for compensation in R.13-12-010 shall remain eligible in this proceeding and do no</w:t>
            </w:r>
            <w:r w:rsidR="00733B25">
              <w:t>t need to file an NOI within 30 </w:t>
            </w:r>
            <w:r w:rsidRPr="002C5FE7">
              <w:t xml:space="preserve">days, provided there are no material changes in their bylaws or financial status.” </w:t>
            </w:r>
          </w:p>
          <w:p w14:paraId="1A2B646C" w14:textId="77777777" w:rsidR="00FE6DE2" w:rsidRPr="002C5FE7" w:rsidRDefault="00FE6DE2" w:rsidP="00FE6DE2">
            <w:pPr>
              <w:pStyle w:val="NoSpacing"/>
            </w:pPr>
          </w:p>
          <w:p w14:paraId="0DB83D02" w14:textId="62192F30" w:rsidR="00FE6DE2" w:rsidRPr="002C5FE7" w:rsidRDefault="00FE6DE2" w:rsidP="00FE6DE2">
            <w:r w:rsidRPr="002C5FE7">
              <w:t>P</w:t>
            </w:r>
            <w:r w:rsidR="00F416DA">
              <w:t xml:space="preserve">rotect Our Communities Foundation </w:t>
            </w:r>
            <w:r w:rsidR="00193B6B">
              <w:t>(P</w:t>
            </w:r>
            <w:r w:rsidR="00193B6B" w:rsidRPr="002C5FE7">
              <w:t>OC</w:t>
            </w:r>
            <w:r w:rsidR="00193B6B">
              <w:t xml:space="preserve">) filed an NOI in </w:t>
            </w:r>
            <w:r w:rsidR="00193B6B" w:rsidRPr="002C5FE7">
              <w:t>R.13-12-</w:t>
            </w:r>
            <w:r w:rsidR="00733B25">
              <w:t>0</w:t>
            </w:r>
            <w:r w:rsidR="00193B6B" w:rsidRPr="002C5FE7">
              <w:t>10</w:t>
            </w:r>
            <w:r w:rsidR="00193B6B">
              <w:t xml:space="preserve"> and</w:t>
            </w:r>
            <w:r w:rsidRPr="002C5FE7">
              <w:t xml:space="preserve"> was </w:t>
            </w:r>
            <w:r w:rsidR="00193B6B">
              <w:t>ruled</w:t>
            </w:r>
            <w:r w:rsidRPr="002C5FE7">
              <w:t xml:space="preserve"> eligible</w:t>
            </w:r>
            <w:r>
              <w:t xml:space="preserve"> </w:t>
            </w:r>
            <w:r w:rsidR="00193B6B">
              <w:t xml:space="preserve">for compensation </w:t>
            </w:r>
            <w:r>
              <w:t>in</w:t>
            </w:r>
            <w:r w:rsidRPr="002C5FE7">
              <w:t xml:space="preserve"> R.13-12-</w:t>
            </w:r>
            <w:r w:rsidR="00733B25">
              <w:t>0</w:t>
            </w:r>
            <w:r w:rsidRPr="002C5FE7">
              <w:t xml:space="preserve">10 on </w:t>
            </w:r>
            <w:r w:rsidR="00324317">
              <w:t>9</w:t>
            </w:r>
            <w:r w:rsidRPr="002C5FE7">
              <w:t>/</w:t>
            </w:r>
            <w:r w:rsidR="00324317">
              <w:t>2</w:t>
            </w:r>
            <w:r w:rsidRPr="002C5FE7">
              <w:t xml:space="preserve">6/2014 and has not seen any material changes to its bylaws or financial status since the filing of its NOI.  </w:t>
            </w:r>
          </w:p>
          <w:p w14:paraId="70092AEC" w14:textId="77777777" w:rsidR="00FE6DE2" w:rsidRPr="002C5FE7" w:rsidRDefault="00FE6DE2" w:rsidP="00FE6DE2"/>
          <w:p w14:paraId="55551083" w14:textId="03B13C6A" w:rsidR="003202C8" w:rsidRDefault="00FE6DE2" w:rsidP="003202C8">
            <w:pPr>
              <w:autoSpaceDE w:val="0"/>
              <w:autoSpaceDN w:val="0"/>
              <w:adjustRightInd w:val="0"/>
            </w:pPr>
            <w:r w:rsidRPr="002C5FE7">
              <w:t>Please also see</w:t>
            </w:r>
            <w:r>
              <w:t xml:space="preserve"> attached </w:t>
            </w:r>
            <w:r w:rsidR="000D455F">
              <w:t>7/10</w:t>
            </w:r>
            <w:r w:rsidRPr="002C5FE7">
              <w:t>/2016 email from ALJ Julie A. Fitch confirming that “POC’s NOI and finding of significant financial hardship from the 2014 proceeding also follows into this proceeding.”</w:t>
            </w:r>
            <w:r w:rsidR="003202C8" w:rsidRPr="002C5FE7">
              <w:t xml:space="preserve"> </w:t>
            </w:r>
            <w:r w:rsidR="000D455F">
              <w:t>(Attachment 4.)</w:t>
            </w:r>
          </w:p>
          <w:p w14:paraId="03E276DA" w14:textId="77777777" w:rsidR="003202C8" w:rsidRDefault="003202C8" w:rsidP="003202C8">
            <w:pPr>
              <w:autoSpaceDE w:val="0"/>
              <w:autoSpaceDN w:val="0"/>
              <w:adjustRightInd w:val="0"/>
            </w:pPr>
          </w:p>
          <w:p w14:paraId="787D38BC" w14:textId="4167613C" w:rsidR="003202C8" w:rsidRPr="002C5FE7" w:rsidRDefault="003202C8" w:rsidP="003202C8">
            <w:pPr>
              <w:autoSpaceDE w:val="0"/>
              <w:autoSpaceDN w:val="0"/>
              <w:adjustRightInd w:val="0"/>
            </w:pPr>
            <w:r w:rsidRPr="002C5FE7">
              <w:t xml:space="preserve">POC sought a ruling on its significant financial hardship in its notice of intent to claim </w:t>
            </w:r>
            <w:proofErr w:type="spellStart"/>
            <w:r w:rsidRPr="002C5FE7">
              <w:t>intervenor</w:t>
            </w:r>
            <w:proofErr w:type="spellEnd"/>
            <w:r w:rsidRPr="002C5FE7">
              <w:t xml:space="preserve"> compensation, timely filed </w:t>
            </w:r>
            <w:r w:rsidR="00324317">
              <w:t xml:space="preserve">in </w:t>
            </w:r>
            <w:r w:rsidRPr="002C5FE7">
              <w:t>R.13-12-010</w:t>
            </w:r>
            <w:r w:rsidR="00EA743F">
              <w:t xml:space="preserve"> pursuant to</w:t>
            </w:r>
            <w:r w:rsidRPr="002C5FE7">
              <w:t xml:space="preserve"> Pub. Util. Code § 1804(a).  </w:t>
            </w:r>
            <w:r w:rsidR="00324317">
              <w:t>A r</w:t>
            </w:r>
            <w:r w:rsidRPr="002C5FE7">
              <w:t xml:space="preserve">uling in favor of POC’s significant financial hardship </w:t>
            </w:r>
            <w:r w:rsidR="00324317">
              <w:t xml:space="preserve">status </w:t>
            </w:r>
            <w:r w:rsidRPr="002C5FE7">
              <w:t>w</w:t>
            </w:r>
            <w:r w:rsidR="00324317">
              <w:t>as</w:t>
            </w:r>
            <w:r w:rsidRPr="002C5FE7">
              <w:t xml:space="preserve"> granted on </w:t>
            </w:r>
            <w:r w:rsidR="00324317">
              <w:t>9/26/2014.</w:t>
            </w:r>
          </w:p>
          <w:p w14:paraId="76F66FE4" w14:textId="181FAF5B" w:rsidR="003202C8" w:rsidRDefault="003202C8" w:rsidP="003202C8">
            <w:pPr>
              <w:autoSpaceDE w:val="0"/>
              <w:autoSpaceDN w:val="0"/>
              <w:adjustRightInd w:val="0"/>
            </w:pPr>
          </w:p>
          <w:p w14:paraId="0ECF4A98" w14:textId="66B0675C" w:rsidR="00FE6DE2" w:rsidRPr="002C5FE7" w:rsidRDefault="003202C8" w:rsidP="003202C8">
            <w:pPr>
              <w:tabs>
                <w:tab w:val="left" w:pos="360"/>
              </w:tabs>
              <w:spacing w:before="120"/>
              <w:rPr>
                <w:color w:val="000000"/>
              </w:rPr>
            </w:pPr>
            <w:r w:rsidRPr="002C5FE7">
              <w:t xml:space="preserve">POC sought a ruling on its </w:t>
            </w:r>
            <w:r>
              <w:t>customer status</w:t>
            </w:r>
            <w:r w:rsidRPr="002C5FE7">
              <w:t xml:space="preserve"> in its notice of intent to claim </w:t>
            </w:r>
            <w:proofErr w:type="spellStart"/>
            <w:r w:rsidRPr="002C5FE7">
              <w:t>intervenor</w:t>
            </w:r>
            <w:proofErr w:type="spellEnd"/>
            <w:r w:rsidRPr="002C5FE7">
              <w:t xml:space="preserve"> compensation, timely filed </w:t>
            </w:r>
            <w:r w:rsidR="00324317">
              <w:t>in</w:t>
            </w:r>
            <w:r w:rsidRPr="002C5FE7">
              <w:t xml:space="preserve"> R.13-12-010</w:t>
            </w:r>
            <w:r w:rsidR="00EA743F">
              <w:t xml:space="preserve"> pursuant to</w:t>
            </w:r>
            <w:r w:rsidRPr="002C5FE7">
              <w:t xml:space="preserve"> Pub. Util. Code § 1804(a).  </w:t>
            </w:r>
            <w:r w:rsidR="00324317">
              <w:t>A r</w:t>
            </w:r>
            <w:r w:rsidRPr="002C5FE7">
              <w:t xml:space="preserve">uling in favor of POC’s </w:t>
            </w:r>
            <w:r w:rsidR="00324317">
              <w:t xml:space="preserve">customer status </w:t>
            </w:r>
            <w:r w:rsidRPr="002C5FE7">
              <w:t>w</w:t>
            </w:r>
            <w:r w:rsidR="00324317">
              <w:t>as issued 9/26/2014</w:t>
            </w:r>
            <w:r w:rsidRPr="002C5FE7">
              <w:t>.</w:t>
            </w:r>
          </w:p>
        </w:tc>
        <w:tc>
          <w:tcPr>
            <w:tcW w:w="3217" w:type="dxa"/>
            <w:shd w:val="clear" w:color="auto" w:fill="auto"/>
          </w:tcPr>
          <w:p w14:paraId="416D6250" w14:textId="52C6FCD5" w:rsidR="00FE6DE2" w:rsidRPr="002C5FE7" w:rsidRDefault="00655F84" w:rsidP="00FE6DE2">
            <w:pPr>
              <w:tabs>
                <w:tab w:val="left" w:pos="360"/>
              </w:tabs>
              <w:spacing w:before="120"/>
              <w:rPr>
                <w:color w:val="000000"/>
              </w:rPr>
            </w:pPr>
            <w:r>
              <w:rPr>
                <w:color w:val="000000"/>
              </w:rPr>
              <w:lastRenderedPageBreak/>
              <w:t>Verified</w:t>
            </w:r>
          </w:p>
        </w:tc>
      </w:tr>
    </w:tbl>
    <w:p w14:paraId="509DE4EF" w14:textId="2860B87E" w:rsidR="00E25078" w:rsidRPr="002C5FE7" w:rsidRDefault="00E25078" w:rsidP="004C184D">
      <w:pPr>
        <w:rPr>
          <w:color w:val="000000"/>
        </w:rPr>
      </w:pPr>
    </w:p>
    <w:p w14:paraId="501B5F3D" w14:textId="5AEF256E" w:rsidR="003B6A1B" w:rsidRDefault="00A92D0B" w:rsidP="008F16A6">
      <w:pPr>
        <w:rPr>
          <w:b/>
          <w:color w:val="000000"/>
        </w:rPr>
      </w:pPr>
      <w:r w:rsidRPr="002C5FE7">
        <w:rPr>
          <w:b/>
          <w:color w:val="000000"/>
        </w:rPr>
        <w:t>PART II:  SUBSTANTIAL CONTRIBUTION</w:t>
      </w:r>
      <w:r w:rsidR="008F16A6">
        <w:rPr>
          <w:b/>
          <w:color w:val="000000"/>
        </w:rPr>
        <w:t>:</w:t>
      </w:r>
    </w:p>
    <w:p w14:paraId="237BD94F" w14:textId="77777777" w:rsidR="008F16A6" w:rsidRPr="008F16A6" w:rsidRDefault="008F16A6" w:rsidP="008F16A6">
      <w:pPr>
        <w:rPr>
          <w:color w:val="000000"/>
        </w:rPr>
      </w:pPr>
    </w:p>
    <w:p w14:paraId="337CC332" w14:textId="59DE6C6A" w:rsidR="00A92D0B" w:rsidRPr="008F16A6" w:rsidRDefault="00D075B1" w:rsidP="00C02649">
      <w:pPr>
        <w:numPr>
          <w:ilvl w:val="0"/>
          <w:numId w:val="1"/>
        </w:numPr>
        <w:tabs>
          <w:tab w:val="clear" w:pos="900"/>
          <w:tab w:val="num" w:pos="360"/>
        </w:tabs>
        <w:spacing w:after="120"/>
        <w:ind w:left="360"/>
        <w:rPr>
          <w:color w:val="000000"/>
        </w:rPr>
      </w:pPr>
      <w:r w:rsidRPr="008F16A6">
        <w:rPr>
          <w:color w:val="000000"/>
        </w:rPr>
        <w:t xml:space="preserve">Did the </w:t>
      </w:r>
      <w:proofErr w:type="spellStart"/>
      <w:r w:rsidR="005A63D4" w:rsidRPr="008F16A6">
        <w:rPr>
          <w:color w:val="000000"/>
        </w:rPr>
        <w:t>Intervenor</w:t>
      </w:r>
      <w:proofErr w:type="spellEnd"/>
      <w:r w:rsidRPr="008F16A6">
        <w:rPr>
          <w:color w:val="000000"/>
        </w:rPr>
        <w:t xml:space="preserve"> substantially contribute to the final decision</w:t>
      </w:r>
      <w:r w:rsidR="00A92D0B" w:rsidRPr="008F16A6">
        <w:rPr>
          <w:color w:val="000000"/>
        </w:rPr>
        <w:t xml:space="preserve"> (</w:t>
      </w:r>
      <w:r w:rsidR="00A92D0B" w:rsidRPr="008F16A6">
        <w:rPr>
          <w:i/>
          <w:color w:val="000000"/>
        </w:rPr>
        <w:t>see</w:t>
      </w:r>
      <w:r w:rsidR="00A92D0B" w:rsidRPr="008F16A6">
        <w:rPr>
          <w:color w:val="000000"/>
        </w:rPr>
        <w:t xml:space="preserve"> § 1802(</w:t>
      </w:r>
      <w:r w:rsidR="00ED6B6B" w:rsidRPr="008F16A6">
        <w:rPr>
          <w:color w:val="000000"/>
        </w:rPr>
        <w:t>j</w:t>
      </w:r>
      <w:r w:rsidR="00A92D0B" w:rsidRPr="008F16A6">
        <w:rPr>
          <w:color w:val="000000"/>
        </w:rPr>
        <w:t xml:space="preserve">), </w:t>
      </w:r>
      <w:r w:rsidR="001E77CF" w:rsidRPr="008F16A6">
        <w:rPr>
          <w:color w:val="000000"/>
        </w:rPr>
        <w:br/>
      </w:r>
      <w:r w:rsidR="00A92D0B" w:rsidRPr="008F16A6">
        <w:rPr>
          <w:color w:val="000000"/>
        </w:rPr>
        <w:t>§ 1803(a)</w:t>
      </w:r>
      <w:r w:rsidR="00F30DA8" w:rsidRPr="008F16A6">
        <w:rPr>
          <w:color w:val="000000"/>
        </w:rPr>
        <w:t>,</w:t>
      </w:r>
      <w:r w:rsidR="00A92D0B" w:rsidRPr="008F16A6">
        <w:rPr>
          <w:color w:val="000000"/>
        </w:rPr>
        <w:t xml:space="preserve"> </w:t>
      </w:r>
      <w:r w:rsidR="00ED6B6B" w:rsidRPr="008F16A6">
        <w:rPr>
          <w:color w:val="000000"/>
        </w:rPr>
        <w:t xml:space="preserve">1803.1(a) </w:t>
      </w:r>
      <w:r w:rsidR="00F30DA8" w:rsidRPr="008F16A6">
        <w:rPr>
          <w:color w:val="000000"/>
        </w:rPr>
        <w:t>and</w:t>
      </w:r>
      <w:r w:rsidR="00A92D0B" w:rsidRPr="008F16A6">
        <w:rPr>
          <w:color w:val="000000"/>
        </w:rPr>
        <w:t xml:space="preserve"> D.98-04-059)</w:t>
      </w:r>
      <w:r w:rsidR="00C02649" w:rsidRPr="008F16A6">
        <w:rPr>
          <w:color w:val="000000"/>
        </w:rPr>
        <w:t>:</w:t>
      </w:r>
    </w:p>
    <w:p w14:paraId="54593213" w14:textId="77777777" w:rsidR="00FE3BAE" w:rsidRPr="002C5FE7" w:rsidRDefault="00FE3BAE" w:rsidP="00FE3BAE">
      <w:pPr>
        <w:spacing w:after="120"/>
        <w:ind w:left="360"/>
        <w:rPr>
          <w:b/>
          <w:color w:val="000000"/>
        </w:rPr>
      </w:pPr>
    </w:p>
    <w:tbl>
      <w:tblPr>
        <w:tblW w:w="87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307"/>
        <w:gridCol w:w="1800"/>
      </w:tblGrid>
      <w:tr w:rsidR="00A92D0B" w:rsidRPr="002C5FE7" w14:paraId="67755362" w14:textId="77777777" w:rsidTr="00672E9B">
        <w:tc>
          <w:tcPr>
            <w:tcW w:w="3690" w:type="dxa"/>
            <w:tcBorders>
              <w:bottom w:val="single" w:sz="4" w:space="0" w:color="auto"/>
            </w:tcBorders>
            <w:shd w:val="pct12" w:color="auto" w:fill="auto"/>
          </w:tcPr>
          <w:p w14:paraId="7CE2E5BB" w14:textId="77777777" w:rsidR="00A92D0B" w:rsidRPr="008F16A6" w:rsidRDefault="00D075B1" w:rsidP="00A92D0B">
            <w:pPr>
              <w:spacing w:before="120"/>
              <w:jc w:val="center"/>
              <w:rPr>
                <w:color w:val="000000"/>
              </w:rPr>
            </w:pPr>
            <w:proofErr w:type="spellStart"/>
            <w:r w:rsidRPr="008F16A6">
              <w:rPr>
                <w:color w:val="000000"/>
              </w:rPr>
              <w:t>Intervenor’s</w:t>
            </w:r>
            <w:proofErr w:type="spellEnd"/>
            <w:r w:rsidRPr="008F16A6">
              <w:rPr>
                <w:color w:val="000000"/>
              </w:rPr>
              <w:t xml:space="preserve"> Claimed Contribution(s)</w:t>
            </w:r>
          </w:p>
        </w:tc>
        <w:tc>
          <w:tcPr>
            <w:tcW w:w="3307" w:type="dxa"/>
            <w:tcBorders>
              <w:bottom w:val="single" w:sz="4" w:space="0" w:color="auto"/>
            </w:tcBorders>
            <w:shd w:val="pct12" w:color="auto" w:fill="auto"/>
          </w:tcPr>
          <w:p w14:paraId="2794272E" w14:textId="77777777" w:rsidR="00A92D0B" w:rsidRPr="008F16A6" w:rsidRDefault="00A92D0B" w:rsidP="00D075B1">
            <w:pPr>
              <w:spacing w:before="120"/>
              <w:jc w:val="center"/>
              <w:rPr>
                <w:color w:val="000000"/>
              </w:rPr>
            </w:pPr>
            <w:r w:rsidRPr="008F16A6">
              <w:rPr>
                <w:color w:val="000000"/>
              </w:rPr>
              <w:t xml:space="preserve">Specific References to </w:t>
            </w:r>
            <w:proofErr w:type="spellStart"/>
            <w:r w:rsidR="00D075B1" w:rsidRPr="008F16A6">
              <w:rPr>
                <w:color w:val="000000"/>
              </w:rPr>
              <w:t>Intervenor’s</w:t>
            </w:r>
            <w:proofErr w:type="spellEnd"/>
            <w:r w:rsidR="00D075B1" w:rsidRPr="008F16A6">
              <w:rPr>
                <w:color w:val="000000"/>
              </w:rPr>
              <w:t xml:space="preserve"> Claimed Contribution(s)</w:t>
            </w:r>
          </w:p>
        </w:tc>
        <w:tc>
          <w:tcPr>
            <w:tcW w:w="1800" w:type="dxa"/>
            <w:shd w:val="pct12" w:color="auto" w:fill="auto"/>
          </w:tcPr>
          <w:p w14:paraId="79AFC714" w14:textId="77777777" w:rsidR="00A92D0B" w:rsidRPr="008F16A6" w:rsidRDefault="00D075B1" w:rsidP="00A92D0B">
            <w:pPr>
              <w:spacing w:before="120"/>
              <w:jc w:val="center"/>
              <w:rPr>
                <w:color w:val="000000"/>
              </w:rPr>
            </w:pPr>
            <w:r w:rsidRPr="008F16A6">
              <w:rPr>
                <w:color w:val="000000"/>
              </w:rPr>
              <w:t>CPUC Discussion</w:t>
            </w:r>
          </w:p>
        </w:tc>
      </w:tr>
      <w:tr w:rsidR="00A92D0B" w:rsidRPr="002C5FE7" w14:paraId="2E691FFC" w14:textId="77777777" w:rsidTr="00672E9B">
        <w:tc>
          <w:tcPr>
            <w:tcW w:w="3690" w:type="dxa"/>
            <w:shd w:val="clear" w:color="auto" w:fill="auto"/>
          </w:tcPr>
          <w:p w14:paraId="189AD04A" w14:textId="1CC2A1CC" w:rsidR="009F2288" w:rsidRPr="008F16A6" w:rsidRDefault="009F2288" w:rsidP="00324E42">
            <w:pPr>
              <w:spacing w:before="120" w:line="276" w:lineRule="auto"/>
              <w:rPr>
                <w:rFonts w:eastAsia="Calibri"/>
                <w:color w:val="000000"/>
              </w:rPr>
            </w:pPr>
            <w:r w:rsidRPr="008F16A6">
              <w:rPr>
                <w:rFonts w:eastAsia="Calibri"/>
                <w:color w:val="000000"/>
              </w:rPr>
              <w:t>Issue A:</w:t>
            </w:r>
            <w:r w:rsidR="00281961" w:rsidRPr="008F16A6">
              <w:rPr>
                <w:rFonts w:eastAsia="Calibri"/>
                <w:color w:val="000000"/>
              </w:rPr>
              <w:t xml:space="preserve"> Disadvantaged Communities</w:t>
            </w:r>
            <w:r w:rsidR="00F33934" w:rsidRPr="008F16A6">
              <w:rPr>
                <w:rFonts w:eastAsia="Calibri"/>
                <w:color w:val="000000"/>
              </w:rPr>
              <w:t xml:space="preserve"> </w:t>
            </w:r>
          </w:p>
          <w:p w14:paraId="28430A47" w14:textId="06346F50" w:rsidR="00635E90" w:rsidRPr="008F16A6" w:rsidRDefault="00CA2C8A" w:rsidP="00324E42">
            <w:pPr>
              <w:spacing w:before="120" w:line="276" w:lineRule="auto"/>
            </w:pPr>
            <w:r w:rsidRPr="008F16A6">
              <w:rPr>
                <w:color w:val="000000"/>
              </w:rPr>
              <w:t xml:space="preserve">In multiple comments and at the All Party Meeting, </w:t>
            </w:r>
            <w:r w:rsidR="00E33135" w:rsidRPr="008F16A6">
              <w:rPr>
                <w:color w:val="000000"/>
              </w:rPr>
              <w:t xml:space="preserve">POC took the lead in advocating for </w:t>
            </w:r>
            <w:r w:rsidR="0019504A" w:rsidRPr="008F16A6">
              <w:rPr>
                <w:color w:val="000000"/>
              </w:rPr>
              <w:t xml:space="preserve">a </w:t>
            </w:r>
            <w:r w:rsidR="0019504A" w:rsidRPr="008F16A6">
              <w:t>decrease in the use of fossil fuel power plants as the most important part of improving disadvantaged communities</w:t>
            </w:r>
            <w:r w:rsidRPr="008F16A6">
              <w:t>.</w:t>
            </w:r>
            <w:r w:rsidR="00E33135" w:rsidRPr="008F16A6">
              <w:rPr>
                <w:color w:val="000000"/>
              </w:rPr>
              <w:t xml:space="preserve"> </w:t>
            </w:r>
          </w:p>
          <w:p w14:paraId="1838C102" w14:textId="249F02CA" w:rsidR="002E30D0" w:rsidRPr="008F16A6" w:rsidRDefault="002E30D0">
            <w:pPr>
              <w:spacing w:after="200" w:line="276" w:lineRule="auto"/>
              <w:contextualSpacing/>
            </w:pPr>
          </w:p>
          <w:p w14:paraId="74DFD5C7" w14:textId="49654417" w:rsidR="00E92A89" w:rsidRPr="008F16A6" w:rsidRDefault="002E30D0">
            <w:pPr>
              <w:spacing w:after="200" w:line="276" w:lineRule="auto"/>
              <w:contextualSpacing/>
            </w:pPr>
            <w:r w:rsidRPr="008F16A6">
              <w:t>“</w:t>
            </w:r>
            <w:r w:rsidR="00E92A89" w:rsidRPr="008F16A6">
              <w:t xml:space="preserve">To meet the objectives of the statutory and moral obligations to ensure that already disadvantaged communities do not further suffer under our state’s energy generation and distribution systems, all PUC planning – IRP, LTPP, PPA, </w:t>
            </w:r>
            <w:r w:rsidR="00E92A89" w:rsidRPr="008F16A6">
              <w:lastRenderedPageBreak/>
              <w:t xml:space="preserve">Rulemaking proceedings, etc. -  must be directed to ensure that there be no </w:t>
            </w:r>
            <w:proofErr w:type="gramStart"/>
            <w:r w:rsidR="00E92A89" w:rsidRPr="008F16A6">
              <w:t>more new</w:t>
            </w:r>
            <w:proofErr w:type="gramEnd"/>
            <w:r w:rsidR="00E92A89" w:rsidRPr="008F16A6">
              <w:t xml:space="preserve"> fossil fueled power generation permitted and that existing plants are phased out as base load.</w:t>
            </w:r>
            <w:r w:rsidR="00F33934" w:rsidRPr="008F16A6">
              <w:t xml:space="preserve">”  (POC Comment On </w:t>
            </w:r>
            <w:r w:rsidR="002D4EB9">
              <w:t xml:space="preserve">Proposed Reference System Plan </w:t>
            </w:r>
            <w:proofErr w:type="gramStart"/>
            <w:r w:rsidR="00F33934" w:rsidRPr="008F16A6">
              <w:t>And</w:t>
            </w:r>
            <w:proofErr w:type="gramEnd"/>
            <w:r w:rsidR="00F33934" w:rsidRPr="008F16A6">
              <w:t xml:space="preserve"> Related Commission Policy Actions at p. 10</w:t>
            </w:r>
            <w:r w:rsidRPr="008F16A6">
              <w:t xml:space="preserve">; See also POC </w:t>
            </w:r>
            <w:r w:rsidR="007A7DCE" w:rsidRPr="008F16A6">
              <w:t>Comment On Ruling Of Assigned Commissioner And Administrative Law Judge Requesting Comments On Disadvantaged</w:t>
            </w:r>
            <w:r w:rsidR="002D4EB9">
              <w:t xml:space="preserve"> </w:t>
            </w:r>
            <w:r w:rsidR="007A7DCE" w:rsidRPr="008F16A6">
              <w:t>Communities A</w:t>
            </w:r>
            <w:r w:rsidR="00733B25">
              <w:t>nd Other Aspects Of Senate Bill </w:t>
            </w:r>
            <w:r w:rsidR="007A7DCE" w:rsidRPr="008F16A6">
              <w:t>350 at pp. 2-4</w:t>
            </w:r>
            <w:r w:rsidR="00F33934" w:rsidRPr="008F16A6">
              <w:t>.)</w:t>
            </w:r>
          </w:p>
          <w:p w14:paraId="43BCA22D" w14:textId="35FCE3E7" w:rsidR="00E92A89" w:rsidRPr="008F16A6" w:rsidRDefault="00E92A89">
            <w:pPr>
              <w:spacing w:after="200" w:line="276" w:lineRule="auto"/>
              <w:contextualSpacing/>
            </w:pPr>
          </w:p>
          <w:p w14:paraId="41BFD774" w14:textId="033AD81A" w:rsidR="002E30D0" w:rsidRPr="008F16A6" w:rsidRDefault="002E30D0">
            <w:pPr>
              <w:spacing w:after="200" w:line="276" w:lineRule="auto"/>
              <w:contextualSpacing/>
            </w:pPr>
            <w:r w:rsidRPr="008F16A6">
              <w:t xml:space="preserve">“First and foremost, the policy objective for this proceeding – in particular the reduction of greenhouse gases and improvement of disadvantaged communities – cannot be achieved without a phase out of fossil fuel power plants.  (POC Reply Comment On Proposed Reference System Plan </w:t>
            </w:r>
            <w:proofErr w:type="gramStart"/>
            <w:r w:rsidRPr="008F16A6">
              <w:t>And</w:t>
            </w:r>
            <w:proofErr w:type="gramEnd"/>
            <w:r w:rsidRPr="008F16A6">
              <w:t xml:space="preserve"> Related Commission Policy Actions at p. 3.)</w:t>
            </w:r>
          </w:p>
          <w:p w14:paraId="1DFF9933" w14:textId="77777777" w:rsidR="002E30D0" w:rsidRPr="008F16A6" w:rsidRDefault="002E30D0">
            <w:pPr>
              <w:spacing w:after="200" w:line="276" w:lineRule="auto"/>
              <w:contextualSpacing/>
            </w:pPr>
          </w:p>
          <w:p w14:paraId="2EEE0974" w14:textId="62A326FB" w:rsidR="00635E90" w:rsidRPr="008F16A6" w:rsidRDefault="00F416DA">
            <w:pPr>
              <w:spacing w:after="200" w:line="276" w:lineRule="auto"/>
              <w:contextualSpacing/>
              <w:rPr>
                <w:color w:val="000000"/>
              </w:rPr>
            </w:pPr>
            <w:r w:rsidRPr="008F16A6">
              <w:t>“</w:t>
            </w:r>
            <w:r w:rsidR="00635E90" w:rsidRPr="008F16A6">
              <w:t>A decrease in the use of fossil fuel power plants is the most important part of improving disadvantaged communities and failure to sufficiently address the fossil fuel power plant fleet is a failure to those suffering from the harm to their health and quality of life that those living in the shadow of gas power plants suffer.</w:t>
            </w:r>
            <w:r w:rsidRPr="008F16A6">
              <w:t xml:space="preserve">” </w:t>
            </w:r>
            <w:r w:rsidR="002E30D0" w:rsidRPr="008F16A6">
              <w:t xml:space="preserve">(POC Reply Comment On Proposed Reference System Plan </w:t>
            </w:r>
            <w:proofErr w:type="gramStart"/>
            <w:r w:rsidR="002E30D0" w:rsidRPr="008F16A6">
              <w:t>And</w:t>
            </w:r>
            <w:proofErr w:type="gramEnd"/>
            <w:r w:rsidR="002E30D0" w:rsidRPr="008F16A6">
              <w:t xml:space="preserve"> Related </w:t>
            </w:r>
            <w:r w:rsidR="002E30D0" w:rsidRPr="008F16A6">
              <w:lastRenderedPageBreak/>
              <w:t xml:space="preserve">Commission Policy Actions at </w:t>
            </w:r>
            <w:r w:rsidR="007E1B9F">
              <w:t>pp. </w:t>
            </w:r>
            <w:r w:rsidR="00635E90" w:rsidRPr="008F16A6">
              <w:t>4-5</w:t>
            </w:r>
            <w:r w:rsidR="00E5581A" w:rsidRPr="008F16A6">
              <w:t>.</w:t>
            </w:r>
            <w:r w:rsidRPr="008F16A6">
              <w:t>)</w:t>
            </w:r>
            <w:r w:rsidR="00635E90" w:rsidRPr="008F16A6">
              <w:rPr>
                <w:i/>
              </w:rPr>
              <w:t xml:space="preserve"> </w:t>
            </w:r>
            <w:r w:rsidR="00635E90" w:rsidRPr="008F16A6">
              <w:rPr>
                <w:color w:val="000000"/>
              </w:rPr>
              <w:t xml:space="preserve"> </w:t>
            </w:r>
          </w:p>
          <w:p w14:paraId="1B0CC007" w14:textId="35E21D7B" w:rsidR="00E5581A" w:rsidRPr="008F16A6" w:rsidRDefault="00E5581A" w:rsidP="00324E42">
            <w:pPr>
              <w:spacing w:before="120" w:line="276" w:lineRule="auto"/>
              <w:rPr>
                <w:color w:val="000000"/>
              </w:rPr>
            </w:pPr>
            <w:r w:rsidRPr="008F16A6">
              <w:rPr>
                <w:color w:val="000000"/>
              </w:rPr>
              <w:t xml:space="preserve"> </w:t>
            </w:r>
          </w:p>
        </w:tc>
        <w:tc>
          <w:tcPr>
            <w:tcW w:w="3307" w:type="dxa"/>
            <w:shd w:val="clear" w:color="auto" w:fill="auto"/>
          </w:tcPr>
          <w:p w14:paraId="7322E1AF" w14:textId="77777777" w:rsidR="00B91435" w:rsidRPr="00B96C4B" w:rsidRDefault="00B91435" w:rsidP="00324E42">
            <w:pPr>
              <w:autoSpaceDE w:val="0"/>
              <w:autoSpaceDN w:val="0"/>
              <w:adjustRightInd w:val="0"/>
              <w:spacing w:line="276" w:lineRule="auto"/>
            </w:pPr>
          </w:p>
          <w:p w14:paraId="412A3ABA" w14:textId="1846BEB2" w:rsidR="00F27ACD" w:rsidRPr="00B96C4B" w:rsidRDefault="00A41E70" w:rsidP="00324E42">
            <w:pPr>
              <w:autoSpaceDE w:val="0"/>
              <w:autoSpaceDN w:val="0"/>
              <w:adjustRightInd w:val="0"/>
              <w:spacing w:line="276" w:lineRule="auto"/>
            </w:pPr>
            <w:r w:rsidRPr="00B96C4B">
              <w:t>“</w:t>
            </w:r>
            <w:r w:rsidR="00A059A4" w:rsidRPr="00B96C4B">
              <w:t>On February 17, 2017, the following</w:t>
            </w:r>
            <w:r w:rsidR="000B2B39" w:rsidRPr="00B96C4B">
              <w:t xml:space="preserve"> </w:t>
            </w:r>
            <w:r w:rsidR="00A059A4" w:rsidRPr="00B96C4B">
              <w:t>23 parties filed comments on the</w:t>
            </w:r>
            <w:r w:rsidR="00C1098F" w:rsidRPr="00B96C4B">
              <w:t xml:space="preserve"> </w:t>
            </w:r>
            <w:r w:rsidR="00A059A4" w:rsidRPr="00B96C4B">
              <w:t>December 21, 2016</w:t>
            </w:r>
            <w:r w:rsidR="008C718C" w:rsidRPr="00B96C4B">
              <w:t xml:space="preserve"> </w:t>
            </w:r>
            <w:r w:rsidR="00A059A4" w:rsidRPr="00B96C4B">
              <w:t>ruling…</w:t>
            </w:r>
            <w:r w:rsidR="004A33A1" w:rsidRPr="00B96C4B">
              <w:t xml:space="preserve">Protect Our </w:t>
            </w:r>
            <w:r w:rsidR="00C4499A" w:rsidRPr="00B96C4B">
              <w:t>Communities Foundation</w:t>
            </w:r>
            <w:r w:rsidRPr="00B96C4B">
              <w:t xml:space="preserve"> (POC).” </w:t>
            </w:r>
            <w:r w:rsidR="00C85DFF" w:rsidRPr="00B96C4B">
              <w:t>(</w:t>
            </w:r>
            <w:r w:rsidR="00A059A4" w:rsidRPr="00B96C4B">
              <w:t xml:space="preserve">Decision at </w:t>
            </w:r>
            <w:r w:rsidR="00E5581A" w:rsidRPr="00B96C4B">
              <w:t xml:space="preserve">p. </w:t>
            </w:r>
            <w:r w:rsidR="00E7438C" w:rsidRPr="00B96C4B">
              <w:t>7</w:t>
            </w:r>
            <w:r w:rsidR="00A059A4" w:rsidRPr="00B96C4B">
              <w:t>.</w:t>
            </w:r>
            <w:r w:rsidR="00C85DFF" w:rsidRPr="00B96C4B">
              <w:t>)</w:t>
            </w:r>
          </w:p>
          <w:p w14:paraId="6FFFC848" w14:textId="77777777" w:rsidR="002F6FCF" w:rsidRPr="00B96C4B" w:rsidRDefault="002F6FCF" w:rsidP="00324E42">
            <w:pPr>
              <w:pStyle w:val="NoSpacing"/>
              <w:spacing w:line="276" w:lineRule="auto"/>
            </w:pPr>
          </w:p>
          <w:p w14:paraId="06C283CA" w14:textId="464DD69A" w:rsidR="00F27ACD" w:rsidRPr="00B96C4B" w:rsidRDefault="00F27ACD" w:rsidP="00324E42">
            <w:pPr>
              <w:pStyle w:val="NoSpacing"/>
              <w:spacing w:line="276" w:lineRule="auto"/>
            </w:pPr>
            <w:r w:rsidRPr="00B96C4B">
              <w:rPr>
                <w:b/>
                <w:bCs/>
              </w:rPr>
              <w:t>“</w:t>
            </w:r>
            <w:r w:rsidRPr="00B96C4B">
              <w:t xml:space="preserve">POC is also concerned that curtailment not be used to enable continued operation of fossil fleets, with the associated impacts on disadvantaged communities.” </w:t>
            </w:r>
            <w:r w:rsidR="00F416DA" w:rsidRPr="00B96C4B">
              <w:t>(</w:t>
            </w:r>
            <w:r w:rsidRPr="00B96C4B">
              <w:t xml:space="preserve">Decision at </w:t>
            </w:r>
            <w:r w:rsidR="004775AB">
              <w:t>p. </w:t>
            </w:r>
            <w:r w:rsidRPr="00B96C4B">
              <w:t>49.</w:t>
            </w:r>
            <w:r w:rsidR="00F416DA" w:rsidRPr="00B96C4B">
              <w:t>)</w:t>
            </w:r>
          </w:p>
          <w:p w14:paraId="2DEED371" w14:textId="44C15238" w:rsidR="00F11F16" w:rsidRPr="00B96C4B" w:rsidRDefault="00F11F16" w:rsidP="00324E42">
            <w:pPr>
              <w:pStyle w:val="NoSpacing"/>
              <w:spacing w:line="276" w:lineRule="auto"/>
              <w:rPr>
                <w:b/>
                <w:bCs/>
              </w:rPr>
            </w:pPr>
          </w:p>
          <w:p w14:paraId="477BFE24" w14:textId="569B2980" w:rsidR="0019504A" w:rsidRPr="00B96C4B" w:rsidRDefault="0019504A" w:rsidP="00324E42">
            <w:pPr>
              <w:pStyle w:val="NoSpacing"/>
              <w:spacing w:line="276" w:lineRule="auto"/>
              <w:rPr>
                <w:b/>
                <w:bCs/>
              </w:rPr>
            </w:pPr>
            <w:r w:rsidRPr="00B96C4B">
              <w:rPr>
                <w:b/>
                <w:bCs/>
              </w:rPr>
              <w:lastRenderedPageBreak/>
              <w:t>“</w:t>
            </w:r>
            <w:r w:rsidRPr="00324E42">
              <w:t>LSE plans must describe policies and evaluation criteria to apply in planning and deciding when to retire, cancel, or not renew contracts for existing gas generation units that emit air pollutants that impact disadvantaged communities.” (Decision</w:t>
            </w:r>
            <w:r w:rsidR="004775AB">
              <w:t xml:space="preserve"> at p. </w:t>
            </w:r>
            <w:r w:rsidRPr="00324E42">
              <w:t>70</w:t>
            </w:r>
            <w:r w:rsidR="002E30D0" w:rsidRPr="00B96C4B">
              <w:t>.</w:t>
            </w:r>
            <w:r w:rsidRPr="00324E42">
              <w:t>)</w:t>
            </w:r>
          </w:p>
          <w:p w14:paraId="55773F6D" w14:textId="77777777" w:rsidR="0019504A" w:rsidRPr="00B96C4B" w:rsidRDefault="0019504A" w:rsidP="00324E42">
            <w:pPr>
              <w:pStyle w:val="NoSpacing"/>
              <w:spacing w:line="276" w:lineRule="auto"/>
              <w:rPr>
                <w:b/>
                <w:bCs/>
              </w:rPr>
            </w:pPr>
          </w:p>
          <w:p w14:paraId="73E0338D" w14:textId="0063B17E" w:rsidR="00C85DFF" w:rsidRPr="00B96C4B" w:rsidRDefault="00C85DFF" w:rsidP="00324E42">
            <w:pPr>
              <w:pStyle w:val="NoSpacing"/>
              <w:spacing w:line="276" w:lineRule="auto"/>
              <w:rPr>
                <w:b/>
                <w:bCs/>
              </w:rPr>
            </w:pPr>
            <w:r w:rsidRPr="00B96C4B">
              <w:rPr>
                <w:b/>
                <w:bCs/>
              </w:rPr>
              <w:t>“</w:t>
            </w:r>
            <w:r w:rsidRPr="00324E42">
              <w:t>Finally, both because of the clear nexus between natural gas generation and emissions in disadvantaged communities within the electric sector and because a portfolio that includes new gas plant procurement would be inconsistent with the portfolio we are adopting in this decision (the Reference System Portfolio, discussed further in Section 8 below), we will require that any LSE proposing to develop new natural gas resources or re-contract with existing natural gas resources in their IRP for a term of five years or more, regardless of whether it is located in a disadvantaged community, make a showing as to why another lower-emitting or preferably zero-emitting resource could not reasonably meet the need identified.</w:t>
            </w:r>
            <w:r w:rsidR="0019504A" w:rsidRPr="00324E42">
              <w:t xml:space="preserve"> . .</w:t>
            </w:r>
            <w:r w:rsidRPr="00324E42">
              <w:t xml:space="preserve">” </w:t>
            </w:r>
            <w:r w:rsidR="0019504A" w:rsidRPr="00324E42">
              <w:t>(Decision at p. 70</w:t>
            </w:r>
            <w:r w:rsidR="002E30D0" w:rsidRPr="00B96C4B">
              <w:t>; See also Decision at Conclusion of Law 8</w:t>
            </w:r>
            <w:r w:rsidR="0019504A" w:rsidRPr="00324E42">
              <w:t>.)</w:t>
            </w:r>
          </w:p>
          <w:p w14:paraId="138E6124" w14:textId="58315840" w:rsidR="00C85DFF" w:rsidRPr="00B96C4B" w:rsidRDefault="00C85DFF" w:rsidP="00324E42">
            <w:pPr>
              <w:pStyle w:val="NoSpacing"/>
              <w:spacing w:line="276" w:lineRule="auto"/>
              <w:rPr>
                <w:b/>
                <w:bCs/>
              </w:rPr>
            </w:pPr>
          </w:p>
          <w:p w14:paraId="532F95D2" w14:textId="03904778" w:rsidR="00F27ACD" w:rsidRPr="00655F84" w:rsidRDefault="0031582D" w:rsidP="00655F84">
            <w:pPr>
              <w:spacing w:after="200" w:line="276" w:lineRule="auto"/>
              <w:contextualSpacing/>
              <w:rPr>
                <w:b/>
                <w:bCs/>
              </w:rPr>
            </w:pPr>
            <w:r w:rsidRPr="00B96C4B">
              <w:rPr>
                <w:b/>
                <w:bCs/>
              </w:rPr>
              <w:t>“</w:t>
            </w:r>
            <w:r w:rsidRPr="00324E42">
              <w:t>Any further examination of these issues will be with sensitivity to the location-specific aspects of natural gas generation, including impacts on disadvantaged communities and air quality implications.” (Decision at p. 145.)</w:t>
            </w:r>
          </w:p>
        </w:tc>
        <w:tc>
          <w:tcPr>
            <w:tcW w:w="1800" w:type="dxa"/>
            <w:shd w:val="clear" w:color="auto" w:fill="auto"/>
          </w:tcPr>
          <w:p w14:paraId="63938BDA" w14:textId="3C76EEC4" w:rsidR="00A92D0B" w:rsidRPr="002C5FE7" w:rsidRDefault="00655F84" w:rsidP="00A92D0B">
            <w:pPr>
              <w:spacing w:before="120"/>
              <w:rPr>
                <w:color w:val="000000"/>
              </w:rPr>
            </w:pPr>
            <w:r>
              <w:rPr>
                <w:color w:val="000000"/>
              </w:rPr>
              <w:lastRenderedPageBreak/>
              <w:t>Decision at p. 6 Verified</w:t>
            </w:r>
          </w:p>
        </w:tc>
      </w:tr>
      <w:tr w:rsidR="00F33934" w:rsidRPr="002C5FE7" w14:paraId="5F18ADDF" w14:textId="77777777" w:rsidTr="00672E9B">
        <w:tc>
          <w:tcPr>
            <w:tcW w:w="3690" w:type="dxa"/>
            <w:shd w:val="clear" w:color="auto" w:fill="auto"/>
          </w:tcPr>
          <w:p w14:paraId="2BDDB875" w14:textId="3579FAEB" w:rsidR="00F33934" w:rsidRPr="008F16A6" w:rsidRDefault="00F33934" w:rsidP="00324E42">
            <w:pPr>
              <w:spacing w:line="276" w:lineRule="auto"/>
              <w:rPr>
                <w:rFonts w:eastAsia="Calibri"/>
              </w:rPr>
            </w:pPr>
            <w:r w:rsidRPr="008F16A6">
              <w:rPr>
                <w:rFonts w:eastAsia="Calibri"/>
              </w:rPr>
              <w:lastRenderedPageBreak/>
              <w:t xml:space="preserve">Issue </w:t>
            </w:r>
            <w:r w:rsidR="00920C12" w:rsidRPr="008F16A6">
              <w:rPr>
                <w:rFonts w:eastAsia="Calibri"/>
              </w:rPr>
              <w:t>A</w:t>
            </w:r>
            <w:r w:rsidRPr="008F16A6">
              <w:rPr>
                <w:rFonts w:eastAsia="Calibri"/>
              </w:rPr>
              <w:t xml:space="preserve">: Disadvantaged Communities </w:t>
            </w:r>
          </w:p>
          <w:p w14:paraId="6087121D" w14:textId="77777777" w:rsidR="00920C12" w:rsidRPr="008F16A6" w:rsidRDefault="00920C12" w:rsidP="00B96C4B">
            <w:pPr>
              <w:spacing w:line="276" w:lineRule="auto"/>
            </w:pPr>
          </w:p>
          <w:p w14:paraId="463E36D5" w14:textId="4F4D38C1" w:rsidR="00CA2C8A" w:rsidRPr="008F16A6" w:rsidRDefault="00CA2C8A" w:rsidP="00324E42">
            <w:pPr>
              <w:spacing w:line="276" w:lineRule="auto"/>
            </w:pPr>
            <w:r w:rsidRPr="008F16A6">
              <w:t xml:space="preserve">In multiple comments and at the All Party Meeting, POC advocated for the Commission for stronger and more proactive actions in regards to addressing disadvantaged communities, in particular directing LSEs to take a closer look at environmental impacts on those living in the disadvantaged communities with gas power plants instead of merely collecting information on disadvantaged communities. </w:t>
            </w:r>
          </w:p>
          <w:p w14:paraId="5BCA641E" w14:textId="77777777" w:rsidR="00CA2C8A" w:rsidRPr="008F16A6" w:rsidRDefault="00CA2C8A" w:rsidP="00324E42">
            <w:pPr>
              <w:spacing w:line="276" w:lineRule="auto"/>
            </w:pPr>
          </w:p>
          <w:p w14:paraId="21DA63B8" w14:textId="77777777" w:rsidR="00A60DD5" w:rsidRPr="008F16A6" w:rsidRDefault="009C600A" w:rsidP="00324E42">
            <w:pPr>
              <w:spacing w:line="276" w:lineRule="auto"/>
            </w:pPr>
            <w:r w:rsidRPr="008F16A6">
              <w:rPr>
                <w:iCs/>
              </w:rPr>
              <w:t xml:space="preserve">“LSE must </w:t>
            </w:r>
            <w:r w:rsidRPr="008F16A6">
              <w:rPr>
                <w:bCs/>
                <w:iCs/>
              </w:rPr>
              <w:t>quantitatively</w:t>
            </w:r>
            <w:r w:rsidRPr="008F16A6">
              <w:rPr>
                <w:iCs/>
              </w:rPr>
              <w:t xml:space="preserve"> demonstrate that it is meeting requirements of diversity, sustainability, and resilience.” (</w:t>
            </w:r>
            <w:r w:rsidR="00A60DD5" w:rsidRPr="008F16A6">
              <w:t xml:space="preserve">POC Comment On Ruling </w:t>
            </w:r>
            <w:proofErr w:type="gramStart"/>
            <w:r w:rsidR="00A60DD5" w:rsidRPr="008F16A6">
              <w:t>Of</w:t>
            </w:r>
            <w:proofErr w:type="gramEnd"/>
            <w:r w:rsidR="00A60DD5" w:rsidRPr="008F16A6">
              <w:t xml:space="preserve"> Assigned Commissioner And Administrative Law Judge Requesting Comments On Disadvantaged</w:t>
            </w:r>
          </w:p>
          <w:p w14:paraId="295E4C68" w14:textId="0F9E3110" w:rsidR="009C600A" w:rsidRPr="008F16A6" w:rsidRDefault="00A60DD5" w:rsidP="00324E42">
            <w:pPr>
              <w:spacing w:line="276" w:lineRule="auto"/>
              <w:rPr>
                <w:iCs/>
              </w:rPr>
            </w:pPr>
            <w:r w:rsidRPr="008F16A6">
              <w:t xml:space="preserve">Communities </w:t>
            </w:r>
            <w:proofErr w:type="gramStart"/>
            <w:r w:rsidRPr="008F16A6">
              <w:t>And</w:t>
            </w:r>
            <w:proofErr w:type="gramEnd"/>
            <w:r w:rsidRPr="008F16A6">
              <w:t xml:space="preserve"> Other Aspects Of Senate Bill 350 at </w:t>
            </w:r>
            <w:r w:rsidR="009C600A" w:rsidRPr="008F16A6">
              <w:rPr>
                <w:iCs/>
              </w:rPr>
              <w:t>p. 6.)</w:t>
            </w:r>
          </w:p>
          <w:p w14:paraId="7ACCCD37" w14:textId="77777777" w:rsidR="00F33934" w:rsidRPr="008F16A6" w:rsidRDefault="00F33934" w:rsidP="00324E42">
            <w:pPr>
              <w:spacing w:line="276" w:lineRule="auto"/>
              <w:rPr>
                <w:rFonts w:eastAsia="Calibri"/>
              </w:rPr>
            </w:pPr>
          </w:p>
          <w:p w14:paraId="4FE444CD" w14:textId="1BB84FF3" w:rsidR="00D14D8C" w:rsidRPr="008F16A6" w:rsidRDefault="00A60D18" w:rsidP="00324E42">
            <w:pPr>
              <w:spacing w:line="276" w:lineRule="auto"/>
              <w:rPr>
                <w:rFonts w:eastAsia="Calibri"/>
              </w:rPr>
            </w:pPr>
            <w:r w:rsidRPr="008F16A6">
              <w:rPr>
                <w:rFonts w:eastAsia="Calibri"/>
              </w:rPr>
              <w:t>“</w:t>
            </w:r>
            <w:r w:rsidR="00D14D8C" w:rsidRPr="008F16A6">
              <w:rPr>
                <w:rFonts w:eastAsia="Calibri"/>
              </w:rPr>
              <w:t xml:space="preserve">The goal of minimizing air pollutants and GHG emissions with </w:t>
            </w:r>
            <w:r w:rsidR="00D14D8C" w:rsidRPr="008F16A6">
              <w:rPr>
                <w:rFonts w:eastAsia="Calibri"/>
              </w:rPr>
              <w:lastRenderedPageBreak/>
              <w:t>a priority on disadvantaged communities should be supported independently of the tax credits and the IRP process time and is not limited to RPS procurement.</w:t>
            </w:r>
            <w:r w:rsidRPr="008F16A6">
              <w:rPr>
                <w:rFonts w:eastAsia="Calibri"/>
              </w:rPr>
              <w:t>”</w:t>
            </w:r>
            <w:r w:rsidR="00D14D8C" w:rsidRPr="008F16A6">
              <w:rPr>
                <w:rFonts w:eastAsia="Calibri"/>
              </w:rPr>
              <w:t xml:space="preserve">  </w:t>
            </w:r>
            <w:r w:rsidR="00920C12" w:rsidRPr="008F16A6">
              <w:t xml:space="preserve">(POC Comment On Proposed Reference System Plan </w:t>
            </w:r>
            <w:proofErr w:type="gramStart"/>
            <w:r w:rsidR="00920C12" w:rsidRPr="008F16A6">
              <w:t>And</w:t>
            </w:r>
            <w:proofErr w:type="gramEnd"/>
            <w:r w:rsidR="00920C12" w:rsidRPr="008F16A6">
              <w:t xml:space="preserve"> Related Commission Policy Actions at p.</w:t>
            </w:r>
            <w:r w:rsidR="00920C12" w:rsidRPr="008F16A6">
              <w:rPr>
                <w:rFonts w:eastAsia="Calibri"/>
              </w:rPr>
              <w:t xml:space="preserve"> 12.)</w:t>
            </w:r>
          </w:p>
          <w:p w14:paraId="78F9F720" w14:textId="77777777" w:rsidR="00D14D8C" w:rsidRPr="008F16A6" w:rsidRDefault="00D14D8C" w:rsidP="00324E42">
            <w:pPr>
              <w:spacing w:line="276" w:lineRule="auto"/>
              <w:rPr>
                <w:rFonts w:eastAsia="Calibri"/>
              </w:rPr>
            </w:pPr>
          </w:p>
          <w:p w14:paraId="53A41578" w14:textId="37C418D8" w:rsidR="00D14D8C" w:rsidRPr="008F16A6" w:rsidRDefault="00D14D8C" w:rsidP="00324E42">
            <w:pPr>
              <w:spacing w:line="276" w:lineRule="auto"/>
              <w:rPr>
                <w:rFonts w:eastAsia="Calibri"/>
              </w:rPr>
            </w:pPr>
          </w:p>
        </w:tc>
        <w:tc>
          <w:tcPr>
            <w:tcW w:w="3307" w:type="dxa"/>
            <w:shd w:val="clear" w:color="auto" w:fill="auto"/>
          </w:tcPr>
          <w:p w14:paraId="204FD9E7" w14:textId="77777777" w:rsidR="00CA2C8A" w:rsidRPr="00B96C4B" w:rsidRDefault="00CA2C8A" w:rsidP="00324E42">
            <w:pPr>
              <w:spacing w:line="276" w:lineRule="auto"/>
            </w:pPr>
            <w:r w:rsidRPr="00B96C4B">
              <w:lastRenderedPageBreak/>
              <w:t>“Comments focused on a number of issues, including defining the term “disadvantaged community,” possible requirements and metrics to address impacts on disadvantaged communities, consequences of failing to demonstrate meeting a requirement, consideration of disadvantaged communities in procurement-related activities, and coordination between agencies and among Commission proceedings on issues that impact disadvantaged communities.” (Decision at p. 59.)</w:t>
            </w:r>
          </w:p>
          <w:p w14:paraId="68B91B0E" w14:textId="2B2ED55A" w:rsidR="00CA2C8A" w:rsidRPr="00324E42" w:rsidRDefault="00CA2C8A" w:rsidP="00324E42">
            <w:pPr>
              <w:spacing w:line="276" w:lineRule="auto"/>
            </w:pPr>
          </w:p>
          <w:p w14:paraId="1A44F537" w14:textId="7BE8716A" w:rsidR="00CA2C8A" w:rsidRPr="00324E42" w:rsidRDefault="00CA2C8A" w:rsidP="00324E42">
            <w:pPr>
              <w:spacing w:line="276" w:lineRule="auto"/>
            </w:pPr>
            <w:r w:rsidRPr="00324E42">
              <w:t>“We also appreciate a number of parties’ suggestions for improving the disadvantaged communities’ analysis in IRP, which we will consider in t</w:t>
            </w:r>
            <w:r w:rsidR="007E1B9F">
              <w:t>he next round.” (Decision at p. </w:t>
            </w:r>
            <w:r w:rsidRPr="00324E42">
              <w:t>70.)</w:t>
            </w:r>
          </w:p>
          <w:p w14:paraId="018F2EAA" w14:textId="77777777" w:rsidR="00F33934" w:rsidRPr="00B96C4B" w:rsidRDefault="00F33934" w:rsidP="00324E42">
            <w:pPr>
              <w:spacing w:line="276" w:lineRule="auto"/>
            </w:pPr>
          </w:p>
          <w:p w14:paraId="60966267" w14:textId="0922F4BA" w:rsidR="00CA2C8A" w:rsidRPr="00324E42" w:rsidRDefault="00CA2C8A" w:rsidP="00324E42">
            <w:pPr>
              <w:spacing w:line="276" w:lineRule="auto"/>
            </w:pPr>
            <w:r w:rsidRPr="00B96C4B">
              <w:t>“</w:t>
            </w:r>
            <w:r w:rsidRPr="00324E42">
              <w:t xml:space="preserve">Once </w:t>
            </w:r>
            <w:r w:rsidRPr="00324E42">
              <w:rPr>
                <w:iCs/>
              </w:rPr>
              <w:t>procurement</w:t>
            </w:r>
            <w:r w:rsidRPr="00324E42">
              <w:rPr>
                <w:i/>
                <w:iCs/>
              </w:rPr>
              <w:t xml:space="preserve"> </w:t>
            </w:r>
            <w:r w:rsidRPr="00324E42">
              <w:t xml:space="preserve">activities are undertaken, we expect that the LSEs will procure the most effective resources within the </w:t>
            </w:r>
            <w:r w:rsidRPr="00324E42">
              <w:lastRenderedPageBreak/>
              <w:t xml:space="preserve">groups that meet their cost, reliability, and other needs such as impacts on disadvantaged communities, which may look different from what each LSE’s plan proposes.” </w:t>
            </w:r>
            <w:r w:rsidR="007E1B9F">
              <w:t>(Decision at p. </w:t>
            </w:r>
            <w:r w:rsidRPr="00324E42">
              <w:t>90</w:t>
            </w:r>
            <w:r w:rsidR="00C65C36">
              <w:t>.)</w:t>
            </w:r>
          </w:p>
          <w:p w14:paraId="35D73D95" w14:textId="1D625DDD" w:rsidR="00CA2C8A" w:rsidRPr="00B96C4B" w:rsidRDefault="00CA2C8A" w:rsidP="00324E42">
            <w:pPr>
              <w:spacing w:line="276" w:lineRule="auto"/>
            </w:pPr>
          </w:p>
          <w:p w14:paraId="2D93E83A" w14:textId="5965021C" w:rsidR="00CA2C8A" w:rsidRDefault="00CA2C8A" w:rsidP="00324E42">
            <w:pPr>
              <w:spacing w:line="276" w:lineRule="auto"/>
            </w:pPr>
            <w:r w:rsidRPr="00B96C4B">
              <w:t>“</w:t>
            </w:r>
            <w:r w:rsidRPr="00324E42">
              <w:t xml:space="preserve">If this IRP does not already include a demonstration of how disadvantaged communities were considered, a separate demonstration must be submitted that satisfies the requirements for disadvantaged communities as described in Section 6 of this decision.” </w:t>
            </w:r>
            <w:r w:rsidR="00C65C36">
              <w:t xml:space="preserve">(Decision at p. </w:t>
            </w:r>
            <w:r w:rsidRPr="00324E42">
              <w:t>135</w:t>
            </w:r>
            <w:r w:rsidR="00C65C36">
              <w:t>.)</w:t>
            </w:r>
          </w:p>
          <w:p w14:paraId="130ECD92" w14:textId="77777777" w:rsidR="00655F84" w:rsidRPr="00B96C4B" w:rsidRDefault="00655F84" w:rsidP="00324E42">
            <w:pPr>
              <w:spacing w:line="276" w:lineRule="auto"/>
            </w:pPr>
          </w:p>
          <w:p w14:paraId="3C9E28A9" w14:textId="03DB77CC" w:rsidR="0031582D" w:rsidRPr="00324E42" w:rsidRDefault="0031582D" w:rsidP="00324E42">
            <w:pPr>
              <w:spacing w:line="276" w:lineRule="auto"/>
            </w:pPr>
            <w:r w:rsidRPr="00324E42">
              <w:t xml:space="preserve">“The Commission should require all LSEs to describe in their IRP filings their planned and completed outreach to and treatment of issues related to disadvantaged communities.” </w:t>
            </w:r>
            <w:r w:rsidR="00920C12" w:rsidRPr="00324E42">
              <w:t>(Decision at Conclusion of Law 15.)</w:t>
            </w:r>
          </w:p>
          <w:p w14:paraId="00BEC63C" w14:textId="51363D9D" w:rsidR="002E30D0" w:rsidRPr="00324E42" w:rsidRDefault="002E30D0" w:rsidP="00324E42">
            <w:pPr>
              <w:spacing w:line="276" w:lineRule="auto"/>
            </w:pPr>
          </w:p>
          <w:p w14:paraId="58D87E13" w14:textId="2C07B079" w:rsidR="0031582D" w:rsidRPr="00B96C4B" w:rsidRDefault="002E30D0" w:rsidP="00324E42">
            <w:pPr>
              <w:spacing w:line="276" w:lineRule="auto"/>
            </w:pPr>
            <w:r w:rsidRPr="00324E42">
              <w:t>“The integrated resource plan of each load-serving entity (LSE) required in Ordering Paragraph 1 shall include the following information related to disadvantaged communities . . .” (Decision at Conclusion of Law 7.)</w:t>
            </w:r>
          </w:p>
        </w:tc>
        <w:tc>
          <w:tcPr>
            <w:tcW w:w="1800" w:type="dxa"/>
            <w:shd w:val="clear" w:color="auto" w:fill="auto"/>
          </w:tcPr>
          <w:p w14:paraId="046984CF" w14:textId="114E43C1" w:rsidR="00F33934" w:rsidRPr="002C5FE7" w:rsidRDefault="00655F84" w:rsidP="00A92D0B">
            <w:pPr>
              <w:spacing w:before="120"/>
              <w:rPr>
                <w:color w:val="000000"/>
              </w:rPr>
            </w:pPr>
            <w:r>
              <w:rPr>
                <w:color w:val="000000"/>
              </w:rPr>
              <w:lastRenderedPageBreak/>
              <w:t>Verified</w:t>
            </w:r>
          </w:p>
        </w:tc>
      </w:tr>
      <w:tr w:rsidR="00F35C09" w:rsidRPr="002C5FE7" w14:paraId="1B66D0DB" w14:textId="77777777" w:rsidTr="00672E9B">
        <w:tc>
          <w:tcPr>
            <w:tcW w:w="3690" w:type="dxa"/>
            <w:shd w:val="clear" w:color="auto" w:fill="auto"/>
          </w:tcPr>
          <w:p w14:paraId="150F0212" w14:textId="090E72CD" w:rsidR="00BE7F0D" w:rsidRPr="008F16A6" w:rsidRDefault="00B80DCE" w:rsidP="00766F9E">
            <w:pPr>
              <w:spacing w:line="276" w:lineRule="auto"/>
            </w:pPr>
            <w:r w:rsidRPr="008F16A6">
              <w:t>Issue B:</w:t>
            </w:r>
            <w:r w:rsidR="008F3468" w:rsidRPr="008F16A6">
              <w:t xml:space="preserve"> IRP Process</w:t>
            </w:r>
            <w:r w:rsidR="00880EB0" w:rsidRPr="008F16A6">
              <w:t xml:space="preserve"> </w:t>
            </w:r>
          </w:p>
          <w:p w14:paraId="56E06A89" w14:textId="77777777" w:rsidR="00BE7F0D" w:rsidRPr="008F16A6" w:rsidRDefault="00BE7F0D" w:rsidP="00324E42">
            <w:pPr>
              <w:spacing w:line="276" w:lineRule="auto"/>
            </w:pPr>
          </w:p>
          <w:p w14:paraId="2C6B4F97" w14:textId="37057786" w:rsidR="003B3064" w:rsidRPr="008F16A6" w:rsidRDefault="009D7D6F" w:rsidP="00324E42">
            <w:pPr>
              <w:spacing w:line="276" w:lineRule="auto"/>
            </w:pPr>
            <w:r w:rsidRPr="008F16A6">
              <w:t>POC specifically advocated for the applicability of stronger</w:t>
            </w:r>
            <w:r w:rsidR="004F42D2" w:rsidRPr="008F16A6">
              <w:t>, across-</w:t>
            </w:r>
            <w:r w:rsidR="004F42D2" w:rsidRPr="008F16A6">
              <w:lastRenderedPageBreak/>
              <w:t>the-board</w:t>
            </w:r>
            <w:r w:rsidRPr="008F16A6">
              <w:t xml:space="preserve"> </w:t>
            </w:r>
            <w:r w:rsidR="00914EC9" w:rsidRPr="008F16A6">
              <w:t>Integrated Resource Plans (</w:t>
            </w:r>
            <w:r w:rsidRPr="008F16A6">
              <w:t>IRP</w:t>
            </w:r>
            <w:r w:rsidR="00914EC9" w:rsidRPr="008F16A6">
              <w:t>)</w:t>
            </w:r>
            <w:r w:rsidRPr="008F16A6">
              <w:t xml:space="preserve"> requirements to all </w:t>
            </w:r>
            <w:r w:rsidR="00A028D6" w:rsidRPr="008F16A6">
              <w:t>Load Serving Entities (</w:t>
            </w:r>
            <w:r w:rsidRPr="008F16A6">
              <w:t>LSEs</w:t>
            </w:r>
            <w:r w:rsidR="00A028D6" w:rsidRPr="008F16A6">
              <w:t>)</w:t>
            </w:r>
            <w:r w:rsidR="00141407" w:rsidRPr="008F16A6">
              <w:t xml:space="preserve">.  </w:t>
            </w:r>
          </w:p>
          <w:p w14:paraId="01907C03" w14:textId="2AB102E5" w:rsidR="0092515C" w:rsidRPr="008F16A6" w:rsidRDefault="00F416DA" w:rsidP="00324E42">
            <w:pPr>
              <w:spacing w:line="276" w:lineRule="auto"/>
            </w:pPr>
            <w:r w:rsidRPr="008F16A6">
              <w:t xml:space="preserve">POC </w:t>
            </w:r>
            <w:r w:rsidR="00C85DFF" w:rsidRPr="008F16A6">
              <w:t>a</w:t>
            </w:r>
            <w:r w:rsidRPr="008F16A6">
              <w:t xml:space="preserve">rgued </w:t>
            </w:r>
            <w:r w:rsidR="00F34767" w:rsidRPr="008F16A6">
              <w:t xml:space="preserve">that LSEs </w:t>
            </w:r>
            <w:r w:rsidR="00C85DFF" w:rsidRPr="008F16A6">
              <w:t xml:space="preserve">filings </w:t>
            </w:r>
            <w:r w:rsidR="00F34767" w:rsidRPr="008F16A6">
              <w:t xml:space="preserve">that do not meet </w:t>
            </w:r>
            <w:r w:rsidR="00141407" w:rsidRPr="008F16A6">
              <w:t xml:space="preserve">Commission </w:t>
            </w:r>
            <w:r w:rsidR="00F34767" w:rsidRPr="008F16A6">
              <w:t>requirements should not be permitted</w:t>
            </w:r>
            <w:r w:rsidR="00A3619A" w:rsidRPr="008F16A6">
              <w:t>.</w:t>
            </w:r>
            <w:r w:rsidR="006220AD" w:rsidRPr="008F16A6">
              <w:t xml:space="preserve"> The </w:t>
            </w:r>
            <w:r w:rsidR="00920C12" w:rsidRPr="008F16A6">
              <w:t>D</w:t>
            </w:r>
            <w:r w:rsidR="006220AD" w:rsidRPr="008F16A6">
              <w:t xml:space="preserve">ecision recognizes </w:t>
            </w:r>
            <w:r w:rsidRPr="008F16A6">
              <w:t xml:space="preserve">the Commission’s </w:t>
            </w:r>
            <w:r w:rsidR="006220AD" w:rsidRPr="008F16A6">
              <w:t>legal authority over LSEs and the importance of maintaining the statutory requirements for all LSEs</w:t>
            </w:r>
            <w:r w:rsidR="0092515C" w:rsidRPr="008F16A6">
              <w:t>.</w:t>
            </w:r>
          </w:p>
          <w:p w14:paraId="0370CEA4" w14:textId="77777777" w:rsidR="008D330F" w:rsidRPr="008F16A6" w:rsidRDefault="008D330F" w:rsidP="00324E42">
            <w:pPr>
              <w:spacing w:line="276" w:lineRule="auto"/>
            </w:pPr>
          </w:p>
          <w:p w14:paraId="1EF222AF" w14:textId="63C8D48B" w:rsidR="0092515C" w:rsidRPr="008F16A6" w:rsidRDefault="0092515C" w:rsidP="00324E42">
            <w:pPr>
              <w:spacing w:line="276" w:lineRule="auto"/>
            </w:pPr>
            <w:r w:rsidRPr="008F16A6">
              <w:t xml:space="preserve">“Staff Proposal does not demand strong enough regulation of LSE IRP plans, in particular the IOUs…” </w:t>
            </w:r>
            <w:r w:rsidR="00141407" w:rsidRPr="008F16A6">
              <w:t>(</w:t>
            </w:r>
            <w:r w:rsidR="00BE7F0D" w:rsidRPr="008F16A6">
              <w:t xml:space="preserve">Protect Our Communities Foundation Comment On Staff Proposal </w:t>
            </w:r>
            <w:proofErr w:type="gramStart"/>
            <w:r w:rsidR="00BE7F0D" w:rsidRPr="008F16A6">
              <w:t>For</w:t>
            </w:r>
            <w:proofErr w:type="gramEnd"/>
            <w:r w:rsidR="00BE7F0D" w:rsidRPr="008F16A6">
              <w:t xml:space="preserve"> Implementing Integrated Resource Planning At The CPUC</w:t>
            </w:r>
            <w:r w:rsidRPr="008F16A6">
              <w:t xml:space="preserve"> at</w:t>
            </w:r>
            <w:r w:rsidR="00BE7F0D" w:rsidRPr="008F16A6">
              <w:t xml:space="preserve"> p.</w:t>
            </w:r>
            <w:r w:rsidRPr="008F16A6">
              <w:t xml:space="preserve"> 2.</w:t>
            </w:r>
            <w:r w:rsidR="00BE7F0D" w:rsidRPr="008F16A6">
              <w:t>)</w:t>
            </w:r>
          </w:p>
          <w:p w14:paraId="4A2951C4" w14:textId="77777777" w:rsidR="0092515C" w:rsidRPr="008F16A6" w:rsidRDefault="0092515C" w:rsidP="00324E42">
            <w:pPr>
              <w:spacing w:line="276" w:lineRule="auto"/>
            </w:pPr>
          </w:p>
          <w:p w14:paraId="2E32A867" w14:textId="2A8ED208" w:rsidR="0092515C" w:rsidRPr="008F16A6" w:rsidRDefault="0092515C" w:rsidP="00324E42">
            <w:pPr>
              <w:spacing w:line="276" w:lineRule="auto"/>
              <w:rPr>
                <w:iCs/>
              </w:rPr>
            </w:pPr>
            <w:r w:rsidRPr="008F16A6">
              <w:t xml:space="preserve"> “</w:t>
            </w:r>
            <w:r w:rsidRPr="008F16A6">
              <w:rPr>
                <w:iCs/>
              </w:rPr>
              <w:t xml:space="preserve">This suggests then that LSE Portfolios that do not meet CPUC requirements may be permitted thereby rendering the entire IRP process a meaningless exercise. </w:t>
            </w:r>
            <w:r w:rsidRPr="008F16A6">
              <w:t xml:space="preserve">There is no good reason why an LSE portfolio that didn’t meet CPUC requirements would be accepted at any point in the IRP process. </w:t>
            </w:r>
            <w:r w:rsidRPr="008F16A6">
              <w:rPr>
                <w:iCs/>
              </w:rPr>
              <w:t xml:space="preserve">Allowing LSE portfolios that don’t meet CPUC requirements would be in violation of the Public Utilities Code as directed by the legislature in SB350.” </w:t>
            </w:r>
            <w:r w:rsidR="00BE7F0D" w:rsidRPr="008F16A6">
              <w:rPr>
                <w:iCs/>
              </w:rPr>
              <w:t>(</w:t>
            </w:r>
            <w:r w:rsidR="00BE7F0D" w:rsidRPr="008F16A6">
              <w:t xml:space="preserve">Protect Our Communities Foundation Comment On Staff Proposal </w:t>
            </w:r>
            <w:proofErr w:type="gramStart"/>
            <w:r w:rsidR="00BE7F0D" w:rsidRPr="008F16A6">
              <w:t>For</w:t>
            </w:r>
            <w:proofErr w:type="gramEnd"/>
            <w:r w:rsidR="00BE7F0D" w:rsidRPr="008F16A6">
              <w:t xml:space="preserve"> Implementing Integrated Resource Planning At The CPUC at</w:t>
            </w:r>
            <w:r w:rsidR="00BE7F0D" w:rsidRPr="008F16A6">
              <w:rPr>
                <w:iCs/>
              </w:rPr>
              <w:t xml:space="preserve"> p.</w:t>
            </w:r>
            <w:r w:rsidRPr="008F16A6">
              <w:rPr>
                <w:iCs/>
              </w:rPr>
              <w:t xml:space="preserve"> 3.</w:t>
            </w:r>
            <w:r w:rsidR="00BE7F0D" w:rsidRPr="008F16A6">
              <w:rPr>
                <w:iCs/>
              </w:rPr>
              <w:t>)</w:t>
            </w:r>
          </w:p>
          <w:p w14:paraId="687351A1" w14:textId="77777777" w:rsidR="0092515C" w:rsidRPr="008F16A6" w:rsidRDefault="0092515C" w:rsidP="00324E42">
            <w:pPr>
              <w:spacing w:line="276" w:lineRule="auto"/>
              <w:rPr>
                <w:iCs/>
              </w:rPr>
            </w:pPr>
          </w:p>
          <w:p w14:paraId="33E16F14" w14:textId="0C0B0827" w:rsidR="0092515C" w:rsidRPr="008F16A6" w:rsidRDefault="0092515C" w:rsidP="00324E42">
            <w:pPr>
              <w:spacing w:line="276" w:lineRule="auto"/>
              <w:rPr>
                <w:iCs/>
              </w:rPr>
            </w:pPr>
            <w:r w:rsidRPr="008F16A6">
              <w:rPr>
                <w:iCs/>
              </w:rPr>
              <w:lastRenderedPageBreak/>
              <w:t>“Rather than depending on specific procurement direction from the CPUC, LSEs have the flexibility to use their own models and prepare their own Plans accounting for their specific resource and program costs.</w:t>
            </w:r>
            <w:r w:rsidR="00BE7F0D" w:rsidRPr="008F16A6">
              <w:rPr>
                <w:iCs/>
              </w:rPr>
              <w:t>” (</w:t>
            </w:r>
            <w:r w:rsidR="00BE7F0D" w:rsidRPr="008F16A6">
              <w:t xml:space="preserve">Protect Our Communities Foundation Comment On Staff Proposal </w:t>
            </w:r>
            <w:proofErr w:type="gramStart"/>
            <w:r w:rsidR="00BE7F0D" w:rsidRPr="008F16A6">
              <w:t>For</w:t>
            </w:r>
            <w:proofErr w:type="gramEnd"/>
            <w:r w:rsidR="00BE7F0D" w:rsidRPr="008F16A6">
              <w:t xml:space="preserve"> Implementing Integrated Resource Planning At The CPUC at</w:t>
            </w:r>
            <w:r w:rsidR="00BE7F0D" w:rsidRPr="008F16A6">
              <w:rPr>
                <w:iCs/>
              </w:rPr>
              <w:t xml:space="preserve"> p. </w:t>
            </w:r>
            <w:r w:rsidRPr="008F16A6">
              <w:rPr>
                <w:iCs/>
              </w:rPr>
              <w:t>3.</w:t>
            </w:r>
            <w:r w:rsidR="00BE7F0D" w:rsidRPr="008F16A6">
              <w:rPr>
                <w:iCs/>
              </w:rPr>
              <w:t>)</w:t>
            </w:r>
          </w:p>
          <w:p w14:paraId="4338B94B" w14:textId="77777777" w:rsidR="00141407" w:rsidRPr="008F16A6" w:rsidRDefault="00141407" w:rsidP="00324E42">
            <w:pPr>
              <w:spacing w:line="276" w:lineRule="auto"/>
            </w:pPr>
          </w:p>
          <w:p w14:paraId="37BA1E3F" w14:textId="77777777" w:rsidR="00141407" w:rsidRPr="008F16A6" w:rsidRDefault="00141407" w:rsidP="00324E42">
            <w:pPr>
              <w:spacing w:line="276" w:lineRule="auto"/>
            </w:pPr>
            <w:r w:rsidRPr="008F16A6">
              <w:t xml:space="preserve">POC advocated for requiring the filing of separate applications by each LSE for transparency reasons: </w:t>
            </w:r>
          </w:p>
          <w:p w14:paraId="2769850C" w14:textId="5578A8A3" w:rsidR="00141407" w:rsidRPr="008F16A6" w:rsidRDefault="00141407" w:rsidP="00324E42">
            <w:pPr>
              <w:spacing w:line="276" w:lineRule="auto"/>
            </w:pPr>
            <w:r w:rsidRPr="008F16A6">
              <w:t>“POC supports the filing of this information as this is essential for transparency, proper public oversight of regulated utilities, and insuring that misinformation is not spread regarding the cost of the RPS program which can create political and other problems.” (POC Comment On Proposed Reference System Plan And Related Commission Policy at p. 19.)</w:t>
            </w:r>
          </w:p>
        </w:tc>
        <w:tc>
          <w:tcPr>
            <w:tcW w:w="3307" w:type="dxa"/>
            <w:shd w:val="clear" w:color="auto" w:fill="auto"/>
          </w:tcPr>
          <w:p w14:paraId="4B5075B4" w14:textId="1E446D0D" w:rsidR="006F4F5E" w:rsidRDefault="00F416DA" w:rsidP="00766F9E">
            <w:pPr>
              <w:spacing w:line="276" w:lineRule="auto"/>
            </w:pPr>
            <w:r w:rsidRPr="00B96C4B">
              <w:lastRenderedPageBreak/>
              <w:t>“</w:t>
            </w:r>
            <w:r w:rsidR="006F4F5E" w:rsidRPr="00B96C4B">
              <w:t xml:space="preserve">In response to the September 19, 2017 ALJ ruling on the proposed RSP, the following 53 parties filed comments on </w:t>
            </w:r>
            <w:r w:rsidR="006F4F5E" w:rsidRPr="00B96C4B">
              <w:lastRenderedPageBreak/>
              <w:t>October 26, 2017…POC</w:t>
            </w:r>
            <w:r w:rsidR="00BE7F0D" w:rsidRPr="00B96C4B">
              <w:t>.”</w:t>
            </w:r>
            <w:r w:rsidR="006F4F5E" w:rsidRPr="00B96C4B">
              <w:t xml:space="preserve"> </w:t>
            </w:r>
            <w:r w:rsidR="00C85DFF" w:rsidRPr="00B96C4B">
              <w:t>(</w:t>
            </w:r>
            <w:r w:rsidR="006F4F5E" w:rsidRPr="00B96C4B">
              <w:t xml:space="preserve">Decision at </w:t>
            </w:r>
            <w:r w:rsidRPr="00B96C4B">
              <w:t xml:space="preserve">p. </w:t>
            </w:r>
            <w:r w:rsidR="006F4F5E" w:rsidRPr="00B96C4B">
              <w:t>8.</w:t>
            </w:r>
            <w:r w:rsidR="00C85DFF" w:rsidRPr="00B96C4B">
              <w:t>)</w:t>
            </w:r>
          </w:p>
          <w:p w14:paraId="44360366" w14:textId="77777777" w:rsidR="00C65C36" w:rsidRPr="00B96C4B" w:rsidRDefault="00C65C36" w:rsidP="00324E42">
            <w:pPr>
              <w:spacing w:line="276" w:lineRule="auto"/>
            </w:pPr>
          </w:p>
          <w:p w14:paraId="74C1DBF4" w14:textId="42185DFE" w:rsidR="006F4F5E" w:rsidRPr="00B96C4B" w:rsidRDefault="00F416DA" w:rsidP="00766F9E">
            <w:pPr>
              <w:spacing w:line="276" w:lineRule="auto"/>
            </w:pPr>
            <w:r w:rsidRPr="00B96C4B">
              <w:t>“</w:t>
            </w:r>
            <w:r w:rsidR="00431120" w:rsidRPr="00B96C4B">
              <w:t>The following 56 parties filed timely comments in response to the May 16,</w:t>
            </w:r>
            <w:r w:rsidR="0061421A" w:rsidRPr="00B96C4B">
              <w:t xml:space="preserve"> </w:t>
            </w:r>
            <w:r w:rsidR="00431120" w:rsidRPr="00B96C4B">
              <w:t>2017 ALJ ruling and Staff Propos</w:t>
            </w:r>
            <w:r w:rsidR="00BE7F0D" w:rsidRPr="00B96C4B">
              <w:t xml:space="preserve">al. . . </w:t>
            </w:r>
            <w:r w:rsidR="003552B1" w:rsidRPr="00B96C4B">
              <w:t>POC</w:t>
            </w:r>
            <w:r w:rsidR="00123962" w:rsidRPr="00B96C4B">
              <w:t>.</w:t>
            </w:r>
            <w:r w:rsidR="003552B1" w:rsidRPr="00B96C4B">
              <w:t>”</w:t>
            </w:r>
            <w:r w:rsidR="00037A96" w:rsidRPr="00B96C4B">
              <w:t xml:space="preserve"> </w:t>
            </w:r>
            <w:r w:rsidR="00C85DFF" w:rsidRPr="00B96C4B">
              <w:t>(</w:t>
            </w:r>
            <w:r w:rsidR="00037A96" w:rsidRPr="00B96C4B">
              <w:t xml:space="preserve">Decision at </w:t>
            </w:r>
            <w:r w:rsidR="00C85DFF" w:rsidRPr="00B96C4B">
              <w:t xml:space="preserve">p. </w:t>
            </w:r>
            <w:r w:rsidR="00037A96" w:rsidRPr="00B96C4B">
              <w:t>8.</w:t>
            </w:r>
            <w:r w:rsidR="00C85DFF" w:rsidRPr="00B96C4B">
              <w:t>)</w:t>
            </w:r>
          </w:p>
          <w:p w14:paraId="0A53A277" w14:textId="77777777" w:rsidR="00BE7F0D" w:rsidRPr="00B96C4B" w:rsidRDefault="00BE7F0D" w:rsidP="00324E42">
            <w:pPr>
              <w:spacing w:line="276" w:lineRule="auto"/>
            </w:pPr>
          </w:p>
          <w:p w14:paraId="65D2D77C" w14:textId="3D4E364A" w:rsidR="000B0FAF" w:rsidRPr="00B96C4B" w:rsidRDefault="000B0FAF" w:rsidP="00324E42">
            <w:pPr>
              <w:spacing w:line="276" w:lineRule="auto"/>
            </w:pPr>
            <w:r w:rsidRPr="00B96C4B">
              <w:t xml:space="preserve">“POC was concerned that individual LSEs have too much flexibility under the staff proposed approach, thereby potentially rendering the entire IRP process a meaningless exercise.” </w:t>
            </w:r>
            <w:r w:rsidR="00C85DFF" w:rsidRPr="00B96C4B">
              <w:t>(</w:t>
            </w:r>
            <w:r w:rsidRPr="00B96C4B">
              <w:t xml:space="preserve">Decision at </w:t>
            </w:r>
            <w:r w:rsidR="00F416DA" w:rsidRPr="00B96C4B">
              <w:t xml:space="preserve">p. </w:t>
            </w:r>
            <w:r w:rsidRPr="00B96C4B">
              <w:t>22.</w:t>
            </w:r>
            <w:r w:rsidR="00C85DFF" w:rsidRPr="00B96C4B">
              <w:t>)</w:t>
            </w:r>
          </w:p>
          <w:p w14:paraId="64A1AB4D" w14:textId="77777777" w:rsidR="000B0FAF" w:rsidRPr="00B96C4B" w:rsidRDefault="000B0FAF" w:rsidP="00324E42">
            <w:pPr>
              <w:spacing w:line="276" w:lineRule="auto"/>
            </w:pPr>
          </w:p>
          <w:p w14:paraId="2935A176" w14:textId="529FD3FB" w:rsidR="000B0FAF" w:rsidRPr="00B96C4B" w:rsidRDefault="000B0FAF" w:rsidP="00324E42">
            <w:pPr>
              <w:spacing w:line="276" w:lineRule="auto"/>
            </w:pPr>
            <w:r w:rsidRPr="00B96C4B">
              <w:t xml:space="preserve">The </w:t>
            </w:r>
            <w:r w:rsidR="00141407" w:rsidRPr="00B96C4B">
              <w:t>D</w:t>
            </w:r>
            <w:r w:rsidRPr="00B96C4B">
              <w:t xml:space="preserve">ecision recognizes </w:t>
            </w:r>
            <w:r w:rsidR="00141407" w:rsidRPr="00B96C4B">
              <w:t xml:space="preserve">the Commission’s </w:t>
            </w:r>
            <w:r w:rsidRPr="00B96C4B">
              <w:t>legal authority over LSEs and the importance of maintaining the statutory requirements for all LSEs:</w:t>
            </w:r>
          </w:p>
          <w:p w14:paraId="24658603" w14:textId="748F6FCD" w:rsidR="000B0FAF" w:rsidRPr="00B96C4B" w:rsidRDefault="000B0FAF" w:rsidP="00324E42">
            <w:pPr>
              <w:spacing w:line="276" w:lineRule="auto"/>
            </w:pPr>
            <w:r w:rsidRPr="00B96C4B">
              <w:t xml:space="preserve"> “Taken together, Sections 454.51 and 454.52 give the Commission the basic authority and requirements to identify the optimal portfolio of resources to meet the state’s GHG emissions goals in the electricity sector, and to adopt a process to require each LSE to file IRP, as stated in Section 454.52(a)(1), to meet those state goals.” Decision at 29…. “Further, with respect to the Commission’s authority over ESP IRP filings, there is nothing in the statute that creates differential responsibility or exceptions for </w:t>
            </w:r>
            <w:r w:rsidRPr="00B96C4B">
              <w:lastRenderedPageBreak/>
              <w:t xml:space="preserve">the Commission with respect to the IRP filings of these types of LSEs.” </w:t>
            </w:r>
            <w:r w:rsidR="00BE7F0D" w:rsidRPr="00B96C4B">
              <w:t>(</w:t>
            </w:r>
            <w:r w:rsidRPr="00B96C4B">
              <w:t xml:space="preserve">Decision at </w:t>
            </w:r>
            <w:r w:rsidR="00BE7F0D" w:rsidRPr="00B96C4B">
              <w:t xml:space="preserve">p. </w:t>
            </w:r>
            <w:r w:rsidRPr="00B96C4B">
              <w:t>30.</w:t>
            </w:r>
            <w:r w:rsidR="00BE7F0D" w:rsidRPr="00B96C4B">
              <w:t>)</w:t>
            </w:r>
          </w:p>
          <w:p w14:paraId="6D26E5F0" w14:textId="77777777" w:rsidR="00141407" w:rsidRPr="00324E42" w:rsidRDefault="00141407" w:rsidP="00324E42">
            <w:pPr>
              <w:spacing w:line="276" w:lineRule="auto"/>
            </w:pPr>
          </w:p>
          <w:p w14:paraId="0850148A" w14:textId="77777777" w:rsidR="00141407" w:rsidRPr="00324E42" w:rsidRDefault="00141407" w:rsidP="00324E42">
            <w:pPr>
              <w:spacing w:line="276" w:lineRule="auto"/>
            </w:pPr>
            <w:r w:rsidRPr="00324E42">
              <w:t>“On the subject of requiring IRPs to be filed by individual applications by each LSE, this part of the proposal was supported by the following parties: PG&amp;E, SCE, SDG&amp;E, CEJA/Sierra Club, and POC.” (Decision at p. 128.)</w:t>
            </w:r>
          </w:p>
          <w:p w14:paraId="1621D39C" w14:textId="0A39A0D0" w:rsidR="00141407" w:rsidRPr="00B96C4B" w:rsidRDefault="00141407" w:rsidP="00324E42">
            <w:pPr>
              <w:spacing w:line="276" w:lineRule="auto"/>
            </w:pPr>
          </w:p>
        </w:tc>
        <w:tc>
          <w:tcPr>
            <w:tcW w:w="1800" w:type="dxa"/>
            <w:shd w:val="clear" w:color="auto" w:fill="auto"/>
          </w:tcPr>
          <w:p w14:paraId="2ABFCEA1" w14:textId="0A83094D" w:rsidR="00F35C09" w:rsidRPr="002C5FE7" w:rsidRDefault="008E2518" w:rsidP="00324E42">
            <w:pPr>
              <w:rPr>
                <w:color w:val="000000"/>
              </w:rPr>
            </w:pPr>
            <w:r>
              <w:rPr>
                <w:color w:val="000000"/>
              </w:rPr>
              <w:lastRenderedPageBreak/>
              <w:t>Verified</w:t>
            </w:r>
          </w:p>
        </w:tc>
      </w:tr>
      <w:tr w:rsidR="006E4B16" w:rsidRPr="002C5FE7" w14:paraId="64087B55" w14:textId="77777777" w:rsidTr="00672E9B">
        <w:tc>
          <w:tcPr>
            <w:tcW w:w="3690" w:type="dxa"/>
            <w:shd w:val="clear" w:color="auto" w:fill="auto"/>
          </w:tcPr>
          <w:p w14:paraId="133B9109" w14:textId="43A730FE" w:rsidR="006E4B16" w:rsidRPr="008F16A6" w:rsidRDefault="006E4B16" w:rsidP="00072A5D">
            <w:pPr>
              <w:spacing w:before="120" w:after="200" w:line="276" w:lineRule="auto"/>
              <w:contextualSpacing/>
            </w:pPr>
            <w:r w:rsidRPr="008F16A6">
              <w:lastRenderedPageBreak/>
              <w:t xml:space="preserve">Issue C: </w:t>
            </w:r>
            <w:r w:rsidR="00920C12" w:rsidRPr="008F16A6">
              <w:t xml:space="preserve">RESOLVE </w:t>
            </w:r>
            <w:r w:rsidRPr="008F16A6">
              <w:t xml:space="preserve">Modeling Process </w:t>
            </w:r>
            <w:r w:rsidR="00C427DA" w:rsidRPr="008F16A6">
              <w:t xml:space="preserve">and Procedure </w:t>
            </w:r>
          </w:p>
          <w:p w14:paraId="7EE8763B" w14:textId="77777777" w:rsidR="00920C12" w:rsidRPr="008F16A6" w:rsidRDefault="00920C12">
            <w:pPr>
              <w:spacing w:before="120" w:after="200" w:line="276" w:lineRule="auto"/>
              <w:contextualSpacing/>
            </w:pPr>
          </w:p>
          <w:p w14:paraId="27557F94" w14:textId="004D7468" w:rsidR="006E4B16" w:rsidRPr="008F16A6" w:rsidRDefault="00EB4388">
            <w:pPr>
              <w:spacing w:before="120" w:after="200" w:line="276" w:lineRule="auto"/>
              <w:contextualSpacing/>
            </w:pPr>
            <w:r w:rsidRPr="008F16A6">
              <w:rPr>
                <w:color w:val="000000"/>
              </w:rPr>
              <w:t xml:space="preserve">POC </w:t>
            </w:r>
            <w:r w:rsidR="00C85DFF" w:rsidRPr="008F16A6">
              <w:rPr>
                <w:color w:val="000000"/>
              </w:rPr>
              <w:t xml:space="preserve">advocated </w:t>
            </w:r>
            <w:r w:rsidR="00A02F66" w:rsidRPr="008F16A6">
              <w:rPr>
                <w:color w:val="000000"/>
              </w:rPr>
              <w:t xml:space="preserve">through multiple comments and motions and at the All Party Meeting </w:t>
            </w:r>
            <w:r w:rsidR="00C85DFF" w:rsidRPr="008F16A6">
              <w:rPr>
                <w:color w:val="000000"/>
              </w:rPr>
              <w:t>for the improvement of</w:t>
            </w:r>
            <w:r w:rsidRPr="008F16A6">
              <w:rPr>
                <w:color w:val="000000"/>
              </w:rPr>
              <w:t xml:space="preserve"> the</w:t>
            </w:r>
            <w:r w:rsidR="006E4B16" w:rsidRPr="008F16A6">
              <w:t xml:space="preserve"> RESOLVE model</w:t>
            </w:r>
            <w:r w:rsidR="00920C12" w:rsidRPr="008F16A6">
              <w:t xml:space="preserve">, in particular in regards to </w:t>
            </w:r>
            <w:r w:rsidR="006E4B16" w:rsidRPr="008F16A6">
              <w:t>assumptions about cost of resour</w:t>
            </w:r>
            <w:r w:rsidR="00FB3CA7" w:rsidRPr="008F16A6">
              <w:t xml:space="preserve">ces and </w:t>
            </w:r>
            <w:r w:rsidR="00920C12" w:rsidRPr="008F16A6">
              <w:t xml:space="preserve">energy </w:t>
            </w:r>
            <w:r w:rsidR="00FB3CA7" w:rsidRPr="008F16A6">
              <w:t>efficiency.</w:t>
            </w:r>
            <w:r w:rsidR="006E4B16" w:rsidRPr="008F16A6">
              <w:t xml:space="preserve"> </w:t>
            </w:r>
            <w:r w:rsidR="00A02F66" w:rsidRPr="008F16A6">
              <w:t xml:space="preserve"> The Decision agrees that the RESOLVE model </w:t>
            </w:r>
            <w:r w:rsidR="00C65C36" w:rsidRPr="008F16A6">
              <w:t>needs improvement</w:t>
            </w:r>
            <w:r w:rsidR="00A02F66" w:rsidRPr="008F16A6">
              <w:t xml:space="preserve"> and include</w:t>
            </w:r>
            <w:r w:rsidR="00920C12" w:rsidRPr="008F16A6">
              <w:t>s</w:t>
            </w:r>
            <w:r w:rsidR="00A02F66" w:rsidRPr="008F16A6">
              <w:t xml:space="preserve"> plans to adjust </w:t>
            </w:r>
            <w:r w:rsidR="00A02F66" w:rsidRPr="008F16A6">
              <w:lastRenderedPageBreak/>
              <w:t xml:space="preserve">assumptions and otherwise improve the model. </w:t>
            </w:r>
          </w:p>
          <w:p w14:paraId="78685CFE" w14:textId="7DD7AC42" w:rsidR="006E4B16" w:rsidRPr="008F16A6" w:rsidRDefault="006E4B16">
            <w:pPr>
              <w:spacing w:before="120" w:after="200" w:line="276" w:lineRule="auto"/>
              <w:contextualSpacing/>
            </w:pPr>
          </w:p>
          <w:p w14:paraId="309C2841" w14:textId="77777777" w:rsidR="004A37D5" w:rsidRPr="008F16A6" w:rsidRDefault="004A37D5">
            <w:pPr>
              <w:spacing w:before="120" w:after="200" w:line="276" w:lineRule="auto"/>
              <w:contextualSpacing/>
            </w:pPr>
            <w:r w:rsidRPr="008F16A6">
              <w:t>“There are many disputed issues of material facts that have been raised by POC and other parties throughout this proceeding regarding assumptions made in the model and the extent to which the model reflects realistic conditions.  . . .For example, there are disputed issues of material fact regarding the question of the statutorily required increase in energy efficiency as well as the price, availability, and time for procurement of wind, solar, and storage.” (POC Motion for Evidentiary Hearings at p. 16.)</w:t>
            </w:r>
          </w:p>
          <w:p w14:paraId="15DB399B" w14:textId="77777777" w:rsidR="004A37D5" w:rsidRPr="008F16A6" w:rsidRDefault="004A37D5">
            <w:pPr>
              <w:spacing w:before="120" w:after="200" w:line="276" w:lineRule="auto"/>
              <w:contextualSpacing/>
            </w:pPr>
          </w:p>
          <w:p w14:paraId="55F86D84" w14:textId="1E11D561" w:rsidR="004A37D5" w:rsidRPr="008F16A6" w:rsidRDefault="004A37D5" w:rsidP="00072A5D">
            <w:pPr>
              <w:spacing w:before="120" w:after="200" w:line="276" w:lineRule="auto"/>
              <w:contextualSpacing/>
            </w:pPr>
            <w:r w:rsidRPr="008F16A6">
              <w:t>POC argued against use 1.5 multiplier instead of doubling of energy efficiency</w:t>
            </w:r>
            <w:r w:rsidR="00072A5D" w:rsidRPr="008F16A6">
              <w:t>, assumptions of resources costs, treatment of DER, and other issues with the RESOLVE model assumptions and analysis.</w:t>
            </w:r>
            <w:r w:rsidRPr="008F16A6">
              <w:t xml:space="preserve"> (See POC Motion for Evidentiary Hearings;</w:t>
            </w:r>
            <w:r w:rsidR="00072A5D" w:rsidRPr="008F16A6">
              <w:t xml:space="preserve"> POC Comment On Proposed Reference System Plan </w:t>
            </w:r>
            <w:proofErr w:type="gramStart"/>
            <w:r w:rsidR="00C65C36" w:rsidRPr="008F16A6">
              <w:t>A</w:t>
            </w:r>
            <w:r w:rsidR="00072A5D" w:rsidRPr="008F16A6">
              <w:t>nd</w:t>
            </w:r>
            <w:proofErr w:type="gramEnd"/>
            <w:r w:rsidR="00072A5D" w:rsidRPr="008F16A6">
              <w:t xml:space="preserve"> Related Commission Policy; POC Reply Comment On Proposed Reference System Plan And Related Commission Policy; POC Comments on the Proposed Decision.)</w:t>
            </w:r>
            <w:r w:rsidRPr="008F16A6">
              <w:t xml:space="preserve">    </w:t>
            </w:r>
          </w:p>
          <w:p w14:paraId="086BF61E" w14:textId="30CD8A88" w:rsidR="00766F9E" w:rsidRPr="008F16A6" w:rsidRDefault="00766F9E" w:rsidP="00072A5D">
            <w:pPr>
              <w:spacing w:before="120" w:after="200" w:line="276" w:lineRule="auto"/>
              <w:contextualSpacing/>
            </w:pPr>
          </w:p>
          <w:p w14:paraId="4FE2B831" w14:textId="48D056FA" w:rsidR="006E4B16" w:rsidRPr="008F16A6" w:rsidRDefault="006E4B16" w:rsidP="00072A5D">
            <w:pPr>
              <w:spacing w:after="200" w:line="276" w:lineRule="auto"/>
              <w:contextualSpacing/>
            </w:pPr>
            <w:r w:rsidRPr="008F16A6">
              <w:t xml:space="preserve">“[The RESOLVE model] does not accurately capture the cost of key resources – solar, wind, and storage.” </w:t>
            </w:r>
            <w:r w:rsidR="009C600A" w:rsidRPr="008F16A6">
              <w:t xml:space="preserve">(POC Comment On </w:t>
            </w:r>
            <w:r w:rsidR="002D4EB9">
              <w:lastRenderedPageBreak/>
              <w:t xml:space="preserve">Proposed Reference System Plan </w:t>
            </w:r>
            <w:proofErr w:type="gramStart"/>
            <w:r w:rsidR="009C600A" w:rsidRPr="008F16A6">
              <w:t>And</w:t>
            </w:r>
            <w:proofErr w:type="gramEnd"/>
            <w:r w:rsidR="009C600A" w:rsidRPr="008F16A6">
              <w:t xml:space="preserve"> Related Commission Policy </w:t>
            </w:r>
            <w:r w:rsidRPr="008F16A6">
              <w:t xml:space="preserve">at </w:t>
            </w:r>
            <w:r w:rsidR="009C600A" w:rsidRPr="008F16A6">
              <w:t xml:space="preserve">p. </w:t>
            </w:r>
            <w:r w:rsidRPr="008F16A6">
              <w:t>2.</w:t>
            </w:r>
            <w:r w:rsidR="009C600A" w:rsidRPr="008F16A6">
              <w:t>)</w:t>
            </w:r>
          </w:p>
          <w:p w14:paraId="59EF1DC5" w14:textId="4555FBE3" w:rsidR="00766F9E" w:rsidRPr="008F16A6" w:rsidRDefault="00766F9E" w:rsidP="00072A5D">
            <w:pPr>
              <w:spacing w:after="200" w:line="276" w:lineRule="auto"/>
              <w:contextualSpacing/>
            </w:pPr>
          </w:p>
          <w:p w14:paraId="1FF85A1B" w14:textId="77060B27" w:rsidR="00766F9E" w:rsidRPr="008F16A6" w:rsidRDefault="00766F9E" w:rsidP="00324E42">
            <w:pPr>
              <w:spacing w:before="120" w:line="276" w:lineRule="auto"/>
              <w:rPr>
                <w:i/>
              </w:rPr>
            </w:pPr>
            <w:r w:rsidRPr="008F16A6">
              <w:t xml:space="preserve">“As detailed in POC’s Motion for Evidentiary Hearings, the Commission should take the time required to ensure that it produces a model, and a recommended portfolio based upon the model, that is based in reality…POC identified various faulty assumptions in its comments including price of solar, wind, and storage and other parties.” (POC Reply Comment On </w:t>
            </w:r>
            <w:r w:rsidR="00BB6EBF">
              <w:t xml:space="preserve">Proposed Reference System Plan </w:t>
            </w:r>
            <w:proofErr w:type="gramStart"/>
            <w:r w:rsidRPr="008F16A6">
              <w:t>And</w:t>
            </w:r>
            <w:proofErr w:type="gramEnd"/>
            <w:r w:rsidRPr="008F16A6">
              <w:t xml:space="preserve"> Related Commission Policy at p. 5.)</w:t>
            </w:r>
          </w:p>
          <w:p w14:paraId="0EAD0DD5" w14:textId="77777777" w:rsidR="00766F9E" w:rsidRPr="008F16A6" w:rsidRDefault="00766F9E">
            <w:pPr>
              <w:spacing w:after="200" w:line="276" w:lineRule="auto"/>
              <w:contextualSpacing/>
            </w:pPr>
          </w:p>
          <w:p w14:paraId="78DAA449" w14:textId="596A7652" w:rsidR="006E4B16" w:rsidRPr="008F16A6" w:rsidRDefault="006E4B16" w:rsidP="00324E42">
            <w:pPr>
              <w:spacing w:before="120" w:line="276" w:lineRule="auto"/>
              <w:rPr>
                <w:i/>
              </w:rPr>
            </w:pPr>
          </w:p>
        </w:tc>
        <w:tc>
          <w:tcPr>
            <w:tcW w:w="3307" w:type="dxa"/>
            <w:shd w:val="clear" w:color="auto" w:fill="auto"/>
          </w:tcPr>
          <w:p w14:paraId="662CE878" w14:textId="598CDCFA" w:rsidR="006E4B16" w:rsidRPr="00B96C4B" w:rsidRDefault="006E4B16" w:rsidP="00324E42">
            <w:pPr>
              <w:pStyle w:val="NoSpacing"/>
              <w:spacing w:line="276" w:lineRule="auto"/>
            </w:pPr>
            <w:r w:rsidRPr="00B96C4B">
              <w:lastRenderedPageBreak/>
              <w:t>“POC wanted lower cost assumptions for storage.”</w:t>
            </w:r>
            <w:r w:rsidR="00920C12" w:rsidRPr="00324E42">
              <w:t xml:space="preserve"> (</w:t>
            </w:r>
            <w:r w:rsidRPr="00B96C4B">
              <w:t xml:space="preserve">Decision at </w:t>
            </w:r>
            <w:r w:rsidR="00920C12" w:rsidRPr="00324E42">
              <w:t xml:space="preserve">p. </w:t>
            </w:r>
            <w:r w:rsidRPr="00B96C4B">
              <w:t>45.</w:t>
            </w:r>
            <w:r w:rsidR="00920C12" w:rsidRPr="00324E42">
              <w:t>)</w:t>
            </w:r>
          </w:p>
          <w:p w14:paraId="63DF41D9" w14:textId="77777777" w:rsidR="006E4B16" w:rsidRPr="00B96C4B" w:rsidRDefault="006E4B16" w:rsidP="00324E42">
            <w:pPr>
              <w:pStyle w:val="NoSpacing"/>
              <w:spacing w:line="276" w:lineRule="auto"/>
            </w:pPr>
          </w:p>
          <w:p w14:paraId="644F6913" w14:textId="3B01C7CB" w:rsidR="006E4B16" w:rsidRPr="00B96C4B" w:rsidRDefault="006E4B16" w:rsidP="00324E42">
            <w:pPr>
              <w:pStyle w:val="NoSpacing"/>
              <w:spacing w:line="276" w:lineRule="auto"/>
            </w:pPr>
            <w:r w:rsidRPr="00B96C4B">
              <w:t xml:space="preserve">“Several parties were also extremely concerned about the energy efficiency assumptions in the modeling, expressing the desire for the Commission to use the SB 350 statutory “doubling” requirement as the assumption… POC, arguing that the 2016 AAEE estimate </w:t>
            </w:r>
            <w:r w:rsidRPr="00B96C4B">
              <w:lastRenderedPageBreak/>
              <w:t xml:space="preserve">from the CEC should be doubled.” </w:t>
            </w:r>
            <w:r w:rsidR="00920C12" w:rsidRPr="00324E42">
              <w:t>(</w:t>
            </w:r>
            <w:r w:rsidRPr="00B96C4B">
              <w:t xml:space="preserve">Decision at </w:t>
            </w:r>
            <w:r w:rsidR="00920C12" w:rsidRPr="00324E42">
              <w:t xml:space="preserve">p. </w:t>
            </w:r>
            <w:r w:rsidRPr="00B96C4B">
              <w:t>45.</w:t>
            </w:r>
            <w:r w:rsidR="00920C12" w:rsidRPr="00324E42">
              <w:t>)</w:t>
            </w:r>
          </w:p>
          <w:p w14:paraId="165B8E37" w14:textId="77777777" w:rsidR="006E4B16" w:rsidRPr="00B96C4B" w:rsidRDefault="006E4B16">
            <w:pPr>
              <w:spacing w:after="200" w:line="276" w:lineRule="auto"/>
              <w:contextualSpacing/>
            </w:pPr>
          </w:p>
          <w:p w14:paraId="516B9099" w14:textId="0A453F5B" w:rsidR="006E4B16" w:rsidRPr="00B96C4B" w:rsidRDefault="006E4B16">
            <w:pPr>
              <w:spacing w:after="200" w:line="276" w:lineRule="auto"/>
              <w:contextualSpacing/>
            </w:pPr>
            <w:r w:rsidRPr="00B96C4B">
              <w:t xml:space="preserve">“On the supply side, the main concern was about the assumption that existing resources, both fossil-fueled and renewable, would be </w:t>
            </w:r>
            <w:proofErr w:type="spellStart"/>
            <w:r w:rsidRPr="00B96C4B">
              <w:t>recontracted</w:t>
            </w:r>
            <w:proofErr w:type="spellEnd"/>
            <w:r w:rsidRPr="00B96C4B">
              <w:t xml:space="preserve"> and available throughout the planning horizon to 2030.  This view was shared by numerous parties to some degree, including…POC.” </w:t>
            </w:r>
            <w:r w:rsidR="00920C12" w:rsidRPr="00324E42">
              <w:t>(</w:t>
            </w:r>
            <w:r w:rsidRPr="00B96C4B">
              <w:t>Decision at</w:t>
            </w:r>
            <w:r w:rsidR="00920C12" w:rsidRPr="00324E42">
              <w:t xml:space="preserve"> p.</w:t>
            </w:r>
            <w:r w:rsidRPr="00B96C4B">
              <w:t xml:space="preserve"> 46.</w:t>
            </w:r>
            <w:r w:rsidR="00920C12" w:rsidRPr="00324E42">
              <w:t>)</w:t>
            </w:r>
          </w:p>
          <w:p w14:paraId="26971566" w14:textId="77777777" w:rsidR="006E4B16" w:rsidRPr="00B96C4B" w:rsidRDefault="006E4B16">
            <w:pPr>
              <w:spacing w:after="200" w:line="276" w:lineRule="auto"/>
              <w:contextualSpacing/>
            </w:pPr>
          </w:p>
          <w:p w14:paraId="0555E98C" w14:textId="1845CBDF" w:rsidR="006E4B16" w:rsidRPr="00B96C4B" w:rsidRDefault="006E4B16" w:rsidP="00324E42">
            <w:pPr>
              <w:spacing w:before="120" w:line="276" w:lineRule="auto"/>
            </w:pPr>
            <w:r w:rsidRPr="00B96C4B">
              <w:t>“Numerous parties commented on the manner in which resource costs are treated in RESOLVE…POC do[</w:t>
            </w:r>
            <w:proofErr w:type="spellStart"/>
            <w:r w:rsidRPr="00B96C4B">
              <w:t>es</w:t>
            </w:r>
            <w:proofErr w:type="spellEnd"/>
            <w:r w:rsidRPr="00B96C4B">
              <w:t xml:space="preserve">] not believe that the TRC approach is appropriate for BTM PV and/or storage…For storage costs, some parties felt they were assumed to be too low (National Grid), while other parties believed they were too high (CESA). Vote Solar and POC felt that solar PV cost estimates were too high.” </w:t>
            </w:r>
            <w:r w:rsidR="00920C12" w:rsidRPr="00324E42">
              <w:t>(</w:t>
            </w:r>
            <w:r w:rsidRPr="00B96C4B">
              <w:t xml:space="preserve">Decision at </w:t>
            </w:r>
            <w:r w:rsidR="00920C12" w:rsidRPr="00324E42">
              <w:t xml:space="preserve">p. </w:t>
            </w:r>
            <w:r w:rsidRPr="00B96C4B">
              <w:t>47.</w:t>
            </w:r>
            <w:r w:rsidR="00920C12" w:rsidRPr="00324E42">
              <w:t>)</w:t>
            </w:r>
          </w:p>
          <w:p w14:paraId="1DBDF313" w14:textId="77777777" w:rsidR="00A02F66" w:rsidRPr="00B96C4B" w:rsidRDefault="00A02F66">
            <w:pPr>
              <w:spacing w:after="200" w:line="276" w:lineRule="auto"/>
              <w:contextualSpacing/>
              <w:rPr>
                <w:color w:val="000000"/>
              </w:rPr>
            </w:pPr>
          </w:p>
          <w:p w14:paraId="06073E2A" w14:textId="752C04BE" w:rsidR="00A02F66" w:rsidRPr="00B96C4B" w:rsidRDefault="00A02F66">
            <w:pPr>
              <w:spacing w:after="200" w:line="276" w:lineRule="auto"/>
              <w:contextualSpacing/>
              <w:rPr>
                <w:color w:val="000000"/>
              </w:rPr>
            </w:pPr>
            <w:r w:rsidRPr="00B96C4B">
              <w:rPr>
                <w:color w:val="000000"/>
              </w:rPr>
              <w:t>“With respect to DERs, because most are not optimized intrinsically in the RESOLVE model, additional work is needed to be able to predict their value with specificity.” (Decision at p. 39.)</w:t>
            </w:r>
          </w:p>
          <w:p w14:paraId="1B5653C3" w14:textId="77777777" w:rsidR="00A02F66" w:rsidRPr="00B96C4B" w:rsidRDefault="00A02F66">
            <w:pPr>
              <w:spacing w:after="200" w:line="276" w:lineRule="auto"/>
              <w:contextualSpacing/>
              <w:rPr>
                <w:color w:val="000000"/>
              </w:rPr>
            </w:pPr>
          </w:p>
          <w:p w14:paraId="5EE88B07" w14:textId="7E736C4F" w:rsidR="00A02F66" w:rsidRPr="00B96C4B" w:rsidRDefault="00A02F66">
            <w:pPr>
              <w:spacing w:after="200" w:line="276" w:lineRule="auto"/>
              <w:contextualSpacing/>
              <w:rPr>
                <w:color w:val="000000"/>
              </w:rPr>
            </w:pPr>
            <w:r w:rsidRPr="00B96C4B">
              <w:rPr>
                <w:color w:val="000000"/>
              </w:rPr>
              <w:lastRenderedPageBreak/>
              <w:t>“[ITC and PTC] assumptions do not take into account some real-world implications, such as the fact that perhaps not all cost savings would be passed on to customers.” (Decision at p. 41.)</w:t>
            </w:r>
          </w:p>
          <w:p w14:paraId="55101211" w14:textId="77777777" w:rsidR="00A02F66" w:rsidRPr="00B96C4B" w:rsidRDefault="00A02F66">
            <w:pPr>
              <w:spacing w:after="200" w:line="276" w:lineRule="auto"/>
              <w:contextualSpacing/>
              <w:rPr>
                <w:color w:val="000000"/>
              </w:rPr>
            </w:pPr>
          </w:p>
          <w:p w14:paraId="1A2A671C" w14:textId="48317B51" w:rsidR="00A02F66" w:rsidRPr="00B96C4B" w:rsidRDefault="00A02F66">
            <w:pPr>
              <w:spacing w:after="200" w:line="276" w:lineRule="auto"/>
              <w:contextualSpacing/>
              <w:rPr>
                <w:color w:val="000000"/>
              </w:rPr>
            </w:pPr>
            <w:r w:rsidRPr="00B96C4B">
              <w:rPr>
                <w:color w:val="000000"/>
              </w:rPr>
              <w:t>Assumptions about utilizing existing transmission for import and export “may or may not hold when actual procurement</w:t>
            </w:r>
            <w:r w:rsidR="004775AB">
              <w:rPr>
                <w:color w:val="000000"/>
              </w:rPr>
              <w:t xml:space="preserve"> is conducted.” (Decision at p. </w:t>
            </w:r>
            <w:r w:rsidRPr="00B96C4B">
              <w:rPr>
                <w:color w:val="000000"/>
              </w:rPr>
              <w:t>4</w:t>
            </w:r>
            <w:r w:rsidR="004A37D5" w:rsidRPr="00B96C4B">
              <w:rPr>
                <w:color w:val="000000"/>
              </w:rPr>
              <w:t>2</w:t>
            </w:r>
            <w:r w:rsidRPr="00B96C4B">
              <w:rPr>
                <w:color w:val="000000"/>
              </w:rPr>
              <w:t>.)</w:t>
            </w:r>
          </w:p>
          <w:p w14:paraId="01D46F08" w14:textId="602EA1F1" w:rsidR="00A02F66" w:rsidRPr="00B96C4B" w:rsidRDefault="00A02F66">
            <w:pPr>
              <w:spacing w:after="200" w:line="276" w:lineRule="auto"/>
              <w:contextualSpacing/>
              <w:rPr>
                <w:color w:val="000000"/>
              </w:rPr>
            </w:pPr>
          </w:p>
          <w:p w14:paraId="24B4208F" w14:textId="77777777" w:rsidR="00072A5D" w:rsidRPr="00B96C4B" w:rsidRDefault="00072A5D" w:rsidP="00324E42">
            <w:pPr>
              <w:spacing w:before="120" w:line="276" w:lineRule="auto"/>
            </w:pPr>
            <w:r w:rsidRPr="00B96C4B">
              <w:t>“</w:t>
            </w:r>
            <w:r w:rsidRPr="00324E42">
              <w:t>We acknowledge the thoughtful comments of all of the parties on the assumptions and analysis contained in the modeling. Many comments point to improvements that Commission staff intends to make for the next round of optimization analysis that will likely occur beginning in 2019. Commission staff plans to improve the modeling with the participation of parties as part of a public process, similar to this proceeding, where there are workshops and periodic informal work products.”  (Decision at p. 51.)</w:t>
            </w:r>
          </w:p>
          <w:p w14:paraId="4509D16D" w14:textId="77777777" w:rsidR="00072A5D" w:rsidRPr="00B96C4B" w:rsidRDefault="00072A5D">
            <w:pPr>
              <w:spacing w:after="200" w:line="276" w:lineRule="auto"/>
              <w:contextualSpacing/>
              <w:rPr>
                <w:color w:val="000000"/>
              </w:rPr>
            </w:pPr>
          </w:p>
          <w:p w14:paraId="76DD72D0" w14:textId="51F70143" w:rsidR="00072A5D" w:rsidRPr="00B96C4B" w:rsidRDefault="00A02F66">
            <w:pPr>
              <w:spacing w:after="200" w:line="276" w:lineRule="auto"/>
              <w:contextualSpacing/>
              <w:rPr>
                <w:color w:val="000000"/>
              </w:rPr>
            </w:pPr>
            <w:r w:rsidRPr="00B96C4B">
              <w:rPr>
                <w:color w:val="000000"/>
              </w:rPr>
              <w:t>“We acknowledged in the previous section that there are a number of improvements we would like to make to the next round of analysis.”  (</w:t>
            </w:r>
            <w:r w:rsidR="004A37D5" w:rsidRPr="00B96C4B">
              <w:rPr>
                <w:color w:val="000000"/>
              </w:rPr>
              <w:t>Decision a</w:t>
            </w:r>
            <w:r w:rsidRPr="00B96C4B">
              <w:rPr>
                <w:color w:val="000000"/>
              </w:rPr>
              <w:t xml:space="preserve">t p. </w:t>
            </w:r>
            <w:r w:rsidR="004A37D5" w:rsidRPr="00B96C4B">
              <w:rPr>
                <w:color w:val="000000"/>
              </w:rPr>
              <w:t>84</w:t>
            </w:r>
            <w:r w:rsidRPr="00B96C4B">
              <w:rPr>
                <w:color w:val="000000"/>
              </w:rPr>
              <w:t>.)</w:t>
            </w:r>
          </w:p>
        </w:tc>
        <w:tc>
          <w:tcPr>
            <w:tcW w:w="1800" w:type="dxa"/>
            <w:shd w:val="clear" w:color="auto" w:fill="auto"/>
          </w:tcPr>
          <w:p w14:paraId="288A7DCA" w14:textId="4C4FC18F" w:rsidR="006E4B16" w:rsidRPr="002C5FE7" w:rsidRDefault="008E2518" w:rsidP="00A92D0B">
            <w:pPr>
              <w:spacing w:before="120"/>
              <w:rPr>
                <w:color w:val="000000"/>
              </w:rPr>
            </w:pPr>
            <w:r>
              <w:rPr>
                <w:color w:val="000000"/>
              </w:rPr>
              <w:lastRenderedPageBreak/>
              <w:t>Verified</w:t>
            </w:r>
          </w:p>
        </w:tc>
      </w:tr>
      <w:tr w:rsidR="006E4B16" w:rsidRPr="002C5FE7" w14:paraId="36FF786B" w14:textId="77777777" w:rsidTr="00672E9B">
        <w:tc>
          <w:tcPr>
            <w:tcW w:w="3690" w:type="dxa"/>
            <w:shd w:val="clear" w:color="auto" w:fill="auto"/>
          </w:tcPr>
          <w:p w14:paraId="466AEC9A" w14:textId="6F7627F0" w:rsidR="006E4B16" w:rsidRPr="008F16A6" w:rsidRDefault="006E4B16" w:rsidP="00324E42">
            <w:pPr>
              <w:spacing w:before="120" w:line="276" w:lineRule="auto"/>
              <w:rPr>
                <w:color w:val="000000"/>
              </w:rPr>
            </w:pPr>
            <w:r w:rsidRPr="008F16A6">
              <w:rPr>
                <w:color w:val="000000"/>
              </w:rPr>
              <w:lastRenderedPageBreak/>
              <w:t>Issue D: GHG Emissions</w:t>
            </w:r>
            <w:r w:rsidR="00193B6B" w:rsidRPr="008F16A6">
              <w:rPr>
                <w:color w:val="000000"/>
              </w:rPr>
              <w:t xml:space="preserve"> </w:t>
            </w:r>
            <w:r w:rsidR="00F47D9F" w:rsidRPr="008F16A6">
              <w:rPr>
                <w:color w:val="000000"/>
              </w:rPr>
              <w:t>2030 Goals</w:t>
            </w:r>
          </w:p>
          <w:p w14:paraId="1829FB5C" w14:textId="3C02E57F" w:rsidR="006E4B16" w:rsidRPr="00B96C4B" w:rsidRDefault="006E4B16" w:rsidP="00324E42">
            <w:pPr>
              <w:spacing w:before="120" w:line="276" w:lineRule="auto"/>
              <w:rPr>
                <w:color w:val="000000"/>
              </w:rPr>
            </w:pPr>
            <w:r w:rsidRPr="00B96C4B">
              <w:rPr>
                <w:color w:val="000000"/>
              </w:rPr>
              <w:t xml:space="preserve">POC specifically advocated for </w:t>
            </w:r>
            <w:r w:rsidRPr="00B96C4B">
              <w:t>42 MMT as the electric sector GHG planning target for 2030.</w:t>
            </w:r>
            <w:r w:rsidR="00920C12" w:rsidRPr="00324E42">
              <w:t xml:space="preserve">  The Decision adopts this position.</w:t>
            </w:r>
          </w:p>
          <w:p w14:paraId="1D9CB33E" w14:textId="7D42CD5A" w:rsidR="006E4B16" w:rsidRPr="00B96C4B" w:rsidRDefault="006E4B16" w:rsidP="00324E42">
            <w:pPr>
              <w:pStyle w:val="NoSpacing"/>
              <w:spacing w:line="276" w:lineRule="auto"/>
            </w:pPr>
          </w:p>
          <w:p w14:paraId="36089BAF" w14:textId="5E0BE9DB" w:rsidR="00407BB2" w:rsidRPr="00324E42" w:rsidRDefault="006E4B16">
            <w:pPr>
              <w:spacing w:after="200" w:line="276" w:lineRule="auto"/>
              <w:contextualSpacing/>
            </w:pPr>
            <w:r w:rsidRPr="00324E42">
              <w:t xml:space="preserve">“POC agrees with the Staff recommendation of adopting a 42 MMT for 2030 scenario.  While POC believes that we have a pressing need to reduce greenhouse gas emissions as much and as quickly as possible, the electricity sector’s contribution to decreasing GHG should not be executed in such a fashion so as to otherwise harm the environment and ratepayers.” </w:t>
            </w:r>
            <w:r w:rsidR="009C600A" w:rsidRPr="00B96C4B">
              <w:t xml:space="preserve">(POC Comment On </w:t>
            </w:r>
            <w:r w:rsidR="004775AB">
              <w:t xml:space="preserve">Proposed Reference System Plan </w:t>
            </w:r>
            <w:proofErr w:type="gramStart"/>
            <w:r w:rsidR="009C600A" w:rsidRPr="00B96C4B">
              <w:t>And</w:t>
            </w:r>
            <w:proofErr w:type="gramEnd"/>
            <w:r w:rsidR="009C600A" w:rsidRPr="00B96C4B">
              <w:t xml:space="preserve"> Related Commission Policy at p. </w:t>
            </w:r>
            <w:r w:rsidRPr="00324E42">
              <w:t>3;</w:t>
            </w:r>
            <w:r w:rsidRPr="00B96C4B">
              <w:rPr>
                <w:i/>
              </w:rPr>
              <w:t xml:space="preserve"> </w:t>
            </w:r>
            <w:r w:rsidRPr="00324E42">
              <w:t>See also POC Comments on Proposed Decision at</w:t>
            </w:r>
            <w:r w:rsidR="009C600A" w:rsidRPr="00B96C4B">
              <w:t xml:space="preserve"> p.</w:t>
            </w:r>
            <w:r w:rsidRPr="00324E42">
              <w:t xml:space="preserve"> 2</w:t>
            </w:r>
            <w:r w:rsidR="00D87767" w:rsidRPr="00324E42">
              <w:t>.</w:t>
            </w:r>
            <w:r w:rsidR="009C600A" w:rsidRPr="00B96C4B">
              <w:t>)</w:t>
            </w:r>
          </w:p>
          <w:p w14:paraId="77A8C970" w14:textId="59874901" w:rsidR="00920C12" w:rsidRPr="00B96C4B" w:rsidRDefault="00920C12">
            <w:pPr>
              <w:spacing w:after="200" w:line="276" w:lineRule="auto"/>
              <w:contextualSpacing/>
              <w:rPr>
                <w:i/>
              </w:rPr>
            </w:pPr>
          </w:p>
        </w:tc>
        <w:tc>
          <w:tcPr>
            <w:tcW w:w="3307" w:type="dxa"/>
            <w:shd w:val="clear" w:color="auto" w:fill="auto"/>
          </w:tcPr>
          <w:p w14:paraId="0A50FAF8" w14:textId="099D59EE" w:rsidR="006E4B16" w:rsidRPr="00B96C4B" w:rsidRDefault="006E4B16" w:rsidP="00324E42">
            <w:pPr>
              <w:spacing w:before="120" w:line="276" w:lineRule="auto"/>
            </w:pPr>
            <w:r w:rsidRPr="00B96C4B">
              <w:t>“A long list of parties agrees with the staff recommendation for the Commission to use 42 MMT as the electric sector GHG planning target, including….</w:t>
            </w:r>
            <w:r w:rsidR="00E74CAF">
              <w:t xml:space="preserve"> </w:t>
            </w:r>
            <w:r w:rsidRPr="00B96C4B">
              <w:t>POC.”</w:t>
            </w:r>
            <w:r w:rsidR="009C600A" w:rsidRPr="00B96C4B">
              <w:t xml:space="preserve"> (</w:t>
            </w:r>
            <w:r w:rsidRPr="00B96C4B">
              <w:t xml:space="preserve">Decision at </w:t>
            </w:r>
            <w:r w:rsidR="009C600A" w:rsidRPr="00B96C4B">
              <w:t xml:space="preserve">p. </w:t>
            </w:r>
            <w:r w:rsidRPr="00B96C4B">
              <w:t>56.</w:t>
            </w:r>
            <w:r w:rsidR="009C600A" w:rsidRPr="00B96C4B">
              <w:t>)</w:t>
            </w:r>
            <w:r w:rsidRPr="00B96C4B">
              <w:t xml:space="preserve"> </w:t>
            </w:r>
          </w:p>
          <w:p w14:paraId="5FB8A1A2" w14:textId="77777777" w:rsidR="006E4B16" w:rsidRPr="00B96C4B" w:rsidRDefault="006E4B16" w:rsidP="00324E42">
            <w:pPr>
              <w:pStyle w:val="NoSpacing"/>
              <w:spacing w:line="276" w:lineRule="auto"/>
            </w:pPr>
          </w:p>
          <w:p w14:paraId="76C0872F" w14:textId="71B9A453" w:rsidR="006E4B16" w:rsidRPr="00B96C4B" w:rsidRDefault="006E4B16" w:rsidP="00324E42">
            <w:pPr>
              <w:pStyle w:val="NoSpacing"/>
              <w:spacing w:line="276" w:lineRule="auto"/>
            </w:pPr>
            <w:r w:rsidRPr="00B96C4B">
              <w:t>“With respect to the use of the 42 MMT Scenario as the policy-driven scenario for TPP purposes, numerous parties support this proposal, including….</w:t>
            </w:r>
            <w:r w:rsidR="007E1B9F">
              <w:t xml:space="preserve"> </w:t>
            </w:r>
            <w:r w:rsidRPr="00B96C4B">
              <w:t xml:space="preserve">POC.” </w:t>
            </w:r>
            <w:r w:rsidR="009C600A" w:rsidRPr="00B96C4B">
              <w:t>(</w:t>
            </w:r>
            <w:r w:rsidRPr="00B96C4B">
              <w:t xml:space="preserve">Decision at </w:t>
            </w:r>
            <w:r w:rsidR="009C600A" w:rsidRPr="00B96C4B">
              <w:t xml:space="preserve">p. </w:t>
            </w:r>
            <w:r w:rsidRPr="00B96C4B">
              <w:t>101.</w:t>
            </w:r>
            <w:r w:rsidR="009C600A" w:rsidRPr="00B96C4B">
              <w:t>)</w:t>
            </w:r>
          </w:p>
          <w:p w14:paraId="04831738" w14:textId="77777777" w:rsidR="006E4B16" w:rsidRPr="00B96C4B" w:rsidRDefault="006E4B16" w:rsidP="00324E42">
            <w:pPr>
              <w:pStyle w:val="NoSpacing"/>
              <w:spacing w:line="276" w:lineRule="auto"/>
            </w:pPr>
          </w:p>
          <w:p w14:paraId="2144B6BD" w14:textId="663C92D6" w:rsidR="006E4B16" w:rsidRPr="00B96C4B" w:rsidRDefault="006E4B16">
            <w:pPr>
              <w:spacing w:after="200" w:line="276" w:lineRule="auto"/>
              <w:contextualSpacing/>
              <w:rPr>
                <w:i/>
              </w:rPr>
            </w:pPr>
            <w:r w:rsidRPr="00B96C4B">
              <w:t xml:space="preserve">“We intend to adopt the staff recommendation of the 42 MMT Scenario for planning purposes for the first round of IRP filings from LSEs…it would represent achieving somewhere between 53-57% renewables by 2030, without creating overly burdensome costs for the sector that would be represented by the 30 MMT Scenario. </w:t>
            </w:r>
            <w:r w:rsidR="009C600A" w:rsidRPr="00B96C4B">
              <w:t>(</w:t>
            </w:r>
            <w:r w:rsidRPr="00B96C4B">
              <w:t xml:space="preserve">Decision at </w:t>
            </w:r>
            <w:r w:rsidR="009C600A" w:rsidRPr="00B96C4B">
              <w:t xml:space="preserve">p. </w:t>
            </w:r>
            <w:r w:rsidRPr="00B96C4B">
              <w:t>57.</w:t>
            </w:r>
            <w:r w:rsidR="009C600A" w:rsidRPr="00B96C4B">
              <w:t>)</w:t>
            </w:r>
          </w:p>
        </w:tc>
        <w:tc>
          <w:tcPr>
            <w:tcW w:w="1800" w:type="dxa"/>
            <w:shd w:val="clear" w:color="auto" w:fill="auto"/>
          </w:tcPr>
          <w:p w14:paraId="64233D9C" w14:textId="70852BFA" w:rsidR="006E4B16" w:rsidRPr="002C5FE7" w:rsidRDefault="008E2518" w:rsidP="00A92D0B">
            <w:pPr>
              <w:spacing w:before="120"/>
              <w:rPr>
                <w:color w:val="000000"/>
              </w:rPr>
            </w:pPr>
            <w:r>
              <w:rPr>
                <w:color w:val="000000"/>
              </w:rPr>
              <w:t>Verified</w:t>
            </w:r>
          </w:p>
        </w:tc>
      </w:tr>
      <w:tr w:rsidR="00D9270C" w:rsidRPr="002C5FE7" w14:paraId="47EACC8C" w14:textId="77777777" w:rsidTr="00672E9B">
        <w:tc>
          <w:tcPr>
            <w:tcW w:w="3690" w:type="dxa"/>
            <w:shd w:val="clear" w:color="auto" w:fill="auto"/>
          </w:tcPr>
          <w:p w14:paraId="26521533" w14:textId="66EA48D4" w:rsidR="00D9270C" w:rsidRPr="008F16A6" w:rsidRDefault="00D9270C" w:rsidP="00324E42">
            <w:pPr>
              <w:spacing w:line="276" w:lineRule="auto"/>
            </w:pPr>
            <w:r w:rsidRPr="008F16A6">
              <w:t>Issue D: GHG Emissions</w:t>
            </w:r>
            <w:r w:rsidR="00193B6B" w:rsidRPr="008F16A6">
              <w:t xml:space="preserve"> </w:t>
            </w:r>
            <w:r w:rsidRPr="008F16A6">
              <w:t>2030 Goals</w:t>
            </w:r>
          </w:p>
          <w:p w14:paraId="577A1CA2" w14:textId="77777777" w:rsidR="007A7C81" w:rsidRPr="008F16A6" w:rsidRDefault="007A7C81" w:rsidP="00B96C4B">
            <w:pPr>
              <w:spacing w:line="276" w:lineRule="auto"/>
            </w:pPr>
          </w:p>
          <w:p w14:paraId="3604025F" w14:textId="44F8ED98" w:rsidR="00D9270C" w:rsidRPr="008F16A6" w:rsidRDefault="00D9270C" w:rsidP="00324E42">
            <w:pPr>
              <w:spacing w:line="276" w:lineRule="auto"/>
            </w:pPr>
            <w:r w:rsidRPr="008F16A6">
              <w:t>POC advocated against raising Renewables Portfolio Standard (RPS) compliance requirements for 2030 as a means to gain cost savings to California ratepayers. The</w:t>
            </w:r>
            <w:r w:rsidR="009F5744" w:rsidRPr="008F16A6">
              <w:t xml:space="preserve"> Decision adopted this position.</w:t>
            </w:r>
          </w:p>
          <w:p w14:paraId="52DBBCDE" w14:textId="77777777" w:rsidR="00D9270C" w:rsidRPr="008F16A6" w:rsidRDefault="00D9270C" w:rsidP="00324E42">
            <w:pPr>
              <w:spacing w:line="276" w:lineRule="auto"/>
            </w:pPr>
          </w:p>
          <w:p w14:paraId="7FB7EA2C" w14:textId="67C15934" w:rsidR="00D9270C" w:rsidRPr="008F16A6" w:rsidRDefault="00D9270C" w:rsidP="00324E42">
            <w:pPr>
              <w:spacing w:line="276" w:lineRule="auto"/>
            </w:pPr>
            <w:r w:rsidRPr="008F16A6">
              <w:t xml:space="preserve">“POC does not support raising RPS compliance requirements for 2030 </w:t>
            </w:r>
            <w:r w:rsidR="007E1B9F">
              <w:lastRenderedPageBreak/>
              <w:t>at this point.</w:t>
            </w:r>
            <w:r w:rsidRPr="008F16A6">
              <w:t xml:space="preserve">” </w:t>
            </w:r>
            <w:r w:rsidR="009F5744" w:rsidRPr="008F16A6">
              <w:t xml:space="preserve">(POC Comment On Proposed Reference System Plan And Related Commission Policy at p. </w:t>
            </w:r>
            <w:r w:rsidRPr="008F16A6">
              <w:t>19.</w:t>
            </w:r>
            <w:r w:rsidR="009F5744" w:rsidRPr="008F16A6">
              <w:t>)</w:t>
            </w:r>
          </w:p>
        </w:tc>
        <w:tc>
          <w:tcPr>
            <w:tcW w:w="3307" w:type="dxa"/>
            <w:shd w:val="clear" w:color="auto" w:fill="auto"/>
          </w:tcPr>
          <w:p w14:paraId="47EB28A3" w14:textId="17EB3290" w:rsidR="00D9270C" w:rsidRPr="00B96C4B" w:rsidRDefault="00D9270C" w:rsidP="00324E42">
            <w:pPr>
              <w:spacing w:line="276" w:lineRule="auto"/>
            </w:pPr>
            <w:r w:rsidRPr="00B96C4B">
              <w:lastRenderedPageBreak/>
              <w:t xml:space="preserve">“Parties opposed to raising the RPS compliance obligation included…POC.” </w:t>
            </w:r>
            <w:r w:rsidR="00C65C36">
              <w:t>(</w:t>
            </w:r>
            <w:r w:rsidRPr="00B96C4B">
              <w:t>Decision at</w:t>
            </w:r>
            <w:r w:rsidR="00C65C36">
              <w:t xml:space="preserve"> p.</w:t>
            </w:r>
            <w:r w:rsidRPr="00B96C4B">
              <w:t xml:space="preserve"> 92.</w:t>
            </w:r>
            <w:r w:rsidR="00C65C36">
              <w:t>)</w:t>
            </w:r>
          </w:p>
          <w:p w14:paraId="2382E23D" w14:textId="77777777" w:rsidR="00D9270C" w:rsidRPr="00B96C4B" w:rsidRDefault="00D9270C" w:rsidP="00324E42">
            <w:pPr>
              <w:spacing w:line="276" w:lineRule="auto"/>
            </w:pPr>
          </w:p>
          <w:p w14:paraId="7C16EBCB" w14:textId="351AC43F" w:rsidR="00D9270C" w:rsidRPr="00324E42" w:rsidRDefault="00D9270C" w:rsidP="00324E42">
            <w:pPr>
              <w:spacing w:line="276" w:lineRule="auto"/>
            </w:pPr>
            <w:r w:rsidRPr="00B96C4B">
              <w:t xml:space="preserve">“This benchmark is intended to serve as a planning instrument and will not serve as a compliance obligation.” </w:t>
            </w:r>
            <w:r w:rsidR="00C65C36">
              <w:t>(</w:t>
            </w:r>
            <w:r w:rsidRPr="00B96C4B">
              <w:t xml:space="preserve">Decision at </w:t>
            </w:r>
            <w:r w:rsidR="00C65C36">
              <w:t xml:space="preserve">p. </w:t>
            </w:r>
            <w:r w:rsidRPr="00B96C4B">
              <w:t>127.</w:t>
            </w:r>
            <w:r w:rsidR="00C65C36">
              <w:t>)</w:t>
            </w:r>
          </w:p>
          <w:p w14:paraId="1ACF5898" w14:textId="122CED17" w:rsidR="007A7C81" w:rsidRPr="00B96C4B" w:rsidRDefault="007A7C81" w:rsidP="00324E42">
            <w:pPr>
              <w:spacing w:line="276" w:lineRule="auto"/>
            </w:pPr>
          </w:p>
          <w:p w14:paraId="4D9F9E4F" w14:textId="7D131375" w:rsidR="007A7C81" w:rsidRPr="00B96C4B" w:rsidRDefault="007A7C81" w:rsidP="00324E42">
            <w:pPr>
              <w:spacing w:line="276" w:lineRule="auto"/>
            </w:pPr>
            <w:r w:rsidRPr="00324E42">
              <w:lastRenderedPageBreak/>
              <w:t>RPS compliance requirements were not raised in the Decision: “All LSEs should be required to continue to comply with the existing energy efficiency, RPS, and resource adequacy requirements.” (Decision at Conclusion of Law 21.)</w:t>
            </w:r>
          </w:p>
        </w:tc>
        <w:tc>
          <w:tcPr>
            <w:tcW w:w="1800" w:type="dxa"/>
            <w:shd w:val="clear" w:color="auto" w:fill="auto"/>
          </w:tcPr>
          <w:p w14:paraId="7F890DFE" w14:textId="5327D0A1" w:rsidR="00D9270C" w:rsidRPr="002C5FE7" w:rsidRDefault="008E2518" w:rsidP="00A92D0B">
            <w:pPr>
              <w:spacing w:before="120"/>
              <w:rPr>
                <w:color w:val="000000"/>
              </w:rPr>
            </w:pPr>
            <w:r>
              <w:rPr>
                <w:color w:val="000000"/>
              </w:rPr>
              <w:lastRenderedPageBreak/>
              <w:t>Verified</w:t>
            </w:r>
          </w:p>
        </w:tc>
      </w:tr>
      <w:tr w:rsidR="00D9270C" w:rsidRPr="002C5FE7" w14:paraId="50722439" w14:textId="77777777" w:rsidTr="00672E9B">
        <w:tc>
          <w:tcPr>
            <w:tcW w:w="3690" w:type="dxa"/>
            <w:shd w:val="clear" w:color="auto" w:fill="auto"/>
          </w:tcPr>
          <w:p w14:paraId="73A8DE61" w14:textId="3B23B643" w:rsidR="00D9270C" w:rsidRPr="008F16A6" w:rsidRDefault="00D9270C" w:rsidP="00324E42">
            <w:pPr>
              <w:spacing w:before="120" w:line="276" w:lineRule="auto"/>
              <w:rPr>
                <w:color w:val="000000"/>
              </w:rPr>
            </w:pPr>
            <w:r w:rsidRPr="008F16A6">
              <w:rPr>
                <w:color w:val="000000"/>
              </w:rPr>
              <w:t xml:space="preserve">Issue E: Procurement </w:t>
            </w:r>
          </w:p>
          <w:p w14:paraId="25D673BD" w14:textId="36D44C4E" w:rsidR="00D9270C" w:rsidRPr="00B96C4B" w:rsidRDefault="00D9270C" w:rsidP="00324E42">
            <w:pPr>
              <w:spacing w:before="120" w:line="276" w:lineRule="auto"/>
              <w:rPr>
                <w:color w:val="000000"/>
              </w:rPr>
            </w:pPr>
            <w:r w:rsidRPr="00B96C4B">
              <w:rPr>
                <w:color w:val="000000"/>
              </w:rPr>
              <w:t>POC argued in multiple comments</w:t>
            </w:r>
            <w:r w:rsidR="00BE4BAB" w:rsidRPr="00B96C4B">
              <w:rPr>
                <w:color w:val="000000"/>
              </w:rPr>
              <w:t xml:space="preserve"> and at the All Party Meeting</w:t>
            </w:r>
            <w:r w:rsidRPr="00B96C4B">
              <w:rPr>
                <w:color w:val="000000"/>
              </w:rPr>
              <w:t xml:space="preserve"> that there </w:t>
            </w:r>
            <w:r w:rsidRPr="00B96C4B">
              <w:t>should not be any early procurement o</w:t>
            </w:r>
            <w:r w:rsidR="00C65C36">
              <w:t>f</w:t>
            </w:r>
            <w:r w:rsidRPr="00B96C4B">
              <w:t xml:space="preserve"> out-of-state wind.</w:t>
            </w:r>
            <w:r w:rsidR="00386920" w:rsidRPr="00B96C4B">
              <w:t xml:space="preserve"> </w:t>
            </w:r>
            <w:r w:rsidRPr="00B96C4B">
              <w:t xml:space="preserve">The </w:t>
            </w:r>
            <w:r w:rsidR="00386920" w:rsidRPr="00B96C4B">
              <w:t>D</w:t>
            </w:r>
            <w:r w:rsidRPr="00B96C4B">
              <w:t>ecision reflects POC’s input.</w:t>
            </w:r>
          </w:p>
          <w:p w14:paraId="2F22E843" w14:textId="77777777" w:rsidR="00D9270C" w:rsidRPr="00B96C4B" w:rsidRDefault="00D9270C">
            <w:pPr>
              <w:spacing w:after="200" w:line="276" w:lineRule="auto"/>
              <w:contextualSpacing/>
              <w:rPr>
                <w:i/>
              </w:rPr>
            </w:pPr>
          </w:p>
          <w:p w14:paraId="1045EF8A" w14:textId="11685F00" w:rsidR="00CA2C8A" w:rsidRDefault="00D9270C" w:rsidP="007A7DCE">
            <w:pPr>
              <w:spacing w:after="200" w:line="276" w:lineRule="auto"/>
              <w:contextualSpacing/>
            </w:pPr>
            <w:r w:rsidRPr="00324E42">
              <w:t>“The Proposed Reference System Plan portfolio need not and should not include new out-of-state resources and should not focus on utility scale generation. A shift away from in-state resources in favor of out-of-state resources deprives the California and local economies, especially those in disadvantaged communities, from the economic development of construction and operation of new local, distributed carbon-zero energy infrastructures.”</w:t>
            </w:r>
            <w:r w:rsidR="00386920" w:rsidRPr="00324E42">
              <w:t xml:space="preserve"> </w:t>
            </w:r>
            <w:r w:rsidR="00386920" w:rsidRPr="00B96C4B">
              <w:t xml:space="preserve">(POC Comment On Proposed Reference System Plan </w:t>
            </w:r>
            <w:proofErr w:type="gramStart"/>
            <w:r w:rsidR="00386920" w:rsidRPr="00B96C4B">
              <w:t>And</w:t>
            </w:r>
            <w:proofErr w:type="gramEnd"/>
            <w:r w:rsidR="00386920" w:rsidRPr="00B96C4B">
              <w:t xml:space="preserve"> Related Commission Policy at p. </w:t>
            </w:r>
            <w:r w:rsidRPr="00324E42">
              <w:t>3</w:t>
            </w:r>
            <w:r w:rsidR="00CA2C8A" w:rsidRPr="00B96C4B">
              <w:t>.)</w:t>
            </w:r>
          </w:p>
          <w:p w14:paraId="5F7DBA1E" w14:textId="77777777" w:rsidR="00C65C36" w:rsidRPr="00B96C4B" w:rsidRDefault="00C65C36">
            <w:pPr>
              <w:spacing w:after="200" w:line="276" w:lineRule="auto"/>
              <w:contextualSpacing/>
            </w:pPr>
          </w:p>
          <w:p w14:paraId="354930C6" w14:textId="4E447943" w:rsidR="00D9270C" w:rsidRPr="00324E42" w:rsidRDefault="00CA2C8A">
            <w:pPr>
              <w:spacing w:after="200" w:line="276" w:lineRule="auto"/>
              <w:contextualSpacing/>
            </w:pPr>
            <w:r w:rsidRPr="00B96C4B">
              <w:t xml:space="preserve">“The RESOLVE model is supposed to inform that Proposed Reference System Plan.  Making a special exception to this planning process for early procurement of utility scale generation, especially </w:t>
            </w:r>
            <w:r w:rsidRPr="00B96C4B">
              <w:lastRenderedPageBreak/>
              <w:t>out</w:t>
            </w:r>
            <w:r w:rsidR="00DE0067">
              <w:noBreakHyphen/>
            </w:r>
            <w:r w:rsidRPr="00B96C4B">
              <w:t>of</w:t>
            </w:r>
            <w:r w:rsidR="00DE0067">
              <w:noBreakHyphen/>
            </w:r>
            <w:r w:rsidRPr="00B96C4B">
              <w:t>state wind, prior to the development of and in exception to the recommended portfolio and approval of IRPs is anathema to this entire process.” (</w:t>
            </w:r>
            <w:r w:rsidR="00386920" w:rsidRPr="00B96C4B">
              <w:t xml:space="preserve">POC Reply Comment On Proposed Reference System Plan </w:t>
            </w:r>
            <w:proofErr w:type="gramStart"/>
            <w:r w:rsidR="00386920" w:rsidRPr="00B96C4B">
              <w:t>And</w:t>
            </w:r>
            <w:proofErr w:type="gramEnd"/>
            <w:r w:rsidR="00386920" w:rsidRPr="00B96C4B">
              <w:t xml:space="preserve"> Related Commission Policy at p.</w:t>
            </w:r>
            <w:r w:rsidR="00D9270C" w:rsidRPr="00324E42">
              <w:t xml:space="preserve"> 6.</w:t>
            </w:r>
            <w:r w:rsidRPr="00B96C4B">
              <w:t>)</w:t>
            </w:r>
          </w:p>
          <w:p w14:paraId="19781366" w14:textId="77777777" w:rsidR="00D9270C" w:rsidRPr="00324E42" w:rsidRDefault="00D9270C">
            <w:pPr>
              <w:spacing w:after="200" w:line="276" w:lineRule="auto"/>
              <w:contextualSpacing/>
            </w:pPr>
          </w:p>
          <w:p w14:paraId="00C43F6D" w14:textId="50E3E4EA" w:rsidR="009C600A" w:rsidRPr="008E2518" w:rsidRDefault="00D9270C" w:rsidP="00324E42">
            <w:pPr>
              <w:spacing w:before="120" w:line="276" w:lineRule="auto"/>
            </w:pPr>
            <w:r w:rsidRPr="00324E42">
              <w:t xml:space="preserve">“Procurement of out of state wind is </w:t>
            </w:r>
            <w:proofErr w:type="gramStart"/>
            <w:r w:rsidRPr="00324E42">
              <w:t>more costly</w:t>
            </w:r>
            <w:proofErr w:type="gramEnd"/>
            <w:r w:rsidRPr="00324E42">
              <w:t xml:space="preserve">, more detrimental to the environment, and will cause greater harm to disadvantaged communities than other options such as energy efficiency, demand response, and distributed renewable generation.” </w:t>
            </w:r>
            <w:r w:rsidR="007A7C81" w:rsidRPr="00324E42">
              <w:t xml:space="preserve">(POC Comments on the Proposed Decision </w:t>
            </w:r>
            <w:r w:rsidRPr="00324E42">
              <w:t xml:space="preserve">at </w:t>
            </w:r>
            <w:r w:rsidR="007A7C81" w:rsidRPr="00324E42">
              <w:t xml:space="preserve">p. </w:t>
            </w:r>
            <w:r w:rsidRPr="00324E42">
              <w:t>12.</w:t>
            </w:r>
            <w:r w:rsidR="007A7C81" w:rsidRPr="00324E42">
              <w:t>)</w:t>
            </w:r>
          </w:p>
        </w:tc>
        <w:tc>
          <w:tcPr>
            <w:tcW w:w="3307" w:type="dxa"/>
            <w:shd w:val="clear" w:color="auto" w:fill="auto"/>
          </w:tcPr>
          <w:p w14:paraId="409E2E8A" w14:textId="2444A703" w:rsidR="00D9270C" w:rsidRPr="00324E42" w:rsidRDefault="00D9270C" w:rsidP="007A7DCE">
            <w:pPr>
              <w:spacing w:before="120" w:line="276" w:lineRule="auto"/>
            </w:pPr>
            <w:r w:rsidRPr="00B96C4B">
              <w:rPr>
                <w:b/>
              </w:rPr>
              <w:lastRenderedPageBreak/>
              <w:t>“</w:t>
            </w:r>
            <w:r w:rsidRPr="00B96C4B">
              <w:t xml:space="preserve">POC argued that there is no need to pursue out-of-state wind when all of the necessary benefits can be achieved with a diverse portfolio of California resources.” </w:t>
            </w:r>
            <w:r w:rsidR="007A7C81" w:rsidRPr="00324E42">
              <w:t>(</w:t>
            </w:r>
            <w:r w:rsidRPr="00B96C4B">
              <w:t>Decision at</w:t>
            </w:r>
            <w:r w:rsidR="007A7C81" w:rsidRPr="00324E42">
              <w:t xml:space="preserve"> p.</w:t>
            </w:r>
            <w:r w:rsidRPr="00B96C4B">
              <w:t xml:space="preserve"> 77.</w:t>
            </w:r>
            <w:r w:rsidR="007A7C81" w:rsidRPr="00324E42">
              <w:t>)</w:t>
            </w:r>
          </w:p>
          <w:p w14:paraId="78C7EC3D" w14:textId="77777777" w:rsidR="007A7C81" w:rsidRPr="00B96C4B" w:rsidRDefault="007A7C81" w:rsidP="00324E42">
            <w:pPr>
              <w:spacing w:before="120" w:line="276" w:lineRule="auto"/>
            </w:pPr>
          </w:p>
          <w:p w14:paraId="18CA7934" w14:textId="5123C835" w:rsidR="00D9270C" w:rsidRPr="00B96C4B" w:rsidRDefault="00CA2C8A" w:rsidP="00324E42">
            <w:pPr>
              <w:spacing w:before="120" w:line="276" w:lineRule="auto"/>
            </w:pPr>
            <w:r w:rsidRPr="00B96C4B">
              <w:t xml:space="preserve">The </w:t>
            </w:r>
            <w:r w:rsidR="001F2002" w:rsidRPr="00B96C4B">
              <w:t xml:space="preserve">Decision </w:t>
            </w:r>
            <w:r w:rsidRPr="00B96C4B">
              <w:t xml:space="preserve">adopts a Reference System Portfolio that </w:t>
            </w:r>
            <w:r w:rsidR="001F2002" w:rsidRPr="00B96C4B">
              <w:t xml:space="preserve">does not </w:t>
            </w:r>
            <w:r w:rsidRPr="00B96C4B">
              <w:t xml:space="preserve">include </w:t>
            </w:r>
            <w:r w:rsidR="001F2002" w:rsidRPr="00B96C4B">
              <w:t xml:space="preserve">out-of-state wind.  (Decision at </w:t>
            </w:r>
            <w:r w:rsidR="007A7C81" w:rsidRPr="00324E42">
              <w:t xml:space="preserve">pp. </w:t>
            </w:r>
            <w:r w:rsidRPr="00B96C4B">
              <w:t>77-91</w:t>
            </w:r>
            <w:r w:rsidR="0031582D" w:rsidRPr="00324E42">
              <w:t xml:space="preserve">; </w:t>
            </w:r>
            <w:r w:rsidR="007A7C81" w:rsidRPr="00324E42">
              <w:t xml:space="preserve">Decision at </w:t>
            </w:r>
            <w:r w:rsidR="0031582D" w:rsidRPr="00324E42">
              <w:t>Conclusions of Law 18 and 19.</w:t>
            </w:r>
            <w:r w:rsidRPr="00B96C4B">
              <w:t xml:space="preserve">) </w:t>
            </w:r>
          </w:p>
          <w:p w14:paraId="5773DD88" w14:textId="77777777" w:rsidR="00CA2C8A" w:rsidRPr="00B96C4B" w:rsidRDefault="00CA2C8A" w:rsidP="00324E42">
            <w:pPr>
              <w:spacing w:before="120" w:line="276" w:lineRule="auto"/>
            </w:pPr>
          </w:p>
          <w:p w14:paraId="03C1DFCA" w14:textId="742869BD" w:rsidR="00D9270C" w:rsidRPr="00B96C4B" w:rsidRDefault="00D9270C" w:rsidP="00324E42">
            <w:pPr>
              <w:pStyle w:val="Default"/>
              <w:spacing w:line="276" w:lineRule="auto"/>
              <w:rPr>
                <w:rFonts w:ascii="Times New Roman" w:hAnsi="Times New Roman" w:cs="Times New Roman"/>
              </w:rPr>
            </w:pPr>
            <w:r w:rsidRPr="00B96C4B">
              <w:rPr>
                <w:rFonts w:ascii="Times New Roman" w:hAnsi="Times New Roman" w:cs="Times New Roman"/>
              </w:rPr>
              <w:t xml:space="preserve"> “For this cycle, we are satisfied that we do not need to direct immediate activity to support additional geothermal development, pumped hydro storage development, or out-of-state wind development, outside of what would naturally occur during LSE-specific procurement activities.” </w:t>
            </w:r>
            <w:r w:rsidR="00CA2C8A" w:rsidRPr="00B96C4B">
              <w:rPr>
                <w:rFonts w:ascii="Times New Roman" w:hAnsi="Times New Roman" w:cs="Times New Roman"/>
              </w:rPr>
              <w:t>(</w:t>
            </w:r>
            <w:r w:rsidRPr="00B96C4B">
              <w:rPr>
                <w:rFonts w:ascii="Times New Roman" w:hAnsi="Times New Roman" w:cs="Times New Roman"/>
              </w:rPr>
              <w:t xml:space="preserve">Decision at </w:t>
            </w:r>
            <w:r w:rsidR="00CA2C8A" w:rsidRPr="00B96C4B">
              <w:rPr>
                <w:rFonts w:ascii="Times New Roman" w:hAnsi="Times New Roman" w:cs="Times New Roman"/>
              </w:rPr>
              <w:t xml:space="preserve">p. </w:t>
            </w:r>
            <w:r w:rsidRPr="00B96C4B">
              <w:rPr>
                <w:rFonts w:ascii="Times New Roman" w:hAnsi="Times New Roman" w:cs="Times New Roman"/>
              </w:rPr>
              <w:t>78.</w:t>
            </w:r>
            <w:r w:rsidR="00CA2C8A" w:rsidRPr="00B96C4B">
              <w:rPr>
                <w:rFonts w:ascii="Times New Roman" w:hAnsi="Times New Roman" w:cs="Times New Roman"/>
              </w:rPr>
              <w:t>)</w:t>
            </w:r>
          </w:p>
        </w:tc>
        <w:tc>
          <w:tcPr>
            <w:tcW w:w="1800" w:type="dxa"/>
            <w:shd w:val="clear" w:color="auto" w:fill="auto"/>
          </w:tcPr>
          <w:p w14:paraId="3FB2FBC9" w14:textId="49A4A913" w:rsidR="00D9270C" w:rsidRPr="002C5FE7" w:rsidRDefault="008E2518" w:rsidP="00A92D0B">
            <w:pPr>
              <w:spacing w:before="120"/>
              <w:rPr>
                <w:color w:val="000000"/>
              </w:rPr>
            </w:pPr>
            <w:r>
              <w:rPr>
                <w:color w:val="000000"/>
              </w:rPr>
              <w:t>Verified</w:t>
            </w:r>
          </w:p>
        </w:tc>
      </w:tr>
      <w:tr w:rsidR="00D9270C" w:rsidRPr="002C5FE7" w14:paraId="154DDA52" w14:textId="77777777" w:rsidTr="00672E9B">
        <w:tc>
          <w:tcPr>
            <w:tcW w:w="3690" w:type="dxa"/>
            <w:shd w:val="clear" w:color="auto" w:fill="auto"/>
          </w:tcPr>
          <w:p w14:paraId="26AB8DBC" w14:textId="4D6D6DE6" w:rsidR="00B61944" w:rsidRPr="008F16A6" w:rsidRDefault="00B61944" w:rsidP="00324E42">
            <w:pPr>
              <w:spacing w:before="120" w:line="276" w:lineRule="auto"/>
              <w:rPr>
                <w:color w:val="000000"/>
              </w:rPr>
            </w:pPr>
            <w:r w:rsidRPr="008F16A6">
              <w:rPr>
                <w:color w:val="000000"/>
              </w:rPr>
              <w:t xml:space="preserve">Issue E: Procurement </w:t>
            </w:r>
          </w:p>
          <w:p w14:paraId="767548A5" w14:textId="519DF890" w:rsidR="00D9270C" w:rsidRPr="00B96C4B" w:rsidRDefault="00D9270C" w:rsidP="00324E42">
            <w:pPr>
              <w:spacing w:before="120" w:line="276" w:lineRule="auto"/>
              <w:rPr>
                <w:color w:val="000000"/>
              </w:rPr>
            </w:pPr>
            <w:r w:rsidRPr="00B96C4B">
              <w:rPr>
                <w:color w:val="000000"/>
              </w:rPr>
              <w:t>POC</w:t>
            </w:r>
            <w:r w:rsidRPr="00B96C4B">
              <w:t xml:space="preserve"> advocated throughout th</w:t>
            </w:r>
            <w:r w:rsidR="00386920" w:rsidRPr="00B96C4B">
              <w:t>e</w:t>
            </w:r>
            <w:r w:rsidRPr="00B96C4B">
              <w:t xml:space="preserve"> proceeding </w:t>
            </w:r>
            <w:r w:rsidR="00BE4BAB" w:rsidRPr="00B96C4B">
              <w:t xml:space="preserve">in multiple comments and at the All Party Meeting </w:t>
            </w:r>
            <w:r w:rsidRPr="00B96C4B">
              <w:t>against the use of early procurement of renewables as a means to capture federal tax credit</w:t>
            </w:r>
            <w:r w:rsidR="00BE4BAB" w:rsidRPr="00B96C4B">
              <w:t>s</w:t>
            </w:r>
            <w:r w:rsidRPr="00B96C4B">
              <w:t xml:space="preserve">. </w:t>
            </w:r>
            <w:r w:rsidR="00BE4BAB" w:rsidRPr="00B96C4B">
              <w:t xml:space="preserve"> </w:t>
            </w:r>
            <w:r w:rsidR="00386920" w:rsidRPr="00B96C4B">
              <w:t>The Decision reflects POC’s input.</w:t>
            </w:r>
          </w:p>
          <w:p w14:paraId="07576059" w14:textId="6D00C02F" w:rsidR="00D9270C" w:rsidRPr="00324E42" w:rsidRDefault="00D9270C" w:rsidP="00324E42">
            <w:pPr>
              <w:spacing w:before="120" w:line="276" w:lineRule="auto"/>
            </w:pPr>
            <w:r w:rsidRPr="00324E42">
              <w:t xml:space="preserve">“Procurement should be based on meeting policy targets, demonstration of need, integrated and diverse resource portfolio planning, and corrected projections of future costs. There should be no rush to procure solely based upon the tax credit schedule if this means a failure to produce a viable model.” </w:t>
            </w:r>
            <w:r w:rsidR="00386920" w:rsidRPr="00B96C4B">
              <w:t xml:space="preserve">(POC Comment On </w:t>
            </w:r>
            <w:r w:rsidR="007E1B9F">
              <w:t xml:space="preserve">Proposed Reference System Plan </w:t>
            </w:r>
            <w:proofErr w:type="gramStart"/>
            <w:r w:rsidR="00386920" w:rsidRPr="00B96C4B">
              <w:t>And</w:t>
            </w:r>
            <w:proofErr w:type="gramEnd"/>
            <w:r w:rsidR="00386920" w:rsidRPr="00B96C4B">
              <w:t xml:space="preserve"> Related Commission Policy at p. </w:t>
            </w:r>
            <w:r w:rsidRPr="00324E42">
              <w:t>12.</w:t>
            </w:r>
            <w:r w:rsidR="00386920" w:rsidRPr="00B96C4B">
              <w:t>)</w:t>
            </w:r>
          </w:p>
          <w:p w14:paraId="3E85242D" w14:textId="77777777" w:rsidR="00D9270C" w:rsidRPr="00324E42" w:rsidRDefault="00D9270C">
            <w:pPr>
              <w:spacing w:after="200" w:line="276" w:lineRule="auto"/>
              <w:contextualSpacing/>
            </w:pPr>
          </w:p>
          <w:p w14:paraId="6A32F7B0" w14:textId="4B83C73F" w:rsidR="00D9270C" w:rsidRPr="00324E42" w:rsidRDefault="00D9270C">
            <w:pPr>
              <w:spacing w:after="200" w:line="276" w:lineRule="auto"/>
              <w:contextualSpacing/>
            </w:pPr>
            <w:r w:rsidRPr="00324E42">
              <w:t>“</w:t>
            </w:r>
            <w:r w:rsidR="000C0EA0" w:rsidRPr="00B96C4B">
              <w:t xml:space="preserve">There is no law or policy that permits the Commission to prioritize buying utility-scale generation with tax credits over investing in energy efficiency, demand response, or </w:t>
            </w:r>
            <w:r w:rsidR="000C0EA0" w:rsidRPr="00B96C4B">
              <w:rPr>
                <w:iCs/>
              </w:rPr>
              <w:t>customer-sited renewable distributed generation</w:t>
            </w:r>
            <w:r w:rsidR="000C0EA0" w:rsidRPr="00B96C4B">
              <w:t>. This is, in fact, in direct conflict with all statutory mandates and policy objectives that the plan need abide by, is unrealistic, and does not provide the alleged cost savings.</w:t>
            </w:r>
            <w:r w:rsidRPr="00324E42">
              <w:t xml:space="preserve">” </w:t>
            </w:r>
            <w:r w:rsidR="000C0EA0" w:rsidRPr="00B96C4B">
              <w:t xml:space="preserve">(POC Reply Comment On Proposed Reference System Plan </w:t>
            </w:r>
            <w:proofErr w:type="gramStart"/>
            <w:r w:rsidR="000C0EA0" w:rsidRPr="00B96C4B">
              <w:t>And</w:t>
            </w:r>
            <w:proofErr w:type="gramEnd"/>
            <w:r w:rsidR="000C0EA0" w:rsidRPr="00B96C4B">
              <w:t xml:space="preserve"> Related Commission Policy at p. </w:t>
            </w:r>
            <w:r w:rsidRPr="00324E42">
              <w:t>6</w:t>
            </w:r>
            <w:r w:rsidR="00C65C36">
              <w:t>;</w:t>
            </w:r>
            <w:r w:rsidR="000C0EA0" w:rsidRPr="00B96C4B">
              <w:t xml:space="preserve"> </w:t>
            </w:r>
            <w:r w:rsidRPr="00324E42">
              <w:t xml:space="preserve">See also </w:t>
            </w:r>
            <w:r w:rsidR="00C65C36">
              <w:t>POC Comments on Proposed Decision</w:t>
            </w:r>
            <w:r w:rsidRPr="00324E42">
              <w:t xml:space="preserve"> at </w:t>
            </w:r>
            <w:r w:rsidR="00C65C36">
              <w:t xml:space="preserve">p. </w:t>
            </w:r>
            <w:r w:rsidRPr="00324E42">
              <w:t>2.</w:t>
            </w:r>
            <w:r w:rsidR="00C65C36">
              <w:t>)</w:t>
            </w:r>
          </w:p>
          <w:p w14:paraId="1B722C17" w14:textId="4366A3FE" w:rsidR="003F010C" w:rsidRPr="00B96C4B" w:rsidRDefault="003F010C">
            <w:pPr>
              <w:spacing w:after="200" w:line="276" w:lineRule="auto"/>
              <w:contextualSpacing/>
              <w:rPr>
                <w:i/>
              </w:rPr>
            </w:pPr>
          </w:p>
          <w:p w14:paraId="53AE2CCD" w14:textId="4E6654D4" w:rsidR="003F010C" w:rsidRPr="00324E42" w:rsidRDefault="003F010C">
            <w:pPr>
              <w:spacing w:after="200" w:line="276" w:lineRule="auto"/>
              <w:contextualSpacing/>
            </w:pPr>
            <w:r w:rsidRPr="00B96C4B">
              <w:t xml:space="preserve">POC raised the issue of the </w:t>
            </w:r>
            <w:r w:rsidR="007A7C81" w:rsidRPr="00324E42">
              <w:t xml:space="preserve">potential impact of the </w:t>
            </w:r>
            <w:r w:rsidRPr="00B96C4B">
              <w:t xml:space="preserve">ITC decision on </w:t>
            </w:r>
            <w:r w:rsidR="007A7C81" w:rsidRPr="00324E42">
              <w:t xml:space="preserve">solar </w:t>
            </w:r>
            <w:proofErr w:type="spellStart"/>
            <w:r w:rsidR="007A7C81" w:rsidRPr="00324E42">
              <w:t>procurment</w:t>
            </w:r>
            <w:proofErr w:type="spellEnd"/>
            <w:r w:rsidRPr="00B96C4B">
              <w:t>: “The PUC Staffs’ assumptions also fail to take into considerations recent action by another government body that may have an impact on the availability and timing of procurement of solar resources . . .The ITC decision has created uncertainty regarding the availability of solar and the timing of procurement.” (POC Motion for Evidentiary Hearings at pp. 18-19.)</w:t>
            </w:r>
          </w:p>
          <w:p w14:paraId="5709A81A" w14:textId="77777777" w:rsidR="003F010C" w:rsidRPr="00B96C4B" w:rsidRDefault="003F010C">
            <w:pPr>
              <w:spacing w:after="200" w:line="276" w:lineRule="auto"/>
              <w:contextualSpacing/>
              <w:rPr>
                <w:i/>
              </w:rPr>
            </w:pPr>
          </w:p>
          <w:p w14:paraId="322ACCF7" w14:textId="6518FFCD" w:rsidR="00C65C36" w:rsidRDefault="003F010C" w:rsidP="00B96C4B">
            <w:pPr>
              <w:spacing w:after="200" w:line="276" w:lineRule="auto"/>
              <w:contextualSpacing/>
            </w:pPr>
            <w:r w:rsidRPr="00B96C4B">
              <w:t xml:space="preserve">POC raised the issue of declining </w:t>
            </w:r>
            <w:r w:rsidR="000C0EA0" w:rsidRPr="00B96C4B">
              <w:t>price for solar</w:t>
            </w:r>
            <w:r w:rsidR="00F857B8" w:rsidRPr="00B96C4B">
              <w:t xml:space="preserve"> </w:t>
            </w:r>
            <w:r w:rsidR="007A7C81" w:rsidRPr="00324E42">
              <w:t>acting as an offset to</w:t>
            </w:r>
            <w:r w:rsidR="00F857B8" w:rsidRPr="00B96C4B">
              <w:t xml:space="preserve"> any</w:t>
            </w:r>
            <w:r w:rsidR="007A7C81" w:rsidRPr="00324E42">
              <w:t xml:space="preserve"> savings from future</w:t>
            </w:r>
            <w:r w:rsidR="00F857B8" w:rsidRPr="00B96C4B">
              <w:t xml:space="preserve"> tax credits</w:t>
            </w:r>
            <w:proofErr w:type="gramStart"/>
            <w:r w:rsidR="000C0EA0" w:rsidRPr="00B96C4B">
              <w:t>:</w:t>
            </w:r>
            <w:r w:rsidR="00B35F1E" w:rsidRPr="00B96C4B">
              <w:t xml:space="preserve">  “</w:t>
            </w:r>
            <w:proofErr w:type="gramEnd"/>
            <w:r w:rsidR="00B35F1E" w:rsidRPr="00B96C4B">
              <w:t xml:space="preserve">Long term declining costs of solar will almost certainly overwhelm the 2021 reduction in the solar tax </w:t>
            </w:r>
            <w:r w:rsidR="00B35F1E" w:rsidRPr="00B96C4B">
              <w:lastRenderedPageBreak/>
              <w:t>credit from 30% to 10%.  Utility scale solar has decreased in price by 75% in less than a decade. A reduction of only 20% in cost over the next several years, a reasonable assumption considering the historic solar cost decline trend, would fully compensate for the reduced tax credit.</w:t>
            </w:r>
            <w:r w:rsidR="00F857B8" w:rsidRPr="00B96C4B">
              <w:t>”  (POC Comment On Proposed Refer</w:t>
            </w:r>
            <w:r w:rsidR="007E1B9F">
              <w:t xml:space="preserve">ence System Plan </w:t>
            </w:r>
            <w:proofErr w:type="gramStart"/>
            <w:r w:rsidR="00F857B8" w:rsidRPr="00B96C4B">
              <w:t>And</w:t>
            </w:r>
            <w:proofErr w:type="gramEnd"/>
            <w:r w:rsidR="00F857B8" w:rsidRPr="00B96C4B">
              <w:t xml:space="preserve"> Related Commission Policy at pp. 10-11.)  </w:t>
            </w:r>
            <w:r w:rsidR="000C0EA0" w:rsidRPr="00B96C4B">
              <w:t xml:space="preserve"> </w:t>
            </w:r>
          </w:p>
          <w:p w14:paraId="13CE2182" w14:textId="77777777" w:rsidR="00C65C36" w:rsidRDefault="00C65C36" w:rsidP="00B96C4B">
            <w:pPr>
              <w:spacing w:after="200" w:line="276" w:lineRule="auto"/>
              <w:contextualSpacing/>
            </w:pPr>
          </w:p>
          <w:p w14:paraId="7F181CA0" w14:textId="1F33D30A" w:rsidR="003F010C" w:rsidRPr="00B96C4B" w:rsidRDefault="000C0EA0">
            <w:pPr>
              <w:spacing w:after="200" w:line="276" w:lineRule="auto"/>
              <w:contextualSpacing/>
            </w:pPr>
            <w:r w:rsidRPr="00B96C4B">
              <w:t>“</w:t>
            </w:r>
            <w:r w:rsidR="00F857B8" w:rsidRPr="00B96C4B">
              <w:t>[</w:t>
            </w:r>
            <w:r w:rsidR="00BE4BAB" w:rsidRPr="00B96C4B">
              <w:t>Attachment</w:t>
            </w:r>
            <w:r w:rsidR="00F857B8" w:rsidRPr="00B96C4B">
              <w:t xml:space="preserve"> A] </w:t>
            </w:r>
            <w:r w:rsidRPr="00B96C4B">
              <w:t xml:space="preserve">well demonstrates the continued declining cost of solar and the $1/watt-dc price for 2017 utility scale solar as demonstrate in the following figure found in their testimony.” (POC Reply Comment On Proposed Reference System Plan </w:t>
            </w:r>
            <w:proofErr w:type="gramStart"/>
            <w:r w:rsidRPr="00B96C4B">
              <w:t>And</w:t>
            </w:r>
            <w:proofErr w:type="gramEnd"/>
            <w:r w:rsidRPr="00B96C4B">
              <w:t xml:space="preserve"> R</w:t>
            </w:r>
            <w:r w:rsidR="004775AB">
              <w:t>elated Commission Policy at pp. </w:t>
            </w:r>
            <w:r w:rsidRPr="00B96C4B">
              <w:t xml:space="preserve">4-5.)  </w:t>
            </w:r>
          </w:p>
          <w:p w14:paraId="6EAB9CC8" w14:textId="77777777" w:rsidR="00F857B8" w:rsidRPr="00B96C4B" w:rsidRDefault="00F857B8">
            <w:pPr>
              <w:spacing w:after="200" w:line="276" w:lineRule="auto"/>
              <w:contextualSpacing/>
            </w:pPr>
          </w:p>
          <w:p w14:paraId="15EA3530" w14:textId="77777777" w:rsidR="00C65C36" w:rsidRDefault="00F857B8" w:rsidP="00B96C4B">
            <w:pPr>
              <w:spacing w:after="200" w:line="276" w:lineRule="auto"/>
              <w:contextualSpacing/>
            </w:pPr>
            <w:r w:rsidRPr="00B96C4B">
              <w:t xml:space="preserve">POC raised the issue of early procurement forcing IOUs to </w:t>
            </w:r>
            <w:proofErr w:type="spellStart"/>
            <w:r w:rsidRPr="00B96C4B">
              <w:t>overprocure</w:t>
            </w:r>
            <w:proofErr w:type="spellEnd"/>
            <w:r w:rsidRPr="00B96C4B">
              <w:t xml:space="preserve"> due to CCA departing load: “Also, procurement before the resource is actually needed for policy objectives is likely to increase total resource costs, and even create stranded costs for IOUs due to reduced load to CCAs, self-generation, energy efficiency, and customer storage capturing "excess" renewables.” (POC Reply Comment On Proposed Reference System Plan </w:t>
            </w:r>
            <w:proofErr w:type="gramStart"/>
            <w:r w:rsidRPr="00B96C4B">
              <w:t>And</w:t>
            </w:r>
            <w:proofErr w:type="gramEnd"/>
            <w:r w:rsidRPr="00B96C4B">
              <w:t xml:space="preserve"> Related Commission Policy at p. 12.)</w:t>
            </w:r>
          </w:p>
          <w:p w14:paraId="0F93C4AE" w14:textId="77777777" w:rsidR="00C65C36" w:rsidRDefault="00C65C36" w:rsidP="00B96C4B">
            <w:pPr>
              <w:spacing w:after="200" w:line="276" w:lineRule="auto"/>
              <w:contextualSpacing/>
            </w:pPr>
          </w:p>
          <w:p w14:paraId="49DCE2ED" w14:textId="4935FE02" w:rsidR="00F857B8" w:rsidRPr="00324E42" w:rsidRDefault="00F857B8">
            <w:pPr>
              <w:spacing w:after="200" w:line="276" w:lineRule="auto"/>
              <w:contextualSpacing/>
            </w:pPr>
            <w:r w:rsidRPr="00B96C4B">
              <w:lastRenderedPageBreak/>
              <w:t xml:space="preserve">“If the IOUs are ordered, as </w:t>
            </w:r>
            <w:proofErr w:type="spellStart"/>
            <w:r w:rsidRPr="00B96C4B">
              <w:t>CalWEA</w:t>
            </w:r>
            <w:proofErr w:type="spellEnd"/>
            <w:r w:rsidRPr="00B96C4B">
              <w:t xml:space="preserve"> would have it, to procure more resources even as their customer bases dwindle, the IOUs will over</w:t>
            </w:r>
            <w:r w:rsidR="008F16A6">
              <w:t xml:space="preserve"> </w:t>
            </w:r>
            <w:r w:rsidRPr="00B96C4B">
              <w:t xml:space="preserve">procure and will have more and more stranded assets.  IOU </w:t>
            </w:r>
            <w:proofErr w:type="gramStart"/>
            <w:r w:rsidRPr="00B96C4B">
              <w:t>customers</w:t>
            </w:r>
            <w:proofErr w:type="gramEnd"/>
            <w:r w:rsidRPr="00B96C4B">
              <w:t xml:space="preserve"> rates will be increased to pay for the construction and contracts for new generation and associated transmission lines.  At the same time, as IOU stranded assets increase, so too does the exit fees for those customers moving to CCAs.  CCAs are already burdened with having to contract at much lower rates than the IOU’s due to exit fees and adding new IOU procurement will be fuel on an existing fire.” (POC Reply Comment On Proposed Reference System Plan And Related Commission Policy at p. 11.)</w:t>
            </w:r>
          </w:p>
        </w:tc>
        <w:tc>
          <w:tcPr>
            <w:tcW w:w="3307" w:type="dxa"/>
            <w:shd w:val="clear" w:color="auto" w:fill="auto"/>
          </w:tcPr>
          <w:p w14:paraId="55DA07FA" w14:textId="7FF5ADFA" w:rsidR="00D9270C" w:rsidRPr="00B96C4B" w:rsidRDefault="00D9270C">
            <w:pPr>
              <w:spacing w:after="200" w:line="276" w:lineRule="auto"/>
              <w:contextualSpacing/>
            </w:pPr>
            <w:r w:rsidRPr="00B96C4B">
              <w:lastRenderedPageBreak/>
              <w:t xml:space="preserve">“POC agreed that there is no near-term need for additional renewable energy in IOU portfolios in the near future, and therefore early procurement requirements should not be imposed. They argued that the ITC and PTC should not drive procurement.” </w:t>
            </w:r>
            <w:r w:rsidR="00386920" w:rsidRPr="00B96C4B">
              <w:t>(</w:t>
            </w:r>
            <w:r w:rsidRPr="00B96C4B">
              <w:t>Decision at</w:t>
            </w:r>
            <w:r w:rsidR="00386920" w:rsidRPr="00B96C4B">
              <w:t xml:space="preserve"> p.</w:t>
            </w:r>
            <w:r w:rsidR="007E1B9F">
              <w:t> </w:t>
            </w:r>
            <w:r w:rsidRPr="00B96C4B">
              <w:t>97.</w:t>
            </w:r>
            <w:r w:rsidR="00386920" w:rsidRPr="00B96C4B">
              <w:t>)</w:t>
            </w:r>
          </w:p>
          <w:p w14:paraId="0A3DDF8E" w14:textId="77777777" w:rsidR="00D9270C" w:rsidRPr="00B96C4B" w:rsidRDefault="00D9270C">
            <w:pPr>
              <w:spacing w:after="200" w:line="276" w:lineRule="auto"/>
              <w:contextualSpacing/>
            </w:pPr>
          </w:p>
          <w:p w14:paraId="02B610CC" w14:textId="25815391" w:rsidR="00D9270C" w:rsidRPr="00B96C4B" w:rsidRDefault="00D9270C">
            <w:pPr>
              <w:spacing w:after="200" w:line="276" w:lineRule="auto"/>
              <w:contextualSpacing/>
            </w:pPr>
            <w:r w:rsidRPr="00B96C4B">
              <w:t xml:space="preserve">“Despite the potential for cost savings for ratepayers identified by Commission staff in their optimal portfolio analysis using RESOLVE, we are not persuaded of the need to order near-term procurement of additional renewables at this point in time.”  </w:t>
            </w:r>
            <w:r w:rsidR="00386920" w:rsidRPr="00B96C4B">
              <w:t>(</w:t>
            </w:r>
            <w:r w:rsidRPr="00B96C4B">
              <w:t xml:space="preserve">Decision at </w:t>
            </w:r>
            <w:r w:rsidR="007E1B9F">
              <w:t>p. </w:t>
            </w:r>
            <w:r w:rsidRPr="00B96C4B">
              <w:t>98.</w:t>
            </w:r>
            <w:r w:rsidR="00386920" w:rsidRPr="00B96C4B">
              <w:t>)</w:t>
            </w:r>
          </w:p>
          <w:p w14:paraId="0611AEEE" w14:textId="77777777" w:rsidR="007A7C81" w:rsidRPr="00B96C4B" w:rsidRDefault="007A7C81">
            <w:pPr>
              <w:spacing w:after="200" w:line="276" w:lineRule="auto"/>
              <w:contextualSpacing/>
              <w:rPr>
                <w:i/>
              </w:rPr>
            </w:pPr>
          </w:p>
          <w:p w14:paraId="03AA1E66" w14:textId="341CC2CA" w:rsidR="00386920" w:rsidRPr="00324E42" w:rsidRDefault="00386920" w:rsidP="00324E42">
            <w:pPr>
              <w:spacing w:before="120" w:line="276" w:lineRule="auto"/>
            </w:pPr>
            <w:r w:rsidRPr="00B96C4B">
              <w:rPr>
                <w:color w:val="000000"/>
              </w:rPr>
              <w:lastRenderedPageBreak/>
              <w:t>“</w:t>
            </w:r>
            <w:r w:rsidRPr="00324E42">
              <w:t>Most importantly, the cost savings estimated by Commission staff that could flow from capturing the federal tax credits are highly uncertain. ITC and PTC eligibility rules have different timing requirements, declining benefits, and expiration dates</w:t>
            </w:r>
            <w:r w:rsidR="003F010C" w:rsidRPr="00324E42">
              <w:t xml:space="preserve">. </w:t>
            </w:r>
            <w:r w:rsidRPr="00324E42">
              <w:t>In addition, solar tariff actions that have recently occurred since this proposed decision was issued will likely result in an increase in costs, rather than capturing a benefit, if procurement was required. Further, renewable costs have been declining for many years, and likely will continue to do so, regardless of federal tax benefits. Buying additional resources now may lock in higher-than-necessary prices than those that would otherwise occur if renewables were procured commensurate with load growth and portfolio need. Renewable cost forecasts published by Bloomberg New Energy Finance also suggest that for solar PV, improving operational efficiencies may also mitigate against price increases even in the absence of tax benefits.</w:t>
            </w:r>
            <w:r w:rsidR="003F010C" w:rsidRPr="00324E42">
              <w:t xml:space="preserve"> (Decision at </w:t>
            </w:r>
            <w:r w:rsidR="007E1B9F">
              <w:t>pp. </w:t>
            </w:r>
            <w:r w:rsidR="003F010C" w:rsidRPr="00324E42">
              <w:t>98-99.)</w:t>
            </w:r>
          </w:p>
          <w:p w14:paraId="75A21621" w14:textId="77777777" w:rsidR="000C0EA0" w:rsidRPr="00B96C4B" w:rsidRDefault="000C0EA0" w:rsidP="00324E42">
            <w:pPr>
              <w:spacing w:before="120" w:line="276" w:lineRule="auto"/>
              <w:rPr>
                <w:color w:val="000000"/>
              </w:rPr>
            </w:pPr>
          </w:p>
          <w:p w14:paraId="1B184AF0" w14:textId="77777777" w:rsidR="00B35F1E" w:rsidRPr="00324E42" w:rsidRDefault="00B35F1E" w:rsidP="00324E42">
            <w:pPr>
              <w:pStyle w:val="Default"/>
              <w:spacing w:line="276" w:lineRule="auto"/>
              <w:rPr>
                <w:rFonts w:ascii="Times New Roman" w:hAnsi="Times New Roman" w:cs="Times New Roman"/>
              </w:rPr>
            </w:pPr>
            <w:r w:rsidRPr="00324E42">
              <w:rPr>
                <w:rFonts w:ascii="Times New Roman" w:hAnsi="Times New Roman" w:cs="Times New Roman"/>
              </w:rPr>
              <w:t xml:space="preserve">“Declining to order additional early procurement of renewables in this decision also </w:t>
            </w:r>
            <w:r w:rsidRPr="00324E42">
              <w:rPr>
                <w:rFonts w:ascii="Times New Roman" w:hAnsi="Times New Roman" w:cs="Times New Roman"/>
              </w:rPr>
              <w:lastRenderedPageBreak/>
              <w:t xml:space="preserve">allows us to avoid a number of other problematic issues that would be associated with implementing such a requirement now. The prospect of a large amount of departing CCA load in the next decade creates a conundrum for renewable procurement, even in the context of RPS, let alone new IRP requirements. The IOUs have made substantial RPS investments and may not need to engage in a great deal of RPS procurement in the near term, especially while facing the prospect of a large amount of departing load. </w:t>
            </w:r>
          </w:p>
          <w:p w14:paraId="69709B70" w14:textId="571726E5" w:rsidR="007A7C81" w:rsidRPr="00324E42" w:rsidRDefault="00B35F1E">
            <w:pPr>
              <w:pStyle w:val="Default"/>
              <w:spacing w:line="276" w:lineRule="auto"/>
              <w:rPr>
                <w:rFonts w:ascii="Times New Roman" w:hAnsi="Times New Roman" w:cs="Times New Roman"/>
              </w:rPr>
            </w:pPr>
            <w:r w:rsidRPr="00324E42">
              <w:rPr>
                <w:rFonts w:ascii="Times New Roman" w:hAnsi="Times New Roman" w:cs="Times New Roman"/>
              </w:rPr>
              <w:t xml:space="preserve">Thus, the largest “need” for renewables will exist for the CCAs that have yet to be launched, since they will then face an immediate RPS obligation under the law. But such entities not yet serving load are not positioned to be able to take advantage of immediate federal tax credit opportunities by purchasing electricity for customers that they do not yet serve. </w:t>
            </w:r>
          </w:p>
          <w:p w14:paraId="39FA8187" w14:textId="793B0D0D" w:rsidR="000C0EA0" w:rsidRPr="00B96C4B" w:rsidRDefault="00B35F1E" w:rsidP="00324E42">
            <w:pPr>
              <w:pStyle w:val="Default"/>
              <w:spacing w:line="276" w:lineRule="auto"/>
            </w:pPr>
            <w:r w:rsidRPr="00324E42">
              <w:rPr>
                <w:rFonts w:ascii="Times New Roman" w:hAnsi="Times New Roman" w:cs="Times New Roman"/>
              </w:rPr>
              <w:t xml:space="preserve">Therefore, if we ordered immediate additional renewable procurement in this decision, we would be forced, at least to some degree, to rely on IOUs to undertake procurement that they may not need by 2030 to serve their bundled load, and then devise a likely-unpopular </w:t>
            </w:r>
            <w:r w:rsidRPr="00324E42">
              <w:rPr>
                <w:rFonts w:ascii="Times New Roman" w:hAnsi="Times New Roman" w:cs="Times New Roman"/>
              </w:rPr>
              <w:lastRenderedPageBreak/>
              <w:t>cost allocation methodology to ensure that the costs are shared by the benefitting customers.</w:t>
            </w:r>
            <w:r w:rsidR="00BE4BAB" w:rsidRPr="00324E42">
              <w:rPr>
                <w:rFonts w:ascii="Times New Roman" w:hAnsi="Times New Roman" w:cs="Times New Roman"/>
              </w:rPr>
              <w:t>” (Decision at p. 100.)</w:t>
            </w:r>
          </w:p>
        </w:tc>
        <w:tc>
          <w:tcPr>
            <w:tcW w:w="1800" w:type="dxa"/>
            <w:shd w:val="clear" w:color="auto" w:fill="auto"/>
          </w:tcPr>
          <w:p w14:paraId="5A47F34E" w14:textId="73F36C4B" w:rsidR="00D9270C" w:rsidRPr="002C5FE7" w:rsidRDefault="008E2518" w:rsidP="00A92D0B">
            <w:pPr>
              <w:spacing w:before="120"/>
              <w:rPr>
                <w:color w:val="000000"/>
              </w:rPr>
            </w:pPr>
            <w:r>
              <w:rPr>
                <w:color w:val="000000"/>
              </w:rPr>
              <w:lastRenderedPageBreak/>
              <w:t>Verified</w:t>
            </w:r>
          </w:p>
        </w:tc>
      </w:tr>
    </w:tbl>
    <w:p w14:paraId="01BB662F" w14:textId="77777777" w:rsidR="00A92D0B" w:rsidRPr="002C5FE7" w:rsidRDefault="00A92D0B">
      <w:pPr>
        <w:rPr>
          <w:color w:val="000000"/>
        </w:rPr>
      </w:pPr>
    </w:p>
    <w:p w14:paraId="0D4BCD3A" w14:textId="77777777" w:rsidR="00A92D0B" w:rsidRPr="008F16A6" w:rsidRDefault="00A92D0B" w:rsidP="00DE3A5D">
      <w:pPr>
        <w:keepNext/>
        <w:keepLines/>
        <w:numPr>
          <w:ilvl w:val="0"/>
          <w:numId w:val="1"/>
        </w:numPr>
        <w:tabs>
          <w:tab w:val="clear" w:pos="900"/>
          <w:tab w:val="num" w:pos="360"/>
        </w:tabs>
        <w:spacing w:after="120"/>
        <w:ind w:left="360"/>
        <w:rPr>
          <w:color w:val="000000"/>
        </w:rPr>
      </w:pPr>
      <w:r w:rsidRPr="008F16A6">
        <w:rPr>
          <w:color w:val="000000"/>
        </w:rPr>
        <w:t xml:space="preserve">Duplication of Effort (§ 1801.3(f) </w:t>
      </w:r>
      <w:r w:rsidR="00F30DA8" w:rsidRPr="008F16A6">
        <w:rPr>
          <w:color w:val="000000"/>
        </w:rPr>
        <w:t xml:space="preserve">and § </w:t>
      </w:r>
      <w:r w:rsidR="0022302F" w:rsidRPr="008F16A6">
        <w:rPr>
          <w:color w:val="000000"/>
        </w:rPr>
        <w:t>1802.5)</w:t>
      </w:r>
      <w:r w:rsidR="00C02649" w:rsidRPr="008F16A6">
        <w:rPr>
          <w:color w:val="000000"/>
        </w:rPr>
        <w:t>:</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5"/>
        <w:gridCol w:w="1440"/>
        <w:gridCol w:w="1620"/>
      </w:tblGrid>
      <w:tr w:rsidR="00A92D0B" w:rsidRPr="002C5FE7" w14:paraId="76F3266C" w14:textId="77777777" w:rsidTr="00672E9B">
        <w:tc>
          <w:tcPr>
            <w:tcW w:w="5485" w:type="dxa"/>
            <w:shd w:val="clear" w:color="auto" w:fill="D9D9D9" w:themeFill="background1" w:themeFillShade="D9"/>
          </w:tcPr>
          <w:p w14:paraId="300CEDBC" w14:textId="77777777" w:rsidR="00A92D0B" w:rsidRPr="008F16A6" w:rsidRDefault="00A92D0B" w:rsidP="00DE3A5D">
            <w:pPr>
              <w:keepNext/>
              <w:keepLines/>
              <w:spacing w:before="120"/>
              <w:rPr>
                <w:color w:val="000000"/>
              </w:rPr>
            </w:pPr>
          </w:p>
        </w:tc>
        <w:tc>
          <w:tcPr>
            <w:tcW w:w="1440" w:type="dxa"/>
            <w:tcBorders>
              <w:bottom w:val="single" w:sz="4" w:space="0" w:color="auto"/>
            </w:tcBorders>
            <w:shd w:val="clear" w:color="auto" w:fill="D9D9D9" w:themeFill="background1" w:themeFillShade="D9"/>
          </w:tcPr>
          <w:p w14:paraId="7B091096" w14:textId="77777777" w:rsidR="00A92D0B" w:rsidRPr="008F16A6" w:rsidRDefault="005A63D4" w:rsidP="00DE3A5D">
            <w:pPr>
              <w:keepNext/>
              <w:keepLines/>
              <w:spacing w:before="120"/>
              <w:jc w:val="center"/>
              <w:rPr>
                <w:color w:val="000000"/>
              </w:rPr>
            </w:pPr>
            <w:proofErr w:type="spellStart"/>
            <w:r w:rsidRPr="008F16A6">
              <w:rPr>
                <w:color w:val="000000"/>
              </w:rPr>
              <w:t>Interveno</w:t>
            </w:r>
            <w:r w:rsidR="00204E3A" w:rsidRPr="008F16A6">
              <w:rPr>
                <w:color w:val="000000"/>
              </w:rPr>
              <w:t>r</w:t>
            </w:r>
            <w:r w:rsidRPr="008F16A6">
              <w:rPr>
                <w:color w:val="000000"/>
              </w:rPr>
              <w:t>’s</w:t>
            </w:r>
            <w:proofErr w:type="spellEnd"/>
            <w:r w:rsidRPr="008F16A6">
              <w:rPr>
                <w:color w:val="000000"/>
              </w:rPr>
              <w:t xml:space="preserve"> </w:t>
            </w:r>
            <w:r w:rsidR="00D075B1" w:rsidRPr="008F16A6">
              <w:rPr>
                <w:color w:val="000000"/>
              </w:rPr>
              <w:t>Assertion</w:t>
            </w:r>
          </w:p>
        </w:tc>
        <w:tc>
          <w:tcPr>
            <w:tcW w:w="1620" w:type="dxa"/>
            <w:shd w:val="clear" w:color="auto" w:fill="D9D9D9" w:themeFill="background1" w:themeFillShade="D9"/>
          </w:tcPr>
          <w:p w14:paraId="25CE5081" w14:textId="77777777" w:rsidR="00A92D0B" w:rsidRPr="008F16A6" w:rsidRDefault="00A92D0B" w:rsidP="00D075B1">
            <w:pPr>
              <w:keepNext/>
              <w:keepLines/>
              <w:spacing w:before="120"/>
              <w:jc w:val="center"/>
              <w:rPr>
                <w:color w:val="000000"/>
              </w:rPr>
            </w:pPr>
            <w:r w:rsidRPr="008F16A6">
              <w:rPr>
                <w:color w:val="000000"/>
              </w:rPr>
              <w:t xml:space="preserve">CPUC </w:t>
            </w:r>
            <w:r w:rsidR="00D075B1" w:rsidRPr="008F16A6">
              <w:rPr>
                <w:color w:val="000000"/>
              </w:rPr>
              <w:t>Discussion</w:t>
            </w:r>
          </w:p>
        </w:tc>
      </w:tr>
      <w:tr w:rsidR="00A92D0B" w:rsidRPr="002C5FE7" w14:paraId="24A12BE1" w14:textId="77777777" w:rsidTr="00672E9B">
        <w:tc>
          <w:tcPr>
            <w:tcW w:w="5485" w:type="dxa"/>
            <w:shd w:val="clear" w:color="auto" w:fill="auto"/>
          </w:tcPr>
          <w:p w14:paraId="6915FAF6" w14:textId="77777777" w:rsidR="00A92D0B" w:rsidRPr="008F16A6" w:rsidRDefault="00A92D0B" w:rsidP="00DE3A5D">
            <w:pPr>
              <w:keepNext/>
              <w:keepLines/>
              <w:spacing w:before="120"/>
              <w:ind w:left="360" w:hanging="360"/>
              <w:rPr>
                <w:color w:val="000000"/>
              </w:rPr>
            </w:pPr>
            <w:r w:rsidRPr="008F16A6">
              <w:rPr>
                <w:color w:val="000000"/>
              </w:rPr>
              <w:t>a.</w:t>
            </w:r>
            <w:r w:rsidRPr="008F16A6">
              <w:rPr>
                <w:color w:val="000000"/>
              </w:rPr>
              <w:tab/>
            </w:r>
            <w:r w:rsidRPr="008F16A6">
              <w:t xml:space="preserve">Was the </w:t>
            </w:r>
            <w:r w:rsidR="00B55CCD" w:rsidRPr="008F16A6">
              <w:t xml:space="preserve">Office </w:t>
            </w:r>
            <w:r w:rsidRPr="008F16A6">
              <w:t>of Ratepayer Advocates (</w:t>
            </w:r>
            <w:r w:rsidR="00003A49" w:rsidRPr="008F16A6">
              <w:t>ORA</w:t>
            </w:r>
            <w:r w:rsidRPr="008F16A6">
              <w:t>) a party to the proceeding</w:t>
            </w:r>
            <w:r w:rsidRPr="008F16A6">
              <w:rPr>
                <w:color w:val="000000"/>
              </w:rPr>
              <w:t>?</w:t>
            </w:r>
            <w:r w:rsidR="00BF2F45" w:rsidRPr="008F16A6">
              <w:rPr>
                <w:rStyle w:val="FootnoteReference"/>
                <w:color w:val="000000"/>
              </w:rPr>
              <w:footnoteReference w:id="2"/>
            </w:r>
          </w:p>
        </w:tc>
        <w:tc>
          <w:tcPr>
            <w:tcW w:w="1440" w:type="dxa"/>
            <w:shd w:val="clear" w:color="auto" w:fill="auto"/>
          </w:tcPr>
          <w:p w14:paraId="0B49A7C8" w14:textId="33987A3B" w:rsidR="00A92D0B" w:rsidRPr="008F16A6" w:rsidRDefault="00E227BA" w:rsidP="00DE3A5D">
            <w:pPr>
              <w:keepNext/>
              <w:keepLines/>
              <w:spacing w:before="120"/>
              <w:rPr>
                <w:color w:val="000000"/>
              </w:rPr>
            </w:pPr>
            <w:r w:rsidRPr="008F16A6">
              <w:rPr>
                <w:color w:val="000000"/>
              </w:rPr>
              <w:t>Yes</w:t>
            </w:r>
          </w:p>
        </w:tc>
        <w:tc>
          <w:tcPr>
            <w:tcW w:w="1620" w:type="dxa"/>
            <w:shd w:val="clear" w:color="auto" w:fill="auto"/>
          </w:tcPr>
          <w:p w14:paraId="23B6532A" w14:textId="3730A2CA" w:rsidR="00A92D0B" w:rsidRPr="008F16A6" w:rsidRDefault="008E2518" w:rsidP="00DE3A5D">
            <w:pPr>
              <w:keepNext/>
              <w:keepLines/>
              <w:spacing w:before="120"/>
              <w:rPr>
                <w:color w:val="000000"/>
              </w:rPr>
            </w:pPr>
            <w:r>
              <w:rPr>
                <w:color w:val="000000"/>
              </w:rPr>
              <w:t>Verified</w:t>
            </w:r>
          </w:p>
        </w:tc>
      </w:tr>
      <w:tr w:rsidR="00A92D0B" w:rsidRPr="002C5FE7" w14:paraId="3317BD71" w14:textId="77777777" w:rsidTr="00672E9B">
        <w:tc>
          <w:tcPr>
            <w:tcW w:w="5485" w:type="dxa"/>
            <w:shd w:val="clear" w:color="auto" w:fill="auto"/>
          </w:tcPr>
          <w:p w14:paraId="561D245D" w14:textId="77777777" w:rsidR="00A92D0B" w:rsidRPr="008F16A6" w:rsidRDefault="00A92D0B" w:rsidP="00A92D0B">
            <w:pPr>
              <w:tabs>
                <w:tab w:val="left" w:pos="360"/>
              </w:tabs>
              <w:spacing w:before="120"/>
              <w:ind w:left="360" w:hanging="360"/>
              <w:rPr>
                <w:color w:val="000000"/>
              </w:rPr>
            </w:pPr>
            <w:r w:rsidRPr="008F16A6">
              <w:rPr>
                <w:color w:val="000000"/>
              </w:rPr>
              <w:t>b.</w:t>
            </w:r>
            <w:r w:rsidRPr="008F16A6">
              <w:rPr>
                <w:color w:val="000000"/>
              </w:rPr>
              <w:tab/>
              <w:t xml:space="preserve">Were there other parties to the proceeding with positions similar to yours? </w:t>
            </w:r>
          </w:p>
        </w:tc>
        <w:tc>
          <w:tcPr>
            <w:tcW w:w="1440" w:type="dxa"/>
            <w:shd w:val="clear" w:color="auto" w:fill="auto"/>
          </w:tcPr>
          <w:p w14:paraId="3708E485" w14:textId="2E3C13A2" w:rsidR="00A92D0B" w:rsidRPr="008F16A6" w:rsidRDefault="00D0345E" w:rsidP="00A92D0B">
            <w:pPr>
              <w:spacing w:before="120"/>
              <w:rPr>
                <w:color w:val="000000"/>
              </w:rPr>
            </w:pPr>
            <w:r w:rsidRPr="008F16A6">
              <w:rPr>
                <w:color w:val="000000"/>
              </w:rPr>
              <w:t>No</w:t>
            </w:r>
          </w:p>
        </w:tc>
        <w:tc>
          <w:tcPr>
            <w:tcW w:w="1620" w:type="dxa"/>
            <w:shd w:val="clear" w:color="auto" w:fill="auto"/>
          </w:tcPr>
          <w:p w14:paraId="6B3388E6" w14:textId="3F47980A" w:rsidR="00A92D0B" w:rsidRPr="008F16A6" w:rsidRDefault="008E2518" w:rsidP="00A92D0B">
            <w:pPr>
              <w:spacing w:before="120"/>
              <w:rPr>
                <w:color w:val="000000"/>
              </w:rPr>
            </w:pPr>
            <w:r>
              <w:rPr>
                <w:color w:val="000000"/>
              </w:rPr>
              <w:t>Verified</w:t>
            </w:r>
          </w:p>
        </w:tc>
      </w:tr>
      <w:tr w:rsidR="00A92D0B" w:rsidRPr="002C5FE7" w14:paraId="0A51B7D4" w14:textId="77777777" w:rsidTr="00672E9B">
        <w:tc>
          <w:tcPr>
            <w:tcW w:w="6925" w:type="dxa"/>
            <w:gridSpan w:val="2"/>
            <w:shd w:val="clear" w:color="auto" w:fill="auto"/>
          </w:tcPr>
          <w:p w14:paraId="30CB6275" w14:textId="7D63B4F2" w:rsidR="00A92D0B" w:rsidRPr="008F16A6" w:rsidRDefault="00A92D0B" w:rsidP="00A92D0B">
            <w:pPr>
              <w:spacing w:before="120"/>
              <w:ind w:left="360" w:hanging="360"/>
              <w:rPr>
                <w:color w:val="000000"/>
              </w:rPr>
            </w:pPr>
            <w:r w:rsidRPr="008F16A6">
              <w:rPr>
                <w:color w:val="000000"/>
              </w:rPr>
              <w:t>c.</w:t>
            </w:r>
            <w:r w:rsidRPr="008F16A6">
              <w:rPr>
                <w:color w:val="000000"/>
              </w:rPr>
              <w:tab/>
              <w:t>If so, provide name of other parties:</w:t>
            </w:r>
            <w:r w:rsidR="00E25078" w:rsidRPr="008F16A6">
              <w:rPr>
                <w:color w:val="000000"/>
              </w:rPr>
              <w:t xml:space="preserve"> </w:t>
            </w:r>
          </w:p>
          <w:p w14:paraId="0919176B" w14:textId="77777777" w:rsidR="00A92D0B" w:rsidRPr="008F16A6" w:rsidRDefault="00A92D0B" w:rsidP="00324E42">
            <w:pPr>
              <w:autoSpaceDE w:val="0"/>
              <w:autoSpaceDN w:val="0"/>
              <w:adjustRightInd w:val="0"/>
              <w:rPr>
                <w:color w:val="000000"/>
              </w:rPr>
            </w:pPr>
          </w:p>
        </w:tc>
        <w:tc>
          <w:tcPr>
            <w:tcW w:w="1620" w:type="dxa"/>
            <w:shd w:val="clear" w:color="auto" w:fill="auto"/>
          </w:tcPr>
          <w:p w14:paraId="22A40B49" w14:textId="5C72971C" w:rsidR="00A92D0B" w:rsidRPr="002C5FE7" w:rsidRDefault="008E2518" w:rsidP="00E25078">
            <w:pPr>
              <w:spacing w:before="120"/>
              <w:rPr>
                <w:color w:val="000000"/>
              </w:rPr>
            </w:pPr>
            <w:r>
              <w:rPr>
                <w:color w:val="000000"/>
              </w:rPr>
              <w:t>None</w:t>
            </w:r>
          </w:p>
        </w:tc>
      </w:tr>
      <w:tr w:rsidR="00A92D0B" w:rsidRPr="002C5FE7" w14:paraId="744830F5" w14:textId="77777777" w:rsidTr="00672E9B">
        <w:tc>
          <w:tcPr>
            <w:tcW w:w="6925" w:type="dxa"/>
            <w:gridSpan w:val="2"/>
            <w:shd w:val="clear" w:color="auto" w:fill="auto"/>
          </w:tcPr>
          <w:p w14:paraId="7C05FE5A" w14:textId="7636099B" w:rsidR="00A92D0B" w:rsidRPr="008F16A6" w:rsidRDefault="00A92D0B" w:rsidP="00A92D0B">
            <w:pPr>
              <w:tabs>
                <w:tab w:val="left" w:pos="360"/>
              </w:tabs>
              <w:spacing w:before="120"/>
              <w:ind w:left="360" w:hanging="360"/>
              <w:rPr>
                <w:color w:val="000000"/>
              </w:rPr>
            </w:pPr>
            <w:r w:rsidRPr="008F16A6">
              <w:rPr>
                <w:color w:val="000000"/>
              </w:rPr>
              <w:t>d.</w:t>
            </w:r>
            <w:r w:rsidRPr="008F16A6">
              <w:rPr>
                <w:color w:val="000000"/>
              </w:rPr>
              <w:tab/>
            </w:r>
            <w:proofErr w:type="spellStart"/>
            <w:r w:rsidR="00D075B1" w:rsidRPr="008F16A6">
              <w:rPr>
                <w:color w:val="000000"/>
              </w:rPr>
              <w:t>Intervenor’s</w:t>
            </w:r>
            <w:proofErr w:type="spellEnd"/>
            <w:r w:rsidR="00D075B1" w:rsidRPr="008F16A6">
              <w:rPr>
                <w:color w:val="000000"/>
              </w:rPr>
              <w:t xml:space="preserve"> </w:t>
            </w:r>
            <w:r w:rsidR="00A319DE" w:rsidRPr="008F16A6">
              <w:rPr>
                <w:color w:val="000000"/>
              </w:rPr>
              <w:t>c</w:t>
            </w:r>
            <w:r w:rsidR="00D075B1" w:rsidRPr="008F16A6">
              <w:rPr>
                <w:color w:val="000000"/>
              </w:rPr>
              <w:t xml:space="preserve">laim of </w:t>
            </w:r>
            <w:r w:rsidR="00A319DE" w:rsidRPr="008F16A6">
              <w:rPr>
                <w:color w:val="000000"/>
              </w:rPr>
              <w:t>n</w:t>
            </w:r>
            <w:r w:rsidR="00D075B1" w:rsidRPr="008F16A6">
              <w:rPr>
                <w:color w:val="000000"/>
              </w:rPr>
              <w:t>on-</w:t>
            </w:r>
            <w:r w:rsidR="00A319DE" w:rsidRPr="008F16A6">
              <w:rPr>
                <w:color w:val="000000"/>
              </w:rPr>
              <w:t>d</w:t>
            </w:r>
            <w:r w:rsidR="00D075B1" w:rsidRPr="008F16A6">
              <w:rPr>
                <w:color w:val="000000"/>
              </w:rPr>
              <w:t>uplication:</w:t>
            </w:r>
            <w:r w:rsidR="00E25078" w:rsidRPr="008F16A6">
              <w:rPr>
                <w:color w:val="000000"/>
              </w:rPr>
              <w:t xml:space="preserve"> </w:t>
            </w:r>
          </w:p>
          <w:p w14:paraId="0CFBC7B2" w14:textId="77777777" w:rsidR="00691528" w:rsidRPr="008F16A6" w:rsidRDefault="00691528" w:rsidP="00691528">
            <w:pPr>
              <w:tabs>
                <w:tab w:val="left" w:pos="360"/>
              </w:tabs>
              <w:ind w:left="360" w:hanging="360"/>
              <w:rPr>
                <w:color w:val="000000"/>
              </w:rPr>
            </w:pPr>
          </w:p>
          <w:p w14:paraId="28CBA8C8" w14:textId="622EA651" w:rsidR="006A0181" w:rsidRPr="008F16A6" w:rsidRDefault="00D0345E" w:rsidP="00791F1A">
            <w:pPr>
              <w:autoSpaceDE w:val="0"/>
              <w:autoSpaceDN w:val="0"/>
              <w:adjustRightInd w:val="0"/>
            </w:pPr>
            <w:r w:rsidRPr="008F16A6">
              <w:lastRenderedPageBreak/>
              <w:t>POC’s positions did not have complete overlap with a</w:t>
            </w:r>
            <w:r w:rsidR="00892AC9" w:rsidRPr="008F16A6">
              <w:t xml:space="preserve">ny other </w:t>
            </w:r>
            <w:proofErr w:type="spellStart"/>
            <w:r w:rsidR="00892AC9" w:rsidRPr="008F16A6">
              <w:t>intervenors</w:t>
            </w:r>
            <w:proofErr w:type="spellEnd"/>
            <w:r w:rsidRPr="008F16A6">
              <w:t>,</w:t>
            </w:r>
            <w:r w:rsidR="00892AC9" w:rsidRPr="008F16A6">
              <w:t xml:space="preserve"> </w:t>
            </w:r>
            <w:r w:rsidRPr="008F16A6">
              <w:t xml:space="preserve">and </w:t>
            </w:r>
            <w:r w:rsidR="00892AC9" w:rsidRPr="008F16A6">
              <w:t xml:space="preserve">POC’s positions were </w:t>
            </w:r>
            <w:r w:rsidRPr="008F16A6">
              <w:t>generally uniqu</w:t>
            </w:r>
            <w:r w:rsidR="00765A24" w:rsidRPr="008F16A6">
              <w:t>e from</w:t>
            </w:r>
            <w:r w:rsidRPr="008F16A6">
              <w:t xml:space="preserve"> the majority of other </w:t>
            </w:r>
            <w:proofErr w:type="spellStart"/>
            <w:r w:rsidR="00892AC9" w:rsidRPr="008F16A6">
              <w:t>intervenors</w:t>
            </w:r>
            <w:proofErr w:type="spellEnd"/>
            <w:r w:rsidR="00892AC9" w:rsidRPr="008F16A6">
              <w:t xml:space="preserve">, including other environmental advocacy </w:t>
            </w:r>
            <w:r w:rsidR="00187F7B" w:rsidRPr="008F16A6">
              <w:t>organizations</w:t>
            </w:r>
            <w:r w:rsidRPr="008F16A6">
              <w:t xml:space="preserve">.  Thus, while POC made attempts to coordinate with other </w:t>
            </w:r>
            <w:proofErr w:type="spellStart"/>
            <w:r w:rsidR="00892AC9" w:rsidRPr="008F16A6">
              <w:t>intervenors</w:t>
            </w:r>
            <w:proofErr w:type="spellEnd"/>
            <w:r w:rsidRPr="008F16A6">
              <w:t xml:space="preserve">, ultimately </w:t>
            </w:r>
            <w:r w:rsidR="00222FD4" w:rsidRPr="008F16A6">
              <w:t xml:space="preserve">such </w:t>
            </w:r>
            <w:r w:rsidRPr="008F16A6">
              <w:t>coordination was</w:t>
            </w:r>
            <w:r w:rsidR="00187F7B" w:rsidRPr="008F16A6">
              <w:t>, for the most part,</w:t>
            </w:r>
            <w:r w:rsidRPr="008F16A6">
              <w:t xml:space="preserve"> </w:t>
            </w:r>
            <w:r w:rsidR="00AE37F0" w:rsidRPr="008F16A6">
              <w:t xml:space="preserve">not possible </w:t>
            </w:r>
            <w:r w:rsidR="00187F7B" w:rsidRPr="008F16A6">
              <w:t xml:space="preserve">due to the differing approaches and positions of the </w:t>
            </w:r>
            <w:proofErr w:type="spellStart"/>
            <w:r w:rsidR="00187F7B" w:rsidRPr="008F16A6">
              <w:t>intervenors</w:t>
            </w:r>
            <w:proofErr w:type="spellEnd"/>
            <w:r w:rsidR="00187F7B" w:rsidRPr="008F16A6">
              <w:t>.  Such coordinat</w:t>
            </w:r>
            <w:r w:rsidR="00765A24" w:rsidRPr="008F16A6">
              <w:t>ion</w:t>
            </w:r>
            <w:r w:rsidR="00187F7B" w:rsidRPr="008F16A6">
              <w:t xml:space="preserve"> was </w:t>
            </w:r>
            <w:r w:rsidRPr="008F16A6">
              <w:t xml:space="preserve">not needed </w:t>
            </w:r>
            <w:r w:rsidR="00222FD4" w:rsidRPr="008F16A6">
              <w:t xml:space="preserve">to </w:t>
            </w:r>
            <w:r w:rsidRPr="008F16A6">
              <w:t xml:space="preserve">prevent </w:t>
            </w:r>
            <w:r w:rsidR="006A0181" w:rsidRPr="008F16A6">
              <w:t>duplication of efforts because POC</w:t>
            </w:r>
            <w:r w:rsidR="00AE37F0" w:rsidRPr="008F16A6">
              <w:t xml:space="preserve">’s </w:t>
            </w:r>
            <w:r w:rsidR="00765A24" w:rsidRPr="008F16A6">
              <w:t>arguments and efforts</w:t>
            </w:r>
            <w:r w:rsidR="00AE37F0" w:rsidRPr="008F16A6">
              <w:t xml:space="preserve"> </w:t>
            </w:r>
            <w:r w:rsidR="006A0181" w:rsidRPr="008F16A6">
              <w:t>were not duplica</w:t>
            </w:r>
            <w:r w:rsidR="00892AC9" w:rsidRPr="008F16A6">
              <w:t xml:space="preserve">tive of </w:t>
            </w:r>
            <w:r w:rsidR="00222FD4" w:rsidRPr="008F16A6">
              <w:t xml:space="preserve">other </w:t>
            </w:r>
            <w:proofErr w:type="spellStart"/>
            <w:r w:rsidR="00892AC9" w:rsidRPr="008F16A6">
              <w:t>intervenors</w:t>
            </w:r>
            <w:proofErr w:type="spellEnd"/>
            <w:r w:rsidR="006A0181" w:rsidRPr="008F16A6">
              <w:t>.</w:t>
            </w:r>
          </w:p>
          <w:p w14:paraId="4EADC86A" w14:textId="6A967321" w:rsidR="00791F1A" w:rsidRPr="008F16A6" w:rsidRDefault="006A0181" w:rsidP="00791F1A">
            <w:pPr>
              <w:autoSpaceDE w:val="0"/>
              <w:autoSpaceDN w:val="0"/>
              <w:adjustRightInd w:val="0"/>
            </w:pPr>
            <w:r w:rsidRPr="008F16A6">
              <w:t xml:space="preserve"> </w:t>
            </w:r>
          </w:p>
          <w:p w14:paraId="76CE2C61" w14:textId="4DC5BD7D" w:rsidR="00222FD4" w:rsidRPr="008F16A6" w:rsidRDefault="006A0181" w:rsidP="00D0345E">
            <w:pPr>
              <w:autoSpaceDE w:val="0"/>
              <w:autoSpaceDN w:val="0"/>
              <w:adjustRightInd w:val="0"/>
              <w:rPr>
                <w:color w:val="000000"/>
              </w:rPr>
            </w:pPr>
            <w:r w:rsidRPr="008F16A6">
              <w:t xml:space="preserve">For example, </w:t>
            </w:r>
            <w:r w:rsidR="00D0345E" w:rsidRPr="008F16A6">
              <w:t xml:space="preserve">POC took a </w:t>
            </w:r>
            <w:r w:rsidRPr="008F16A6">
              <w:t>unique</w:t>
            </w:r>
            <w:r w:rsidR="00D0345E" w:rsidRPr="008F16A6">
              <w:t xml:space="preserve"> role</w:t>
            </w:r>
            <w:r w:rsidRPr="008F16A6">
              <w:t xml:space="preserve"> in arguing for improvements to the process </w:t>
            </w:r>
            <w:r w:rsidR="00222FD4" w:rsidRPr="008F16A6">
              <w:t>used to develop</w:t>
            </w:r>
            <w:r w:rsidRPr="008F16A6">
              <w:t xml:space="preserve"> the </w:t>
            </w:r>
            <w:r w:rsidR="00D0345E" w:rsidRPr="008F16A6">
              <w:t>RESOLVE model</w:t>
            </w:r>
            <w:r w:rsidR="00AE37F0" w:rsidRPr="008F16A6">
              <w:t xml:space="preserve"> and</w:t>
            </w:r>
            <w:r w:rsidRPr="008F16A6">
              <w:t xml:space="preserve"> </w:t>
            </w:r>
            <w:r w:rsidR="00D0345E" w:rsidRPr="008F16A6">
              <w:rPr>
                <w:color w:val="000000"/>
              </w:rPr>
              <w:t xml:space="preserve">POC took the lead on advocating against early </w:t>
            </w:r>
            <w:r w:rsidR="00222FD4" w:rsidRPr="008F16A6">
              <w:rPr>
                <w:color w:val="000000"/>
              </w:rPr>
              <w:t xml:space="preserve">procurement </w:t>
            </w:r>
            <w:r w:rsidR="00D0345E" w:rsidRPr="008F16A6">
              <w:rPr>
                <w:color w:val="000000"/>
              </w:rPr>
              <w:t xml:space="preserve">and procurement of </w:t>
            </w:r>
            <w:r w:rsidR="00D0345E" w:rsidRPr="008F16A6">
              <w:t xml:space="preserve">out-of-state wind resources.  </w:t>
            </w:r>
          </w:p>
          <w:p w14:paraId="27C27171" w14:textId="77777777" w:rsidR="00892AC9" w:rsidRPr="008F16A6" w:rsidRDefault="00892AC9" w:rsidP="00791F1A">
            <w:pPr>
              <w:autoSpaceDE w:val="0"/>
              <w:autoSpaceDN w:val="0"/>
              <w:adjustRightInd w:val="0"/>
            </w:pPr>
          </w:p>
          <w:p w14:paraId="1FDF45A1" w14:textId="3B24F53A" w:rsidR="00D0345E" w:rsidRPr="008F16A6" w:rsidRDefault="00AE37F0" w:rsidP="00791F1A">
            <w:pPr>
              <w:autoSpaceDE w:val="0"/>
              <w:autoSpaceDN w:val="0"/>
              <w:adjustRightInd w:val="0"/>
            </w:pPr>
            <w:r w:rsidRPr="008F16A6">
              <w:t>In the rare cases w</w:t>
            </w:r>
            <w:r w:rsidR="00D0345E" w:rsidRPr="008F16A6">
              <w:t xml:space="preserve">here overlap </w:t>
            </w:r>
            <w:r w:rsidRPr="008F16A6">
              <w:t xml:space="preserve">of positions </w:t>
            </w:r>
            <w:r w:rsidR="00D0345E" w:rsidRPr="008F16A6">
              <w:t xml:space="preserve">occurred, POC acknowledged this in its comments and did not spend </w:t>
            </w:r>
            <w:r w:rsidR="00892AC9" w:rsidRPr="008F16A6">
              <w:t xml:space="preserve">an </w:t>
            </w:r>
            <w:r w:rsidR="00D0345E" w:rsidRPr="008F16A6">
              <w:t>unduly</w:t>
            </w:r>
            <w:r w:rsidR="00892AC9" w:rsidRPr="008F16A6">
              <w:t xml:space="preserve"> amount of</w:t>
            </w:r>
            <w:r w:rsidR="00D0345E" w:rsidRPr="008F16A6">
              <w:t xml:space="preserve"> time making arguments that were sufficiently made by other parties.  (See POC Reply Comment On Proposed Reference System Plan </w:t>
            </w:r>
            <w:proofErr w:type="gramStart"/>
            <w:r w:rsidR="00D0345E" w:rsidRPr="008F16A6">
              <w:t>And</w:t>
            </w:r>
            <w:proofErr w:type="gramEnd"/>
            <w:r w:rsidR="00D0345E" w:rsidRPr="008F16A6">
              <w:t xml:space="preserve"> Related Commission Policy at p. 4.)</w:t>
            </w:r>
          </w:p>
          <w:p w14:paraId="5196A2E5" w14:textId="77777777" w:rsidR="00D0345E" w:rsidRPr="008F16A6" w:rsidRDefault="00D0345E" w:rsidP="00791F1A">
            <w:pPr>
              <w:autoSpaceDE w:val="0"/>
              <w:autoSpaceDN w:val="0"/>
              <w:adjustRightInd w:val="0"/>
            </w:pPr>
          </w:p>
          <w:p w14:paraId="791504C0" w14:textId="0B190D30" w:rsidR="00F51AC6" w:rsidRPr="008F16A6" w:rsidRDefault="00844AE1" w:rsidP="006A653E">
            <w:pPr>
              <w:autoSpaceDE w:val="0"/>
              <w:autoSpaceDN w:val="0"/>
              <w:adjustRightInd w:val="0"/>
            </w:pPr>
            <w:r w:rsidRPr="008F16A6">
              <w:t>For these reasons, the Commission should find no undue</w:t>
            </w:r>
            <w:r w:rsidR="00F71E2A" w:rsidRPr="008F16A6">
              <w:t xml:space="preserve"> </w:t>
            </w:r>
            <w:r w:rsidRPr="008F16A6">
              <w:t>duplication between POC’s participation</w:t>
            </w:r>
            <w:r w:rsidR="00492D19" w:rsidRPr="008F16A6">
              <w:t xml:space="preserve"> and </w:t>
            </w:r>
            <w:r w:rsidR="00AE37F0" w:rsidRPr="008F16A6">
              <w:t xml:space="preserve">other </w:t>
            </w:r>
            <w:proofErr w:type="spellStart"/>
            <w:r w:rsidR="00892AC9" w:rsidRPr="008F16A6">
              <w:t>intervenors</w:t>
            </w:r>
            <w:proofErr w:type="spellEnd"/>
            <w:r w:rsidR="00892AC9" w:rsidRPr="008F16A6">
              <w:t>.</w:t>
            </w:r>
          </w:p>
          <w:p w14:paraId="3228BB07" w14:textId="77777777" w:rsidR="00F51AC6" w:rsidRPr="008F16A6" w:rsidRDefault="00F51AC6" w:rsidP="00691528">
            <w:pPr>
              <w:tabs>
                <w:tab w:val="left" w:pos="360"/>
              </w:tabs>
              <w:ind w:left="360" w:hanging="360"/>
              <w:rPr>
                <w:color w:val="000000"/>
                <w:highlight w:val="yellow"/>
              </w:rPr>
            </w:pPr>
          </w:p>
        </w:tc>
        <w:tc>
          <w:tcPr>
            <w:tcW w:w="1620" w:type="dxa"/>
            <w:shd w:val="clear" w:color="auto" w:fill="auto"/>
          </w:tcPr>
          <w:p w14:paraId="5F9BBA55" w14:textId="7D77DEF1" w:rsidR="00A92D0B" w:rsidRPr="002C5FE7" w:rsidRDefault="008E2518" w:rsidP="00A92D0B">
            <w:pPr>
              <w:tabs>
                <w:tab w:val="left" w:pos="360"/>
              </w:tabs>
              <w:spacing w:before="120"/>
              <w:ind w:left="360" w:hanging="360"/>
              <w:rPr>
                <w:color w:val="000000"/>
              </w:rPr>
            </w:pPr>
            <w:r>
              <w:rPr>
                <w:color w:val="000000"/>
              </w:rPr>
              <w:lastRenderedPageBreak/>
              <w:t>Noted</w:t>
            </w:r>
          </w:p>
        </w:tc>
      </w:tr>
    </w:tbl>
    <w:p w14:paraId="11D0EE8D" w14:textId="2B9AFBF0" w:rsidR="00A92D0B" w:rsidRPr="002C5FE7" w:rsidRDefault="00A92D0B">
      <w:pPr>
        <w:tabs>
          <w:tab w:val="left" w:pos="1440"/>
        </w:tabs>
        <w:rPr>
          <w:color w:val="000000"/>
        </w:rPr>
      </w:pPr>
    </w:p>
    <w:p w14:paraId="175C3F89" w14:textId="5CCD313A" w:rsidR="00B312DA" w:rsidRPr="002C5FE7" w:rsidRDefault="00A92D0B" w:rsidP="008F16A6">
      <w:pPr>
        <w:tabs>
          <w:tab w:val="left" w:pos="1260"/>
        </w:tabs>
        <w:ind w:left="1260" w:hanging="1260"/>
        <w:rPr>
          <w:b/>
          <w:color w:val="000000"/>
        </w:rPr>
      </w:pPr>
      <w:r w:rsidRPr="002C5FE7">
        <w:rPr>
          <w:b/>
          <w:color w:val="000000"/>
        </w:rPr>
        <w:t>PART III:</w:t>
      </w:r>
      <w:r w:rsidRPr="002C5FE7">
        <w:rPr>
          <w:b/>
          <w:color w:val="000000"/>
        </w:rPr>
        <w:tab/>
        <w:t>REASONABLENESS OF REQUESTED COMPENSATION</w:t>
      </w:r>
      <w:r w:rsidR="008F16A6">
        <w:rPr>
          <w:b/>
          <w:color w:val="000000"/>
        </w:rPr>
        <w:t>:</w:t>
      </w:r>
    </w:p>
    <w:p w14:paraId="5C02B8B5" w14:textId="6945B21E" w:rsidR="00A92D0B" w:rsidRPr="008F16A6" w:rsidRDefault="00A92D0B">
      <w:pPr>
        <w:rPr>
          <w:color w:val="000000"/>
        </w:rPr>
      </w:pPr>
    </w:p>
    <w:p w14:paraId="6F74DAE2" w14:textId="77777777" w:rsidR="00A92D0B" w:rsidRPr="008F16A6" w:rsidRDefault="00A92D0B">
      <w:pPr>
        <w:numPr>
          <w:ilvl w:val="0"/>
          <w:numId w:val="2"/>
        </w:numPr>
        <w:tabs>
          <w:tab w:val="clear" w:pos="900"/>
          <w:tab w:val="num" w:pos="360"/>
        </w:tabs>
        <w:spacing w:after="120"/>
        <w:ind w:left="360"/>
        <w:rPr>
          <w:color w:val="000000"/>
        </w:rPr>
      </w:pPr>
      <w:r w:rsidRPr="008F16A6">
        <w:rPr>
          <w:color w:val="000000"/>
        </w:rPr>
        <w:t xml:space="preserve">General Claim of Reasonableness </w:t>
      </w:r>
      <w:r w:rsidR="00F30DA8" w:rsidRPr="008F16A6">
        <w:rPr>
          <w:color w:val="000000"/>
        </w:rPr>
        <w:t xml:space="preserve">(§ </w:t>
      </w:r>
      <w:r w:rsidRPr="008F16A6">
        <w:rPr>
          <w:color w:val="000000"/>
        </w:rPr>
        <w:t xml:space="preserve">1801 </w:t>
      </w:r>
      <w:r w:rsidR="00F30DA8" w:rsidRPr="008F16A6">
        <w:rPr>
          <w:color w:val="000000"/>
        </w:rPr>
        <w:t>and §</w:t>
      </w:r>
      <w:r w:rsidR="0022302F" w:rsidRPr="008F16A6">
        <w:rPr>
          <w:color w:val="000000"/>
        </w:rPr>
        <w:t xml:space="preserve"> 1806)</w:t>
      </w:r>
      <w:r w:rsidR="00C02649" w:rsidRPr="008F16A6">
        <w:rPr>
          <w:color w:val="000000"/>
        </w:rPr>
        <w:t>:</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5"/>
        <w:gridCol w:w="1620"/>
      </w:tblGrid>
      <w:tr w:rsidR="00FE3BAE" w:rsidRPr="002C5FE7" w14:paraId="4078AC87" w14:textId="77777777" w:rsidTr="00672E9B">
        <w:tc>
          <w:tcPr>
            <w:tcW w:w="6925" w:type="dxa"/>
            <w:tcBorders>
              <w:bottom w:val="single" w:sz="4" w:space="0" w:color="auto"/>
            </w:tcBorders>
            <w:shd w:val="clear" w:color="auto" w:fill="D9D9D9" w:themeFill="background1" w:themeFillShade="D9"/>
          </w:tcPr>
          <w:p w14:paraId="70FDF5DA" w14:textId="77777777" w:rsidR="00FE3BAE" w:rsidRPr="008F16A6" w:rsidRDefault="00FE3BAE">
            <w:pPr>
              <w:rPr>
                <w:color w:val="000000"/>
              </w:rPr>
            </w:pPr>
          </w:p>
        </w:tc>
        <w:tc>
          <w:tcPr>
            <w:tcW w:w="1620" w:type="dxa"/>
            <w:shd w:val="clear" w:color="auto" w:fill="D9D9D9" w:themeFill="background1" w:themeFillShade="D9"/>
          </w:tcPr>
          <w:p w14:paraId="59CD9FCF" w14:textId="77777777" w:rsidR="00FE3BAE" w:rsidRPr="008F16A6" w:rsidRDefault="00FE3BAE" w:rsidP="006E2498">
            <w:pPr>
              <w:spacing w:before="120"/>
              <w:rPr>
                <w:color w:val="000000"/>
              </w:rPr>
            </w:pPr>
            <w:r w:rsidRPr="008F16A6">
              <w:rPr>
                <w:color w:val="000000"/>
              </w:rPr>
              <w:t>CPUC Discussion</w:t>
            </w:r>
          </w:p>
        </w:tc>
      </w:tr>
      <w:tr w:rsidR="00FE3BAE" w:rsidRPr="002C5FE7" w14:paraId="5708510E" w14:textId="77777777" w:rsidTr="00672E9B">
        <w:tc>
          <w:tcPr>
            <w:tcW w:w="6925" w:type="dxa"/>
            <w:tcBorders>
              <w:bottom w:val="single" w:sz="4" w:space="0" w:color="auto"/>
            </w:tcBorders>
            <w:shd w:val="clear" w:color="auto" w:fill="auto"/>
          </w:tcPr>
          <w:p w14:paraId="707F9932" w14:textId="2F2A488B" w:rsidR="00FE3BAE" w:rsidRPr="008F16A6" w:rsidRDefault="00FE3BAE" w:rsidP="000F6364">
            <w:pPr>
              <w:pStyle w:val="ListParagraph"/>
              <w:numPr>
                <w:ilvl w:val="0"/>
                <w:numId w:val="11"/>
              </w:numPr>
              <w:rPr>
                <w:rFonts w:ascii="Times New Roman" w:hAnsi="Times New Roman"/>
                <w:color w:val="000000"/>
                <w:sz w:val="24"/>
                <w:szCs w:val="24"/>
              </w:rPr>
            </w:pPr>
            <w:proofErr w:type="spellStart"/>
            <w:r w:rsidRPr="008F16A6">
              <w:rPr>
                <w:rFonts w:ascii="Times New Roman" w:hAnsi="Times New Roman"/>
                <w:color w:val="000000"/>
                <w:sz w:val="24"/>
                <w:szCs w:val="24"/>
              </w:rPr>
              <w:t>Intervenor’s</w:t>
            </w:r>
            <w:proofErr w:type="spellEnd"/>
            <w:r w:rsidRPr="008F16A6">
              <w:rPr>
                <w:rFonts w:ascii="Times New Roman" w:hAnsi="Times New Roman"/>
                <w:color w:val="000000"/>
                <w:sz w:val="24"/>
                <w:szCs w:val="24"/>
              </w:rPr>
              <w:t xml:space="preserve"> claim of cost reasonableness:</w:t>
            </w:r>
            <w:r w:rsidR="00E25078" w:rsidRPr="008F16A6">
              <w:rPr>
                <w:rFonts w:ascii="Times New Roman" w:hAnsi="Times New Roman"/>
                <w:color w:val="000000"/>
                <w:sz w:val="24"/>
                <w:szCs w:val="24"/>
              </w:rPr>
              <w:t xml:space="preserve"> </w:t>
            </w:r>
          </w:p>
          <w:p w14:paraId="42ED92EC" w14:textId="77777777" w:rsidR="000F6364" w:rsidRPr="002C5FE7" w:rsidRDefault="000F6364" w:rsidP="000F6364">
            <w:pPr>
              <w:pStyle w:val="ListParagraph"/>
              <w:rPr>
                <w:rFonts w:ascii="Times New Roman" w:hAnsi="Times New Roman"/>
                <w:color w:val="000000"/>
                <w:sz w:val="24"/>
                <w:szCs w:val="24"/>
              </w:rPr>
            </w:pPr>
          </w:p>
          <w:p w14:paraId="2BEFE4F5" w14:textId="5B1B9106" w:rsidR="000F0956" w:rsidRDefault="000F0956" w:rsidP="000F0956">
            <w:pPr>
              <w:autoSpaceDE w:val="0"/>
              <w:autoSpaceDN w:val="0"/>
              <w:adjustRightInd w:val="0"/>
              <w:rPr>
                <w:rFonts w:ascii="TimesNewRomanPSMT" w:hAnsi="TimesNewRomanPSMT" w:cs="TimesNewRomanPSMT"/>
              </w:rPr>
            </w:pPr>
            <w:r>
              <w:rPr>
                <w:rFonts w:ascii="TimesNewRomanPSMT" w:hAnsi="TimesNewRomanPSMT" w:cs="TimesNewRomanPSMT"/>
              </w:rPr>
              <w:t xml:space="preserve">POC’s advocacy, reflected in its request for compensation of </w:t>
            </w:r>
            <w:r w:rsidR="00765A24" w:rsidRPr="00324E42">
              <w:rPr>
                <w:color w:val="000000"/>
              </w:rPr>
              <w:t>$63,389.00</w:t>
            </w:r>
            <w:r>
              <w:rPr>
                <w:rFonts w:ascii="TimesNewRomanPSMT" w:hAnsi="TimesNewRomanPSMT" w:cs="TimesNewRomanPSMT"/>
              </w:rPr>
              <w:t>,</w:t>
            </w:r>
          </w:p>
          <w:p w14:paraId="19038937" w14:textId="0E602669" w:rsidR="000F0956" w:rsidRDefault="00765A24" w:rsidP="000F0956">
            <w:pPr>
              <w:autoSpaceDE w:val="0"/>
              <w:autoSpaceDN w:val="0"/>
              <w:adjustRightInd w:val="0"/>
              <w:rPr>
                <w:rFonts w:ascii="TimesNewRomanPSMT" w:hAnsi="TimesNewRomanPSMT" w:cs="TimesNewRomanPSMT"/>
              </w:rPr>
            </w:pPr>
            <w:r>
              <w:rPr>
                <w:rFonts w:ascii="TimesNewRomanPSMT" w:hAnsi="TimesNewRomanPSMT" w:cs="TimesNewRomanPSMT"/>
              </w:rPr>
              <w:t>s</w:t>
            </w:r>
            <w:r w:rsidR="00187F7B">
              <w:rPr>
                <w:rFonts w:ascii="TimesNewRomanPSMT" w:hAnsi="TimesNewRomanPSMT" w:cs="TimesNewRomanPSMT"/>
              </w:rPr>
              <w:t xml:space="preserve">ubstantially </w:t>
            </w:r>
            <w:r w:rsidR="000F0956">
              <w:rPr>
                <w:rFonts w:ascii="TimesNewRomanPSMT" w:hAnsi="TimesNewRomanPSMT" w:cs="TimesNewRomanPSMT"/>
              </w:rPr>
              <w:t xml:space="preserve">contributed to </w:t>
            </w:r>
            <w:r w:rsidR="00BA0FA0">
              <w:rPr>
                <w:rFonts w:ascii="TimesNewRomanPSMT" w:hAnsi="TimesNewRomanPSMT" w:cs="TimesNewRomanPSMT"/>
              </w:rPr>
              <w:t xml:space="preserve">a </w:t>
            </w:r>
            <w:r>
              <w:rPr>
                <w:rFonts w:ascii="TimesNewRomanPSMT" w:hAnsi="TimesNewRomanPSMT" w:cs="TimesNewRomanPSMT"/>
              </w:rPr>
              <w:t>d</w:t>
            </w:r>
            <w:r w:rsidR="00BA0FA0">
              <w:rPr>
                <w:rFonts w:ascii="TimesNewRomanPSMT" w:hAnsi="TimesNewRomanPSMT" w:cs="TimesNewRomanPSMT"/>
              </w:rPr>
              <w:t xml:space="preserve">ecision that will impact all </w:t>
            </w:r>
            <w:r w:rsidR="00187F7B">
              <w:rPr>
                <w:rFonts w:ascii="TimesNewRomanPSMT" w:hAnsi="TimesNewRomanPSMT" w:cs="TimesNewRomanPSMT"/>
              </w:rPr>
              <w:t>of California’s</w:t>
            </w:r>
            <w:r w:rsidR="000F0956">
              <w:rPr>
                <w:rFonts w:ascii="TimesNewRomanPSMT" w:hAnsi="TimesNewRomanPSMT" w:cs="TimesNewRomanPSMT"/>
              </w:rPr>
              <w:t xml:space="preserve"> </w:t>
            </w:r>
            <w:r w:rsidR="00E35D4E">
              <w:rPr>
                <w:rFonts w:ascii="TimesNewRomanPSMT" w:hAnsi="TimesNewRomanPSMT" w:cs="TimesNewRomanPSMT"/>
              </w:rPr>
              <w:t>ratepayers and resident</w:t>
            </w:r>
            <w:r w:rsidR="00187F7B">
              <w:rPr>
                <w:rFonts w:ascii="TimesNewRomanPSMT" w:hAnsi="TimesNewRomanPSMT" w:cs="TimesNewRomanPSMT"/>
              </w:rPr>
              <w:t>s, the state’s environment, and the world’s climate</w:t>
            </w:r>
            <w:r w:rsidR="00E35D4E">
              <w:rPr>
                <w:rFonts w:ascii="TimesNewRomanPSMT" w:hAnsi="TimesNewRomanPSMT" w:cs="TimesNewRomanPSMT"/>
              </w:rPr>
              <w:t xml:space="preserve">. </w:t>
            </w:r>
            <w:r w:rsidR="000F0956">
              <w:rPr>
                <w:rFonts w:ascii="TimesNewRomanPSMT" w:hAnsi="TimesNewRomanPSMT" w:cs="TimesNewRomanPSMT"/>
              </w:rPr>
              <w:t>The resources POC expended to secure this result are</w:t>
            </w:r>
            <w:r w:rsidR="00187F7B">
              <w:rPr>
                <w:rFonts w:ascii="TimesNewRomanPSMT" w:hAnsi="TimesNewRomanPSMT" w:cs="TimesNewRomanPSMT"/>
              </w:rPr>
              <w:t xml:space="preserve"> </w:t>
            </w:r>
            <w:r w:rsidR="000F0956">
              <w:rPr>
                <w:rFonts w:ascii="TimesNewRomanPSMT" w:hAnsi="TimesNewRomanPSMT" w:cs="TimesNewRomanPSMT"/>
              </w:rPr>
              <w:t xml:space="preserve">minimal relative to the resulting </w:t>
            </w:r>
            <w:r w:rsidR="00187F7B">
              <w:rPr>
                <w:rFonts w:ascii="TimesNewRomanPSMT" w:hAnsi="TimesNewRomanPSMT" w:cs="TimesNewRomanPSMT"/>
              </w:rPr>
              <w:t>impacts.</w:t>
            </w:r>
          </w:p>
          <w:p w14:paraId="3A1A11F0" w14:textId="77777777" w:rsidR="000F0956" w:rsidRDefault="000F0956" w:rsidP="000F0956">
            <w:pPr>
              <w:autoSpaceDE w:val="0"/>
              <w:autoSpaceDN w:val="0"/>
              <w:adjustRightInd w:val="0"/>
              <w:rPr>
                <w:color w:val="000000"/>
              </w:rPr>
            </w:pPr>
          </w:p>
          <w:p w14:paraId="313E9DBB" w14:textId="36BAB430" w:rsidR="00222FD4" w:rsidRDefault="009532AD" w:rsidP="00B325AA">
            <w:pPr>
              <w:autoSpaceDE w:val="0"/>
              <w:autoSpaceDN w:val="0"/>
              <w:adjustRightInd w:val="0"/>
            </w:pPr>
            <w:r w:rsidRPr="002C5FE7">
              <w:rPr>
                <w:color w:val="000000"/>
              </w:rPr>
              <w:t>POC’s</w:t>
            </w:r>
            <w:r w:rsidRPr="002C5FE7">
              <w:t xml:space="preserve"> costs </w:t>
            </w:r>
            <w:r w:rsidR="007C2643" w:rsidRPr="002C5FE7">
              <w:t>are</w:t>
            </w:r>
            <w:r w:rsidRPr="002C5FE7">
              <w:t xml:space="preserve"> </w:t>
            </w:r>
            <w:r w:rsidR="007C2643" w:rsidRPr="002C5FE7">
              <w:t xml:space="preserve">reasonable in light of the amount of time, resources, and effort POC put into the proceeding as a </w:t>
            </w:r>
            <w:r w:rsidR="007C2643" w:rsidRPr="00222903">
              <w:t xml:space="preserve">party. </w:t>
            </w:r>
            <w:r w:rsidR="00222FD4">
              <w:t xml:space="preserve"> </w:t>
            </w:r>
          </w:p>
          <w:p w14:paraId="2B1A1242" w14:textId="031F02FD" w:rsidR="003C134D" w:rsidRPr="002C5FE7" w:rsidRDefault="003C134D">
            <w:pPr>
              <w:autoSpaceDE w:val="0"/>
              <w:autoSpaceDN w:val="0"/>
              <w:adjustRightInd w:val="0"/>
              <w:rPr>
                <w:color w:val="000000"/>
              </w:rPr>
            </w:pPr>
          </w:p>
        </w:tc>
        <w:tc>
          <w:tcPr>
            <w:tcW w:w="1620" w:type="dxa"/>
            <w:shd w:val="clear" w:color="auto" w:fill="auto"/>
          </w:tcPr>
          <w:p w14:paraId="223B4665" w14:textId="244ADC8E" w:rsidR="00FE3BAE" w:rsidRPr="002C5FE7" w:rsidRDefault="00B944AA" w:rsidP="00FE3BAE">
            <w:pPr>
              <w:spacing w:before="120"/>
              <w:rPr>
                <w:color w:val="000000"/>
              </w:rPr>
            </w:pPr>
            <w:r>
              <w:rPr>
                <w:color w:val="000000"/>
              </w:rPr>
              <w:t>Noted</w:t>
            </w:r>
          </w:p>
        </w:tc>
      </w:tr>
      <w:tr w:rsidR="00FE3BAE" w:rsidRPr="002C5FE7" w14:paraId="5548029C" w14:textId="77777777" w:rsidTr="00672E9B">
        <w:tc>
          <w:tcPr>
            <w:tcW w:w="6925" w:type="dxa"/>
            <w:shd w:val="clear" w:color="auto" w:fill="auto"/>
          </w:tcPr>
          <w:p w14:paraId="751A610C" w14:textId="633AF8C4" w:rsidR="00FE3BAE" w:rsidRPr="008F16A6" w:rsidRDefault="00FE3BAE" w:rsidP="0061075B">
            <w:pPr>
              <w:pStyle w:val="ListParagraph"/>
              <w:numPr>
                <w:ilvl w:val="0"/>
                <w:numId w:val="11"/>
              </w:numPr>
              <w:rPr>
                <w:rFonts w:ascii="Times New Roman" w:hAnsi="Times New Roman"/>
                <w:color w:val="000000"/>
                <w:sz w:val="24"/>
                <w:szCs w:val="24"/>
              </w:rPr>
            </w:pPr>
            <w:r w:rsidRPr="008F16A6">
              <w:rPr>
                <w:rFonts w:ascii="Times New Roman" w:hAnsi="Times New Roman"/>
                <w:color w:val="000000"/>
                <w:sz w:val="24"/>
                <w:szCs w:val="24"/>
              </w:rPr>
              <w:t>Reasonableness of hours claimed:</w:t>
            </w:r>
            <w:r w:rsidR="00E25078" w:rsidRPr="008F16A6">
              <w:rPr>
                <w:rFonts w:ascii="Times New Roman" w:hAnsi="Times New Roman"/>
                <w:color w:val="000000"/>
                <w:sz w:val="24"/>
                <w:szCs w:val="24"/>
              </w:rPr>
              <w:t xml:space="preserve"> </w:t>
            </w:r>
          </w:p>
          <w:p w14:paraId="57834D57" w14:textId="77777777" w:rsidR="0061075B" w:rsidRPr="008F16A6" w:rsidRDefault="0061075B" w:rsidP="0061075B">
            <w:pPr>
              <w:pStyle w:val="ListParagraph"/>
              <w:rPr>
                <w:rFonts w:ascii="Times New Roman" w:hAnsi="Times New Roman"/>
                <w:color w:val="000000"/>
                <w:sz w:val="24"/>
                <w:szCs w:val="24"/>
              </w:rPr>
            </w:pPr>
          </w:p>
          <w:p w14:paraId="68C1932A" w14:textId="64F9B60A" w:rsidR="00015505" w:rsidRPr="008F16A6" w:rsidRDefault="00BD13BE" w:rsidP="00222903">
            <w:pPr>
              <w:autoSpaceDE w:val="0"/>
              <w:autoSpaceDN w:val="0"/>
              <w:adjustRightInd w:val="0"/>
            </w:pPr>
            <w:r w:rsidRPr="008F16A6">
              <w:lastRenderedPageBreak/>
              <w:t>POC</w:t>
            </w:r>
            <w:r w:rsidR="00187F7B" w:rsidRPr="008F16A6">
              <w:t xml:space="preserve"> spent a reasonable and prudent amount of time on this matter, working </w:t>
            </w:r>
            <w:r w:rsidRPr="008F16A6">
              <w:t xml:space="preserve">diligently </w:t>
            </w:r>
            <w:r w:rsidR="00187F7B" w:rsidRPr="008F16A6">
              <w:t xml:space="preserve">addressing highly complex and complicated issue in an efficient and expedient manner. </w:t>
            </w:r>
          </w:p>
          <w:p w14:paraId="0A0E456D" w14:textId="608A2563" w:rsidR="00187F7B" w:rsidRPr="008F16A6" w:rsidRDefault="00187F7B" w:rsidP="00222903">
            <w:pPr>
              <w:autoSpaceDE w:val="0"/>
              <w:autoSpaceDN w:val="0"/>
              <w:adjustRightInd w:val="0"/>
            </w:pPr>
          </w:p>
          <w:p w14:paraId="07095969" w14:textId="365A9813" w:rsidR="00691528" w:rsidRPr="008F16A6" w:rsidRDefault="00015505" w:rsidP="00015505">
            <w:pPr>
              <w:autoSpaceDE w:val="0"/>
              <w:autoSpaceDN w:val="0"/>
              <w:adjustRightInd w:val="0"/>
            </w:pPr>
            <w:r w:rsidRPr="008F16A6">
              <w:t>A single</w:t>
            </w:r>
            <w:r w:rsidR="00187F7B" w:rsidRPr="008F16A6">
              <w:t xml:space="preserve"> </w:t>
            </w:r>
            <w:r w:rsidRPr="008F16A6">
              <w:t>attorney</w:t>
            </w:r>
            <w:r w:rsidR="00187F7B" w:rsidRPr="008F16A6">
              <w:t>, experienced in practice before the Commission,</w:t>
            </w:r>
            <w:r w:rsidRPr="008F16A6">
              <w:t xml:space="preserve"> </w:t>
            </w:r>
            <w:r w:rsidR="00222FD4" w:rsidRPr="008F16A6">
              <w:t>drafted all</w:t>
            </w:r>
            <w:r w:rsidR="0005290A" w:rsidRPr="008F16A6">
              <w:t xml:space="preserve"> filings</w:t>
            </w:r>
            <w:r w:rsidR="00222FD4" w:rsidRPr="008F16A6">
              <w:t xml:space="preserve"> with the support of a single </w:t>
            </w:r>
            <w:r w:rsidR="0037198E" w:rsidRPr="008F16A6">
              <w:t>expert</w:t>
            </w:r>
            <w:r w:rsidR="00187F7B" w:rsidRPr="008F16A6">
              <w:t xml:space="preserve"> who has participated in many Commission proceeding</w:t>
            </w:r>
            <w:r w:rsidR="0005290A" w:rsidRPr="008F16A6">
              <w:t>s</w:t>
            </w:r>
            <w:r w:rsidR="00187F7B" w:rsidRPr="008F16A6">
              <w:t xml:space="preserve"> over many years</w:t>
            </w:r>
            <w:r w:rsidR="00974068" w:rsidRPr="008F16A6">
              <w:t>. A</w:t>
            </w:r>
            <w:r w:rsidR="00222FD4" w:rsidRPr="008F16A6">
              <w:t xml:space="preserve"> </w:t>
            </w:r>
            <w:r w:rsidR="00961BDB" w:rsidRPr="008F16A6">
              <w:t xml:space="preserve">legal fellow </w:t>
            </w:r>
            <w:r w:rsidR="00974068" w:rsidRPr="008F16A6">
              <w:t xml:space="preserve">assisted in preparing </w:t>
            </w:r>
            <w:r w:rsidR="00961BDB" w:rsidRPr="008F16A6">
              <w:t xml:space="preserve">the </w:t>
            </w:r>
            <w:proofErr w:type="spellStart"/>
            <w:r w:rsidR="00961BDB" w:rsidRPr="008F16A6">
              <w:t>intervenor</w:t>
            </w:r>
            <w:proofErr w:type="spellEnd"/>
            <w:r w:rsidR="00974068" w:rsidRPr="008F16A6">
              <w:t xml:space="preserve"> compensation</w:t>
            </w:r>
            <w:r w:rsidR="00961BDB" w:rsidRPr="008F16A6">
              <w:t xml:space="preserve"> request</w:t>
            </w:r>
            <w:r w:rsidRPr="008F16A6">
              <w:t xml:space="preserve">. </w:t>
            </w:r>
            <w:r w:rsidR="0005290A" w:rsidRPr="008F16A6">
              <w:t xml:space="preserve"> </w:t>
            </w:r>
            <w:r w:rsidRPr="008F16A6">
              <w:t xml:space="preserve">POC </w:t>
            </w:r>
            <w:r w:rsidR="00187F7B" w:rsidRPr="008F16A6">
              <w:t>thus</w:t>
            </w:r>
            <w:r w:rsidRPr="008F16A6">
              <w:t xml:space="preserve"> leverage</w:t>
            </w:r>
            <w:r w:rsidR="00187F7B" w:rsidRPr="008F16A6">
              <w:t>d</w:t>
            </w:r>
            <w:r w:rsidRPr="008F16A6">
              <w:t xml:space="preserve"> many years of experience and expertise while limiting </w:t>
            </w:r>
            <w:r w:rsidR="00765A24" w:rsidRPr="008F16A6">
              <w:t xml:space="preserve">its </w:t>
            </w:r>
            <w:r w:rsidRPr="008F16A6">
              <w:t>costs</w:t>
            </w:r>
            <w:r w:rsidR="00187F7B" w:rsidRPr="008F16A6">
              <w:t>.</w:t>
            </w:r>
          </w:p>
          <w:p w14:paraId="0CB7BB2F" w14:textId="77777777" w:rsidR="000A7B43" w:rsidRPr="008F16A6" w:rsidRDefault="000A7B43" w:rsidP="00015505">
            <w:pPr>
              <w:autoSpaceDE w:val="0"/>
              <w:autoSpaceDN w:val="0"/>
              <w:adjustRightInd w:val="0"/>
            </w:pPr>
          </w:p>
          <w:p w14:paraId="36651514" w14:textId="59677298" w:rsidR="00B43DB5" w:rsidRPr="008F16A6" w:rsidRDefault="000A057E" w:rsidP="00395DEB">
            <w:pPr>
              <w:autoSpaceDE w:val="0"/>
              <w:autoSpaceDN w:val="0"/>
              <w:adjustRightInd w:val="0"/>
            </w:pPr>
            <w:r w:rsidRPr="008F16A6">
              <w:t xml:space="preserve">Due to the </w:t>
            </w:r>
            <w:r w:rsidR="000A7B43" w:rsidRPr="008F16A6">
              <w:t>convoluted</w:t>
            </w:r>
            <w:r w:rsidR="00E73217" w:rsidRPr="008F16A6">
              <w:t xml:space="preserve"> and multi-faceted</w:t>
            </w:r>
            <w:r w:rsidR="000A7B43" w:rsidRPr="008F16A6">
              <w:t xml:space="preserve"> nature of this proceeding</w:t>
            </w:r>
            <w:r w:rsidR="0071646B" w:rsidRPr="008F16A6">
              <w:t>, this proceeding</w:t>
            </w:r>
            <w:r w:rsidR="00765A24" w:rsidRPr="008F16A6">
              <w:t xml:space="preserve">, </w:t>
            </w:r>
            <w:r w:rsidR="00C5234A" w:rsidRPr="008F16A6">
              <w:t xml:space="preserve">a typical law firm </w:t>
            </w:r>
            <w:r w:rsidR="00765A24" w:rsidRPr="008F16A6">
              <w:t xml:space="preserve">would have </w:t>
            </w:r>
            <w:proofErr w:type="spellStart"/>
            <w:r w:rsidR="00765A24" w:rsidRPr="008F16A6">
              <w:t>expended</w:t>
            </w:r>
            <w:proofErr w:type="spellEnd"/>
            <w:r w:rsidR="00765A24" w:rsidRPr="008F16A6">
              <w:t xml:space="preserve"> </w:t>
            </w:r>
            <w:r w:rsidR="0071646B" w:rsidRPr="008F16A6">
              <w:t xml:space="preserve">significantly more resources than </w:t>
            </w:r>
            <w:r w:rsidR="00187F7B" w:rsidRPr="008F16A6">
              <w:t>that spent by</w:t>
            </w:r>
            <w:r w:rsidR="00552258" w:rsidRPr="008F16A6">
              <w:t xml:space="preserve"> POC.</w:t>
            </w:r>
            <w:r w:rsidR="00395DEB" w:rsidRPr="008F16A6">
              <w:t xml:space="preserve">  </w:t>
            </w:r>
          </w:p>
          <w:p w14:paraId="4C401FF6" w14:textId="77777777" w:rsidR="00B43DB5" w:rsidRPr="008F16A6" w:rsidRDefault="00B43DB5" w:rsidP="00395DEB">
            <w:pPr>
              <w:autoSpaceDE w:val="0"/>
              <w:autoSpaceDN w:val="0"/>
              <w:adjustRightInd w:val="0"/>
            </w:pPr>
          </w:p>
          <w:p w14:paraId="55A13A14" w14:textId="5EE68318" w:rsidR="000A7B43" w:rsidRPr="008F16A6" w:rsidRDefault="00395DEB" w:rsidP="00395DEB">
            <w:pPr>
              <w:autoSpaceDE w:val="0"/>
              <w:autoSpaceDN w:val="0"/>
              <w:adjustRightInd w:val="0"/>
            </w:pPr>
            <w:r w:rsidRPr="008F16A6">
              <w:t xml:space="preserve">All of the hours claimed in this request were reasonably necessary </w:t>
            </w:r>
            <w:r w:rsidR="00E06977" w:rsidRPr="008F16A6">
              <w:t xml:space="preserve">to the </w:t>
            </w:r>
            <w:r w:rsidRPr="008F16A6">
              <w:t>achievement of POC’s substantial contributions, and no unnecessary</w:t>
            </w:r>
            <w:r w:rsidR="00E06977" w:rsidRPr="008F16A6">
              <w:t xml:space="preserve"> </w:t>
            </w:r>
            <w:r w:rsidRPr="008F16A6">
              <w:t>duplication of effort is reflected in the attached timesheets.</w:t>
            </w:r>
          </w:p>
          <w:p w14:paraId="694F0B63" w14:textId="54DF56BA" w:rsidR="00974068" w:rsidRPr="008F16A6" w:rsidRDefault="00974068" w:rsidP="00974068">
            <w:pPr>
              <w:autoSpaceDE w:val="0"/>
              <w:autoSpaceDN w:val="0"/>
              <w:adjustRightInd w:val="0"/>
            </w:pPr>
          </w:p>
        </w:tc>
        <w:tc>
          <w:tcPr>
            <w:tcW w:w="1620" w:type="dxa"/>
            <w:shd w:val="clear" w:color="auto" w:fill="auto"/>
          </w:tcPr>
          <w:p w14:paraId="1874D625" w14:textId="3F1D2585" w:rsidR="00FE3BAE" w:rsidRPr="002C5FE7" w:rsidRDefault="00B944AA" w:rsidP="00A92D0B">
            <w:pPr>
              <w:spacing w:before="120"/>
              <w:rPr>
                <w:color w:val="000000"/>
              </w:rPr>
            </w:pPr>
            <w:r>
              <w:rPr>
                <w:color w:val="000000"/>
              </w:rPr>
              <w:lastRenderedPageBreak/>
              <w:t>Noted</w:t>
            </w:r>
          </w:p>
        </w:tc>
      </w:tr>
      <w:tr w:rsidR="00FE3BAE" w:rsidRPr="002C5FE7" w14:paraId="3FD38B74" w14:textId="77777777" w:rsidTr="00672E9B">
        <w:tc>
          <w:tcPr>
            <w:tcW w:w="6925" w:type="dxa"/>
            <w:shd w:val="clear" w:color="auto" w:fill="auto"/>
          </w:tcPr>
          <w:p w14:paraId="46990B37" w14:textId="5D1AE9FE" w:rsidR="00FE3BAE" w:rsidRPr="00672E9B" w:rsidRDefault="00FE3BAE" w:rsidP="007E1E78">
            <w:pPr>
              <w:pStyle w:val="ListParagraph"/>
              <w:numPr>
                <w:ilvl w:val="0"/>
                <w:numId w:val="11"/>
              </w:numPr>
              <w:rPr>
                <w:rFonts w:ascii="Times New Roman" w:hAnsi="Times New Roman"/>
                <w:color w:val="000000"/>
                <w:sz w:val="24"/>
                <w:szCs w:val="24"/>
              </w:rPr>
            </w:pPr>
            <w:r w:rsidRPr="00672E9B">
              <w:rPr>
                <w:rFonts w:ascii="Times New Roman" w:hAnsi="Times New Roman"/>
                <w:color w:val="000000"/>
                <w:sz w:val="24"/>
                <w:szCs w:val="24"/>
              </w:rPr>
              <w:t>Allocation of hours by issue:</w:t>
            </w:r>
            <w:r w:rsidR="00E25078" w:rsidRPr="00672E9B">
              <w:rPr>
                <w:rFonts w:ascii="Times New Roman" w:hAnsi="Times New Roman"/>
                <w:color w:val="000000"/>
                <w:sz w:val="24"/>
                <w:szCs w:val="24"/>
              </w:rPr>
              <w:t xml:space="preserve"> </w:t>
            </w:r>
          </w:p>
          <w:p w14:paraId="71F38E6D" w14:textId="77777777" w:rsidR="00AC0535" w:rsidRPr="002C5FE7" w:rsidRDefault="00AC0535" w:rsidP="00115259">
            <w:pPr>
              <w:autoSpaceDE w:val="0"/>
              <w:autoSpaceDN w:val="0"/>
              <w:adjustRightInd w:val="0"/>
            </w:pPr>
          </w:p>
          <w:p w14:paraId="27ABE475" w14:textId="0EDF746F" w:rsidR="00AC0535" w:rsidRPr="002C5FE7" w:rsidRDefault="00AC0535" w:rsidP="00115259">
            <w:pPr>
              <w:autoSpaceDE w:val="0"/>
              <w:autoSpaceDN w:val="0"/>
              <w:adjustRightInd w:val="0"/>
            </w:pPr>
            <w:r w:rsidRPr="002C5FE7">
              <w:t>Issue A- Disadvantaged Communities</w:t>
            </w:r>
            <w:r w:rsidR="00FA7749">
              <w:t>- 20%</w:t>
            </w:r>
          </w:p>
          <w:p w14:paraId="086835E6" w14:textId="35F35278" w:rsidR="00AC0535" w:rsidRPr="002C5FE7" w:rsidRDefault="00AC0535" w:rsidP="00115259">
            <w:pPr>
              <w:autoSpaceDE w:val="0"/>
              <w:autoSpaceDN w:val="0"/>
              <w:adjustRightInd w:val="0"/>
            </w:pPr>
            <w:r w:rsidRPr="002C5FE7">
              <w:t xml:space="preserve">Issue B- </w:t>
            </w:r>
            <w:r w:rsidR="00974412" w:rsidRPr="002C5FE7">
              <w:t xml:space="preserve">IRP </w:t>
            </w:r>
            <w:r w:rsidR="00C15593">
              <w:t>P</w:t>
            </w:r>
            <w:r w:rsidR="00974412" w:rsidRPr="002C5FE7">
              <w:t>rocess</w:t>
            </w:r>
            <w:r w:rsidR="00604724">
              <w:t>-15%</w:t>
            </w:r>
          </w:p>
          <w:p w14:paraId="4B5FDE62" w14:textId="3481AE25" w:rsidR="008557BA" w:rsidRPr="002C5FE7" w:rsidRDefault="008557BA" w:rsidP="00115259">
            <w:pPr>
              <w:autoSpaceDE w:val="0"/>
              <w:autoSpaceDN w:val="0"/>
              <w:adjustRightInd w:val="0"/>
            </w:pPr>
            <w:r w:rsidRPr="002C5FE7">
              <w:t xml:space="preserve">Issue C- </w:t>
            </w:r>
            <w:r w:rsidR="00193B6B" w:rsidRPr="00193B6B">
              <w:t>RESOLVE Modeling Process and Procedure</w:t>
            </w:r>
            <w:r w:rsidR="00193B6B">
              <w:t>-</w:t>
            </w:r>
            <w:r w:rsidR="006E0E5C">
              <w:t>35</w:t>
            </w:r>
            <w:r w:rsidR="00C0689C">
              <w:t>%</w:t>
            </w:r>
          </w:p>
          <w:p w14:paraId="46C1CB99" w14:textId="6E02A398" w:rsidR="009E784C" w:rsidRPr="002C5FE7" w:rsidRDefault="009E784C" w:rsidP="00115259">
            <w:pPr>
              <w:autoSpaceDE w:val="0"/>
              <w:autoSpaceDN w:val="0"/>
              <w:adjustRightInd w:val="0"/>
            </w:pPr>
            <w:r w:rsidRPr="002C5FE7">
              <w:t>Issue D-</w:t>
            </w:r>
            <w:r w:rsidR="00A8332F" w:rsidRPr="002C5FE7">
              <w:t xml:space="preserve"> GHG Emissions</w:t>
            </w:r>
            <w:r w:rsidR="00193B6B">
              <w:t xml:space="preserve"> </w:t>
            </w:r>
            <w:r w:rsidR="00A8332F" w:rsidRPr="002C5FE7">
              <w:t>2030 Goals</w:t>
            </w:r>
            <w:r w:rsidR="00590135">
              <w:t>-10%</w:t>
            </w:r>
          </w:p>
          <w:p w14:paraId="13AC8945" w14:textId="35C48A58" w:rsidR="009E784C" w:rsidRPr="002C5FE7" w:rsidRDefault="009E784C" w:rsidP="00115259">
            <w:pPr>
              <w:autoSpaceDE w:val="0"/>
              <w:autoSpaceDN w:val="0"/>
              <w:adjustRightInd w:val="0"/>
            </w:pPr>
            <w:r w:rsidRPr="002C5FE7">
              <w:t xml:space="preserve">Issue E- </w:t>
            </w:r>
            <w:r w:rsidR="006C3395" w:rsidRPr="002C5FE7">
              <w:t>Procurement</w:t>
            </w:r>
            <w:r w:rsidR="00EB1F36">
              <w:t>-20</w:t>
            </w:r>
            <w:r w:rsidR="00590135">
              <w:t>%</w:t>
            </w:r>
          </w:p>
          <w:p w14:paraId="3285939A" w14:textId="77777777" w:rsidR="00691528" w:rsidRPr="002C5FE7" w:rsidRDefault="00691528">
            <w:pPr>
              <w:rPr>
                <w:color w:val="000000"/>
              </w:rPr>
            </w:pPr>
          </w:p>
        </w:tc>
        <w:tc>
          <w:tcPr>
            <w:tcW w:w="1620" w:type="dxa"/>
            <w:shd w:val="clear" w:color="auto" w:fill="auto"/>
          </w:tcPr>
          <w:p w14:paraId="497C4799" w14:textId="34519E9C" w:rsidR="00FE3BAE" w:rsidRPr="002C5FE7" w:rsidRDefault="00B944AA" w:rsidP="00A92D0B">
            <w:pPr>
              <w:spacing w:before="120"/>
              <w:rPr>
                <w:color w:val="000000"/>
              </w:rPr>
            </w:pPr>
            <w:r>
              <w:rPr>
                <w:color w:val="000000"/>
              </w:rPr>
              <w:t>Noted</w:t>
            </w:r>
          </w:p>
        </w:tc>
      </w:tr>
    </w:tbl>
    <w:p w14:paraId="3199B6EF" w14:textId="77777777" w:rsidR="00691528" w:rsidRPr="00672E9B" w:rsidRDefault="00691528" w:rsidP="00691528">
      <w:pPr>
        <w:keepNext/>
        <w:keepLines/>
        <w:ind w:left="360"/>
        <w:rPr>
          <w:color w:val="000000"/>
        </w:rPr>
      </w:pPr>
    </w:p>
    <w:p w14:paraId="710BC7D6" w14:textId="77777777" w:rsidR="00A92D0B" w:rsidRPr="00672E9B" w:rsidRDefault="00A92D0B" w:rsidP="00691528">
      <w:pPr>
        <w:keepNext/>
        <w:keepLines/>
        <w:numPr>
          <w:ilvl w:val="0"/>
          <w:numId w:val="2"/>
        </w:numPr>
        <w:tabs>
          <w:tab w:val="clear" w:pos="900"/>
          <w:tab w:val="num" w:pos="360"/>
        </w:tabs>
        <w:spacing w:after="240"/>
        <w:ind w:left="360"/>
        <w:rPr>
          <w:color w:val="000000"/>
        </w:rPr>
      </w:pPr>
      <w:r w:rsidRPr="00672E9B">
        <w:rPr>
          <w:color w:val="000000"/>
        </w:rPr>
        <w:t xml:space="preserve">Specific </w:t>
      </w:r>
      <w:proofErr w:type="gramStart"/>
      <w:r w:rsidRPr="00672E9B">
        <w:rPr>
          <w:color w:val="000000"/>
        </w:rPr>
        <w:t>Claim</w:t>
      </w:r>
      <w:r w:rsidR="00C02649" w:rsidRPr="00672E9B">
        <w:rPr>
          <w:color w:val="000000"/>
        </w:rPr>
        <w:t>:</w:t>
      </w:r>
      <w:r w:rsidR="00D075B1" w:rsidRPr="00672E9B">
        <w:rPr>
          <w:color w:val="000000"/>
        </w:rPr>
        <w:t>*</w:t>
      </w:r>
      <w:proofErr w:type="gramEnd"/>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630"/>
        <w:gridCol w:w="720"/>
        <w:gridCol w:w="113"/>
        <w:gridCol w:w="607"/>
        <w:gridCol w:w="1170"/>
        <w:gridCol w:w="23"/>
        <w:gridCol w:w="1147"/>
        <w:gridCol w:w="900"/>
        <w:gridCol w:w="113"/>
        <w:gridCol w:w="787"/>
        <w:gridCol w:w="1350"/>
      </w:tblGrid>
      <w:tr w:rsidR="00A92D0B" w:rsidRPr="00672E9B" w14:paraId="780664A2" w14:textId="77777777" w:rsidTr="00672E9B">
        <w:tc>
          <w:tcPr>
            <w:tcW w:w="5485" w:type="dxa"/>
            <w:gridSpan w:val="8"/>
            <w:tcBorders>
              <w:bottom w:val="single" w:sz="4" w:space="0" w:color="auto"/>
              <w:right w:val="single" w:sz="24" w:space="0" w:color="auto"/>
            </w:tcBorders>
            <w:shd w:val="clear" w:color="auto" w:fill="auto"/>
          </w:tcPr>
          <w:p w14:paraId="6BFE54DA" w14:textId="77777777" w:rsidR="00A92D0B" w:rsidRPr="00672E9B" w:rsidRDefault="00A92D0B" w:rsidP="00DE3A5D">
            <w:pPr>
              <w:keepNext/>
              <w:keepLines/>
              <w:spacing w:before="60" w:after="60"/>
              <w:jc w:val="center"/>
              <w:rPr>
                <w:smallCaps/>
                <w:color w:val="000000"/>
                <w:sz w:val="20"/>
                <w:szCs w:val="20"/>
              </w:rPr>
            </w:pPr>
            <w:r w:rsidRPr="00672E9B">
              <w:rPr>
                <w:smallCaps/>
                <w:color w:val="000000"/>
                <w:sz w:val="20"/>
                <w:szCs w:val="20"/>
              </w:rPr>
              <w:t>Claimed</w:t>
            </w:r>
          </w:p>
        </w:tc>
        <w:tc>
          <w:tcPr>
            <w:tcW w:w="3150" w:type="dxa"/>
            <w:gridSpan w:val="4"/>
            <w:tcBorders>
              <w:left w:val="single" w:sz="24" w:space="0" w:color="auto"/>
              <w:bottom w:val="single" w:sz="4" w:space="0" w:color="auto"/>
            </w:tcBorders>
            <w:shd w:val="clear" w:color="auto" w:fill="auto"/>
          </w:tcPr>
          <w:p w14:paraId="170A0FA1" w14:textId="77777777" w:rsidR="00A92D0B" w:rsidRPr="00672E9B" w:rsidRDefault="00A92D0B" w:rsidP="00DE3A5D">
            <w:pPr>
              <w:keepNext/>
              <w:keepLines/>
              <w:spacing w:before="60" w:after="60"/>
              <w:jc w:val="center"/>
              <w:rPr>
                <w:smallCaps/>
                <w:color w:val="000000"/>
                <w:sz w:val="20"/>
                <w:szCs w:val="20"/>
              </w:rPr>
            </w:pPr>
            <w:r w:rsidRPr="00672E9B">
              <w:rPr>
                <w:smallCaps/>
                <w:color w:val="000000"/>
                <w:sz w:val="20"/>
                <w:szCs w:val="20"/>
              </w:rPr>
              <w:t>CPUC Award</w:t>
            </w:r>
          </w:p>
        </w:tc>
      </w:tr>
      <w:tr w:rsidR="00A92D0B" w:rsidRPr="00672E9B" w14:paraId="0F5B6CAA" w14:textId="77777777" w:rsidTr="00672E9B">
        <w:tc>
          <w:tcPr>
            <w:tcW w:w="8635" w:type="dxa"/>
            <w:gridSpan w:val="12"/>
            <w:tcBorders>
              <w:top w:val="single" w:sz="4" w:space="0" w:color="auto"/>
              <w:left w:val="single" w:sz="4" w:space="0" w:color="auto"/>
              <w:bottom w:val="single" w:sz="4" w:space="0" w:color="auto"/>
              <w:right w:val="single" w:sz="4" w:space="0" w:color="auto"/>
            </w:tcBorders>
            <w:shd w:val="clear" w:color="auto" w:fill="E6E6E6"/>
          </w:tcPr>
          <w:p w14:paraId="284F9031" w14:textId="77777777" w:rsidR="00A92D0B" w:rsidRPr="00672E9B" w:rsidRDefault="00A92D0B" w:rsidP="00DE3A5D">
            <w:pPr>
              <w:keepNext/>
              <w:keepLines/>
              <w:spacing w:before="60" w:after="60"/>
              <w:jc w:val="center"/>
              <w:rPr>
                <w:sz w:val="20"/>
                <w:szCs w:val="20"/>
              </w:rPr>
            </w:pPr>
            <w:r w:rsidRPr="00672E9B">
              <w:rPr>
                <w:sz w:val="20"/>
                <w:szCs w:val="20"/>
              </w:rPr>
              <w:t>ATTORNEY, EXPERT, AND ADVOCATE FEES</w:t>
            </w:r>
          </w:p>
        </w:tc>
      </w:tr>
      <w:tr w:rsidR="00A92D0B" w:rsidRPr="00672E9B" w14:paraId="5A70C962" w14:textId="77777777" w:rsidTr="00672E9B">
        <w:tc>
          <w:tcPr>
            <w:tcW w:w="1075" w:type="dxa"/>
            <w:tcBorders>
              <w:top w:val="single" w:sz="4" w:space="0" w:color="auto"/>
              <w:bottom w:val="single" w:sz="4" w:space="0" w:color="auto"/>
            </w:tcBorders>
            <w:shd w:val="clear" w:color="auto" w:fill="auto"/>
            <w:vAlign w:val="bottom"/>
          </w:tcPr>
          <w:p w14:paraId="41646676" w14:textId="77777777" w:rsidR="00A92D0B" w:rsidRPr="00672E9B" w:rsidRDefault="00A92D0B" w:rsidP="003B6A1B">
            <w:pPr>
              <w:keepNext/>
              <w:keepLines/>
              <w:spacing w:before="60" w:after="60"/>
              <w:jc w:val="center"/>
              <w:rPr>
                <w:color w:val="000000"/>
                <w:sz w:val="20"/>
                <w:szCs w:val="20"/>
              </w:rPr>
            </w:pPr>
            <w:r w:rsidRPr="00672E9B">
              <w:rPr>
                <w:color w:val="000000"/>
                <w:sz w:val="20"/>
                <w:szCs w:val="20"/>
              </w:rPr>
              <w:t>Item</w:t>
            </w:r>
          </w:p>
        </w:tc>
        <w:tc>
          <w:tcPr>
            <w:tcW w:w="630" w:type="dxa"/>
            <w:tcBorders>
              <w:top w:val="single" w:sz="4" w:space="0" w:color="auto"/>
              <w:bottom w:val="single" w:sz="4" w:space="0" w:color="auto"/>
            </w:tcBorders>
            <w:shd w:val="clear" w:color="auto" w:fill="auto"/>
            <w:vAlign w:val="bottom"/>
          </w:tcPr>
          <w:p w14:paraId="43BB9941" w14:textId="77777777" w:rsidR="00A92D0B" w:rsidRPr="00672E9B" w:rsidRDefault="00A92D0B" w:rsidP="003B6A1B">
            <w:pPr>
              <w:keepNext/>
              <w:keepLines/>
              <w:spacing w:before="60" w:after="60"/>
              <w:jc w:val="center"/>
              <w:rPr>
                <w:color w:val="000000"/>
                <w:sz w:val="20"/>
                <w:szCs w:val="20"/>
              </w:rPr>
            </w:pPr>
            <w:r w:rsidRPr="00672E9B">
              <w:rPr>
                <w:color w:val="000000"/>
                <w:sz w:val="20"/>
                <w:szCs w:val="20"/>
              </w:rPr>
              <w:t>Year</w:t>
            </w:r>
          </w:p>
        </w:tc>
        <w:tc>
          <w:tcPr>
            <w:tcW w:w="720" w:type="dxa"/>
            <w:tcBorders>
              <w:top w:val="single" w:sz="4" w:space="0" w:color="auto"/>
              <w:bottom w:val="single" w:sz="4" w:space="0" w:color="auto"/>
            </w:tcBorders>
            <w:shd w:val="clear" w:color="auto" w:fill="auto"/>
            <w:vAlign w:val="bottom"/>
          </w:tcPr>
          <w:p w14:paraId="0EF32B08" w14:textId="77777777" w:rsidR="00A92D0B" w:rsidRPr="00672E9B" w:rsidRDefault="00A92D0B" w:rsidP="003B6A1B">
            <w:pPr>
              <w:keepNext/>
              <w:keepLines/>
              <w:spacing w:before="60" w:after="60"/>
              <w:jc w:val="center"/>
              <w:rPr>
                <w:color w:val="000000"/>
                <w:sz w:val="20"/>
                <w:szCs w:val="20"/>
              </w:rPr>
            </w:pPr>
            <w:r w:rsidRPr="00672E9B">
              <w:rPr>
                <w:color w:val="000000"/>
                <w:sz w:val="20"/>
                <w:szCs w:val="20"/>
              </w:rPr>
              <w:t>Hours</w:t>
            </w:r>
          </w:p>
        </w:tc>
        <w:tc>
          <w:tcPr>
            <w:tcW w:w="720" w:type="dxa"/>
            <w:gridSpan w:val="2"/>
            <w:tcBorders>
              <w:top w:val="single" w:sz="4" w:space="0" w:color="auto"/>
              <w:bottom w:val="single" w:sz="4" w:space="0" w:color="auto"/>
            </w:tcBorders>
            <w:shd w:val="clear" w:color="auto" w:fill="auto"/>
            <w:vAlign w:val="bottom"/>
          </w:tcPr>
          <w:p w14:paraId="21C69246" w14:textId="77777777" w:rsidR="00A92D0B" w:rsidRPr="00672E9B" w:rsidRDefault="00A92D0B" w:rsidP="003B6A1B">
            <w:pPr>
              <w:keepNext/>
              <w:keepLines/>
              <w:spacing w:before="60" w:after="60"/>
              <w:jc w:val="center"/>
              <w:rPr>
                <w:color w:val="000000"/>
                <w:sz w:val="20"/>
                <w:szCs w:val="20"/>
              </w:rPr>
            </w:pPr>
            <w:r w:rsidRPr="00672E9B">
              <w:rPr>
                <w:color w:val="000000"/>
                <w:sz w:val="20"/>
                <w:szCs w:val="20"/>
              </w:rPr>
              <w:t>Rate</w:t>
            </w:r>
            <w:r w:rsidR="00E3786F" w:rsidRPr="00672E9B">
              <w:rPr>
                <w:color w:val="000000"/>
                <w:sz w:val="20"/>
                <w:szCs w:val="20"/>
              </w:rPr>
              <w:t xml:space="preserve"> $</w:t>
            </w:r>
          </w:p>
        </w:tc>
        <w:tc>
          <w:tcPr>
            <w:tcW w:w="1170" w:type="dxa"/>
            <w:tcBorders>
              <w:top w:val="single" w:sz="4" w:space="0" w:color="auto"/>
              <w:bottom w:val="single" w:sz="4" w:space="0" w:color="auto"/>
              <w:right w:val="single" w:sz="4" w:space="0" w:color="auto"/>
            </w:tcBorders>
            <w:shd w:val="clear" w:color="auto" w:fill="auto"/>
            <w:vAlign w:val="bottom"/>
          </w:tcPr>
          <w:p w14:paraId="59E63C07" w14:textId="77777777" w:rsidR="00A92D0B" w:rsidRPr="00672E9B" w:rsidRDefault="00A92D0B" w:rsidP="003B6A1B">
            <w:pPr>
              <w:keepNext/>
              <w:keepLines/>
              <w:spacing w:before="60" w:after="60"/>
              <w:jc w:val="center"/>
              <w:rPr>
                <w:color w:val="000000"/>
                <w:sz w:val="20"/>
                <w:szCs w:val="20"/>
              </w:rPr>
            </w:pPr>
            <w:r w:rsidRPr="00672E9B">
              <w:rPr>
                <w:color w:val="000000"/>
                <w:sz w:val="20"/>
                <w:szCs w:val="20"/>
              </w:rPr>
              <w:t>Basis for Rate*</w:t>
            </w:r>
          </w:p>
        </w:tc>
        <w:tc>
          <w:tcPr>
            <w:tcW w:w="1170" w:type="dxa"/>
            <w:gridSpan w:val="2"/>
            <w:tcBorders>
              <w:top w:val="single" w:sz="4" w:space="0" w:color="auto"/>
              <w:left w:val="single" w:sz="4" w:space="0" w:color="auto"/>
              <w:bottom w:val="single" w:sz="4" w:space="0" w:color="auto"/>
              <w:right w:val="single" w:sz="24" w:space="0" w:color="auto"/>
            </w:tcBorders>
            <w:shd w:val="clear" w:color="auto" w:fill="auto"/>
            <w:vAlign w:val="bottom"/>
          </w:tcPr>
          <w:p w14:paraId="7099C603" w14:textId="77777777" w:rsidR="00A92D0B" w:rsidRPr="00672E9B" w:rsidRDefault="00A92D0B" w:rsidP="003B6A1B">
            <w:pPr>
              <w:keepNext/>
              <w:keepLines/>
              <w:spacing w:before="60" w:after="60"/>
              <w:jc w:val="center"/>
              <w:rPr>
                <w:color w:val="000000"/>
                <w:sz w:val="20"/>
                <w:szCs w:val="20"/>
              </w:rPr>
            </w:pPr>
            <w:r w:rsidRPr="00672E9B">
              <w:rPr>
                <w:color w:val="000000"/>
                <w:sz w:val="20"/>
                <w:szCs w:val="20"/>
              </w:rPr>
              <w:t>Total $</w:t>
            </w:r>
          </w:p>
        </w:tc>
        <w:tc>
          <w:tcPr>
            <w:tcW w:w="900" w:type="dxa"/>
            <w:tcBorders>
              <w:top w:val="single" w:sz="4" w:space="0" w:color="auto"/>
              <w:left w:val="single" w:sz="4" w:space="0" w:color="auto"/>
            </w:tcBorders>
            <w:shd w:val="clear" w:color="auto" w:fill="auto"/>
            <w:vAlign w:val="bottom"/>
          </w:tcPr>
          <w:p w14:paraId="564E4964" w14:textId="77777777" w:rsidR="00A92D0B" w:rsidRPr="00672E9B" w:rsidRDefault="00A92D0B" w:rsidP="003B6A1B">
            <w:pPr>
              <w:keepNext/>
              <w:keepLines/>
              <w:spacing w:before="60" w:after="60"/>
              <w:jc w:val="center"/>
              <w:rPr>
                <w:color w:val="000000"/>
                <w:sz w:val="20"/>
                <w:szCs w:val="20"/>
              </w:rPr>
            </w:pPr>
            <w:r w:rsidRPr="00672E9B">
              <w:rPr>
                <w:color w:val="000000"/>
                <w:sz w:val="20"/>
                <w:szCs w:val="20"/>
              </w:rPr>
              <w:t>Hours</w:t>
            </w:r>
          </w:p>
        </w:tc>
        <w:tc>
          <w:tcPr>
            <w:tcW w:w="900" w:type="dxa"/>
            <w:gridSpan w:val="2"/>
            <w:tcBorders>
              <w:top w:val="single" w:sz="4" w:space="0" w:color="auto"/>
            </w:tcBorders>
            <w:shd w:val="clear" w:color="auto" w:fill="auto"/>
            <w:vAlign w:val="bottom"/>
          </w:tcPr>
          <w:p w14:paraId="1462552D" w14:textId="77777777" w:rsidR="00A92D0B" w:rsidRPr="00672E9B" w:rsidRDefault="00A92D0B" w:rsidP="003B6A1B">
            <w:pPr>
              <w:keepNext/>
              <w:keepLines/>
              <w:spacing w:before="60" w:after="60"/>
              <w:jc w:val="center"/>
              <w:rPr>
                <w:color w:val="000000"/>
                <w:sz w:val="20"/>
                <w:szCs w:val="20"/>
              </w:rPr>
            </w:pPr>
            <w:r w:rsidRPr="00672E9B">
              <w:rPr>
                <w:color w:val="000000"/>
                <w:sz w:val="20"/>
                <w:szCs w:val="20"/>
              </w:rPr>
              <w:t>Rate</w:t>
            </w:r>
            <w:r w:rsidR="00E3786F" w:rsidRPr="00672E9B">
              <w:rPr>
                <w:color w:val="000000"/>
                <w:sz w:val="20"/>
                <w:szCs w:val="20"/>
              </w:rPr>
              <w:t xml:space="preserve"> $</w:t>
            </w:r>
          </w:p>
        </w:tc>
        <w:tc>
          <w:tcPr>
            <w:tcW w:w="1350" w:type="dxa"/>
            <w:tcBorders>
              <w:top w:val="single" w:sz="4" w:space="0" w:color="auto"/>
            </w:tcBorders>
            <w:shd w:val="clear" w:color="auto" w:fill="auto"/>
            <w:vAlign w:val="bottom"/>
          </w:tcPr>
          <w:p w14:paraId="1B6A5CA4" w14:textId="77777777" w:rsidR="00A92D0B" w:rsidRPr="00672E9B" w:rsidRDefault="00A92D0B" w:rsidP="003B6A1B">
            <w:pPr>
              <w:keepNext/>
              <w:keepLines/>
              <w:spacing w:before="60" w:after="60"/>
              <w:jc w:val="center"/>
              <w:rPr>
                <w:color w:val="000000"/>
                <w:sz w:val="20"/>
                <w:szCs w:val="20"/>
              </w:rPr>
            </w:pPr>
            <w:r w:rsidRPr="00672E9B">
              <w:rPr>
                <w:color w:val="000000"/>
                <w:sz w:val="20"/>
                <w:szCs w:val="20"/>
              </w:rPr>
              <w:t>Total $</w:t>
            </w:r>
          </w:p>
        </w:tc>
      </w:tr>
      <w:tr w:rsidR="00A301EC" w:rsidRPr="00672E9B" w14:paraId="5BF6A154" w14:textId="77777777" w:rsidTr="00672E9B">
        <w:tc>
          <w:tcPr>
            <w:tcW w:w="1075" w:type="dxa"/>
            <w:shd w:val="clear" w:color="auto" w:fill="auto"/>
          </w:tcPr>
          <w:p w14:paraId="2345C1E3" w14:textId="4FFC2A75" w:rsidR="0015600B" w:rsidRPr="00672E9B" w:rsidRDefault="0015600B" w:rsidP="0015600B">
            <w:pPr>
              <w:spacing w:before="60" w:after="60"/>
              <w:rPr>
                <w:color w:val="000000"/>
                <w:sz w:val="20"/>
                <w:szCs w:val="20"/>
              </w:rPr>
            </w:pPr>
            <w:r w:rsidRPr="00672E9B">
              <w:rPr>
                <w:color w:val="000000"/>
                <w:sz w:val="20"/>
                <w:szCs w:val="20"/>
              </w:rPr>
              <w:t xml:space="preserve">April </w:t>
            </w:r>
            <w:proofErr w:type="spellStart"/>
            <w:r w:rsidR="00193B6B" w:rsidRPr="00672E9B">
              <w:rPr>
                <w:color w:val="000000"/>
                <w:sz w:val="20"/>
                <w:szCs w:val="20"/>
              </w:rPr>
              <w:t>Maurath</w:t>
            </w:r>
            <w:proofErr w:type="spellEnd"/>
            <w:r w:rsidR="00193B6B" w:rsidRPr="00672E9B">
              <w:rPr>
                <w:color w:val="000000"/>
                <w:sz w:val="20"/>
                <w:szCs w:val="20"/>
              </w:rPr>
              <w:t xml:space="preserve"> </w:t>
            </w:r>
            <w:proofErr w:type="spellStart"/>
            <w:r w:rsidRPr="00672E9B">
              <w:rPr>
                <w:color w:val="000000"/>
                <w:sz w:val="20"/>
                <w:szCs w:val="20"/>
              </w:rPr>
              <w:t>Sommer</w:t>
            </w:r>
            <w:proofErr w:type="spellEnd"/>
          </w:p>
          <w:p w14:paraId="118506EC" w14:textId="462BE0C7" w:rsidR="00A301EC" w:rsidRPr="00672E9B" w:rsidRDefault="0015600B" w:rsidP="0015600B">
            <w:pPr>
              <w:spacing w:before="60" w:after="60"/>
              <w:rPr>
                <w:color w:val="000000"/>
                <w:sz w:val="20"/>
                <w:szCs w:val="20"/>
              </w:rPr>
            </w:pPr>
            <w:r w:rsidRPr="00672E9B">
              <w:rPr>
                <w:color w:val="000000"/>
                <w:sz w:val="20"/>
                <w:szCs w:val="20"/>
              </w:rPr>
              <w:t>(attorney)</w:t>
            </w:r>
          </w:p>
        </w:tc>
        <w:tc>
          <w:tcPr>
            <w:tcW w:w="630" w:type="dxa"/>
            <w:shd w:val="clear" w:color="auto" w:fill="auto"/>
          </w:tcPr>
          <w:p w14:paraId="3767540B" w14:textId="54EEAE31" w:rsidR="00A301EC" w:rsidRPr="00672E9B" w:rsidRDefault="00A301EC" w:rsidP="003B6A1B">
            <w:pPr>
              <w:spacing w:before="60" w:after="60"/>
              <w:rPr>
                <w:color w:val="000000"/>
                <w:sz w:val="20"/>
                <w:szCs w:val="20"/>
              </w:rPr>
            </w:pPr>
            <w:r w:rsidRPr="00672E9B">
              <w:rPr>
                <w:color w:val="000000"/>
                <w:sz w:val="20"/>
                <w:szCs w:val="20"/>
              </w:rPr>
              <w:t>2017</w:t>
            </w:r>
          </w:p>
        </w:tc>
        <w:tc>
          <w:tcPr>
            <w:tcW w:w="720" w:type="dxa"/>
            <w:shd w:val="clear" w:color="auto" w:fill="auto"/>
          </w:tcPr>
          <w:p w14:paraId="120FE857" w14:textId="17F5B834" w:rsidR="00A301EC" w:rsidRPr="00672E9B" w:rsidRDefault="00E3120A" w:rsidP="003B6A1B">
            <w:pPr>
              <w:spacing w:before="60" w:after="60"/>
              <w:rPr>
                <w:color w:val="000000"/>
                <w:sz w:val="20"/>
                <w:szCs w:val="20"/>
              </w:rPr>
            </w:pPr>
            <w:r w:rsidRPr="00672E9B">
              <w:rPr>
                <w:color w:val="000000"/>
                <w:sz w:val="20"/>
                <w:szCs w:val="20"/>
              </w:rPr>
              <w:t>125.5</w:t>
            </w:r>
          </w:p>
        </w:tc>
        <w:tc>
          <w:tcPr>
            <w:tcW w:w="720" w:type="dxa"/>
            <w:gridSpan w:val="2"/>
            <w:shd w:val="clear" w:color="auto" w:fill="auto"/>
          </w:tcPr>
          <w:p w14:paraId="075109E1" w14:textId="48A8535E" w:rsidR="00A301EC" w:rsidRPr="00672E9B" w:rsidRDefault="00042925" w:rsidP="004C2F5F">
            <w:pPr>
              <w:spacing w:before="60" w:after="60"/>
              <w:rPr>
                <w:color w:val="000000"/>
                <w:sz w:val="20"/>
                <w:szCs w:val="20"/>
              </w:rPr>
            </w:pPr>
            <w:r w:rsidRPr="00672E9B">
              <w:rPr>
                <w:sz w:val="20"/>
                <w:szCs w:val="20"/>
              </w:rPr>
              <w:t>$3</w:t>
            </w:r>
            <w:r w:rsidR="004C2F5F" w:rsidRPr="00672E9B">
              <w:rPr>
                <w:sz w:val="20"/>
                <w:szCs w:val="20"/>
              </w:rPr>
              <w:t>5</w:t>
            </w:r>
            <w:r w:rsidR="007C55EC" w:rsidRPr="00672E9B">
              <w:rPr>
                <w:sz w:val="20"/>
                <w:szCs w:val="20"/>
              </w:rPr>
              <w:t>3</w:t>
            </w:r>
          </w:p>
        </w:tc>
        <w:tc>
          <w:tcPr>
            <w:tcW w:w="1170" w:type="dxa"/>
            <w:tcBorders>
              <w:right w:val="single" w:sz="4" w:space="0" w:color="auto"/>
            </w:tcBorders>
            <w:shd w:val="clear" w:color="auto" w:fill="auto"/>
          </w:tcPr>
          <w:p w14:paraId="4AF4C006" w14:textId="73C9872F" w:rsidR="00A301EC" w:rsidRPr="00672E9B" w:rsidRDefault="004422EE" w:rsidP="004422EE">
            <w:pPr>
              <w:spacing w:before="60" w:after="60"/>
              <w:rPr>
                <w:color w:val="000000"/>
                <w:sz w:val="20"/>
                <w:szCs w:val="20"/>
              </w:rPr>
            </w:pPr>
            <w:r w:rsidRPr="00672E9B">
              <w:rPr>
                <w:sz w:val="20"/>
                <w:szCs w:val="20"/>
              </w:rPr>
              <w:t>D.16-11-019</w:t>
            </w:r>
            <w:r w:rsidR="00035B79" w:rsidRPr="00672E9B">
              <w:rPr>
                <w:sz w:val="20"/>
                <w:szCs w:val="20"/>
              </w:rPr>
              <w:t xml:space="preserve"> established rate of $330 for 2016 + </w:t>
            </w:r>
            <w:r w:rsidR="007C55EC" w:rsidRPr="00672E9B">
              <w:rPr>
                <w:color w:val="000000"/>
                <w:sz w:val="20"/>
                <w:szCs w:val="20"/>
              </w:rPr>
              <w:t xml:space="preserve">2.14% COLA for 2017 </w:t>
            </w:r>
            <w:r w:rsidR="00035B79" w:rsidRPr="00672E9B">
              <w:rPr>
                <w:color w:val="000000"/>
                <w:sz w:val="20"/>
                <w:szCs w:val="20"/>
              </w:rPr>
              <w:t>per ALJ-345 and</w:t>
            </w:r>
            <w:r w:rsidR="007C55EC" w:rsidRPr="00672E9B">
              <w:rPr>
                <w:color w:val="000000"/>
                <w:sz w:val="20"/>
                <w:szCs w:val="20"/>
              </w:rPr>
              <w:t xml:space="preserve"> 5% step </w:t>
            </w:r>
            <w:r w:rsidR="007C55EC" w:rsidRPr="00672E9B">
              <w:rPr>
                <w:color w:val="000000"/>
                <w:sz w:val="20"/>
                <w:szCs w:val="20"/>
              </w:rPr>
              <w:lastRenderedPageBreak/>
              <w:t>increase as authorized in D.07-01-009</w:t>
            </w:r>
          </w:p>
        </w:tc>
        <w:tc>
          <w:tcPr>
            <w:tcW w:w="1170" w:type="dxa"/>
            <w:gridSpan w:val="2"/>
            <w:tcBorders>
              <w:top w:val="single" w:sz="4" w:space="0" w:color="auto"/>
              <w:left w:val="single" w:sz="4" w:space="0" w:color="auto"/>
              <w:bottom w:val="single" w:sz="4" w:space="0" w:color="auto"/>
              <w:right w:val="single" w:sz="24" w:space="0" w:color="auto"/>
            </w:tcBorders>
            <w:shd w:val="clear" w:color="auto" w:fill="auto"/>
          </w:tcPr>
          <w:p w14:paraId="71D2FB39" w14:textId="4B96F782" w:rsidR="00A301EC" w:rsidRPr="00672E9B" w:rsidRDefault="00123983" w:rsidP="00151542">
            <w:pPr>
              <w:rPr>
                <w:sz w:val="20"/>
                <w:szCs w:val="20"/>
              </w:rPr>
            </w:pPr>
            <w:r w:rsidRPr="00672E9B">
              <w:rPr>
                <w:sz w:val="20"/>
                <w:szCs w:val="20"/>
              </w:rPr>
              <w:lastRenderedPageBreak/>
              <w:t>$4</w:t>
            </w:r>
            <w:r w:rsidR="00035B79" w:rsidRPr="00672E9B">
              <w:rPr>
                <w:sz w:val="20"/>
                <w:szCs w:val="20"/>
              </w:rPr>
              <w:t>4,301</w:t>
            </w:r>
            <w:r w:rsidR="00E23B2F" w:rsidRPr="00672E9B">
              <w:rPr>
                <w:sz w:val="20"/>
                <w:szCs w:val="20"/>
              </w:rPr>
              <w:t>.00</w:t>
            </w:r>
          </w:p>
          <w:p w14:paraId="5E976A39" w14:textId="77777777" w:rsidR="00123983" w:rsidRPr="00672E9B" w:rsidRDefault="00123983" w:rsidP="00123983">
            <w:pPr>
              <w:jc w:val="center"/>
              <w:rPr>
                <w:sz w:val="20"/>
                <w:szCs w:val="20"/>
              </w:rPr>
            </w:pPr>
          </w:p>
        </w:tc>
        <w:tc>
          <w:tcPr>
            <w:tcW w:w="900" w:type="dxa"/>
            <w:tcBorders>
              <w:left w:val="single" w:sz="4" w:space="0" w:color="auto"/>
            </w:tcBorders>
            <w:shd w:val="clear" w:color="auto" w:fill="auto"/>
          </w:tcPr>
          <w:p w14:paraId="461DC9FD" w14:textId="0877B13D" w:rsidR="00A301EC" w:rsidRPr="00672E9B" w:rsidRDefault="00BF5AD2" w:rsidP="00BB6EBF">
            <w:pPr>
              <w:spacing w:before="60" w:after="60"/>
              <w:jc w:val="center"/>
              <w:rPr>
                <w:color w:val="000000"/>
                <w:sz w:val="20"/>
                <w:szCs w:val="20"/>
              </w:rPr>
            </w:pPr>
            <w:r>
              <w:rPr>
                <w:color w:val="000000"/>
                <w:sz w:val="20"/>
                <w:szCs w:val="20"/>
              </w:rPr>
              <w:t>125.31</w:t>
            </w:r>
            <w:r w:rsidR="002565BC">
              <w:rPr>
                <w:color w:val="000000"/>
                <w:sz w:val="20"/>
                <w:szCs w:val="20"/>
              </w:rPr>
              <w:t xml:space="preserve"> [A]</w:t>
            </w:r>
          </w:p>
        </w:tc>
        <w:tc>
          <w:tcPr>
            <w:tcW w:w="900" w:type="dxa"/>
            <w:gridSpan w:val="2"/>
            <w:shd w:val="clear" w:color="auto" w:fill="auto"/>
          </w:tcPr>
          <w:p w14:paraId="7FDABF74" w14:textId="6BEC062B" w:rsidR="00A301EC" w:rsidRPr="00672E9B" w:rsidRDefault="00BF5AD2" w:rsidP="00BB6EBF">
            <w:pPr>
              <w:spacing w:before="60" w:after="60"/>
              <w:jc w:val="center"/>
              <w:rPr>
                <w:color w:val="000000"/>
                <w:sz w:val="20"/>
                <w:szCs w:val="20"/>
              </w:rPr>
            </w:pPr>
            <w:r>
              <w:rPr>
                <w:color w:val="000000"/>
                <w:sz w:val="20"/>
                <w:szCs w:val="20"/>
              </w:rPr>
              <w:t>$353.00</w:t>
            </w:r>
          </w:p>
        </w:tc>
        <w:tc>
          <w:tcPr>
            <w:tcW w:w="1350" w:type="dxa"/>
            <w:shd w:val="clear" w:color="auto" w:fill="auto"/>
          </w:tcPr>
          <w:p w14:paraId="05EFCF76" w14:textId="0522A5E9" w:rsidR="00A301EC" w:rsidRPr="00672E9B" w:rsidRDefault="00BF5AD2" w:rsidP="00BB6EBF">
            <w:pPr>
              <w:spacing w:before="60" w:after="60"/>
              <w:jc w:val="right"/>
              <w:rPr>
                <w:color w:val="000000"/>
                <w:sz w:val="20"/>
                <w:szCs w:val="20"/>
              </w:rPr>
            </w:pPr>
            <w:r>
              <w:rPr>
                <w:color w:val="000000"/>
                <w:sz w:val="20"/>
                <w:szCs w:val="20"/>
              </w:rPr>
              <w:t>$44,234.43</w:t>
            </w:r>
          </w:p>
        </w:tc>
      </w:tr>
      <w:tr w:rsidR="004548D9" w:rsidRPr="00672E9B" w14:paraId="38E0B4EA" w14:textId="77777777" w:rsidTr="00672E9B">
        <w:tc>
          <w:tcPr>
            <w:tcW w:w="1075" w:type="dxa"/>
            <w:shd w:val="clear" w:color="auto" w:fill="auto"/>
          </w:tcPr>
          <w:p w14:paraId="6EB905D2" w14:textId="79A20A4B" w:rsidR="0015600B" w:rsidRPr="00672E9B" w:rsidRDefault="0015600B" w:rsidP="0015600B">
            <w:pPr>
              <w:spacing w:before="60" w:after="60"/>
              <w:rPr>
                <w:color w:val="000000"/>
                <w:sz w:val="20"/>
                <w:szCs w:val="20"/>
              </w:rPr>
            </w:pPr>
            <w:r w:rsidRPr="00672E9B">
              <w:rPr>
                <w:color w:val="000000"/>
                <w:sz w:val="20"/>
                <w:szCs w:val="20"/>
              </w:rPr>
              <w:t xml:space="preserve">April </w:t>
            </w:r>
            <w:proofErr w:type="spellStart"/>
            <w:r w:rsidR="00193B6B" w:rsidRPr="00672E9B">
              <w:rPr>
                <w:color w:val="000000"/>
                <w:sz w:val="20"/>
                <w:szCs w:val="20"/>
              </w:rPr>
              <w:t>Maurath</w:t>
            </w:r>
            <w:proofErr w:type="spellEnd"/>
            <w:r w:rsidRPr="00672E9B">
              <w:rPr>
                <w:color w:val="000000"/>
                <w:sz w:val="20"/>
                <w:szCs w:val="20"/>
              </w:rPr>
              <w:t xml:space="preserve"> </w:t>
            </w:r>
            <w:proofErr w:type="spellStart"/>
            <w:r w:rsidRPr="00672E9B">
              <w:rPr>
                <w:color w:val="000000"/>
                <w:sz w:val="20"/>
                <w:szCs w:val="20"/>
              </w:rPr>
              <w:t>Sommer</w:t>
            </w:r>
            <w:proofErr w:type="spellEnd"/>
          </w:p>
          <w:p w14:paraId="1F980DF3" w14:textId="4B212C58" w:rsidR="004548D9" w:rsidRPr="00672E9B" w:rsidRDefault="0015600B" w:rsidP="0015600B">
            <w:pPr>
              <w:spacing w:before="60" w:after="60"/>
              <w:rPr>
                <w:color w:val="000000"/>
                <w:sz w:val="20"/>
                <w:szCs w:val="20"/>
              </w:rPr>
            </w:pPr>
            <w:r w:rsidRPr="00672E9B">
              <w:rPr>
                <w:color w:val="000000"/>
                <w:sz w:val="20"/>
                <w:szCs w:val="20"/>
              </w:rPr>
              <w:t>(attorney)</w:t>
            </w:r>
          </w:p>
        </w:tc>
        <w:tc>
          <w:tcPr>
            <w:tcW w:w="630" w:type="dxa"/>
            <w:shd w:val="clear" w:color="auto" w:fill="auto"/>
          </w:tcPr>
          <w:p w14:paraId="275BF57A" w14:textId="28ED00F8" w:rsidR="004548D9" w:rsidRPr="00672E9B" w:rsidRDefault="004548D9" w:rsidP="003B6A1B">
            <w:pPr>
              <w:spacing w:before="60" w:after="60"/>
              <w:rPr>
                <w:color w:val="000000"/>
                <w:sz w:val="20"/>
                <w:szCs w:val="20"/>
              </w:rPr>
            </w:pPr>
            <w:r w:rsidRPr="00672E9B">
              <w:rPr>
                <w:color w:val="000000"/>
                <w:sz w:val="20"/>
                <w:szCs w:val="20"/>
              </w:rPr>
              <w:t>201</w:t>
            </w:r>
            <w:r w:rsidR="00442B79" w:rsidRPr="00672E9B">
              <w:rPr>
                <w:color w:val="000000"/>
                <w:sz w:val="20"/>
                <w:szCs w:val="20"/>
              </w:rPr>
              <w:t>8</w:t>
            </w:r>
          </w:p>
        </w:tc>
        <w:tc>
          <w:tcPr>
            <w:tcW w:w="720" w:type="dxa"/>
            <w:shd w:val="clear" w:color="auto" w:fill="auto"/>
          </w:tcPr>
          <w:p w14:paraId="0DE506C4" w14:textId="5871D7CE" w:rsidR="004548D9" w:rsidRPr="00672E9B" w:rsidRDefault="00E3120A" w:rsidP="003B6A1B">
            <w:pPr>
              <w:spacing w:before="60" w:after="60"/>
              <w:rPr>
                <w:color w:val="000000"/>
                <w:sz w:val="20"/>
                <w:szCs w:val="20"/>
              </w:rPr>
            </w:pPr>
            <w:r w:rsidRPr="00672E9B">
              <w:rPr>
                <w:color w:val="000000"/>
                <w:sz w:val="20"/>
                <w:szCs w:val="20"/>
              </w:rPr>
              <w:t>22.5</w:t>
            </w:r>
          </w:p>
        </w:tc>
        <w:tc>
          <w:tcPr>
            <w:tcW w:w="720" w:type="dxa"/>
            <w:gridSpan w:val="2"/>
            <w:shd w:val="clear" w:color="auto" w:fill="auto"/>
          </w:tcPr>
          <w:p w14:paraId="26413E95" w14:textId="2270DDB8" w:rsidR="004548D9" w:rsidRPr="00672E9B" w:rsidRDefault="00E06C9B" w:rsidP="003B6A1B">
            <w:pPr>
              <w:spacing w:before="60" w:after="60"/>
              <w:rPr>
                <w:color w:val="000000"/>
                <w:sz w:val="20"/>
                <w:szCs w:val="20"/>
              </w:rPr>
            </w:pPr>
            <w:r w:rsidRPr="00672E9B">
              <w:rPr>
                <w:color w:val="000000"/>
                <w:sz w:val="20"/>
                <w:szCs w:val="20"/>
              </w:rPr>
              <w:t>$</w:t>
            </w:r>
            <w:r w:rsidR="00035B79" w:rsidRPr="00672E9B">
              <w:rPr>
                <w:color w:val="000000"/>
                <w:sz w:val="20"/>
                <w:szCs w:val="20"/>
              </w:rPr>
              <w:t>361</w:t>
            </w:r>
          </w:p>
        </w:tc>
        <w:tc>
          <w:tcPr>
            <w:tcW w:w="1170" w:type="dxa"/>
            <w:tcBorders>
              <w:right w:val="single" w:sz="4" w:space="0" w:color="auto"/>
            </w:tcBorders>
            <w:shd w:val="clear" w:color="auto" w:fill="auto"/>
          </w:tcPr>
          <w:p w14:paraId="300AA881" w14:textId="349FE60E" w:rsidR="004548D9" w:rsidRPr="00672E9B" w:rsidRDefault="00035B79" w:rsidP="003B6A1B">
            <w:pPr>
              <w:spacing w:before="60" w:after="60"/>
              <w:rPr>
                <w:color w:val="000000"/>
                <w:sz w:val="20"/>
                <w:szCs w:val="20"/>
              </w:rPr>
            </w:pPr>
            <w:r w:rsidRPr="00672E9B">
              <w:rPr>
                <w:sz w:val="20"/>
                <w:szCs w:val="20"/>
              </w:rPr>
              <w:t>2017 rate of $353 as explained above + 2.30% COLA for 2018 per ALJ-352</w:t>
            </w:r>
          </w:p>
        </w:tc>
        <w:tc>
          <w:tcPr>
            <w:tcW w:w="1170" w:type="dxa"/>
            <w:gridSpan w:val="2"/>
            <w:tcBorders>
              <w:top w:val="single" w:sz="4" w:space="0" w:color="auto"/>
              <w:left w:val="single" w:sz="4" w:space="0" w:color="auto"/>
              <w:bottom w:val="single" w:sz="4" w:space="0" w:color="auto"/>
              <w:right w:val="single" w:sz="24" w:space="0" w:color="auto"/>
            </w:tcBorders>
            <w:shd w:val="clear" w:color="auto" w:fill="auto"/>
          </w:tcPr>
          <w:p w14:paraId="23EF368E" w14:textId="75498126" w:rsidR="004548D9" w:rsidRPr="00672E9B" w:rsidRDefault="00D840DD" w:rsidP="003B6A1B">
            <w:pPr>
              <w:spacing w:before="60" w:after="60"/>
              <w:rPr>
                <w:color w:val="000000"/>
                <w:sz w:val="20"/>
                <w:szCs w:val="20"/>
              </w:rPr>
            </w:pPr>
            <w:r w:rsidRPr="00672E9B">
              <w:rPr>
                <w:color w:val="000000"/>
                <w:sz w:val="20"/>
                <w:szCs w:val="20"/>
              </w:rPr>
              <w:t>$8,</w:t>
            </w:r>
            <w:r w:rsidR="00035B79" w:rsidRPr="00672E9B">
              <w:rPr>
                <w:color w:val="000000"/>
                <w:sz w:val="20"/>
                <w:szCs w:val="20"/>
              </w:rPr>
              <w:t>122</w:t>
            </w:r>
            <w:r w:rsidR="00E23B2F" w:rsidRPr="00672E9B">
              <w:rPr>
                <w:color w:val="000000"/>
                <w:sz w:val="20"/>
                <w:szCs w:val="20"/>
              </w:rPr>
              <w:t>.00</w:t>
            </w:r>
          </w:p>
        </w:tc>
        <w:tc>
          <w:tcPr>
            <w:tcW w:w="900" w:type="dxa"/>
            <w:tcBorders>
              <w:left w:val="single" w:sz="4" w:space="0" w:color="auto"/>
            </w:tcBorders>
            <w:shd w:val="clear" w:color="auto" w:fill="auto"/>
          </w:tcPr>
          <w:p w14:paraId="2B0CA953" w14:textId="107E1D91" w:rsidR="004548D9" w:rsidRPr="00672E9B" w:rsidRDefault="00BF5AD2" w:rsidP="00BB6EBF">
            <w:pPr>
              <w:spacing w:before="60" w:after="60"/>
              <w:jc w:val="center"/>
              <w:rPr>
                <w:color w:val="000000"/>
                <w:sz w:val="20"/>
                <w:szCs w:val="20"/>
              </w:rPr>
            </w:pPr>
            <w:r>
              <w:rPr>
                <w:color w:val="000000"/>
                <w:sz w:val="20"/>
                <w:szCs w:val="20"/>
              </w:rPr>
              <w:t>22.36</w:t>
            </w:r>
            <w:r w:rsidR="002565BC">
              <w:rPr>
                <w:color w:val="000000"/>
                <w:sz w:val="20"/>
                <w:szCs w:val="20"/>
              </w:rPr>
              <w:t xml:space="preserve"> [B]</w:t>
            </w:r>
          </w:p>
        </w:tc>
        <w:tc>
          <w:tcPr>
            <w:tcW w:w="900" w:type="dxa"/>
            <w:gridSpan w:val="2"/>
            <w:shd w:val="clear" w:color="auto" w:fill="auto"/>
          </w:tcPr>
          <w:p w14:paraId="1FC8906C" w14:textId="50F6DB16" w:rsidR="004548D9" w:rsidRPr="00672E9B" w:rsidRDefault="00BF5AD2" w:rsidP="00BB6EBF">
            <w:pPr>
              <w:spacing w:before="60" w:after="60"/>
              <w:jc w:val="center"/>
              <w:rPr>
                <w:color w:val="000000"/>
                <w:sz w:val="20"/>
                <w:szCs w:val="20"/>
              </w:rPr>
            </w:pPr>
            <w:r>
              <w:rPr>
                <w:color w:val="000000"/>
                <w:sz w:val="20"/>
                <w:szCs w:val="20"/>
              </w:rPr>
              <w:t>$361.00</w:t>
            </w:r>
          </w:p>
        </w:tc>
        <w:tc>
          <w:tcPr>
            <w:tcW w:w="1350" w:type="dxa"/>
            <w:shd w:val="clear" w:color="auto" w:fill="auto"/>
          </w:tcPr>
          <w:p w14:paraId="6C594CB5" w14:textId="53CCB4A3" w:rsidR="004548D9" w:rsidRPr="00672E9B" w:rsidRDefault="00BF5AD2" w:rsidP="00BB6EBF">
            <w:pPr>
              <w:spacing w:before="60" w:after="60"/>
              <w:jc w:val="right"/>
              <w:rPr>
                <w:color w:val="000000"/>
                <w:sz w:val="20"/>
                <w:szCs w:val="20"/>
              </w:rPr>
            </w:pPr>
            <w:r>
              <w:rPr>
                <w:color w:val="000000"/>
                <w:sz w:val="20"/>
                <w:szCs w:val="20"/>
              </w:rPr>
              <w:t>$8,071.96</w:t>
            </w:r>
          </w:p>
        </w:tc>
      </w:tr>
      <w:tr w:rsidR="00BD169D" w:rsidRPr="00672E9B" w14:paraId="4E698889" w14:textId="77777777" w:rsidTr="00672E9B">
        <w:tc>
          <w:tcPr>
            <w:tcW w:w="1075" w:type="dxa"/>
            <w:shd w:val="clear" w:color="auto" w:fill="auto"/>
          </w:tcPr>
          <w:p w14:paraId="3AA7C26A" w14:textId="3D1E7841" w:rsidR="00484137" w:rsidRPr="00672E9B" w:rsidRDefault="003C1515" w:rsidP="00484137">
            <w:pPr>
              <w:spacing w:before="60" w:after="60"/>
              <w:rPr>
                <w:sz w:val="20"/>
                <w:szCs w:val="20"/>
              </w:rPr>
            </w:pPr>
            <w:r w:rsidRPr="00672E9B">
              <w:rPr>
                <w:sz w:val="20"/>
                <w:szCs w:val="20"/>
              </w:rPr>
              <w:t>Robert Freeling</w:t>
            </w:r>
          </w:p>
          <w:p w14:paraId="04CDED11" w14:textId="50DA2F4E" w:rsidR="00BD169D" w:rsidRPr="00672E9B" w:rsidRDefault="00484137" w:rsidP="00484137">
            <w:pPr>
              <w:spacing w:before="60" w:after="60"/>
              <w:rPr>
                <w:color w:val="000000"/>
                <w:sz w:val="20"/>
                <w:szCs w:val="20"/>
              </w:rPr>
            </w:pPr>
            <w:r w:rsidRPr="00672E9B">
              <w:rPr>
                <w:sz w:val="20"/>
                <w:szCs w:val="20"/>
              </w:rPr>
              <w:t>(expert)</w:t>
            </w:r>
          </w:p>
        </w:tc>
        <w:tc>
          <w:tcPr>
            <w:tcW w:w="630" w:type="dxa"/>
            <w:shd w:val="clear" w:color="auto" w:fill="auto"/>
          </w:tcPr>
          <w:p w14:paraId="6B0C4BC3" w14:textId="034A32FE" w:rsidR="00BD169D" w:rsidRPr="00672E9B" w:rsidRDefault="00BD169D" w:rsidP="003B6A1B">
            <w:pPr>
              <w:spacing w:before="60" w:after="60"/>
              <w:rPr>
                <w:color w:val="000000"/>
                <w:sz w:val="20"/>
                <w:szCs w:val="20"/>
              </w:rPr>
            </w:pPr>
            <w:r w:rsidRPr="00672E9B">
              <w:rPr>
                <w:color w:val="000000"/>
                <w:sz w:val="20"/>
                <w:szCs w:val="20"/>
              </w:rPr>
              <w:t>2017</w:t>
            </w:r>
          </w:p>
        </w:tc>
        <w:tc>
          <w:tcPr>
            <w:tcW w:w="720" w:type="dxa"/>
            <w:shd w:val="clear" w:color="auto" w:fill="auto"/>
          </w:tcPr>
          <w:p w14:paraId="51C36695" w14:textId="1FEC7562" w:rsidR="00BD169D" w:rsidRPr="00672E9B" w:rsidRDefault="00A66974" w:rsidP="003B6A1B">
            <w:pPr>
              <w:spacing w:before="60" w:after="60"/>
              <w:rPr>
                <w:color w:val="000000"/>
                <w:sz w:val="20"/>
                <w:szCs w:val="20"/>
              </w:rPr>
            </w:pPr>
            <w:r w:rsidRPr="00672E9B">
              <w:rPr>
                <w:color w:val="000000"/>
                <w:sz w:val="20"/>
                <w:szCs w:val="20"/>
              </w:rPr>
              <w:t>27.75</w:t>
            </w:r>
          </w:p>
        </w:tc>
        <w:tc>
          <w:tcPr>
            <w:tcW w:w="720" w:type="dxa"/>
            <w:gridSpan w:val="2"/>
            <w:shd w:val="clear" w:color="auto" w:fill="auto"/>
          </w:tcPr>
          <w:p w14:paraId="3C95BF99" w14:textId="4D5FFDB4" w:rsidR="00BD169D" w:rsidRPr="00672E9B" w:rsidRDefault="00BD169D" w:rsidP="002A2F4E">
            <w:pPr>
              <w:rPr>
                <w:color w:val="000000"/>
                <w:sz w:val="20"/>
                <w:szCs w:val="20"/>
              </w:rPr>
            </w:pPr>
            <w:r w:rsidRPr="00672E9B">
              <w:rPr>
                <w:color w:val="000000"/>
                <w:sz w:val="20"/>
                <w:szCs w:val="20"/>
              </w:rPr>
              <w:t>$</w:t>
            </w:r>
            <w:r w:rsidR="000E560B" w:rsidRPr="00672E9B">
              <w:rPr>
                <w:color w:val="000000"/>
                <w:sz w:val="20"/>
                <w:szCs w:val="20"/>
              </w:rPr>
              <w:t>225</w:t>
            </w:r>
          </w:p>
          <w:p w14:paraId="50434DF3" w14:textId="77777777" w:rsidR="00BD169D" w:rsidRPr="00672E9B" w:rsidRDefault="00BD169D" w:rsidP="003B6A1B">
            <w:pPr>
              <w:spacing w:before="60" w:after="60"/>
              <w:rPr>
                <w:color w:val="000000"/>
                <w:sz w:val="20"/>
                <w:szCs w:val="20"/>
              </w:rPr>
            </w:pPr>
          </w:p>
        </w:tc>
        <w:tc>
          <w:tcPr>
            <w:tcW w:w="1170" w:type="dxa"/>
            <w:tcBorders>
              <w:right w:val="single" w:sz="4" w:space="0" w:color="auto"/>
            </w:tcBorders>
            <w:shd w:val="clear" w:color="auto" w:fill="auto"/>
          </w:tcPr>
          <w:p w14:paraId="41124BBA" w14:textId="2B1C976A" w:rsidR="000E560B" w:rsidRPr="00672E9B" w:rsidRDefault="001A7659" w:rsidP="00324E42">
            <w:pPr>
              <w:rPr>
                <w:color w:val="000000"/>
                <w:sz w:val="20"/>
                <w:szCs w:val="20"/>
                <w:highlight w:val="yellow"/>
              </w:rPr>
            </w:pPr>
            <w:r w:rsidRPr="00672E9B">
              <w:rPr>
                <w:color w:val="000000"/>
                <w:sz w:val="20"/>
                <w:szCs w:val="20"/>
              </w:rPr>
              <w:t>D</w:t>
            </w:r>
            <w:r w:rsidR="00E3120A" w:rsidRPr="00672E9B">
              <w:rPr>
                <w:color w:val="000000"/>
                <w:sz w:val="20"/>
                <w:szCs w:val="20"/>
              </w:rPr>
              <w:t>.</w:t>
            </w:r>
            <w:r w:rsidRPr="00672E9B">
              <w:rPr>
                <w:color w:val="000000"/>
                <w:sz w:val="20"/>
                <w:szCs w:val="20"/>
              </w:rPr>
              <w:t>15</w:t>
            </w:r>
            <w:r w:rsidR="00E3120A" w:rsidRPr="00672E9B">
              <w:rPr>
                <w:color w:val="000000"/>
                <w:sz w:val="20"/>
                <w:szCs w:val="20"/>
              </w:rPr>
              <w:t>-</w:t>
            </w:r>
            <w:r w:rsidRPr="00672E9B">
              <w:rPr>
                <w:color w:val="000000"/>
                <w:sz w:val="20"/>
                <w:szCs w:val="20"/>
              </w:rPr>
              <w:t>10</w:t>
            </w:r>
            <w:r w:rsidR="00E3120A" w:rsidRPr="00672E9B">
              <w:rPr>
                <w:color w:val="000000"/>
                <w:sz w:val="20"/>
                <w:szCs w:val="20"/>
              </w:rPr>
              <w:t>-</w:t>
            </w:r>
            <w:r w:rsidRPr="00672E9B">
              <w:rPr>
                <w:color w:val="000000"/>
                <w:sz w:val="20"/>
                <w:szCs w:val="20"/>
              </w:rPr>
              <w:t>043</w:t>
            </w:r>
            <w:r w:rsidR="00035B79" w:rsidRPr="00672E9B">
              <w:rPr>
                <w:color w:val="000000"/>
                <w:sz w:val="20"/>
                <w:szCs w:val="20"/>
              </w:rPr>
              <w:t xml:space="preserve"> established rate of $190 for 2014 + 1.28% COLA for 2016</w:t>
            </w:r>
            <w:r w:rsidR="00AC7981" w:rsidRPr="00672E9B">
              <w:rPr>
                <w:color w:val="000000"/>
                <w:sz w:val="20"/>
                <w:szCs w:val="20"/>
              </w:rPr>
              <w:t xml:space="preserve"> per ALJ-329</w:t>
            </w:r>
            <w:r w:rsidR="00035B79" w:rsidRPr="00672E9B">
              <w:rPr>
                <w:color w:val="000000"/>
                <w:sz w:val="20"/>
                <w:szCs w:val="20"/>
              </w:rPr>
              <w:t xml:space="preserve"> + 2.14% COLA for 2017 </w:t>
            </w:r>
            <w:r w:rsidR="00AC7981" w:rsidRPr="00672E9B">
              <w:rPr>
                <w:color w:val="000000"/>
                <w:sz w:val="20"/>
                <w:szCs w:val="20"/>
              </w:rPr>
              <w:t xml:space="preserve">per ALJ-345 </w:t>
            </w:r>
            <w:r w:rsidR="00035B79" w:rsidRPr="00672E9B">
              <w:rPr>
                <w:color w:val="000000"/>
                <w:sz w:val="20"/>
                <w:szCs w:val="20"/>
              </w:rPr>
              <w:t xml:space="preserve">+ increase for </w:t>
            </w:r>
            <w:r w:rsidR="00C15593" w:rsidRPr="00672E9B">
              <w:rPr>
                <w:color w:val="000000"/>
                <w:sz w:val="20"/>
                <w:szCs w:val="20"/>
              </w:rPr>
              <w:t xml:space="preserve">increased </w:t>
            </w:r>
            <w:r w:rsidR="00035B79" w:rsidRPr="00672E9B">
              <w:rPr>
                <w:color w:val="000000"/>
                <w:sz w:val="20"/>
                <w:szCs w:val="20"/>
              </w:rPr>
              <w:t xml:space="preserve">experience levels </w:t>
            </w:r>
            <w:r w:rsidR="00C15593" w:rsidRPr="00672E9B">
              <w:rPr>
                <w:color w:val="000000"/>
                <w:sz w:val="20"/>
                <w:szCs w:val="20"/>
              </w:rPr>
              <w:t xml:space="preserve">from 7-12 to </w:t>
            </w:r>
            <w:r w:rsidR="00035B79" w:rsidRPr="00672E9B">
              <w:rPr>
                <w:color w:val="000000"/>
                <w:sz w:val="20"/>
                <w:szCs w:val="20"/>
              </w:rPr>
              <w:t>13+ year</w:t>
            </w:r>
            <w:r w:rsidR="00731136" w:rsidRPr="00672E9B">
              <w:rPr>
                <w:color w:val="000000"/>
                <w:sz w:val="20"/>
                <w:szCs w:val="20"/>
              </w:rPr>
              <w:t xml:space="preserve"> </w:t>
            </w:r>
            <w:r w:rsidR="00AC7981" w:rsidRPr="00672E9B">
              <w:rPr>
                <w:color w:val="000000"/>
                <w:sz w:val="20"/>
                <w:szCs w:val="20"/>
              </w:rPr>
              <w:t xml:space="preserve">range </w:t>
            </w:r>
            <w:r w:rsidR="00E23B2F" w:rsidRPr="00672E9B">
              <w:rPr>
                <w:color w:val="000000"/>
                <w:sz w:val="20"/>
                <w:szCs w:val="20"/>
              </w:rPr>
              <w:t>as</w:t>
            </w:r>
            <w:r w:rsidR="00AC7981" w:rsidRPr="00672E9B">
              <w:rPr>
                <w:color w:val="000000"/>
                <w:sz w:val="20"/>
                <w:szCs w:val="20"/>
              </w:rPr>
              <w:t xml:space="preserve"> set in </w:t>
            </w:r>
            <w:r w:rsidR="0008683E" w:rsidRPr="00672E9B">
              <w:rPr>
                <w:color w:val="000000"/>
                <w:sz w:val="20"/>
                <w:szCs w:val="20"/>
              </w:rPr>
              <w:t>ALJ-345</w:t>
            </w:r>
            <w:r w:rsidR="00AC7981" w:rsidRPr="00672E9B">
              <w:rPr>
                <w:color w:val="000000"/>
                <w:sz w:val="20"/>
                <w:szCs w:val="20"/>
              </w:rPr>
              <w:t>.</w:t>
            </w:r>
          </w:p>
        </w:tc>
        <w:tc>
          <w:tcPr>
            <w:tcW w:w="1170" w:type="dxa"/>
            <w:gridSpan w:val="2"/>
            <w:tcBorders>
              <w:top w:val="single" w:sz="4" w:space="0" w:color="auto"/>
              <w:left w:val="single" w:sz="4" w:space="0" w:color="auto"/>
              <w:bottom w:val="single" w:sz="4" w:space="0" w:color="auto"/>
              <w:right w:val="single" w:sz="24" w:space="0" w:color="auto"/>
            </w:tcBorders>
            <w:shd w:val="clear" w:color="auto" w:fill="auto"/>
          </w:tcPr>
          <w:p w14:paraId="75F00059" w14:textId="55C1EA1E" w:rsidR="00BD169D" w:rsidRPr="00672E9B" w:rsidRDefault="00995F62" w:rsidP="003B6A1B">
            <w:pPr>
              <w:spacing w:before="60" w:after="60"/>
              <w:rPr>
                <w:color w:val="000000"/>
                <w:sz w:val="20"/>
                <w:szCs w:val="20"/>
              </w:rPr>
            </w:pPr>
            <w:r w:rsidRPr="00672E9B">
              <w:rPr>
                <w:color w:val="000000"/>
                <w:sz w:val="20"/>
                <w:szCs w:val="20"/>
              </w:rPr>
              <w:t>$</w:t>
            </w:r>
            <w:r w:rsidR="00A66974" w:rsidRPr="00672E9B">
              <w:rPr>
                <w:color w:val="000000"/>
                <w:sz w:val="20"/>
                <w:szCs w:val="20"/>
              </w:rPr>
              <w:t>6,243</w:t>
            </w:r>
            <w:r w:rsidR="00E23B2F" w:rsidRPr="00672E9B">
              <w:rPr>
                <w:color w:val="000000"/>
                <w:sz w:val="20"/>
                <w:szCs w:val="20"/>
              </w:rPr>
              <w:t>.00</w:t>
            </w:r>
          </w:p>
        </w:tc>
        <w:tc>
          <w:tcPr>
            <w:tcW w:w="900" w:type="dxa"/>
            <w:tcBorders>
              <w:left w:val="single" w:sz="4" w:space="0" w:color="auto"/>
            </w:tcBorders>
            <w:shd w:val="clear" w:color="auto" w:fill="auto"/>
          </w:tcPr>
          <w:p w14:paraId="134A581C" w14:textId="2176392F" w:rsidR="00BD169D" w:rsidRPr="00672E9B" w:rsidRDefault="002565BC" w:rsidP="00BB6EBF">
            <w:pPr>
              <w:spacing w:before="60" w:after="60"/>
              <w:jc w:val="center"/>
              <w:rPr>
                <w:color w:val="000000"/>
                <w:sz w:val="20"/>
                <w:szCs w:val="20"/>
              </w:rPr>
            </w:pPr>
            <w:r>
              <w:rPr>
                <w:color w:val="000000"/>
                <w:sz w:val="20"/>
                <w:szCs w:val="20"/>
              </w:rPr>
              <w:t>27.45 [C]</w:t>
            </w:r>
          </w:p>
        </w:tc>
        <w:tc>
          <w:tcPr>
            <w:tcW w:w="900" w:type="dxa"/>
            <w:gridSpan w:val="2"/>
            <w:shd w:val="clear" w:color="auto" w:fill="auto"/>
          </w:tcPr>
          <w:p w14:paraId="2622F4BA" w14:textId="0FDCA4DA" w:rsidR="00BD169D" w:rsidRPr="00672E9B" w:rsidRDefault="002565BC" w:rsidP="00BB6EBF">
            <w:pPr>
              <w:spacing w:before="60" w:after="60"/>
              <w:jc w:val="center"/>
              <w:rPr>
                <w:color w:val="000000"/>
                <w:sz w:val="20"/>
                <w:szCs w:val="20"/>
              </w:rPr>
            </w:pPr>
            <w:r>
              <w:rPr>
                <w:color w:val="000000"/>
                <w:sz w:val="20"/>
                <w:szCs w:val="20"/>
              </w:rPr>
              <w:t>$225.00</w:t>
            </w:r>
          </w:p>
        </w:tc>
        <w:tc>
          <w:tcPr>
            <w:tcW w:w="1350" w:type="dxa"/>
            <w:shd w:val="clear" w:color="auto" w:fill="auto"/>
          </w:tcPr>
          <w:p w14:paraId="26135325" w14:textId="10E23B12" w:rsidR="00BD169D" w:rsidRPr="00672E9B" w:rsidRDefault="002565BC" w:rsidP="00BB6EBF">
            <w:pPr>
              <w:spacing w:before="60" w:after="60"/>
              <w:jc w:val="right"/>
              <w:rPr>
                <w:color w:val="000000"/>
                <w:sz w:val="20"/>
                <w:szCs w:val="20"/>
              </w:rPr>
            </w:pPr>
            <w:r>
              <w:rPr>
                <w:color w:val="000000"/>
                <w:sz w:val="20"/>
                <w:szCs w:val="20"/>
              </w:rPr>
              <w:t>$6,176.25</w:t>
            </w:r>
          </w:p>
        </w:tc>
      </w:tr>
      <w:tr w:rsidR="00240E57" w:rsidRPr="00672E9B" w14:paraId="29C565D4" w14:textId="77777777" w:rsidTr="00672E9B">
        <w:tc>
          <w:tcPr>
            <w:tcW w:w="1075" w:type="dxa"/>
            <w:shd w:val="clear" w:color="auto" w:fill="auto"/>
          </w:tcPr>
          <w:p w14:paraId="67408C35" w14:textId="77777777" w:rsidR="00240E57" w:rsidRPr="00672E9B" w:rsidRDefault="00240E57" w:rsidP="00240E57">
            <w:pPr>
              <w:spacing w:before="60" w:after="60"/>
              <w:rPr>
                <w:sz w:val="20"/>
                <w:szCs w:val="20"/>
              </w:rPr>
            </w:pPr>
            <w:r w:rsidRPr="00672E9B">
              <w:rPr>
                <w:sz w:val="20"/>
                <w:szCs w:val="20"/>
              </w:rPr>
              <w:t>Robert Freeling</w:t>
            </w:r>
          </w:p>
          <w:p w14:paraId="02E84ABB" w14:textId="324FB0AF" w:rsidR="00240E57" w:rsidRPr="00672E9B" w:rsidRDefault="00240E57" w:rsidP="00240E57">
            <w:pPr>
              <w:spacing w:before="60" w:after="60"/>
              <w:rPr>
                <w:sz w:val="20"/>
                <w:szCs w:val="20"/>
              </w:rPr>
            </w:pPr>
            <w:r w:rsidRPr="00672E9B">
              <w:rPr>
                <w:sz w:val="20"/>
                <w:szCs w:val="20"/>
              </w:rPr>
              <w:t>(expert)</w:t>
            </w:r>
          </w:p>
        </w:tc>
        <w:tc>
          <w:tcPr>
            <w:tcW w:w="630" w:type="dxa"/>
            <w:shd w:val="clear" w:color="auto" w:fill="auto"/>
          </w:tcPr>
          <w:p w14:paraId="24879E2F" w14:textId="7ADFC087" w:rsidR="00240E57" w:rsidRPr="00672E9B" w:rsidRDefault="00240E57" w:rsidP="00240E57">
            <w:pPr>
              <w:spacing w:before="60" w:after="60"/>
              <w:rPr>
                <w:color w:val="000000"/>
                <w:sz w:val="20"/>
                <w:szCs w:val="20"/>
              </w:rPr>
            </w:pPr>
            <w:r w:rsidRPr="00672E9B">
              <w:rPr>
                <w:color w:val="000000"/>
                <w:sz w:val="20"/>
                <w:szCs w:val="20"/>
              </w:rPr>
              <w:t>2018</w:t>
            </w:r>
          </w:p>
        </w:tc>
        <w:tc>
          <w:tcPr>
            <w:tcW w:w="720" w:type="dxa"/>
            <w:shd w:val="clear" w:color="auto" w:fill="auto"/>
          </w:tcPr>
          <w:p w14:paraId="01CC380A" w14:textId="623A6CF4" w:rsidR="00240E57" w:rsidRPr="00672E9B" w:rsidRDefault="00A66974" w:rsidP="00240E57">
            <w:pPr>
              <w:spacing w:before="60" w:after="60"/>
              <w:rPr>
                <w:color w:val="000000"/>
                <w:sz w:val="20"/>
                <w:szCs w:val="20"/>
              </w:rPr>
            </w:pPr>
            <w:r w:rsidRPr="00672E9B">
              <w:rPr>
                <w:color w:val="000000"/>
                <w:sz w:val="20"/>
                <w:szCs w:val="20"/>
              </w:rPr>
              <w:t>8</w:t>
            </w:r>
          </w:p>
        </w:tc>
        <w:tc>
          <w:tcPr>
            <w:tcW w:w="720" w:type="dxa"/>
            <w:gridSpan w:val="2"/>
            <w:shd w:val="clear" w:color="auto" w:fill="auto"/>
          </w:tcPr>
          <w:p w14:paraId="0B365907" w14:textId="76EB7D46" w:rsidR="00240E57" w:rsidRPr="00672E9B" w:rsidRDefault="00240E57" w:rsidP="00240E57">
            <w:pPr>
              <w:rPr>
                <w:color w:val="000000"/>
                <w:sz w:val="20"/>
                <w:szCs w:val="20"/>
              </w:rPr>
            </w:pPr>
            <w:r w:rsidRPr="00672E9B">
              <w:rPr>
                <w:color w:val="000000"/>
                <w:sz w:val="20"/>
                <w:szCs w:val="20"/>
              </w:rPr>
              <w:t>$230</w:t>
            </w:r>
          </w:p>
          <w:p w14:paraId="128E7C47" w14:textId="77777777" w:rsidR="00240E57" w:rsidRPr="00672E9B" w:rsidRDefault="00240E57" w:rsidP="00240E57">
            <w:pPr>
              <w:rPr>
                <w:color w:val="000000"/>
                <w:sz w:val="20"/>
                <w:szCs w:val="20"/>
              </w:rPr>
            </w:pPr>
          </w:p>
        </w:tc>
        <w:tc>
          <w:tcPr>
            <w:tcW w:w="1170" w:type="dxa"/>
            <w:tcBorders>
              <w:right w:val="single" w:sz="4" w:space="0" w:color="auto"/>
            </w:tcBorders>
            <w:shd w:val="clear" w:color="auto" w:fill="auto"/>
          </w:tcPr>
          <w:p w14:paraId="7F425C73" w14:textId="43CFED0F" w:rsidR="00240E57" w:rsidRPr="00672E9B" w:rsidRDefault="00240E57" w:rsidP="00240E57">
            <w:pPr>
              <w:rPr>
                <w:color w:val="000000"/>
                <w:sz w:val="20"/>
                <w:szCs w:val="20"/>
              </w:rPr>
            </w:pPr>
            <w:r w:rsidRPr="00672E9B">
              <w:rPr>
                <w:sz w:val="20"/>
                <w:szCs w:val="20"/>
              </w:rPr>
              <w:t>2017 rate of $225 as explained above + 2.30% COLA for 2018 per ALJ-352</w:t>
            </w:r>
          </w:p>
        </w:tc>
        <w:tc>
          <w:tcPr>
            <w:tcW w:w="1170" w:type="dxa"/>
            <w:gridSpan w:val="2"/>
            <w:tcBorders>
              <w:top w:val="single" w:sz="4" w:space="0" w:color="auto"/>
              <w:left w:val="single" w:sz="4" w:space="0" w:color="auto"/>
              <w:bottom w:val="single" w:sz="4" w:space="0" w:color="auto"/>
              <w:right w:val="single" w:sz="24" w:space="0" w:color="auto"/>
            </w:tcBorders>
            <w:shd w:val="clear" w:color="auto" w:fill="auto"/>
          </w:tcPr>
          <w:p w14:paraId="2037EE87" w14:textId="77777777" w:rsidR="00240E57" w:rsidRPr="00672E9B" w:rsidRDefault="00A66974" w:rsidP="00240E57">
            <w:pPr>
              <w:spacing w:before="60" w:after="60"/>
              <w:rPr>
                <w:color w:val="000000"/>
                <w:sz w:val="20"/>
                <w:szCs w:val="20"/>
              </w:rPr>
            </w:pPr>
            <w:r w:rsidRPr="00672E9B">
              <w:rPr>
                <w:color w:val="000000"/>
                <w:sz w:val="20"/>
                <w:szCs w:val="20"/>
              </w:rPr>
              <w:t>$1,840.00</w:t>
            </w:r>
          </w:p>
          <w:p w14:paraId="2FE1A283" w14:textId="33500761" w:rsidR="00A66974" w:rsidRPr="00672E9B" w:rsidDel="0060551A" w:rsidRDefault="00A66974" w:rsidP="00240E57">
            <w:pPr>
              <w:spacing w:before="60" w:after="60"/>
              <w:rPr>
                <w:color w:val="000000"/>
                <w:sz w:val="20"/>
                <w:szCs w:val="20"/>
              </w:rPr>
            </w:pPr>
          </w:p>
        </w:tc>
        <w:tc>
          <w:tcPr>
            <w:tcW w:w="900" w:type="dxa"/>
            <w:tcBorders>
              <w:left w:val="single" w:sz="4" w:space="0" w:color="auto"/>
            </w:tcBorders>
            <w:shd w:val="clear" w:color="auto" w:fill="auto"/>
          </w:tcPr>
          <w:p w14:paraId="7E244371" w14:textId="1382510B" w:rsidR="00240E57" w:rsidRPr="00672E9B" w:rsidRDefault="002565BC" w:rsidP="00BB6EBF">
            <w:pPr>
              <w:spacing w:before="60" w:after="60"/>
              <w:jc w:val="center"/>
              <w:rPr>
                <w:color w:val="000000"/>
                <w:sz w:val="20"/>
                <w:szCs w:val="20"/>
              </w:rPr>
            </w:pPr>
            <w:r>
              <w:rPr>
                <w:color w:val="000000"/>
                <w:sz w:val="20"/>
                <w:szCs w:val="20"/>
              </w:rPr>
              <w:t>7.60</w:t>
            </w:r>
            <w:r w:rsidR="00BB6EBF">
              <w:rPr>
                <w:color w:val="000000"/>
                <w:sz w:val="20"/>
                <w:szCs w:val="20"/>
              </w:rPr>
              <w:t xml:space="preserve"> </w:t>
            </w:r>
            <w:r>
              <w:rPr>
                <w:color w:val="000000"/>
                <w:sz w:val="20"/>
                <w:szCs w:val="20"/>
              </w:rPr>
              <w:t xml:space="preserve"> [D]</w:t>
            </w:r>
          </w:p>
        </w:tc>
        <w:tc>
          <w:tcPr>
            <w:tcW w:w="900" w:type="dxa"/>
            <w:gridSpan w:val="2"/>
            <w:shd w:val="clear" w:color="auto" w:fill="auto"/>
          </w:tcPr>
          <w:p w14:paraId="503C4DAC" w14:textId="4F8D8BBB" w:rsidR="00240E57" w:rsidRPr="00672E9B" w:rsidRDefault="002565BC" w:rsidP="00BB6EBF">
            <w:pPr>
              <w:spacing w:before="60" w:after="60"/>
              <w:jc w:val="center"/>
              <w:rPr>
                <w:color w:val="000000"/>
                <w:sz w:val="20"/>
                <w:szCs w:val="20"/>
              </w:rPr>
            </w:pPr>
            <w:r>
              <w:rPr>
                <w:color w:val="000000"/>
                <w:sz w:val="20"/>
                <w:szCs w:val="20"/>
              </w:rPr>
              <w:t>$230.00</w:t>
            </w:r>
          </w:p>
        </w:tc>
        <w:tc>
          <w:tcPr>
            <w:tcW w:w="1350" w:type="dxa"/>
            <w:shd w:val="clear" w:color="auto" w:fill="auto"/>
          </w:tcPr>
          <w:p w14:paraId="347C90A2" w14:textId="7171A6D1" w:rsidR="00240E57" w:rsidRPr="00672E9B" w:rsidRDefault="002565BC" w:rsidP="00BB6EBF">
            <w:pPr>
              <w:spacing w:before="60" w:after="60"/>
              <w:jc w:val="right"/>
              <w:rPr>
                <w:color w:val="000000"/>
                <w:sz w:val="20"/>
                <w:szCs w:val="20"/>
              </w:rPr>
            </w:pPr>
            <w:r>
              <w:rPr>
                <w:color w:val="000000"/>
                <w:sz w:val="20"/>
                <w:szCs w:val="20"/>
              </w:rPr>
              <w:t>$1,748.00</w:t>
            </w:r>
          </w:p>
        </w:tc>
      </w:tr>
      <w:tr w:rsidR="00240E57" w:rsidRPr="00672E9B" w14:paraId="1B237C11" w14:textId="2181817E" w:rsidTr="00672E9B">
        <w:tc>
          <w:tcPr>
            <w:tcW w:w="5485" w:type="dxa"/>
            <w:gridSpan w:val="8"/>
            <w:tcBorders>
              <w:bottom w:val="single" w:sz="4" w:space="0" w:color="auto"/>
              <w:right w:val="single" w:sz="24" w:space="0" w:color="auto"/>
            </w:tcBorders>
            <w:shd w:val="clear" w:color="auto" w:fill="auto"/>
            <w:vAlign w:val="bottom"/>
          </w:tcPr>
          <w:p w14:paraId="2ECB6744" w14:textId="417E4B47" w:rsidR="00240E57" w:rsidRPr="00672E9B" w:rsidRDefault="00240E57" w:rsidP="00BB6EBF">
            <w:pPr>
              <w:tabs>
                <w:tab w:val="left" w:pos="957"/>
              </w:tabs>
              <w:jc w:val="right"/>
              <w:rPr>
                <w:i/>
                <w:color w:val="000000"/>
                <w:sz w:val="20"/>
                <w:szCs w:val="20"/>
              </w:rPr>
            </w:pPr>
            <w:r w:rsidRPr="00672E9B">
              <w:rPr>
                <w:i/>
                <w:color w:val="000000"/>
                <w:sz w:val="20"/>
                <w:szCs w:val="20"/>
              </w:rPr>
              <w:t>Subtotal: $</w:t>
            </w:r>
            <w:r w:rsidR="00A66974" w:rsidRPr="00672E9B">
              <w:rPr>
                <w:i/>
                <w:color w:val="000000"/>
                <w:sz w:val="20"/>
                <w:szCs w:val="20"/>
              </w:rPr>
              <w:t>60</w:t>
            </w:r>
            <w:r w:rsidRPr="00672E9B">
              <w:rPr>
                <w:i/>
                <w:color w:val="000000"/>
                <w:sz w:val="20"/>
                <w:szCs w:val="20"/>
              </w:rPr>
              <w:t>,</w:t>
            </w:r>
            <w:r w:rsidR="00A66974" w:rsidRPr="00672E9B">
              <w:rPr>
                <w:i/>
                <w:color w:val="000000"/>
                <w:sz w:val="20"/>
                <w:szCs w:val="20"/>
              </w:rPr>
              <w:t>506.00</w:t>
            </w:r>
          </w:p>
        </w:tc>
        <w:tc>
          <w:tcPr>
            <w:tcW w:w="3150" w:type="dxa"/>
            <w:gridSpan w:val="4"/>
            <w:tcBorders>
              <w:left w:val="single" w:sz="24" w:space="0" w:color="auto"/>
              <w:bottom w:val="single" w:sz="4" w:space="0" w:color="auto"/>
            </w:tcBorders>
            <w:shd w:val="clear" w:color="auto" w:fill="auto"/>
            <w:vAlign w:val="bottom"/>
          </w:tcPr>
          <w:p w14:paraId="4C4556E5" w14:textId="119742B9" w:rsidR="00240E57" w:rsidRPr="00672E9B" w:rsidRDefault="00240E57" w:rsidP="00E64AFC">
            <w:pPr>
              <w:tabs>
                <w:tab w:val="left" w:pos="957"/>
              </w:tabs>
              <w:jc w:val="right"/>
              <w:rPr>
                <w:i/>
                <w:color w:val="000000"/>
                <w:sz w:val="20"/>
                <w:szCs w:val="20"/>
              </w:rPr>
            </w:pPr>
            <w:r w:rsidRPr="00672E9B">
              <w:rPr>
                <w:i/>
                <w:color w:val="000000"/>
                <w:sz w:val="20"/>
                <w:szCs w:val="20"/>
              </w:rPr>
              <w:t>Subtotal: $</w:t>
            </w:r>
            <w:r w:rsidR="00E64AFC">
              <w:rPr>
                <w:i/>
                <w:color w:val="000000"/>
                <w:sz w:val="20"/>
                <w:szCs w:val="20"/>
              </w:rPr>
              <w:t>60,230.64</w:t>
            </w:r>
          </w:p>
        </w:tc>
      </w:tr>
      <w:tr w:rsidR="00240E57" w:rsidRPr="00672E9B" w14:paraId="4F8FAF05" w14:textId="77777777" w:rsidTr="00672E9B">
        <w:tc>
          <w:tcPr>
            <w:tcW w:w="8635" w:type="dxa"/>
            <w:gridSpan w:val="12"/>
            <w:tcBorders>
              <w:top w:val="single" w:sz="4" w:space="0" w:color="auto"/>
              <w:left w:val="single" w:sz="4" w:space="0" w:color="auto"/>
              <w:bottom w:val="single" w:sz="4" w:space="0" w:color="auto"/>
              <w:right w:val="single" w:sz="4" w:space="0" w:color="auto"/>
            </w:tcBorders>
            <w:shd w:val="clear" w:color="auto" w:fill="E6E6E6"/>
          </w:tcPr>
          <w:p w14:paraId="41FE304C" w14:textId="77777777" w:rsidR="00240E57" w:rsidRPr="00672E9B" w:rsidRDefault="00240E57" w:rsidP="00240E57">
            <w:pPr>
              <w:spacing w:before="60" w:after="60"/>
              <w:jc w:val="center"/>
              <w:rPr>
                <w:color w:val="000000"/>
                <w:sz w:val="20"/>
                <w:szCs w:val="20"/>
              </w:rPr>
            </w:pPr>
            <w:r w:rsidRPr="00672E9B">
              <w:rPr>
                <w:color w:val="000000"/>
                <w:sz w:val="20"/>
                <w:szCs w:val="20"/>
              </w:rPr>
              <w:t xml:space="preserve">INTERVENOR COMPENSATION CLAIM PREPARATION </w:t>
            </w:r>
            <w:r w:rsidRPr="00672E9B">
              <w:rPr>
                <w:smallCaps/>
                <w:color w:val="000000"/>
                <w:sz w:val="20"/>
                <w:szCs w:val="20"/>
              </w:rPr>
              <w:t xml:space="preserve"> **</w:t>
            </w:r>
          </w:p>
        </w:tc>
      </w:tr>
      <w:tr w:rsidR="00240E57" w:rsidRPr="00672E9B" w14:paraId="48B3E535" w14:textId="77777777" w:rsidTr="00672E9B">
        <w:tc>
          <w:tcPr>
            <w:tcW w:w="1075" w:type="dxa"/>
            <w:tcBorders>
              <w:top w:val="single" w:sz="4" w:space="0" w:color="auto"/>
              <w:bottom w:val="single" w:sz="4" w:space="0" w:color="auto"/>
            </w:tcBorders>
            <w:shd w:val="clear" w:color="auto" w:fill="auto"/>
          </w:tcPr>
          <w:p w14:paraId="563A43BB" w14:textId="77777777" w:rsidR="00240E57" w:rsidRPr="00672E9B" w:rsidRDefault="00240E57" w:rsidP="00240E57">
            <w:pPr>
              <w:spacing w:before="60" w:after="60"/>
              <w:jc w:val="center"/>
              <w:rPr>
                <w:color w:val="000000"/>
                <w:sz w:val="20"/>
                <w:szCs w:val="20"/>
              </w:rPr>
            </w:pPr>
            <w:r w:rsidRPr="00672E9B">
              <w:rPr>
                <w:color w:val="000000"/>
                <w:sz w:val="20"/>
                <w:szCs w:val="20"/>
              </w:rPr>
              <w:t>Item</w:t>
            </w:r>
          </w:p>
        </w:tc>
        <w:tc>
          <w:tcPr>
            <w:tcW w:w="630" w:type="dxa"/>
            <w:tcBorders>
              <w:top w:val="single" w:sz="4" w:space="0" w:color="auto"/>
              <w:bottom w:val="single" w:sz="4" w:space="0" w:color="auto"/>
            </w:tcBorders>
            <w:shd w:val="clear" w:color="auto" w:fill="auto"/>
          </w:tcPr>
          <w:p w14:paraId="144552E0" w14:textId="77777777" w:rsidR="00240E57" w:rsidRPr="00672E9B" w:rsidRDefault="00240E57" w:rsidP="00240E57">
            <w:pPr>
              <w:spacing w:before="60" w:after="60"/>
              <w:jc w:val="center"/>
              <w:rPr>
                <w:color w:val="000000"/>
                <w:sz w:val="20"/>
                <w:szCs w:val="20"/>
              </w:rPr>
            </w:pPr>
            <w:r w:rsidRPr="00672E9B">
              <w:rPr>
                <w:color w:val="000000"/>
                <w:sz w:val="20"/>
                <w:szCs w:val="20"/>
              </w:rPr>
              <w:t>Year</w:t>
            </w:r>
          </w:p>
        </w:tc>
        <w:tc>
          <w:tcPr>
            <w:tcW w:w="720" w:type="dxa"/>
            <w:tcBorders>
              <w:top w:val="single" w:sz="4" w:space="0" w:color="auto"/>
              <w:bottom w:val="single" w:sz="4" w:space="0" w:color="auto"/>
            </w:tcBorders>
            <w:shd w:val="clear" w:color="auto" w:fill="auto"/>
          </w:tcPr>
          <w:p w14:paraId="42890B1B" w14:textId="77777777" w:rsidR="00240E57" w:rsidRPr="00672E9B" w:rsidRDefault="00240E57" w:rsidP="00240E57">
            <w:pPr>
              <w:spacing w:before="60" w:after="60"/>
              <w:jc w:val="center"/>
              <w:rPr>
                <w:color w:val="000000"/>
                <w:sz w:val="20"/>
                <w:szCs w:val="20"/>
              </w:rPr>
            </w:pPr>
            <w:r w:rsidRPr="00672E9B">
              <w:rPr>
                <w:color w:val="000000"/>
                <w:sz w:val="20"/>
                <w:szCs w:val="20"/>
              </w:rPr>
              <w:t>Hours</w:t>
            </w:r>
          </w:p>
        </w:tc>
        <w:tc>
          <w:tcPr>
            <w:tcW w:w="720" w:type="dxa"/>
            <w:gridSpan w:val="2"/>
            <w:tcBorders>
              <w:top w:val="single" w:sz="4" w:space="0" w:color="auto"/>
              <w:bottom w:val="single" w:sz="4" w:space="0" w:color="auto"/>
            </w:tcBorders>
            <w:shd w:val="clear" w:color="auto" w:fill="auto"/>
          </w:tcPr>
          <w:p w14:paraId="1E7BD956" w14:textId="77777777" w:rsidR="00240E57" w:rsidRPr="00672E9B" w:rsidRDefault="00240E57" w:rsidP="00240E57">
            <w:pPr>
              <w:spacing w:before="60" w:after="60"/>
              <w:jc w:val="center"/>
              <w:rPr>
                <w:color w:val="000000"/>
                <w:sz w:val="20"/>
                <w:szCs w:val="20"/>
              </w:rPr>
            </w:pPr>
            <w:r w:rsidRPr="00672E9B">
              <w:rPr>
                <w:color w:val="000000"/>
                <w:sz w:val="20"/>
                <w:szCs w:val="20"/>
              </w:rPr>
              <w:t xml:space="preserve">Rate $ </w:t>
            </w:r>
          </w:p>
        </w:tc>
        <w:tc>
          <w:tcPr>
            <w:tcW w:w="1170" w:type="dxa"/>
            <w:tcBorders>
              <w:top w:val="single" w:sz="4" w:space="0" w:color="auto"/>
              <w:bottom w:val="single" w:sz="4" w:space="0" w:color="auto"/>
              <w:right w:val="single" w:sz="4" w:space="0" w:color="auto"/>
            </w:tcBorders>
            <w:shd w:val="clear" w:color="auto" w:fill="auto"/>
          </w:tcPr>
          <w:p w14:paraId="104D7982" w14:textId="77777777" w:rsidR="00240E57" w:rsidRPr="00672E9B" w:rsidRDefault="00240E57" w:rsidP="00240E57">
            <w:pPr>
              <w:spacing w:before="60" w:after="60"/>
              <w:jc w:val="center"/>
              <w:rPr>
                <w:color w:val="000000"/>
                <w:sz w:val="20"/>
                <w:szCs w:val="20"/>
              </w:rPr>
            </w:pPr>
            <w:r w:rsidRPr="00672E9B">
              <w:rPr>
                <w:color w:val="000000"/>
                <w:sz w:val="20"/>
                <w:szCs w:val="20"/>
              </w:rPr>
              <w:t>Basis for Rate*</w:t>
            </w:r>
          </w:p>
        </w:tc>
        <w:tc>
          <w:tcPr>
            <w:tcW w:w="1170" w:type="dxa"/>
            <w:gridSpan w:val="2"/>
            <w:tcBorders>
              <w:top w:val="single" w:sz="4" w:space="0" w:color="auto"/>
              <w:left w:val="single" w:sz="4" w:space="0" w:color="auto"/>
              <w:bottom w:val="single" w:sz="4" w:space="0" w:color="auto"/>
              <w:right w:val="single" w:sz="24" w:space="0" w:color="auto"/>
            </w:tcBorders>
            <w:shd w:val="clear" w:color="auto" w:fill="auto"/>
          </w:tcPr>
          <w:p w14:paraId="073B2BB9" w14:textId="77777777" w:rsidR="00240E57" w:rsidRPr="00672E9B" w:rsidRDefault="00240E57" w:rsidP="00240E57">
            <w:pPr>
              <w:spacing w:before="60" w:after="60"/>
              <w:jc w:val="center"/>
              <w:rPr>
                <w:color w:val="000000"/>
                <w:sz w:val="20"/>
                <w:szCs w:val="20"/>
              </w:rPr>
            </w:pPr>
            <w:r w:rsidRPr="00672E9B">
              <w:rPr>
                <w:color w:val="000000"/>
                <w:sz w:val="20"/>
                <w:szCs w:val="20"/>
              </w:rPr>
              <w:t>Total $</w:t>
            </w:r>
          </w:p>
        </w:tc>
        <w:tc>
          <w:tcPr>
            <w:tcW w:w="900" w:type="dxa"/>
            <w:tcBorders>
              <w:top w:val="single" w:sz="4" w:space="0" w:color="auto"/>
              <w:left w:val="single" w:sz="4" w:space="0" w:color="auto"/>
            </w:tcBorders>
            <w:shd w:val="clear" w:color="auto" w:fill="auto"/>
          </w:tcPr>
          <w:p w14:paraId="0409143B" w14:textId="77777777" w:rsidR="00240E57" w:rsidRPr="00672E9B" w:rsidRDefault="00240E57" w:rsidP="00240E57">
            <w:pPr>
              <w:spacing w:before="60" w:after="60"/>
              <w:jc w:val="center"/>
              <w:rPr>
                <w:color w:val="000000"/>
                <w:sz w:val="20"/>
                <w:szCs w:val="20"/>
              </w:rPr>
            </w:pPr>
            <w:r w:rsidRPr="00672E9B">
              <w:rPr>
                <w:color w:val="000000"/>
                <w:sz w:val="20"/>
                <w:szCs w:val="20"/>
              </w:rPr>
              <w:t>Hours</w:t>
            </w:r>
          </w:p>
        </w:tc>
        <w:tc>
          <w:tcPr>
            <w:tcW w:w="900" w:type="dxa"/>
            <w:gridSpan w:val="2"/>
            <w:tcBorders>
              <w:top w:val="single" w:sz="4" w:space="0" w:color="auto"/>
            </w:tcBorders>
            <w:shd w:val="clear" w:color="auto" w:fill="auto"/>
          </w:tcPr>
          <w:p w14:paraId="6B59BB80" w14:textId="77777777" w:rsidR="00240E57" w:rsidRPr="00672E9B" w:rsidRDefault="00240E57" w:rsidP="00240E57">
            <w:pPr>
              <w:spacing w:before="60" w:after="60"/>
              <w:jc w:val="center"/>
              <w:rPr>
                <w:color w:val="000000"/>
                <w:sz w:val="20"/>
                <w:szCs w:val="20"/>
              </w:rPr>
            </w:pPr>
            <w:r w:rsidRPr="00672E9B">
              <w:rPr>
                <w:color w:val="000000"/>
                <w:sz w:val="20"/>
                <w:szCs w:val="20"/>
              </w:rPr>
              <w:t xml:space="preserve">Rate </w:t>
            </w:r>
          </w:p>
        </w:tc>
        <w:tc>
          <w:tcPr>
            <w:tcW w:w="1350" w:type="dxa"/>
            <w:tcBorders>
              <w:top w:val="single" w:sz="4" w:space="0" w:color="auto"/>
            </w:tcBorders>
            <w:shd w:val="clear" w:color="auto" w:fill="auto"/>
          </w:tcPr>
          <w:p w14:paraId="6C7B13CF" w14:textId="77777777" w:rsidR="00240E57" w:rsidRPr="00672E9B" w:rsidRDefault="00240E57" w:rsidP="00240E57">
            <w:pPr>
              <w:spacing w:before="60" w:after="60"/>
              <w:jc w:val="center"/>
              <w:rPr>
                <w:color w:val="000000"/>
                <w:sz w:val="20"/>
                <w:szCs w:val="20"/>
              </w:rPr>
            </w:pPr>
            <w:r w:rsidRPr="00672E9B">
              <w:rPr>
                <w:color w:val="000000"/>
                <w:sz w:val="20"/>
                <w:szCs w:val="20"/>
              </w:rPr>
              <w:t>Total $</w:t>
            </w:r>
          </w:p>
        </w:tc>
      </w:tr>
      <w:tr w:rsidR="00324E42" w:rsidRPr="00672E9B" w14:paraId="25086E67" w14:textId="77777777" w:rsidTr="00672E9B">
        <w:tc>
          <w:tcPr>
            <w:tcW w:w="1075" w:type="dxa"/>
            <w:shd w:val="clear" w:color="auto" w:fill="auto"/>
          </w:tcPr>
          <w:p w14:paraId="3B639184" w14:textId="5C14A073" w:rsidR="00240E57" w:rsidRPr="00672E9B" w:rsidRDefault="00240E57" w:rsidP="00240E57">
            <w:pPr>
              <w:spacing w:before="60" w:after="60"/>
              <w:rPr>
                <w:color w:val="000000"/>
                <w:sz w:val="20"/>
                <w:szCs w:val="20"/>
              </w:rPr>
            </w:pPr>
            <w:r w:rsidRPr="00672E9B">
              <w:rPr>
                <w:color w:val="000000"/>
                <w:sz w:val="20"/>
                <w:szCs w:val="20"/>
              </w:rPr>
              <w:t xml:space="preserve">April </w:t>
            </w:r>
            <w:proofErr w:type="spellStart"/>
            <w:r w:rsidRPr="00672E9B">
              <w:rPr>
                <w:color w:val="000000"/>
                <w:sz w:val="20"/>
                <w:szCs w:val="20"/>
              </w:rPr>
              <w:t>Maurath</w:t>
            </w:r>
            <w:proofErr w:type="spellEnd"/>
            <w:r w:rsidRPr="00672E9B">
              <w:rPr>
                <w:color w:val="000000"/>
                <w:sz w:val="20"/>
                <w:szCs w:val="20"/>
              </w:rPr>
              <w:t xml:space="preserve"> </w:t>
            </w:r>
            <w:proofErr w:type="spellStart"/>
            <w:r w:rsidRPr="00672E9B">
              <w:rPr>
                <w:color w:val="000000"/>
                <w:sz w:val="20"/>
                <w:szCs w:val="20"/>
              </w:rPr>
              <w:t>Sommer</w:t>
            </w:r>
            <w:proofErr w:type="spellEnd"/>
          </w:p>
          <w:p w14:paraId="386D0995" w14:textId="1F723FBA" w:rsidR="00240E57" w:rsidRPr="00672E9B" w:rsidRDefault="00240E57" w:rsidP="00240E57">
            <w:pPr>
              <w:spacing w:before="60" w:after="60"/>
              <w:rPr>
                <w:color w:val="000000"/>
                <w:sz w:val="20"/>
                <w:szCs w:val="20"/>
              </w:rPr>
            </w:pPr>
            <w:r w:rsidRPr="00672E9B">
              <w:rPr>
                <w:color w:val="000000"/>
                <w:sz w:val="20"/>
                <w:szCs w:val="20"/>
              </w:rPr>
              <w:t>(attorney)</w:t>
            </w:r>
          </w:p>
        </w:tc>
        <w:tc>
          <w:tcPr>
            <w:tcW w:w="630" w:type="dxa"/>
            <w:shd w:val="clear" w:color="auto" w:fill="auto"/>
          </w:tcPr>
          <w:p w14:paraId="4A155F1D" w14:textId="46CB9097" w:rsidR="00240E57" w:rsidRPr="00672E9B" w:rsidRDefault="00240E57" w:rsidP="00240E57">
            <w:pPr>
              <w:spacing w:before="60" w:after="60"/>
              <w:rPr>
                <w:color w:val="000000"/>
                <w:sz w:val="20"/>
                <w:szCs w:val="20"/>
              </w:rPr>
            </w:pPr>
            <w:r w:rsidRPr="00672E9B">
              <w:rPr>
                <w:color w:val="000000"/>
                <w:sz w:val="20"/>
                <w:szCs w:val="20"/>
              </w:rPr>
              <w:t>2018</w:t>
            </w:r>
          </w:p>
        </w:tc>
        <w:tc>
          <w:tcPr>
            <w:tcW w:w="720" w:type="dxa"/>
            <w:shd w:val="clear" w:color="auto" w:fill="auto"/>
          </w:tcPr>
          <w:p w14:paraId="30EEA80A" w14:textId="62824A74" w:rsidR="00240E57" w:rsidRPr="00672E9B" w:rsidRDefault="00240E57" w:rsidP="00240E57">
            <w:pPr>
              <w:spacing w:before="60" w:after="60"/>
              <w:rPr>
                <w:color w:val="000000"/>
                <w:sz w:val="20"/>
                <w:szCs w:val="20"/>
              </w:rPr>
            </w:pPr>
            <w:r w:rsidRPr="00672E9B">
              <w:rPr>
                <w:color w:val="000000"/>
                <w:sz w:val="20"/>
                <w:szCs w:val="20"/>
              </w:rPr>
              <w:t>6</w:t>
            </w:r>
          </w:p>
        </w:tc>
        <w:tc>
          <w:tcPr>
            <w:tcW w:w="720" w:type="dxa"/>
            <w:gridSpan w:val="2"/>
            <w:shd w:val="clear" w:color="auto" w:fill="auto"/>
          </w:tcPr>
          <w:p w14:paraId="4EB14C91" w14:textId="0FB54571" w:rsidR="00240E57" w:rsidRPr="00672E9B" w:rsidRDefault="00240E57" w:rsidP="00240E57">
            <w:pPr>
              <w:spacing w:before="60" w:after="60"/>
              <w:rPr>
                <w:color w:val="000000"/>
                <w:sz w:val="20"/>
                <w:szCs w:val="20"/>
              </w:rPr>
            </w:pPr>
            <w:r w:rsidRPr="00672E9B">
              <w:rPr>
                <w:color w:val="000000"/>
                <w:sz w:val="20"/>
                <w:szCs w:val="20"/>
              </w:rPr>
              <w:t>$361</w:t>
            </w:r>
          </w:p>
        </w:tc>
        <w:tc>
          <w:tcPr>
            <w:tcW w:w="1170" w:type="dxa"/>
            <w:tcBorders>
              <w:right w:val="single" w:sz="4" w:space="0" w:color="auto"/>
            </w:tcBorders>
            <w:shd w:val="clear" w:color="auto" w:fill="auto"/>
          </w:tcPr>
          <w:p w14:paraId="79F2EFF1" w14:textId="4FA35593" w:rsidR="00240E57" w:rsidRPr="00672E9B" w:rsidRDefault="00240E57" w:rsidP="00240E57">
            <w:pPr>
              <w:rPr>
                <w:color w:val="000000"/>
                <w:sz w:val="20"/>
                <w:szCs w:val="20"/>
              </w:rPr>
            </w:pPr>
            <w:r w:rsidRPr="00672E9B">
              <w:rPr>
                <w:sz w:val="20"/>
                <w:szCs w:val="20"/>
              </w:rPr>
              <w:t xml:space="preserve">2017 rate of $353 as explained above + 2.30% COLA for </w:t>
            </w:r>
            <w:r w:rsidRPr="00672E9B">
              <w:rPr>
                <w:sz w:val="20"/>
                <w:szCs w:val="20"/>
              </w:rPr>
              <w:lastRenderedPageBreak/>
              <w:t>2018 per ALJ-352</w:t>
            </w:r>
          </w:p>
          <w:p w14:paraId="228A497A" w14:textId="77777777" w:rsidR="00240E57" w:rsidRPr="00672E9B" w:rsidRDefault="00240E57" w:rsidP="00240E57">
            <w:pPr>
              <w:rPr>
                <w:sz w:val="20"/>
                <w:szCs w:val="20"/>
              </w:rPr>
            </w:pPr>
          </w:p>
          <w:p w14:paraId="02D334B7" w14:textId="4816D679" w:rsidR="00240E57" w:rsidRPr="00672E9B" w:rsidRDefault="00240E57" w:rsidP="00324E42">
            <w:pPr>
              <w:rPr>
                <w:color w:val="000000"/>
                <w:sz w:val="20"/>
                <w:szCs w:val="20"/>
              </w:rPr>
            </w:pPr>
            <w:r w:rsidRPr="00672E9B">
              <w:rPr>
                <w:sz w:val="20"/>
                <w:szCs w:val="20"/>
              </w:rPr>
              <w:t>½ 2018 rate</w:t>
            </w:r>
          </w:p>
        </w:tc>
        <w:tc>
          <w:tcPr>
            <w:tcW w:w="1170" w:type="dxa"/>
            <w:gridSpan w:val="2"/>
            <w:tcBorders>
              <w:top w:val="single" w:sz="4" w:space="0" w:color="auto"/>
              <w:left w:val="single" w:sz="4" w:space="0" w:color="auto"/>
              <w:bottom w:val="single" w:sz="4" w:space="0" w:color="auto"/>
              <w:right w:val="single" w:sz="24" w:space="0" w:color="auto"/>
            </w:tcBorders>
            <w:shd w:val="clear" w:color="auto" w:fill="auto"/>
          </w:tcPr>
          <w:p w14:paraId="7B9A0261" w14:textId="2F2EC1AA" w:rsidR="00240E57" w:rsidRPr="00672E9B" w:rsidRDefault="00240E57" w:rsidP="00240E57">
            <w:pPr>
              <w:spacing w:before="60" w:after="60"/>
              <w:rPr>
                <w:color w:val="000000"/>
                <w:sz w:val="20"/>
                <w:szCs w:val="20"/>
              </w:rPr>
            </w:pPr>
            <w:r w:rsidRPr="00672E9B">
              <w:rPr>
                <w:color w:val="000000"/>
                <w:sz w:val="20"/>
                <w:szCs w:val="20"/>
              </w:rPr>
              <w:lastRenderedPageBreak/>
              <w:t>$1,083.00</w:t>
            </w:r>
          </w:p>
        </w:tc>
        <w:tc>
          <w:tcPr>
            <w:tcW w:w="900" w:type="dxa"/>
            <w:tcBorders>
              <w:left w:val="single" w:sz="4" w:space="0" w:color="auto"/>
              <w:right w:val="single" w:sz="4" w:space="0" w:color="auto"/>
            </w:tcBorders>
            <w:shd w:val="clear" w:color="auto" w:fill="auto"/>
          </w:tcPr>
          <w:p w14:paraId="5E5A4264" w14:textId="2A0D4690" w:rsidR="00240E57" w:rsidRPr="00672E9B" w:rsidRDefault="002565BC" w:rsidP="00240E57">
            <w:pPr>
              <w:spacing w:before="60" w:after="60"/>
              <w:rPr>
                <w:color w:val="000000"/>
                <w:sz w:val="20"/>
                <w:szCs w:val="20"/>
              </w:rPr>
            </w:pPr>
            <w:r>
              <w:rPr>
                <w:color w:val="000000"/>
                <w:sz w:val="20"/>
                <w:szCs w:val="20"/>
              </w:rPr>
              <w:t>6.00</w:t>
            </w:r>
          </w:p>
        </w:tc>
        <w:tc>
          <w:tcPr>
            <w:tcW w:w="900" w:type="dxa"/>
            <w:gridSpan w:val="2"/>
            <w:tcBorders>
              <w:left w:val="single" w:sz="4" w:space="0" w:color="auto"/>
            </w:tcBorders>
            <w:shd w:val="clear" w:color="auto" w:fill="auto"/>
          </w:tcPr>
          <w:p w14:paraId="47B1F089" w14:textId="6EE4F246" w:rsidR="00240E57" w:rsidRPr="00672E9B" w:rsidRDefault="002565BC" w:rsidP="00BB6EBF">
            <w:pPr>
              <w:spacing w:before="60" w:after="60"/>
              <w:jc w:val="center"/>
              <w:rPr>
                <w:color w:val="000000"/>
                <w:sz w:val="20"/>
                <w:szCs w:val="20"/>
              </w:rPr>
            </w:pPr>
            <w:r>
              <w:rPr>
                <w:color w:val="000000"/>
                <w:sz w:val="20"/>
                <w:szCs w:val="20"/>
              </w:rPr>
              <w:t>$180.50 [E</w:t>
            </w:r>
            <w:r w:rsidR="00795BC9">
              <w:rPr>
                <w:color w:val="000000"/>
                <w:sz w:val="20"/>
                <w:szCs w:val="20"/>
              </w:rPr>
              <w:t>]</w:t>
            </w:r>
          </w:p>
        </w:tc>
        <w:tc>
          <w:tcPr>
            <w:tcW w:w="1350" w:type="dxa"/>
            <w:shd w:val="clear" w:color="auto" w:fill="auto"/>
          </w:tcPr>
          <w:p w14:paraId="10659B6D" w14:textId="4743B4A7" w:rsidR="00240E57" w:rsidRPr="00672E9B" w:rsidRDefault="002565BC" w:rsidP="00BB6EBF">
            <w:pPr>
              <w:spacing w:before="60" w:after="60"/>
              <w:jc w:val="right"/>
              <w:rPr>
                <w:color w:val="000000"/>
                <w:sz w:val="20"/>
                <w:szCs w:val="20"/>
              </w:rPr>
            </w:pPr>
            <w:r>
              <w:rPr>
                <w:color w:val="000000"/>
                <w:sz w:val="20"/>
                <w:szCs w:val="20"/>
              </w:rPr>
              <w:t>$1,083.00</w:t>
            </w:r>
          </w:p>
        </w:tc>
      </w:tr>
      <w:tr w:rsidR="00324E42" w:rsidRPr="00672E9B" w14:paraId="7AB9EF54" w14:textId="77777777" w:rsidTr="00672E9B">
        <w:tc>
          <w:tcPr>
            <w:tcW w:w="1075" w:type="dxa"/>
            <w:shd w:val="clear" w:color="auto" w:fill="auto"/>
          </w:tcPr>
          <w:p w14:paraId="7D0378D1" w14:textId="77777777" w:rsidR="00240E57" w:rsidRPr="00672E9B" w:rsidRDefault="00240E57" w:rsidP="00240E57">
            <w:pPr>
              <w:spacing w:before="60" w:after="60"/>
              <w:rPr>
                <w:color w:val="000000"/>
                <w:sz w:val="20"/>
                <w:szCs w:val="20"/>
              </w:rPr>
            </w:pPr>
            <w:r w:rsidRPr="00672E9B">
              <w:rPr>
                <w:color w:val="000000"/>
                <w:sz w:val="20"/>
                <w:szCs w:val="20"/>
              </w:rPr>
              <w:t>Jamie Pang</w:t>
            </w:r>
          </w:p>
          <w:p w14:paraId="4F803C09" w14:textId="0AB0FE16" w:rsidR="00240E57" w:rsidRPr="00672E9B" w:rsidRDefault="00240E57" w:rsidP="00240E57">
            <w:pPr>
              <w:spacing w:before="60" w:after="60"/>
              <w:rPr>
                <w:color w:val="000000"/>
                <w:sz w:val="20"/>
                <w:szCs w:val="20"/>
              </w:rPr>
            </w:pPr>
            <w:r w:rsidRPr="00672E9B">
              <w:rPr>
                <w:color w:val="000000"/>
                <w:sz w:val="20"/>
                <w:szCs w:val="20"/>
              </w:rPr>
              <w:t>(Law Clerk/Legal Fellow)</w:t>
            </w:r>
          </w:p>
        </w:tc>
        <w:tc>
          <w:tcPr>
            <w:tcW w:w="630" w:type="dxa"/>
            <w:shd w:val="clear" w:color="auto" w:fill="auto"/>
          </w:tcPr>
          <w:p w14:paraId="058BFE37" w14:textId="08B2262F" w:rsidR="00240E57" w:rsidRPr="00672E9B" w:rsidRDefault="00240E57" w:rsidP="00240E57">
            <w:pPr>
              <w:spacing w:before="60" w:after="60"/>
              <w:rPr>
                <w:color w:val="000000"/>
                <w:sz w:val="20"/>
                <w:szCs w:val="20"/>
              </w:rPr>
            </w:pPr>
            <w:r w:rsidRPr="00672E9B">
              <w:rPr>
                <w:color w:val="000000"/>
                <w:sz w:val="20"/>
                <w:szCs w:val="20"/>
              </w:rPr>
              <w:t>2018</w:t>
            </w:r>
          </w:p>
        </w:tc>
        <w:tc>
          <w:tcPr>
            <w:tcW w:w="720" w:type="dxa"/>
            <w:shd w:val="clear" w:color="auto" w:fill="auto"/>
          </w:tcPr>
          <w:p w14:paraId="66A42865" w14:textId="2FC86B34" w:rsidR="00240E57" w:rsidRPr="00672E9B" w:rsidRDefault="00240E57" w:rsidP="00240E57">
            <w:pPr>
              <w:spacing w:before="60" w:after="60"/>
              <w:rPr>
                <w:color w:val="000000"/>
                <w:sz w:val="20"/>
                <w:szCs w:val="20"/>
              </w:rPr>
            </w:pPr>
            <w:r w:rsidRPr="00672E9B">
              <w:rPr>
                <w:color w:val="000000"/>
                <w:sz w:val="20"/>
                <w:szCs w:val="20"/>
              </w:rPr>
              <w:t>24</w:t>
            </w:r>
          </w:p>
        </w:tc>
        <w:tc>
          <w:tcPr>
            <w:tcW w:w="720" w:type="dxa"/>
            <w:gridSpan w:val="2"/>
            <w:shd w:val="clear" w:color="auto" w:fill="auto"/>
          </w:tcPr>
          <w:p w14:paraId="42AE8F2C" w14:textId="1B66C75D" w:rsidR="00240E57" w:rsidRPr="00672E9B" w:rsidRDefault="00240E57" w:rsidP="00240E57">
            <w:pPr>
              <w:spacing w:before="60" w:after="60"/>
              <w:rPr>
                <w:color w:val="000000"/>
                <w:sz w:val="20"/>
                <w:szCs w:val="20"/>
              </w:rPr>
            </w:pPr>
            <w:r w:rsidRPr="00672E9B">
              <w:rPr>
                <w:color w:val="000000"/>
                <w:sz w:val="20"/>
                <w:szCs w:val="20"/>
              </w:rPr>
              <w:t>$150</w:t>
            </w:r>
          </w:p>
        </w:tc>
        <w:tc>
          <w:tcPr>
            <w:tcW w:w="1170" w:type="dxa"/>
            <w:tcBorders>
              <w:right w:val="single" w:sz="4" w:space="0" w:color="auto"/>
            </w:tcBorders>
            <w:shd w:val="clear" w:color="auto" w:fill="auto"/>
          </w:tcPr>
          <w:p w14:paraId="5C2ADC04" w14:textId="77777777" w:rsidR="00240E57" w:rsidRPr="00672E9B" w:rsidRDefault="00240E57" w:rsidP="00240E57">
            <w:pPr>
              <w:rPr>
                <w:color w:val="000000"/>
                <w:sz w:val="20"/>
                <w:szCs w:val="20"/>
              </w:rPr>
            </w:pPr>
            <w:r w:rsidRPr="00672E9B">
              <w:rPr>
                <w:color w:val="000000"/>
                <w:sz w:val="20"/>
                <w:szCs w:val="20"/>
              </w:rPr>
              <w:t>Comparable rates from</w:t>
            </w:r>
          </w:p>
          <w:p w14:paraId="73477CF6" w14:textId="77777777" w:rsidR="00240E57" w:rsidRPr="00672E9B" w:rsidRDefault="00240E57" w:rsidP="00240E57">
            <w:pPr>
              <w:rPr>
                <w:color w:val="000000"/>
                <w:sz w:val="20"/>
                <w:szCs w:val="20"/>
              </w:rPr>
            </w:pPr>
            <w:r w:rsidRPr="00672E9B">
              <w:rPr>
                <w:color w:val="000000"/>
                <w:sz w:val="20"/>
                <w:szCs w:val="20"/>
              </w:rPr>
              <w:t>D.11-06-012; Attached bio and CV</w:t>
            </w:r>
          </w:p>
          <w:p w14:paraId="74B8448D" w14:textId="77777777" w:rsidR="00240E57" w:rsidRPr="00672E9B" w:rsidRDefault="00240E57" w:rsidP="00240E57">
            <w:pPr>
              <w:rPr>
                <w:sz w:val="20"/>
                <w:szCs w:val="20"/>
              </w:rPr>
            </w:pPr>
          </w:p>
          <w:p w14:paraId="3DB754B7" w14:textId="36C57891" w:rsidR="00240E57" w:rsidRPr="00672E9B" w:rsidRDefault="00240E57" w:rsidP="00324E42">
            <w:pPr>
              <w:rPr>
                <w:color w:val="000000"/>
                <w:sz w:val="20"/>
                <w:szCs w:val="20"/>
              </w:rPr>
            </w:pPr>
            <w:r w:rsidRPr="00672E9B">
              <w:rPr>
                <w:sz w:val="20"/>
                <w:szCs w:val="20"/>
              </w:rPr>
              <w:t>½ 2018 rate</w:t>
            </w:r>
          </w:p>
        </w:tc>
        <w:tc>
          <w:tcPr>
            <w:tcW w:w="1170" w:type="dxa"/>
            <w:gridSpan w:val="2"/>
            <w:tcBorders>
              <w:top w:val="single" w:sz="4" w:space="0" w:color="auto"/>
              <w:left w:val="single" w:sz="4" w:space="0" w:color="auto"/>
              <w:bottom w:val="single" w:sz="4" w:space="0" w:color="auto"/>
              <w:right w:val="single" w:sz="24" w:space="0" w:color="auto"/>
            </w:tcBorders>
            <w:shd w:val="clear" w:color="auto" w:fill="auto"/>
          </w:tcPr>
          <w:p w14:paraId="3D39C021" w14:textId="2235B748" w:rsidR="00240E57" w:rsidRPr="00672E9B" w:rsidRDefault="00240E57" w:rsidP="00240E57">
            <w:pPr>
              <w:spacing w:before="60" w:after="60"/>
              <w:rPr>
                <w:color w:val="000000"/>
                <w:sz w:val="20"/>
                <w:szCs w:val="20"/>
              </w:rPr>
            </w:pPr>
            <w:r w:rsidRPr="00672E9B">
              <w:rPr>
                <w:color w:val="000000"/>
                <w:sz w:val="20"/>
                <w:szCs w:val="20"/>
              </w:rPr>
              <w:t>$1,800.00</w:t>
            </w:r>
          </w:p>
        </w:tc>
        <w:tc>
          <w:tcPr>
            <w:tcW w:w="900" w:type="dxa"/>
            <w:tcBorders>
              <w:left w:val="single" w:sz="4" w:space="0" w:color="auto"/>
              <w:right w:val="single" w:sz="4" w:space="0" w:color="auto"/>
            </w:tcBorders>
            <w:shd w:val="clear" w:color="auto" w:fill="auto"/>
          </w:tcPr>
          <w:p w14:paraId="6B8C8F0C" w14:textId="3533FA56" w:rsidR="00240E57" w:rsidRPr="00672E9B" w:rsidRDefault="002565BC" w:rsidP="00BB6EBF">
            <w:pPr>
              <w:spacing w:before="60" w:after="60"/>
              <w:jc w:val="center"/>
              <w:rPr>
                <w:color w:val="000000"/>
                <w:sz w:val="20"/>
                <w:szCs w:val="20"/>
              </w:rPr>
            </w:pPr>
            <w:r>
              <w:rPr>
                <w:color w:val="000000"/>
                <w:sz w:val="20"/>
                <w:szCs w:val="20"/>
              </w:rPr>
              <w:t>39.90 [G]</w:t>
            </w:r>
          </w:p>
        </w:tc>
        <w:tc>
          <w:tcPr>
            <w:tcW w:w="900" w:type="dxa"/>
            <w:gridSpan w:val="2"/>
            <w:tcBorders>
              <w:left w:val="single" w:sz="4" w:space="0" w:color="auto"/>
            </w:tcBorders>
            <w:shd w:val="clear" w:color="auto" w:fill="auto"/>
          </w:tcPr>
          <w:p w14:paraId="0A58B021" w14:textId="0DC508C0" w:rsidR="00240E57" w:rsidRPr="00672E9B" w:rsidRDefault="002565BC" w:rsidP="00BB6EBF">
            <w:pPr>
              <w:spacing w:before="60" w:after="60"/>
              <w:jc w:val="center"/>
              <w:rPr>
                <w:color w:val="000000"/>
                <w:sz w:val="20"/>
                <w:szCs w:val="20"/>
              </w:rPr>
            </w:pPr>
            <w:r>
              <w:rPr>
                <w:color w:val="000000"/>
                <w:sz w:val="20"/>
                <w:szCs w:val="20"/>
              </w:rPr>
              <w:t>$75.00 [F</w:t>
            </w:r>
            <w:r w:rsidR="00795BC9">
              <w:rPr>
                <w:color w:val="000000"/>
                <w:sz w:val="20"/>
                <w:szCs w:val="20"/>
              </w:rPr>
              <w:t>]</w:t>
            </w:r>
          </w:p>
        </w:tc>
        <w:tc>
          <w:tcPr>
            <w:tcW w:w="1350" w:type="dxa"/>
            <w:shd w:val="clear" w:color="auto" w:fill="auto"/>
          </w:tcPr>
          <w:p w14:paraId="0769A3B4" w14:textId="14553C06" w:rsidR="00240E57" w:rsidRPr="00672E9B" w:rsidRDefault="002565BC" w:rsidP="00BB6EBF">
            <w:pPr>
              <w:spacing w:before="60" w:after="60"/>
              <w:jc w:val="right"/>
              <w:rPr>
                <w:color w:val="000000"/>
                <w:sz w:val="20"/>
                <w:szCs w:val="20"/>
              </w:rPr>
            </w:pPr>
            <w:r>
              <w:rPr>
                <w:color w:val="000000"/>
                <w:sz w:val="20"/>
                <w:szCs w:val="20"/>
              </w:rPr>
              <w:t>$2,992.50</w:t>
            </w:r>
          </w:p>
        </w:tc>
      </w:tr>
      <w:tr w:rsidR="00240E57" w:rsidRPr="00672E9B" w14:paraId="266CEDD5" w14:textId="77777777" w:rsidTr="00672E9B">
        <w:tc>
          <w:tcPr>
            <w:tcW w:w="5485" w:type="dxa"/>
            <w:gridSpan w:val="8"/>
            <w:tcBorders>
              <w:bottom w:val="single" w:sz="4" w:space="0" w:color="auto"/>
              <w:right w:val="single" w:sz="24" w:space="0" w:color="auto"/>
            </w:tcBorders>
            <w:shd w:val="clear" w:color="auto" w:fill="auto"/>
            <w:vAlign w:val="bottom"/>
          </w:tcPr>
          <w:p w14:paraId="4A1F5988" w14:textId="2BB28963" w:rsidR="00240E57" w:rsidRPr="00672E9B" w:rsidRDefault="00240E57" w:rsidP="00BB6EBF">
            <w:pPr>
              <w:tabs>
                <w:tab w:val="left" w:pos="957"/>
              </w:tabs>
              <w:jc w:val="right"/>
              <w:rPr>
                <w:i/>
                <w:color w:val="000000"/>
                <w:sz w:val="20"/>
                <w:szCs w:val="20"/>
              </w:rPr>
            </w:pPr>
            <w:r w:rsidRPr="00672E9B">
              <w:rPr>
                <w:i/>
                <w:color w:val="000000"/>
                <w:sz w:val="20"/>
                <w:szCs w:val="20"/>
              </w:rPr>
              <w:t>Subtotal</w:t>
            </w:r>
            <w:r w:rsidRPr="00672E9B">
              <w:rPr>
                <w:color w:val="000000"/>
                <w:sz w:val="20"/>
                <w:szCs w:val="20"/>
              </w:rPr>
              <w:t xml:space="preserve">: </w:t>
            </w:r>
            <w:r w:rsidR="00733B25">
              <w:rPr>
                <w:color w:val="000000"/>
                <w:sz w:val="20"/>
                <w:szCs w:val="20"/>
              </w:rPr>
              <w:t xml:space="preserve"> </w:t>
            </w:r>
            <w:r w:rsidRPr="00672E9B">
              <w:rPr>
                <w:color w:val="000000"/>
                <w:sz w:val="20"/>
                <w:szCs w:val="20"/>
              </w:rPr>
              <w:t>$2,883.00</w:t>
            </w:r>
          </w:p>
        </w:tc>
        <w:tc>
          <w:tcPr>
            <w:tcW w:w="3150" w:type="dxa"/>
            <w:gridSpan w:val="4"/>
            <w:tcBorders>
              <w:left w:val="single" w:sz="24" w:space="0" w:color="auto"/>
              <w:bottom w:val="single" w:sz="4" w:space="0" w:color="auto"/>
            </w:tcBorders>
            <w:shd w:val="clear" w:color="auto" w:fill="auto"/>
            <w:vAlign w:val="bottom"/>
          </w:tcPr>
          <w:p w14:paraId="2FBAA587" w14:textId="7EFA960F" w:rsidR="00240E57" w:rsidRPr="00672E9B" w:rsidRDefault="00240E57" w:rsidP="00BB6EBF">
            <w:pPr>
              <w:tabs>
                <w:tab w:val="left" w:pos="957"/>
              </w:tabs>
              <w:jc w:val="right"/>
              <w:rPr>
                <w:i/>
                <w:color w:val="000000"/>
                <w:sz w:val="20"/>
                <w:szCs w:val="20"/>
              </w:rPr>
            </w:pPr>
            <w:r w:rsidRPr="00672E9B">
              <w:rPr>
                <w:i/>
                <w:color w:val="000000"/>
                <w:sz w:val="20"/>
                <w:szCs w:val="20"/>
              </w:rPr>
              <w:t xml:space="preserve">Subtotal: </w:t>
            </w:r>
            <w:r w:rsidR="00733B25">
              <w:rPr>
                <w:i/>
                <w:color w:val="000000"/>
                <w:sz w:val="20"/>
                <w:szCs w:val="20"/>
              </w:rPr>
              <w:t xml:space="preserve"> </w:t>
            </w:r>
            <w:r w:rsidRPr="00672E9B">
              <w:rPr>
                <w:i/>
                <w:color w:val="000000"/>
                <w:sz w:val="20"/>
                <w:szCs w:val="20"/>
              </w:rPr>
              <w:t>$</w:t>
            </w:r>
            <w:r w:rsidR="00E64AFC">
              <w:rPr>
                <w:i/>
                <w:color w:val="000000"/>
                <w:sz w:val="20"/>
                <w:szCs w:val="20"/>
              </w:rPr>
              <w:t>4,075.50</w:t>
            </w:r>
          </w:p>
        </w:tc>
      </w:tr>
      <w:tr w:rsidR="00240E57" w:rsidRPr="00672E9B" w14:paraId="06E7371A" w14:textId="77777777" w:rsidTr="00672E9B">
        <w:tc>
          <w:tcPr>
            <w:tcW w:w="5485" w:type="dxa"/>
            <w:gridSpan w:val="8"/>
            <w:tcBorders>
              <w:top w:val="single" w:sz="4" w:space="0" w:color="auto"/>
              <w:bottom w:val="single" w:sz="4" w:space="0" w:color="auto"/>
              <w:right w:val="single" w:sz="24" w:space="0" w:color="auto"/>
            </w:tcBorders>
            <w:shd w:val="clear" w:color="auto" w:fill="E6E6E6"/>
            <w:vAlign w:val="bottom"/>
          </w:tcPr>
          <w:p w14:paraId="11B3B704" w14:textId="7D20DB7F" w:rsidR="00240E57" w:rsidRPr="00672E9B" w:rsidRDefault="00240E57" w:rsidP="00BB6EBF">
            <w:pPr>
              <w:tabs>
                <w:tab w:val="left" w:pos="957"/>
              </w:tabs>
              <w:jc w:val="right"/>
              <w:rPr>
                <w:b/>
                <w:color w:val="000000"/>
                <w:sz w:val="20"/>
                <w:szCs w:val="20"/>
              </w:rPr>
            </w:pPr>
            <w:r w:rsidRPr="00672E9B">
              <w:rPr>
                <w:b/>
                <w:i/>
                <w:color w:val="000000"/>
                <w:sz w:val="20"/>
                <w:szCs w:val="20"/>
              </w:rPr>
              <w:t xml:space="preserve">TOTAL REQUEST: </w:t>
            </w:r>
            <w:r w:rsidR="00733B25">
              <w:rPr>
                <w:b/>
                <w:i/>
                <w:color w:val="000000"/>
                <w:sz w:val="20"/>
                <w:szCs w:val="20"/>
              </w:rPr>
              <w:t xml:space="preserve"> </w:t>
            </w:r>
            <w:r w:rsidRPr="00672E9B">
              <w:rPr>
                <w:b/>
                <w:i/>
                <w:color w:val="000000"/>
                <w:sz w:val="20"/>
                <w:szCs w:val="20"/>
              </w:rPr>
              <w:t>$6</w:t>
            </w:r>
            <w:r w:rsidR="00765A24" w:rsidRPr="00672E9B">
              <w:rPr>
                <w:b/>
                <w:i/>
                <w:color w:val="000000"/>
                <w:sz w:val="20"/>
                <w:szCs w:val="20"/>
              </w:rPr>
              <w:t>3,389</w:t>
            </w:r>
            <w:r w:rsidRPr="00672E9B">
              <w:rPr>
                <w:b/>
                <w:i/>
                <w:color w:val="000000"/>
                <w:sz w:val="20"/>
                <w:szCs w:val="20"/>
              </w:rPr>
              <w:t>.00</w:t>
            </w:r>
          </w:p>
        </w:tc>
        <w:tc>
          <w:tcPr>
            <w:tcW w:w="3150" w:type="dxa"/>
            <w:gridSpan w:val="4"/>
            <w:tcBorders>
              <w:left w:val="single" w:sz="24" w:space="0" w:color="auto"/>
            </w:tcBorders>
            <w:shd w:val="clear" w:color="auto" w:fill="E6E6E6"/>
            <w:vAlign w:val="bottom"/>
          </w:tcPr>
          <w:p w14:paraId="3680D139" w14:textId="7576A662" w:rsidR="00240E57" w:rsidRPr="00672E9B" w:rsidRDefault="00240E57" w:rsidP="00BB6EBF">
            <w:pPr>
              <w:tabs>
                <w:tab w:val="left" w:pos="957"/>
              </w:tabs>
              <w:jc w:val="right"/>
              <w:rPr>
                <w:b/>
                <w:color w:val="000000"/>
                <w:sz w:val="20"/>
                <w:szCs w:val="20"/>
              </w:rPr>
            </w:pPr>
            <w:r w:rsidRPr="00672E9B">
              <w:rPr>
                <w:b/>
                <w:i/>
                <w:color w:val="000000"/>
                <w:sz w:val="20"/>
                <w:szCs w:val="20"/>
              </w:rPr>
              <w:t xml:space="preserve">TOTAL AWARD: </w:t>
            </w:r>
            <w:r w:rsidR="00733B25">
              <w:rPr>
                <w:b/>
                <w:i/>
                <w:color w:val="000000"/>
                <w:sz w:val="20"/>
                <w:szCs w:val="20"/>
              </w:rPr>
              <w:t xml:space="preserve"> </w:t>
            </w:r>
            <w:r w:rsidRPr="00672E9B">
              <w:rPr>
                <w:b/>
                <w:i/>
                <w:color w:val="000000"/>
                <w:sz w:val="20"/>
                <w:szCs w:val="20"/>
              </w:rPr>
              <w:t>$</w:t>
            </w:r>
            <w:r w:rsidR="00E64AFC">
              <w:rPr>
                <w:b/>
                <w:i/>
                <w:color w:val="000000"/>
                <w:sz w:val="20"/>
                <w:szCs w:val="20"/>
              </w:rPr>
              <w:t>64,306.14</w:t>
            </w:r>
          </w:p>
        </w:tc>
      </w:tr>
      <w:tr w:rsidR="00240E57" w:rsidRPr="002C5FE7" w14:paraId="6A909BC1" w14:textId="77777777" w:rsidTr="00672E9B">
        <w:tc>
          <w:tcPr>
            <w:tcW w:w="8635" w:type="dxa"/>
            <w:gridSpan w:val="12"/>
            <w:tcBorders>
              <w:top w:val="single" w:sz="4" w:space="0" w:color="auto"/>
              <w:bottom w:val="single" w:sz="4" w:space="0" w:color="auto"/>
            </w:tcBorders>
            <w:shd w:val="clear" w:color="auto" w:fill="auto"/>
          </w:tcPr>
          <w:p w14:paraId="6F39872E" w14:textId="77777777" w:rsidR="00240E57" w:rsidRPr="002C5FE7" w:rsidRDefault="00240E57" w:rsidP="00240E57">
            <w:pPr>
              <w:spacing w:before="60" w:after="60"/>
              <w:rPr>
                <w:color w:val="000000"/>
              </w:rPr>
            </w:pPr>
            <w:r w:rsidRPr="002C5FE7">
              <w:rPr>
                <w:color w:val="000000"/>
              </w:rPr>
              <w:t xml:space="preserve">  *We remind all </w:t>
            </w:r>
            <w:proofErr w:type="spellStart"/>
            <w:r w:rsidRPr="002C5FE7">
              <w:rPr>
                <w:color w:val="000000"/>
              </w:rPr>
              <w:t>intervenors</w:t>
            </w:r>
            <w:proofErr w:type="spellEnd"/>
            <w:r w:rsidRPr="002C5FE7">
              <w:rPr>
                <w:color w:val="000000"/>
              </w:rPr>
              <w:t xml:space="preserve"> that Commission staff may audit </w:t>
            </w:r>
            <w:r w:rsidRPr="002C5FE7">
              <w:t xml:space="preserve">the records and books of the </w:t>
            </w:r>
            <w:proofErr w:type="spellStart"/>
            <w:r w:rsidRPr="002C5FE7">
              <w:t>intervenors</w:t>
            </w:r>
            <w:proofErr w:type="spellEnd"/>
            <w:r w:rsidRPr="002C5FE7">
              <w:t xml:space="preserve"> to the extent necessary to verify the basis for the award (§1804(d)).  </w:t>
            </w:r>
            <w:proofErr w:type="spellStart"/>
            <w:r w:rsidRPr="002C5FE7">
              <w:t>I</w:t>
            </w:r>
            <w:r w:rsidRPr="002C5FE7">
              <w:rPr>
                <w:color w:val="000000"/>
              </w:rPr>
              <w:t>ntervenors</w:t>
            </w:r>
            <w:proofErr w:type="spellEnd"/>
            <w:r w:rsidRPr="002C5FE7">
              <w:rPr>
                <w:color w:val="000000"/>
              </w:rPr>
              <w:t xml:space="preserve"> must make and retain adequate accounting and other documentation to support all claims for </w:t>
            </w:r>
            <w:proofErr w:type="spellStart"/>
            <w:r w:rsidRPr="002C5FE7">
              <w:rPr>
                <w:color w:val="000000"/>
              </w:rPr>
              <w:t>intervenor</w:t>
            </w:r>
            <w:proofErr w:type="spellEnd"/>
            <w:r w:rsidRPr="002C5FE7">
              <w:rPr>
                <w:color w:val="000000"/>
              </w:rPr>
              <w:t xml:space="preserve"> compensation.  </w:t>
            </w:r>
            <w:proofErr w:type="spellStart"/>
            <w:r w:rsidRPr="002C5FE7">
              <w:rPr>
                <w:color w:val="000000"/>
              </w:rPr>
              <w:t>Intervenor’s</w:t>
            </w:r>
            <w:proofErr w:type="spellEnd"/>
            <w:r w:rsidRPr="002C5FE7">
              <w:rPr>
                <w:color w:val="000000"/>
              </w:rPr>
              <w:t xml:space="preserve">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14:paraId="0D03EC65" w14:textId="77777777" w:rsidR="00240E57" w:rsidRPr="002C5FE7" w:rsidRDefault="00240E57" w:rsidP="00240E57">
            <w:pPr>
              <w:spacing w:before="60" w:after="60"/>
              <w:rPr>
                <w:color w:val="000000"/>
              </w:rPr>
            </w:pPr>
            <w:r w:rsidRPr="002C5FE7">
              <w:rPr>
                <w:color w:val="000000"/>
              </w:rPr>
              <w:t>**Travel and Reasonable Claim preparation time are typically compensated at ½ of preparer’s normal hourly rate</w:t>
            </w:r>
            <w:r w:rsidRPr="002C5FE7" w:rsidDel="00D075B1">
              <w:rPr>
                <w:color w:val="000000"/>
              </w:rPr>
              <w:t xml:space="preserve"> </w:t>
            </w:r>
          </w:p>
        </w:tc>
      </w:tr>
      <w:tr w:rsidR="00240E57" w:rsidRPr="002C5FE7" w14:paraId="458B01A4" w14:textId="77777777" w:rsidTr="00672E9B">
        <w:tc>
          <w:tcPr>
            <w:tcW w:w="863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43CBD" w14:textId="77777777" w:rsidR="00240E57" w:rsidRPr="00672E9B" w:rsidRDefault="00240E57" w:rsidP="00240E57">
            <w:pPr>
              <w:spacing w:before="60" w:after="60"/>
              <w:jc w:val="center"/>
              <w:rPr>
                <w:smallCaps/>
                <w:color w:val="000000"/>
              </w:rPr>
            </w:pPr>
            <w:r w:rsidRPr="00672E9B">
              <w:rPr>
                <w:smallCaps/>
                <w:color w:val="000000"/>
              </w:rPr>
              <w:t>ATTORNEY INFORMATION</w:t>
            </w:r>
          </w:p>
        </w:tc>
      </w:tr>
      <w:tr w:rsidR="00240E57" w:rsidRPr="002C5FE7" w14:paraId="790C92C0" w14:textId="77777777" w:rsidTr="00672E9B">
        <w:trPr>
          <w:trHeight w:val="173"/>
        </w:trPr>
        <w:tc>
          <w:tcPr>
            <w:tcW w:w="2538" w:type="dxa"/>
            <w:gridSpan w:val="4"/>
            <w:tcBorders>
              <w:top w:val="single" w:sz="4" w:space="0" w:color="auto"/>
              <w:bottom w:val="single" w:sz="4" w:space="0" w:color="auto"/>
            </w:tcBorders>
            <w:shd w:val="clear" w:color="auto" w:fill="FFFFFF"/>
          </w:tcPr>
          <w:p w14:paraId="00CAC866" w14:textId="77777777" w:rsidR="00240E57" w:rsidRPr="00672E9B" w:rsidRDefault="00240E57" w:rsidP="00240E57">
            <w:pPr>
              <w:keepNext/>
              <w:keepLines/>
              <w:spacing w:before="60" w:after="60"/>
              <w:jc w:val="center"/>
              <w:rPr>
                <w:color w:val="000000"/>
              </w:rPr>
            </w:pPr>
            <w:r w:rsidRPr="00672E9B">
              <w:t>Attorney</w:t>
            </w:r>
          </w:p>
        </w:tc>
        <w:tc>
          <w:tcPr>
            <w:tcW w:w="1800" w:type="dxa"/>
            <w:gridSpan w:val="3"/>
            <w:tcBorders>
              <w:top w:val="single" w:sz="4" w:space="0" w:color="auto"/>
              <w:bottom w:val="single" w:sz="4" w:space="0" w:color="auto"/>
            </w:tcBorders>
            <w:shd w:val="clear" w:color="auto" w:fill="FFFFFF"/>
          </w:tcPr>
          <w:p w14:paraId="7E76A008" w14:textId="77777777" w:rsidR="00240E57" w:rsidRPr="00672E9B" w:rsidRDefault="00240E57" w:rsidP="00240E57">
            <w:pPr>
              <w:keepNext/>
              <w:keepLines/>
              <w:spacing w:before="60" w:after="60"/>
              <w:jc w:val="center"/>
              <w:rPr>
                <w:color w:val="000000"/>
              </w:rPr>
            </w:pPr>
            <w:r w:rsidRPr="00672E9B">
              <w:t>Date Admitted to CA BAR</w:t>
            </w:r>
            <w:r w:rsidRPr="00672E9B">
              <w:rPr>
                <w:rStyle w:val="FootnoteReference"/>
              </w:rPr>
              <w:footnoteReference w:id="3"/>
            </w:r>
          </w:p>
        </w:tc>
        <w:tc>
          <w:tcPr>
            <w:tcW w:w="2160" w:type="dxa"/>
            <w:gridSpan w:val="3"/>
            <w:tcBorders>
              <w:top w:val="single" w:sz="4" w:space="0" w:color="auto"/>
              <w:bottom w:val="single" w:sz="4" w:space="0" w:color="auto"/>
            </w:tcBorders>
            <w:shd w:val="clear" w:color="auto" w:fill="FFFFFF"/>
          </w:tcPr>
          <w:p w14:paraId="27E64ED7" w14:textId="77777777" w:rsidR="00240E57" w:rsidRPr="00672E9B" w:rsidRDefault="00240E57" w:rsidP="00240E57">
            <w:pPr>
              <w:keepNext/>
              <w:keepLines/>
              <w:spacing w:before="60" w:after="60"/>
              <w:jc w:val="center"/>
              <w:rPr>
                <w:color w:val="000000"/>
              </w:rPr>
            </w:pPr>
            <w:r w:rsidRPr="00672E9B">
              <w:t>Member Number</w:t>
            </w:r>
          </w:p>
        </w:tc>
        <w:tc>
          <w:tcPr>
            <w:tcW w:w="2137" w:type="dxa"/>
            <w:gridSpan w:val="2"/>
            <w:tcBorders>
              <w:top w:val="single" w:sz="4" w:space="0" w:color="auto"/>
              <w:bottom w:val="single" w:sz="4" w:space="0" w:color="auto"/>
            </w:tcBorders>
            <w:shd w:val="clear" w:color="auto" w:fill="FFFFFF"/>
          </w:tcPr>
          <w:p w14:paraId="496B5DC1" w14:textId="77777777" w:rsidR="00240E57" w:rsidRPr="00672E9B" w:rsidRDefault="00240E57" w:rsidP="00240E57">
            <w:pPr>
              <w:keepNext/>
              <w:keepLines/>
              <w:spacing w:before="60" w:after="60"/>
              <w:jc w:val="center"/>
            </w:pPr>
            <w:r w:rsidRPr="00672E9B">
              <w:t>Actions Affecting Eligibility (Yes/No?)</w:t>
            </w:r>
          </w:p>
          <w:p w14:paraId="36F8922D" w14:textId="77777777" w:rsidR="00240E57" w:rsidRPr="00672E9B" w:rsidRDefault="00240E57" w:rsidP="00240E57">
            <w:pPr>
              <w:keepNext/>
              <w:keepLines/>
              <w:spacing w:before="60" w:after="60"/>
              <w:jc w:val="center"/>
              <w:rPr>
                <w:color w:val="000000"/>
              </w:rPr>
            </w:pPr>
            <w:r w:rsidRPr="00672E9B">
              <w:t>If “Yes”, attach explanation</w:t>
            </w:r>
          </w:p>
        </w:tc>
      </w:tr>
      <w:tr w:rsidR="00240E57" w:rsidRPr="002C5FE7" w14:paraId="4DC5EE9B" w14:textId="77777777" w:rsidTr="00672E9B">
        <w:trPr>
          <w:trHeight w:val="172"/>
        </w:trPr>
        <w:tc>
          <w:tcPr>
            <w:tcW w:w="2538" w:type="dxa"/>
            <w:gridSpan w:val="4"/>
            <w:tcBorders>
              <w:top w:val="single" w:sz="4" w:space="0" w:color="auto"/>
              <w:bottom w:val="single" w:sz="4" w:space="0" w:color="auto"/>
            </w:tcBorders>
            <w:shd w:val="clear" w:color="auto" w:fill="auto"/>
          </w:tcPr>
          <w:p w14:paraId="7266B7BF" w14:textId="45ECC224" w:rsidR="00240E57" w:rsidRPr="002C5FE7" w:rsidRDefault="00240E57" w:rsidP="00240E57">
            <w:pPr>
              <w:keepNext/>
              <w:keepLines/>
              <w:spacing w:before="60" w:after="60"/>
              <w:rPr>
                <w:color w:val="000000"/>
              </w:rPr>
            </w:pPr>
            <w:r w:rsidRPr="002C5FE7">
              <w:t xml:space="preserve">April </w:t>
            </w:r>
            <w:proofErr w:type="spellStart"/>
            <w:r w:rsidRPr="002C5FE7">
              <w:t>Maurath</w:t>
            </w:r>
            <w:proofErr w:type="spellEnd"/>
            <w:r w:rsidRPr="002C5FE7">
              <w:t xml:space="preserve"> </w:t>
            </w:r>
            <w:proofErr w:type="spellStart"/>
            <w:r w:rsidRPr="002C5FE7">
              <w:t>Sommer</w:t>
            </w:r>
            <w:proofErr w:type="spellEnd"/>
          </w:p>
        </w:tc>
        <w:tc>
          <w:tcPr>
            <w:tcW w:w="1800" w:type="dxa"/>
            <w:gridSpan w:val="3"/>
            <w:tcBorders>
              <w:top w:val="single" w:sz="4" w:space="0" w:color="auto"/>
              <w:bottom w:val="single" w:sz="4" w:space="0" w:color="auto"/>
            </w:tcBorders>
            <w:shd w:val="clear" w:color="auto" w:fill="auto"/>
          </w:tcPr>
          <w:p w14:paraId="69A41F15" w14:textId="56F5F3E7" w:rsidR="00240E57" w:rsidRPr="002C5FE7" w:rsidRDefault="00240E57" w:rsidP="00240E57">
            <w:pPr>
              <w:keepNext/>
              <w:keepLines/>
              <w:spacing w:before="60" w:after="60"/>
              <w:jc w:val="center"/>
              <w:rPr>
                <w:color w:val="000000"/>
              </w:rPr>
            </w:pPr>
            <w:r w:rsidRPr="002C5FE7">
              <w:rPr>
                <w:color w:val="000000"/>
              </w:rPr>
              <w:t>2008</w:t>
            </w:r>
          </w:p>
        </w:tc>
        <w:tc>
          <w:tcPr>
            <w:tcW w:w="2160" w:type="dxa"/>
            <w:gridSpan w:val="3"/>
            <w:tcBorders>
              <w:top w:val="single" w:sz="4" w:space="0" w:color="auto"/>
              <w:bottom w:val="single" w:sz="4" w:space="0" w:color="auto"/>
            </w:tcBorders>
            <w:shd w:val="clear" w:color="auto" w:fill="auto"/>
          </w:tcPr>
          <w:p w14:paraId="58495CD7" w14:textId="30D3FBCB" w:rsidR="00240E57" w:rsidRPr="002C5FE7" w:rsidRDefault="00240E57" w:rsidP="00240E57">
            <w:pPr>
              <w:keepNext/>
              <w:keepLines/>
              <w:spacing w:before="60" w:after="60"/>
              <w:jc w:val="center"/>
              <w:rPr>
                <w:color w:val="000000"/>
              </w:rPr>
            </w:pPr>
            <w:r w:rsidRPr="002C5FE7">
              <w:t>257967</w:t>
            </w:r>
          </w:p>
        </w:tc>
        <w:tc>
          <w:tcPr>
            <w:tcW w:w="2137" w:type="dxa"/>
            <w:gridSpan w:val="2"/>
            <w:tcBorders>
              <w:top w:val="single" w:sz="4" w:space="0" w:color="auto"/>
              <w:bottom w:val="single" w:sz="4" w:space="0" w:color="auto"/>
            </w:tcBorders>
            <w:shd w:val="clear" w:color="auto" w:fill="auto"/>
          </w:tcPr>
          <w:p w14:paraId="117B99BF" w14:textId="02374BE6" w:rsidR="00240E57" w:rsidRPr="002C5FE7" w:rsidRDefault="00240E57" w:rsidP="00240E57">
            <w:pPr>
              <w:keepNext/>
              <w:keepLines/>
              <w:spacing w:before="60" w:after="60"/>
              <w:jc w:val="center"/>
              <w:rPr>
                <w:color w:val="000000"/>
              </w:rPr>
            </w:pPr>
            <w:r w:rsidRPr="002C5FE7">
              <w:t>No</w:t>
            </w:r>
          </w:p>
        </w:tc>
      </w:tr>
    </w:tbl>
    <w:p w14:paraId="04BC309E" w14:textId="02883848" w:rsidR="00A92D0B" w:rsidRPr="004C184D" w:rsidRDefault="00A92D0B" w:rsidP="00672E9B">
      <w:pPr>
        <w:numPr>
          <w:ilvl w:val="0"/>
          <w:numId w:val="2"/>
        </w:numPr>
        <w:tabs>
          <w:tab w:val="clear" w:pos="900"/>
          <w:tab w:val="num" w:pos="360"/>
        </w:tabs>
        <w:spacing w:before="240"/>
        <w:ind w:left="360"/>
        <w:rPr>
          <w:color w:val="000000"/>
        </w:rPr>
      </w:pPr>
      <w:r w:rsidRPr="004C184D">
        <w:t>Attachments Documenting Specific Claim and Comments on Part III</w:t>
      </w:r>
      <w:r w:rsidR="00C02649" w:rsidRPr="004C184D">
        <w:t>:</w:t>
      </w:r>
    </w:p>
    <w:p w14:paraId="3EE3C9A5" w14:textId="77777777" w:rsidR="00672E9B" w:rsidRPr="00672E9B" w:rsidRDefault="00672E9B" w:rsidP="00672E9B">
      <w:pPr>
        <w:spacing w:before="240"/>
        <w:ind w:left="360"/>
        <w:rPr>
          <w:b/>
          <w:color w:val="00000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087"/>
      </w:tblGrid>
      <w:tr w:rsidR="00A92D0B" w:rsidRPr="002C5FE7" w14:paraId="0C2B760A" w14:textId="77777777" w:rsidTr="004C184D">
        <w:tc>
          <w:tcPr>
            <w:tcW w:w="1548" w:type="dxa"/>
            <w:shd w:val="clear" w:color="auto" w:fill="D9D9D9" w:themeFill="background1" w:themeFillShade="D9"/>
          </w:tcPr>
          <w:p w14:paraId="42A1D838" w14:textId="77777777" w:rsidR="00A92D0B" w:rsidRPr="00672E9B" w:rsidRDefault="00A92D0B" w:rsidP="00A92D0B">
            <w:pPr>
              <w:tabs>
                <w:tab w:val="left" w:pos="1260"/>
              </w:tabs>
              <w:spacing w:before="120"/>
              <w:jc w:val="center"/>
              <w:rPr>
                <w:color w:val="000000"/>
              </w:rPr>
            </w:pPr>
            <w:r w:rsidRPr="00672E9B">
              <w:rPr>
                <w:color w:val="000000"/>
              </w:rPr>
              <w:t>Attachment or Comment  #</w:t>
            </w:r>
          </w:p>
        </w:tc>
        <w:tc>
          <w:tcPr>
            <w:tcW w:w="7087" w:type="dxa"/>
            <w:tcBorders>
              <w:bottom w:val="single" w:sz="4" w:space="0" w:color="auto"/>
            </w:tcBorders>
            <w:shd w:val="clear" w:color="auto" w:fill="D9D9D9" w:themeFill="background1" w:themeFillShade="D9"/>
          </w:tcPr>
          <w:p w14:paraId="55F0A65F" w14:textId="77777777" w:rsidR="00A92D0B" w:rsidRPr="00672E9B" w:rsidRDefault="00A92D0B" w:rsidP="00A92D0B">
            <w:pPr>
              <w:tabs>
                <w:tab w:val="left" w:pos="1260"/>
              </w:tabs>
              <w:spacing w:before="120"/>
              <w:jc w:val="center"/>
              <w:rPr>
                <w:color w:val="000000"/>
              </w:rPr>
            </w:pPr>
            <w:r w:rsidRPr="00672E9B">
              <w:rPr>
                <w:color w:val="000000"/>
              </w:rPr>
              <w:t>Description/Comment</w:t>
            </w:r>
          </w:p>
        </w:tc>
      </w:tr>
      <w:tr w:rsidR="00A92D0B" w:rsidRPr="002C5FE7" w14:paraId="71F47148" w14:textId="77777777" w:rsidTr="004C184D">
        <w:tc>
          <w:tcPr>
            <w:tcW w:w="1548" w:type="dxa"/>
            <w:tcBorders>
              <w:bottom w:val="single" w:sz="4" w:space="0" w:color="auto"/>
            </w:tcBorders>
            <w:shd w:val="clear" w:color="auto" w:fill="auto"/>
          </w:tcPr>
          <w:p w14:paraId="7A5C03D8" w14:textId="77777777" w:rsidR="00A92D0B" w:rsidRPr="00672E9B" w:rsidRDefault="00A92D0B" w:rsidP="00A92D0B">
            <w:pPr>
              <w:tabs>
                <w:tab w:val="left" w:pos="1260"/>
              </w:tabs>
              <w:spacing w:before="120"/>
              <w:rPr>
                <w:color w:val="000000"/>
              </w:rPr>
            </w:pPr>
            <w:r w:rsidRPr="00672E9B">
              <w:rPr>
                <w:color w:val="000000"/>
              </w:rPr>
              <w:t>1</w:t>
            </w:r>
          </w:p>
        </w:tc>
        <w:tc>
          <w:tcPr>
            <w:tcW w:w="7087" w:type="dxa"/>
            <w:tcBorders>
              <w:bottom w:val="single" w:sz="4" w:space="0" w:color="auto"/>
            </w:tcBorders>
            <w:shd w:val="clear" w:color="auto" w:fill="auto"/>
          </w:tcPr>
          <w:p w14:paraId="370C67BC" w14:textId="77777777" w:rsidR="00A92D0B" w:rsidRPr="00672E9B" w:rsidRDefault="00A92D0B" w:rsidP="00A92D0B">
            <w:pPr>
              <w:tabs>
                <w:tab w:val="left" w:pos="1260"/>
              </w:tabs>
              <w:spacing w:before="120"/>
              <w:rPr>
                <w:color w:val="000000"/>
              </w:rPr>
            </w:pPr>
            <w:r w:rsidRPr="00672E9B">
              <w:rPr>
                <w:color w:val="000000"/>
              </w:rPr>
              <w:t>Certificate of Service</w:t>
            </w:r>
          </w:p>
        </w:tc>
      </w:tr>
      <w:tr w:rsidR="00A92D0B" w:rsidRPr="002C5FE7" w14:paraId="72C869B0" w14:textId="77777777" w:rsidTr="004C184D">
        <w:tc>
          <w:tcPr>
            <w:tcW w:w="1548" w:type="dxa"/>
            <w:shd w:val="clear" w:color="auto" w:fill="auto"/>
          </w:tcPr>
          <w:p w14:paraId="49AADD21" w14:textId="77777777" w:rsidR="00A92D0B" w:rsidRPr="00672E9B" w:rsidRDefault="0022302F" w:rsidP="00A92D0B">
            <w:pPr>
              <w:tabs>
                <w:tab w:val="left" w:pos="1260"/>
              </w:tabs>
              <w:spacing w:before="120"/>
              <w:rPr>
                <w:color w:val="000000"/>
              </w:rPr>
            </w:pPr>
            <w:r w:rsidRPr="00672E9B">
              <w:rPr>
                <w:color w:val="000000"/>
              </w:rPr>
              <w:t>2</w:t>
            </w:r>
          </w:p>
        </w:tc>
        <w:tc>
          <w:tcPr>
            <w:tcW w:w="7087" w:type="dxa"/>
            <w:shd w:val="clear" w:color="auto" w:fill="auto"/>
          </w:tcPr>
          <w:p w14:paraId="3AF20C23" w14:textId="083D1196" w:rsidR="00A92D0B" w:rsidRPr="00672E9B" w:rsidRDefault="00984BD8" w:rsidP="00A92D0B">
            <w:pPr>
              <w:tabs>
                <w:tab w:val="left" w:pos="1260"/>
              </w:tabs>
              <w:spacing w:before="120"/>
              <w:rPr>
                <w:color w:val="000000"/>
              </w:rPr>
            </w:pPr>
            <w:r w:rsidRPr="00672E9B">
              <w:rPr>
                <w:bCs/>
              </w:rPr>
              <w:t>Attorney Time Sheet</w:t>
            </w:r>
            <w:r w:rsidR="0049612D" w:rsidRPr="00672E9B">
              <w:rPr>
                <w:bCs/>
              </w:rPr>
              <w:t>s</w:t>
            </w:r>
            <w:r w:rsidRPr="00672E9B">
              <w:rPr>
                <w:bCs/>
              </w:rPr>
              <w:t xml:space="preserve"> Detail</w:t>
            </w:r>
            <w:r w:rsidR="0049612D" w:rsidRPr="00672E9B">
              <w:rPr>
                <w:bCs/>
              </w:rPr>
              <w:t>s</w:t>
            </w:r>
            <w:r w:rsidRPr="00672E9B">
              <w:rPr>
                <w:bCs/>
              </w:rPr>
              <w:t xml:space="preserve"> &amp; Categorization</w:t>
            </w:r>
          </w:p>
        </w:tc>
      </w:tr>
      <w:tr w:rsidR="00984BD8" w:rsidRPr="002C5FE7" w14:paraId="30E6BA2A" w14:textId="77777777" w:rsidTr="004C184D">
        <w:tc>
          <w:tcPr>
            <w:tcW w:w="1548" w:type="dxa"/>
            <w:shd w:val="clear" w:color="auto" w:fill="auto"/>
          </w:tcPr>
          <w:p w14:paraId="09F8948A" w14:textId="06866285" w:rsidR="00984BD8" w:rsidRPr="00672E9B" w:rsidRDefault="00B62E6F" w:rsidP="00A92D0B">
            <w:pPr>
              <w:tabs>
                <w:tab w:val="left" w:pos="1260"/>
              </w:tabs>
              <w:spacing w:before="120"/>
              <w:rPr>
                <w:color w:val="000000"/>
              </w:rPr>
            </w:pPr>
            <w:r w:rsidRPr="00672E9B">
              <w:rPr>
                <w:color w:val="000000"/>
              </w:rPr>
              <w:lastRenderedPageBreak/>
              <w:t>3</w:t>
            </w:r>
          </w:p>
        </w:tc>
        <w:tc>
          <w:tcPr>
            <w:tcW w:w="7087" w:type="dxa"/>
            <w:shd w:val="clear" w:color="auto" w:fill="auto"/>
          </w:tcPr>
          <w:p w14:paraId="20672AEE" w14:textId="4438FE8B" w:rsidR="00984BD8" w:rsidRPr="00672E9B" w:rsidRDefault="004422EE" w:rsidP="002D4EB9">
            <w:pPr>
              <w:tabs>
                <w:tab w:val="left" w:pos="1260"/>
              </w:tabs>
              <w:spacing w:before="120"/>
              <w:ind w:right="-198"/>
              <w:rPr>
                <w:bCs/>
              </w:rPr>
            </w:pPr>
            <w:r w:rsidRPr="00672E9B">
              <w:rPr>
                <w:bCs/>
              </w:rPr>
              <w:t>Attorney, Advocate, and Expert Resumes</w:t>
            </w:r>
          </w:p>
        </w:tc>
      </w:tr>
      <w:tr w:rsidR="000D455F" w:rsidRPr="002C5FE7" w14:paraId="712944FE" w14:textId="77777777" w:rsidTr="004C184D">
        <w:tc>
          <w:tcPr>
            <w:tcW w:w="1548" w:type="dxa"/>
            <w:shd w:val="clear" w:color="auto" w:fill="auto"/>
          </w:tcPr>
          <w:p w14:paraId="20511A6E" w14:textId="5748BA49" w:rsidR="000D455F" w:rsidRPr="00672E9B" w:rsidRDefault="000D455F" w:rsidP="00A92D0B">
            <w:pPr>
              <w:tabs>
                <w:tab w:val="left" w:pos="1260"/>
              </w:tabs>
              <w:spacing w:before="120"/>
              <w:rPr>
                <w:color w:val="000000"/>
              </w:rPr>
            </w:pPr>
            <w:r w:rsidRPr="00672E9B">
              <w:rPr>
                <w:color w:val="000000"/>
              </w:rPr>
              <w:t>4</w:t>
            </w:r>
          </w:p>
        </w:tc>
        <w:tc>
          <w:tcPr>
            <w:tcW w:w="7087" w:type="dxa"/>
            <w:shd w:val="clear" w:color="auto" w:fill="auto"/>
          </w:tcPr>
          <w:p w14:paraId="626FAC13" w14:textId="4541CE3B" w:rsidR="000D455F" w:rsidRPr="00672E9B" w:rsidRDefault="00025EE7" w:rsidP="00A92D0B">
            <w:pPr>
              <w:tabs>
                <w:tab w:val="left" w:pos="1260"/>
              </w:tabs>
              <w:spacing w:before="120"/>
              <w:rPr>
                <w:bCs/>
              </w:rPr>
            </w:pPr>
            <w:r w:rsidRPr="00672E9B">
              <w:rPr>
                <w:bCs/>
              </w:rPr>
              <w:t xml:space="preserve">ALJ Emails Regarding </w:t>
            </w:r>
            <w:proofErr w:type="spellStart"/>
            <w:r w:rsidRPr="00672E9B">
              <w:rPr>
                <w:bCs/>
              </w:rPr>
              <w:t>Intervenor</w:t>
            </w:r>
            <w:proofErr w:type="spellEnd"/>
            <w:r w:rsidRPr="00672E9B">
              <w:rPr>
                <w:bCs/>
              </w:rPr>
              <w:t xml:space="preserve"> Compensation Eligibility</w:t>
            </w:r>
          </w:p>
        </w:tc>
      </w:tr>
    </w:tbl>
    <w:p w14:paraId="0D8B7003" w14:textId="1A9B4F23" w:rsidR="00A92D0B" w:rsidRPr="00672E9B" w:rsidRDefault="00F81778" w:rsidP="00F81778">
      <w:pPr>
        <w:spacing w:before="240" w:after="240"/>
        <w:ind w:left="540" w:hanging="540"/>
        <w:rPr>
          <w:color w:val="000000"/>
        </w:rPr>
      </w:pPr>
      <w:r w:rsidRPr="00672E9B">
        <w:rPr>
          <w:color w:val="000000"/>
        </w:rPr>
        <w:t xml:space="preserve">D.  </w:t>
      </w:r>
      <w:r w:rsidR="00A92D0B" w:rsidRPr="00672E9B">
        <w:rPr>
          <w:color w:val="000000"/>
        </w:rPr>
        <w:t xml:space="preserve">CPUC </w:t>
      </w:r>
      <w:r w:rsidR="008C09F7" w:rsidRPr="00672E9B">
        <w:rPr>
          <w:color w:val="000000"/>
        </w:rPr>
        <w:t xml:space="preserve">Comments, </w:t>
      </w:r>
      <w:r w:rsidR="00A92D0B" w:rsidRPr="00672E9B">
        <w:rPr>
          <w:color w:val="000000"/>
        </w:rPr>
        <w:t>Disallowances</w:t>
      </w:r>
      <w:r w:rsidR="008C09F7" w:rsidRPr="00672E9B">
        <w:rPr>
          <w:color w:val="000000"/>
        </w:rPr>
        <w:t>,</w:t>
      </w:r>
      <w:r w:rsidR="00D075B1" w:rsidRPr="00672E9B">
        <w:rPr>
          <w:color w:val="000000"/>
        </w:rPr>
        <w:t xml:space="preserve"> </w:t>
      </w:r>
      <w:r w:rsidR="00A319DE" w:rsidRPr="00672E9B">
        <w:rPr>
          <w:color w:val="000000"/>
        </w:rPr>
        <w:t>and</w:t>
      </w:r>
      <w:r w:rsidR="00D075B1" w:rsidRPr="00672E9B">
        <w:rPr>
          <w:color w:val="000000"/>
        </w:rPr>
        <w:t xml:space="preserve"> </w:t>
      </w:r>
      <w:r w:rsidR="00A92D0B" w:rsidRPr="00672E9B">
        <w:rPr>
          <w:color w:val="000000"/>
        </w:rPr>
        <w:t>Adjustment</w:t>
      </w:r>
      <w:r w:rsidR="00672E9B">
        <w:rPr>
          <w:color w:val="000000"/>
        </w:rPr>
        <w:t>s:</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087"/>
      </w:tblGrid>
      <w:tr w:rsidR="00A92D0B" w:rsidRPr="002C5FE7" w14:paraId="52CD0603" w14:textId="77777777" w:rsidTr="004C184D">
        <w:tc>
          <w:tcPr>
            <w:tcW w:w="1548" w:type="dxa"/>
            <w:shd w:val="pct12" w:color="auto" w:fill="auto"/>
          </w:tcPr>
          <w:p w14:paraId="3954EC4C" w14:textId="77777777" w:rsidR="00A92D0B" w:rsidRPr="00672E9B" w:rsidRDefault="00072C81" w:rsidP="00A92D0B">
            <w:pPr>
              <w:tabs>
                <w:tab w:val="left" w:pos="1440"/>
              </w:tabs>
              <w:spacing w:before="120"/>
              <w:jc w:val="center"/>
              <w:rPr>
                <w:color w:val="000000"/>
              </w:rPr>
            </w:pPr>
            <w:r w:rsidRPr="00672E9B">
              <w:rPr>
                <w:color w:val="000000"/>
              </w:rPr>
              <w:t>Item</w:t>
            </w:r>
          </w:p>
        </w:tc>
        <w:tc>
          <w:tcPr>
            <w:tcW w:w="7087" w:type="dxa"/>
            <w:shd w:val="pct12" w:color="auto" w:fill="auto"/>
          </w:tcPr>
          <w:p w14:paraId="09F9E4D9" w14:textId="77777777" w:rsidR="00A92D0B" w:rsidRPr="00672E9B" w:rsidRDefault="00A92D0B" w:rsidP="00A92D0B">
            <w:pPr>
              <w:tabs>
                <w:tab w:val="left" w:pos="1440"/>
              </w:tabs>
              <w:spacing w:before="120"/>
              <w:jc w:val="center"/>
              <w:rPr>
                <w:color w:val="000000"/>
              </w:rPr>
            </w:pPr>
            <w:r w:rsidRPr="00672E9B">
              <w:rPr>
                <w:color w:val="000000"/>
              </w:rPr>
              <w:t>Reason</w:t>
            </w:r>
          </w:p>
        </w:tc>
      </w:tr>
      <w:tr w:rsidR="00A92D0B" w:rsidRPr="002C5FE7" w14:paraId="69DEE01C" w14:textId="77777777" w:rsidTr="004C184D">
        <w:tc>
          <w:tcPr>
            <w:tcW w:w="1548" w:type="dxa"/>
            <w:shd w:val="clear" w:color="auto" w:fill="auto"/>
          </w:tcPr>
          <w:p w14:paraId="1E6C8F3D" w14:textId="540F2827" w:rsidR="00A92D0B" w:rsidRPr="002C5FE7" w:rsidRDefault="00E64AFC" w:rsidP="00BB6EBF">
            <w:pPr>
              <w:tabs>
                <w:tab w:val="left" w:pos="1440"/>
              </w:tabs>
              <w:jc w:val="center"/>
              <w:rPr>
                <w:color w:val="000000"/>
              </w:rPr>
            </w:pPr>
            <w:r>
              <w:rPr>
                <w:color w:val="000000"/>
              </w:rPr>
              <w:t>[A]</w:t>
            </w:r>
          </w:p>
        </w:tc>
        <w:tc>
          <w:tcPr>
            <w:tcW w:w="7087" w:type="dxa"/>
            <w:shd w:val="clear" w:color="auto" w:fill="auto"/>
          </w:tcPr>
          <w:p w14:paraId="45BFCB16" w14:textId="5460C89A" w:rsidR="00A92D0B" w:rsidRPr="002C5FE7" w:rsidRDefault="00E64AFC" w:rsidP="00BB6EBF">
            <w:pPr>
              <w:tabs>
                <w:tab w:val="left" w:pos="1440"/>
              </w:tabs>
              <w:rPr>
                <w:color w:val="000000"/>
              </w:rPr>
            </w:pPr>
            <w:r>
              <w:rPr>
                <w:color w:val="000000"/>
              </w:rPr>
              <w:t xml:space="preserve">Reported 2017 time for </w:t>
            </w:r>
            <w:proofErr w:type="spellStart"/>
            <w:r>
              <w:rPr>
                <w:color w:val="000000"/>
              </w:rPr>
              <w:t>Sommer</w:t>
            </w:r>
            <w:proofErr w:type="spellEnd"/>
            <w:r>
              <w:rPr>
                <w:color w:val="000000"/>
              </w:rPr>
              <w:t xml:space="preserve"> was 125.31 hours.</w:t>
            </w:r>
          </w:p>
        </w:tc>
      </w:tr>
      <w:tr w:rsidR="00A92D0B" w:rsidRPr="002C5FE7" w14:paraId="52155EFC" w14:textId="77777777" w:rsidTr="004C184D">
        <w:tc>
          <w:tcPr>
            <w:tcW w:w="1548" w:type="dxa"/>
            <w:shd w:val="clear" w:color="auto" w:fill="auto"/>
          </w:tcPr>
          <w:p w14:paraId="26487933" w14:textId="11C17BFA" w:rsidR="00A92D0B" w:rsidRPr="002C5FE7" w:rsidRDefault="00E64AFC" w:rsidP="00BB6EBF">
            <w:pPr>
              <w:tabs>
                <w:tab w:val="left" w:pos="1440"/>
              </w:tabs>
              <w:jc w:val="center"/>
              <w:rPr>
                <w:color w:val="000000"/>
              </w:rPr>
            </w:pPr>
            <w:r>
              <w:rPr>
                <w:color w:val="000000"/>
              </w:rPr>
              <w:t>[B]</w:t>
            </w:r>
          </w:p>
        </w:tc>
        <w:tc>
          <w:tcPr>
            <w:tcW w:w="7087" w:type="dxa"/>
            <w:shd w:val="clear" w:color="auto" w:fill="auto"/>
          </w:tcPr>
          <w:p w14:paraId="455E6A00" w14:textId="1B205B70" w:rsidR="00A92D0B" w:rsidRPr="002C5FE7" w:rsidRDefault="00E64AFC" w:rsidP="00BB6EBF">
            <w:pPr>
              <w:tabs>
                <w:tab w:val="left" w:pos="1440"/>
              </w:tabs>
              <w:rPr>
                <w:color w:val="000000"/>
              </w:rPr>
            </w:pPr>
            <w:r>
              <w:rPr>
                <w:color w:val="000000"/>
              </w:rPr>
              <w:t xml:space="preserve">Reported 2018 time for </w:t>
            </w:r>
            <w:proofErr w:type="spellStart"/>
            <w:r>
              <w:rPr>
                <w:color w:val="000000"/>
              </w:rPr>
              <w:t>Sommer</w:t>
            </w:r>
            <w:proofErr w:type="spellEnd"/>
            <w:r>
              <w:rPr>
                <w:color w:val="000000"/>
              </w:rPr>
              <w:t xml:space="preserve"> was 22.36 hours.</w:t>
            </w:r>
          </w:p>
        </w:tc>
      </w:tr>
      <w:tr w:rsidR="00672E9B" w:rsidRPr="002C5FE7" w14:paraId="6E8F694C" w14:textId="77777777" w:rsidTr="004C184D">
        <w:tc>
          <w:tcPr>
            <w:tcW w:w="1548" w:type="dxa"/>
            <w:shd w:val="clear" w:color="auto" w:fill="auto"/>
          </w:tcPr>
          <w:p w14:paraId="6535C24B" w14:textId="1F99CD60" w:rsidR="00672E9B" w:rsidRPr="002C5FE7" w:rsidRDefault="00E64AFC" w:rsidP="00BB6EBF">
            <w:pPr>
              <w:tabs>
                <w:tab w:val="left" w:pos="1440"/>
              </w:tabs>
              <w:jc w:val="center"/>
              <w:rPr>
                <w:color w:val="000000"/>
              </w:rPr>
            </w:pPr>
            <w:r>
              <w:rPr>
                <w:color w:val="000000"/>
              </w:rPr>
              <w:t>[C]</w:t>
            </w:r>
          </w:p>
        </w:tc>
        <w:tc>
          <w:tcPr>
            <w:tcW w:w="7087" w:type="dxa"/>
            <w:shd w:val="clear" w:color="auto" w:fill="auto"/>
          </w:tcPr>
          <w:p w14:paraId="5A6BA46A" w14:textId="129DA9E6" w:rsidR="00672E9B" w:rsidRPr="002C5FE7" w:rsidRDefault="00E64AFC" w:rsidP="00BB6EBF">
            <w:pPr>
              <w:tabs>
                <w:tab w:val="left" w:pos="1440"/>
              </w:tabs>
              <w:rPr>
                <w:color w:val="000000"/>
              </w:rPr>
            </w:pPr>
            <w:r>
              <w:rPr>
                <w:color w:val="000000"/>
              </w:rPr>
              <w:t>Reported 2017 time for Freeling was 27.45 hours.</w:t>
            </w:r>
          </w:p>
        </w:tc>
      </w:tr>
      <w:tr w:rsidR="00672E9B" w:rsidRPr="002C5FE7" w14:paraId="32C8EB3E" w14:textId="77777777" w:rsidTr="004C184D">
        <w:tc>
          <w:tcPr>
            <w:tcW w:w="1548" w:type="dxa"/>
            <w:shd w:val="clear" w:color="auto" w:fill="auto"/>
          </w:tcPr>
          <w:p w14:paraId="0A4390F5" w14:textId="46FB1038" w:rsidR="00672E9B" w:rsidRPr="002C5FE7" w:rsidRDefault="00E64AFC" w:rsidP="00BB6EBF">
            <w:pPr>
              <w:tabs>
                <w:tab w:val="left" w:pos="1440"/>
              </w:tabs>
              <w:jc w:val="center"/>
              <w:rPr>
                <w:color w:val="000000"/>
              </w:rPr>
            </w:pPr>
            <w:r>
              <w:rPr>
                <w:color w:val="000000"/>
              </w:rPr>
              <w:t>[D]</w:t>
            </w:r>
          </w:p>
        </w:tc>
        <w:tc>
          <w:tcPr>
            <w:tcW w:w="7087" w:type="dxa"/>
            <w:shd w:val="clear" w:color="auto" w:fill="auto"/>
          </w:tcPr>
          <w:p w14:paraId="5D1CBE99" w14:textId="14A79C11" w:rsidR="00672E9B" w:rsidRPr="002C5FE7" w:rsidRDefault="00E64AFC" w:rsidP="00BB6EBF">
            <w:pPr>
              <w:tabs>
                <w:tab w:val="left" w:pos="1440"/>
              </w:tabs>
              <w:rPr>
                <w:color w:val="000000"/>
              </w:rPr>
            </w:pPr>
            <w:r>
              <w:rPr>
                <w:color w:val="000000"/>
              </w:rPr>
              <w:t>Reported 2018 time for Freeling was 7.60 hours.</w:t>
            </w:r>
          </w:p>
        </w:tc>
      </w:tr>
      <w:tr w:rsidR="00E64AFC" w:rsidRPr="002C5FE7" w14:paraId="7B81B6CE" w14:textId="77777777" w:rsidTr="004C184D">
        <w:tc>
          <w:tcPr>
            <w:tcW w:w="1548" w:type="dxa"/>
            <w:shd w:val="clear" w:color="auto" w:fill="auto"/>
          </w:tcPr>
          <w:p w14:paraId="285509B2" w14:textId="0BAA2FE5" w:rsidR="00E64AFC" w:rsidRDefault="00E64AFC" w:rsidP="00BB6EBF">
            <w:pPr>
              <w:tabs>
                <w:tab w:val="left" w:pos="1440"/>
              </w:tabs>
              <w:jc w:val="center"/>
              <w:rPr>
                <w:color w:val="000000"/>
              </w:rPr>
            </w:pPr>
            <w:r>
              <w:rPr>
                <w:color w:val="000000"/>
              </w:rPr>
              <w:t>[E]</w:t>
            </w:r>
          </w:p>
        </w:tc>
        <w:tc>
          <w:tcPr>
            <w:tcW w:w="7087" w:type="dxa"/>
            <w:shd w:val="clear" w:color="auto" w:fill="auto"/>
          </w:tcPr>
          <w:p w14:paraId="6161AEF4" w14:textId="7A3C699D" w:rsidR="00E64AFC" w:rsidRPr="002C5FE7" w:rsidRDefault="00E64AFC" w:rsidP="00BB6EBF">
            <w:pPr>
              <w:tabs>
                <w:tab w:val="left" w:pos="1440"/>
              </w:tabs>
              <w:rPr>
                <w:color w:val="000000"/>
              </w:rPr>
            </w:pPr>
            <w:proofErr w:type="spellStart"/>
            <w:r>
              <w:rPr>
                <w:color w:val="000000"/>
              </w:rPr>
              <w:t>Intervenor</w:t>
            </w:r>
            <w:proofErr w:type="spellEnd"/>
            <w:r>
              <w:rPr>
                <w:color w:val="000000"/>
              </w:rPr>
              <w:t xml:space="preserve"> Claim Prep rate for </w:t>
            </w:r>
            <w:proofErr w:type="spellStart"/>
            <w:r>
              <w:rPr>
                <w:color w:val="000000"/>
              </w:rPr>
              <w:t>Sommer</w:t>
            </w:r>
            <w:proofErr w:type="spellEnd"/>
            <w:r>
              <w:rPr>
                <w:color w:val="000000"/>
              </w:rPr>
              <w:t xml:space="preserve"> is ½ normal rate, or $180.50 per hour.</w:t>
            </w:r>
          </w:p>
        </w:tc>
      </w:tr>
      <w:tr w:rsidR="00E64AFC" w:rsidRPr="002C5FE7" w14:paraId="08910166" w14:textId="77777777" w:rsidTr="004C184D">
        <w:tc>
          <w:tcPr>
            <w:tcW w:w="1548" w:type="dxa"/>
            <w:shd w:val="clear" w:color="auto" w:fill="auto"/>
          </w:tcPr>
          <w:p w14:paraId="52628A66" w14:textId="0868840A" w:rsidR="00E64AFC" w:rsidRDefault="00E64AFC" w:rsidP="00BB6EBF">
            <w:pPr>
              <w:tabs>
                <w:tab w:val="left" w:pos="1440"/>
              </w:tabs>
              <w:jc w:val="center"/>
              <w:rPr>
                <w:color w:val="000000"/>
              </w:rPr>
            </w:pPr>
            <w:r>
              <w:rPr>
                <w:color w:val="000000"/>
              </w:rPr>
              <w:t>[F]</w:t>
            </w:r>
          </w:p>
        </w:tc>
        <w:tc>
          <w:tcPr>
            <w:tcW w:w="7087" w:type="dxa"/>
            <w:shd w:val="clear" w:color="auto" w:fill="auto"/>
          </w:tcPr>
          <w:p w14:paraId="29645155" w14:textId="39BA814C" w:rsidR="00E64AFC" w:rsidRPr="002C5FE7" w:rsidRDefault="00E64AFC" w:rsidP="00BB6EBF">
            <w:pPr>
              <w:tabs>
                <w:tab w:val="left" w:pos="1440"/>
              </w:tabs>
              <w:rPr>
                <w:color w:val="000000"/>
              </w:rPr>
            </w:pPr>
            <w:proofErr w:type="spellStart"/>
            <w:r>
              <w:rPr>
                <w:color w:val="000000"/>
              </w:rPr>
              <w:t>Intervenor</w:t>
            </w:r>
            <w:proofErr w:type="spellEnd"/>
            <w:r>
              <w:rPr>
                <w:color w:val="000000"/>
              </w:rPr>
              <w:t xml:space="preserve"> Claim Prep rate for Pang is ½ normal rate, or $75.00 per hour.</w:t>
            </w:r>
          </w:p>
        </w:tc>
      </w:tr>
      <w:tr w:rsidR="00E64AFC" w:rsidRPr="002C5FE7" w14:paraId="6DCE35A1" w14:textId="77777777" w:rsidTr="004C184D">
        <w:tc>
          <w:tcPr>
            <w:tcW w:w="1548" w:type="dxa"/>
            <w:shd w:val="clear" w:color="auto" w:fill="auto"/>
          </w:tcPr>
          <w:p w14:paraId="24C7BDEA" w14:textId="6D4ABEEA" w:rsidR="00E64AFC" w:rsidRDefault="00E64AFC" w:rsidP="00BB6EBF">
            <w:pPr>
              <w:tabs>
                <w:tab w:val="left" w:pos="1440"/>
              </w:tabs>
              <w:jc w:val="center"/>
              <w:rPr>
                <w:color w:val="000000"/>
              </w:rPr>
            </w:pPr>
            <w:r>
              <w:rPr>
                <w:color w:val="000000"/>
              </w:rPr>
              <w:t>[G]</w:t>
            </w:r>
          </w:p>
        </w:tc>
        <w:tc>
          <w:tcPr>
            <w:tcW w:w="7087" w:type="dxa"/>
            <w:shd w:val="clear" w:color="auto" w:fill="auto"/>
          </w:tcPr>
          <w:p w14:paraId="1DCD7355" w14:textId="380ADE86" w:rsidR="00E64AFC" w:rsidRPr="002C5FE7" w:rsidRDefault="00E64AFC" w:rsidP="00BB6EBF">
            <w:pPr>
              <w:tabs>
                <w:tab w:val="left" w:pos="1440"/>
              </w:tabs>
              <w:rPr>
                <w:color w:val="000000"/>
              </w:rPr>
            </w:pPr>
            <w:r>
              <w:rPr>
                <w:color w:val="000000"/>
              </w:rPr>
              <w:t xml:space="preserve">Reported </w:t>
            </w:r>
            <w:proofErr w:type="spellStart"/>
            <w:r>
              <w:rPr>
                <w:color w:val="000000"/>
              </w:rPr>
              <w:t>Intervenor</w:t>
            </w:r>
            <w:proofErr w:type="spellEnd"/>
            <w:r>
              <w:rPr>
                <w:color w:val="000000"/>
              </w:rPr>
              <w:t xml:space="preserve"> Claim Prep time for 2018 was 39.90 hours.</w:t>
            </w:r>
          </w:p>
        </w:tc>
      </w:tr>
    </w:tbl>
    <w:p w14:paraId="18E9D359" w14:textId="77777777" w:rsidR="00A92D0B" w:rsidRPr="002C5FE7" w:rsidRDefault="00A92D0B" w:rsidP="00672E9B">
      <w:pPr>
        <w:tabs>
          <w:tab w:val="left" w:pos="1260"/>
        </w:tabs>
        <w:spacing w:before="240"/>
        <w:rPr>
          <w:b/>
          <w:color w:val="000000"/>
        </w:rPr>
      </w:pPr>
      <w:r w:rsidRPr="002C5FE7">
        <w:rPr>
          <w:b/>
          <w:color w:val="000000"/>
        </w:rPr>
        <w:t>PART IV:</w:t>
      </w:r>
      <w:r w:rsidRPr="002C5FE7">
        <w:rPr>
          <w:b/>
          <w:color w:val="000000"/>
        </w:rPr>
        <w:tab/>
        <w:t>OPPOSITIONS AND COMMENTS</w:t>
      </w:r>
    </w:p>
    <w:p w14:paraId="5D5DC317" w14:textId="42952822" w:rsidR="00A92D0B" w:rsidRPr="00672E9B" w:rsidRDefault="00672E9B" w:rsidP="00532682">
      <w:pPr>
        <w:tabs>
          <w:tab w:val="left" w:pos="0"/>
        </w:tabs>
        <w:ind w:right="-720"/>
        <w:rPr>
          <w:color w:val="000000"/>
        </w:rPr>
      </w:pPr>
      <w:r w:rsidRPr="00672E9B">
        <w:rPr>
          <w:color w:val="000000"/>
        </w:rPr>
        <w:t>(</w:t>
      </w:r>
      <w:r w:rsidR="00A92D0B" w:rsidRPr="00672E9B">
        <w:rPr>
          <w:color w:val="000000"/>
        </w:rPr>
        <w:t>Within 30 days after service of this Claim, Commission Staff</w:t>
      </w:r>
      <w:r w:rsidR="00F20061" w:rsidRPr="00672E9B">
        <w:rPr>
          <w:color w:val="000000"/>
        </w:rPr>
        <w:t xml:space="preserve"> </w:t>
      </w:r>
      <w:r w:rsidR="00A92D0B" w:rsidRPr="00672E9B">
        <w:rPr>
          <w:color w:val="000000"/>
        </w:rPr>
        <w:t>or any other party may file a response to the Claim (</w:t>
      </w:r>
      <w:r w:rsidR="00A92D0B" w:rsidRPr="00672E9B">
        <w:rPr>
          <w:i/>
          <w:color w:val="000000"/>
        </w:rPr>
        <w:t>see</w:t>
      </w:r>
      <w:r w:rsidR="00A92D0B" w:rsidRPr="00672E9B">
        <w:rPr>
          <w:color w:val="000000"/>
        </w:rPr>
        <w:t xml:space="preserve"> § 1804(c))</w:t>
      </w:r>
      <w:r w:rsidRPr="00672E9B">
        <w:rPr>
          <w:color w:val="000000"/>
        </w:rPr>
        <w:t>)</w:t>
      </w:r>
    </w:p>
    <w:p w14:paraId="71122750" w14:textId="77777777" w:rsidR="00A92D0B" w:rsidRPr="00672E9B" w:rsidRDefault="00A92D0B">
      <w:pPr>
        <w:tabs>
          <w:tab w:val="left" w:pos="1260"/>
        </w:tabs>
        <w:spacing w:before="60"/>
        <w:ind w:left="1267" w:hanging="1267"/>
        <w:jc w:val="center"/>
        <w:rPr>
          <w:color w:val="000000"/>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237"/>
      </w:tblGrid>
      <w:tr w:rsidR="00A92D0B" w:rsidRPr="00672E9B" w14:paraId="46A51699" w14:textId="77777777" w:rsidTr="004C184D">
        <w:tc>
          <w:tcPr>
            <w:tcW w:w="7488" w:type="dxa"/>
            <w:shd w:val="clear" w:color="auto" w:fill="auto"/>
          </w:tcPr>
          <w:p w14:paraId="607B1FB9" w14:textId="541E30C8" w:rsidR="00B31BF8" w:rsidRPr="00BB6EBF" w:rsidRDefault="00A92D0B" w:rsidP="00BB6EBF">
            <w:pPr>
              <w:pStyle w:val="ListParagraph"/>
              <w:numPr>
                <w:ilvl w:val="0"/>
                <w:numId w:val="12"/>
              </w:numPr>
              <w:ind w:left="360"/>
              <w:rPr>
                <w:rFonts w:ascii="Times New Roman" w:hAnsi="Times New Roman"/>
                <w:color w:val="000000"/>
                <w:sz w:val="24"/>
                <w:szCs w:val="24"/>
              </w:rPr>
            </w:pPr>
            <w:r w:rsidRPr="00672E9B">
              <w:rPr>
                <w:rFonts w:ascii="Times New Roman" w:hAnsi="Times New Roman"/>
                <w:color w:val="000000"/>
                <w:sz w:val="24"/>
                <w:szCs w:val="24"/>
              </w:rPr>
              <w:t>Opposition:  Did any party oppose the Claim?</w:t>
            </w:r>
          </w:p>
        </w:tc>
        <w:tc>
          <w:tcPr>
            <w:tcW w:w="1237" w:type="dxa"/>
            <w:shd w:val="clear" w:color="auto" w:fill="auto"/>
          </w:tcPr>
          <w:p w14:paraId="6E7CD931" w14:textId="3B6A5A42" w:rsidR="00A92D0B" w:rsidRPr="00672E9B" w:rsidRDefault="00672E9B" w:rsidP="00BB6EBF">
            <w:pPr>
              <w:rPr>
                <w:color w:val="000000"/>
              </w:rPr>
            </w:pPr>
            <w:r>
              <w:rPr>
                <w:color w:val="000000"/>
              </w:rPr>
              <w:t>No</w:t>
            </w:r>
          </w:p>
        </w:tc>
      </w:tr>
    </w:tbl>
    <w:p w14:paraId="23420BFC" w14:textId="77777777" w:rsidR="00A92D0B" w:rsidRPr="00672E9B" w:rsidRDefault="00A92D0B">
      <w:pPr>
        <w:tabs>
          <w:tab w:val="left" w:pos="1260"/>
        </w:tabs>
        <w:spacing w:before="60"/>
        <w:ind w:left="1267" w:hanging="1267"/>
        <w:jc w:val="center"/>
        <w:rPr>
          <w:color w:val="000000"/>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237"/>
      </w:tblGrid>
      <w:tr w:rsidR="00A92D0B" w:rsidRPr="00672E9B" w14:paraId="7A0D8740" w14:textId="77777777" w:rsidTr="004C184D">
        <w:tc>
          <w:tcPr>
            <w:tcW w:w="7488" w:type="dxa"/>
            <w:shd w:val="clear" w:color="auto" w:fill="auto"/>
          </w:tcPr>
          <w:p w14:paraId="37D28D8D" w14:textId="38B6AC6F" w:rsidR="00A92D0B" w:rsidRPr="00672E9B" w:rsidRDefault="00A92D0B" w:rsidP="007312B4">
            <w:pPr>
              <w:keepNext/>
              <w:keepLines/>
              <w:ind w:left="334" w:hanging="360"/>
              <w:rPr>
                <w:color w:val="000000"/>
              </w:rPr>
            </w:pPr>
            <w:r w:rsidRPr="00672E9B">
              <w:rPr>
                <w:color w:val="000000"/>
              </w:rPr>
              <w:t>B.  Comment Period:  Was the 30-day comment period waived (</w:t>
            </w:r>
            <w:r w:rsidRPr="00672E9B">
              <w:rPr>
                <w:i/>
                <w:color w:val="000000"/>
              </w:rPr>
              <w:t>see</w:t>
            </w:r>
            <w:r w:rsidR="00532682">
              <w:rPr>
                <w:color w:val="000000"/>
              </w:rPr>
              <w:t xml:space="preserve"> Rule </w:t>
            </w:r>
            <w:r w:rsidRPr="00672E9B">
              <w:rPr>
                <w:color w:val="000000"/>
              </w:rPr>
              <w:t>14.6(</w:t>
            </w:r>
            <w:r w:rsidR="00963EEF" w:rsidRPr="00672E9B">
              <w:rPr>
                <w:color w:val="000000"/>
              </w:rPr>
              <w:t>c</w:t>
            </w:r>
            <w:r w:rsidRPr="00672E9B">
              <w:rPr>
                <w:color w:val="000000"/>
              </w:rPr>
              <w:t>)(6))?</w:t>
            </w:r>
          </w:p>
        </w:tc>
        <w:tc>
          <w:tcPr>
            <w:tcW w:w="1237" w:type="dxa"/>
            <w:shd w:val="clear" w:color="auto" w:fill="auto"/>
          </w:tcPr>
          <w:p w14:paraId="238D2D3F" w14:textId="5A199CA0" w:rsidR="00A92D0B" w:rsidRPr="00672E9B" w:rsidRDefault="00672E9B" w:rsidP="00BB6EBF">
            <w:pPr>
              <w:keepNext/>
              <w:keepLines/>
              <w:rPr>
                <w:color w:val="000000"/>
              </w:rPr>
            </w:pPr>
            <w:r>
              <w:rPr>
                <w:color w:val="000000"/>
              </w:rPr>
              <w:t>Yes</w:t>
            </w:r>
          </w:p>
        </w:tc>
      </w:tr>
    </w:tbl>
    <w:p w14:paraId="2A36EEA6" w14:textId="4ED1C4F5" w:rsidR="003D359B" w:rsidRPr="002C5FE7" w:rsidRDefault="003D359B" w:rsidP="00BB6EBF">
      <w:pPr>
        <w:rPr>
          <w:b/>
          <w:color w:val="000000"/>
          <w:u w:val="single"/>
        </w:rPr>
      </w:pPr>
    </w:p>
    <w:p w14:paraId="186E115A" w14:textId="07356E87" w:rsidR="00A92D0B" w:rsidRDefault="00A92D0B">
      <w:pPr>
        <w:jc w:val="center"/>
        <w:rPr>
          <w:b/>
          <w:color w:val="000000"/>
          <w:u w:val="single"/>
        </w:rPr>
      </w:pPr>
      <w:r w:rsidRPr="002C5FE7">
        <w:rPr>
          <w:b/>
          <w:color w:val="000000"/>
          <w:u w:val="single"/>
        </w:rPr>
        <w:t>FINDINGS OF FACT</w:t>
      </w:r>
    </w:p>
    <w:p w14:paraId="6DE9141B" w14:textId="45A518E8" w:rsidR="00672E9B" w:rsidRPr="00672E9B" w:rsidRDefault="00672E9B" w:rsidP="00672E9B">
      <w:pPr>
        <w:rPr>
          <w:color w:val="000000"/>
        </w:rPr>
      </w:pPr>
    </w:p>
    <w:p w14:paraId="21B52F32" w14:textId="002F54B4" w:rsidR="00672E9B" w:rsidRPr="00672E9B" w:rsidRDefault="00672E9B" w:rsidP="00672E9B">
      <w:pPr>
        <w:numPr>
          <w:ilvl w:val="0"/>
          <w:numId w:val="3"/>
        </w:numPr>
        <w:tabs>
          <w:tab w:val="clear" w:pos="900"/>
          <w:tab w:val="num" w:pos="540"/>
        </w:tabs>
        <w:ind w:left="540" w:hanging="540"/>
      </w:pPr>
      <w:r>
        <w:t>Protect Our Communities Foundation</w:t>
      </w:r>
      <w:r w:rsidRPr="00672E9B">
        <w:t xml:space="preserve"> has made a s</w:t>
      </w:r>
      <w:r w:rsidR="002D4EB9">
        <w:t>ubstantial contribution to D.18</w:t>
      </w:r>
      <w:r w:rsidR="002D4EB9">
        <w:noBreakHyphen/>
      </w:r>
      <w:r w:rsidRPr="00672E9B">
        <w:t>02-018.</w:t>
      </w:r>
    </w:p>
    <w:p w14:paraId="3EE04D7B" w14:textId="06DE7D5C" w:rsidR="00672E9B" w:rsidRPr="00672E9B" w:rsidRDefault="00672E9B" w:rsidP="00672E9B">
      <w:pPr>
        <w:numPr>
          <w:ilvl w:val="0"/>
          <w:numId w:val="3"/>
        </w:numPr>
        <w:tabs>
          <w:tab w:val="clear" w:pos="900"/>
          <w:tab w:val="num" w:pos="540"/>
        </w:tabs>
        <w:spacing w:before="240"/>
        <w:ind w:left="547" w:hanging="547"/>
      </w:pPr>
      <w:r w:rsidRPr="00672E9B">
        <w:t xml:space="preserve">The requested hourly rates for </w:t>
      </w:r>
      <w:r>
        <w:t>Protect Our Communities Foundation’s</w:t>
      </w:r>
      <w:r w:rsidRPr="00672E9B">
        <w:t xml:space="preserve"> representatives, as adjusted herein, are comparable to market rates paid to experts and advocates having comparable training and experience and offering similar services.</w:t>
      </w:r>
    </w:p>
    <w:p w14:paraId="3E0949FD" w14:textId="77777777" w:rsidR="00672E9B" w:rsidRPr="00672E9B" w:rsidRDefault="00672E9B" w:rsidP="00672E9B">
      <w:pPr>
        <w:numPr>
          <w:ilvl w:val="0"/>
          <w:numId w:val="3"/>
        </w:numPr>
        <w:tabs>
          <w:tab w:val="clear" w:pos="900"/>
          <w:tab w:val="num" w:pos="540"/>
        </w:tabs>
        <w:spacing w:before="240"/>
        <w:ind w:left="547" w:hanging="547"/>
      </w:pPr>
      <w:r w:rsidRPr="00672E9B">
        <w:t xml:space="preserve">The claimed costs and expenses, as adjusted herein, are reasonable and commensurate with the work performed. </w:t>
      </w:r>
    </w:p>
    <w:p w14:paraId="056854BE" w14:textId="3AF34563" w:rsidR="00672E9B" w:rsidRPr="00672E9B" w:rsidRDefault="00672E9B" w:rsidP="00672E9B">
      <w:pPr>
        <w:numPr>
          <w:ilvl w:val="0"/>
          <w:numId w:val="3"/>
        </w:numPr>
        <w:tabs>
          <w:tab w:val="clear" w:pos="900"/>
          <w:tab w:val="num" w:pos="540"/>
        </w:tabs>
        <w:spacing w:before="240"/>
        <w:ind w:left="547" w:hanging="547"/>
      </w:pPr>
      <w:r w:rsidRPr="00672E9B">
        <w:t>The total of reasonable compensation is $</w:t>
      </w:r>
      <w:r w:rsidR="000D521F">
        <w:t>64,306.14</w:t>
      </w:r>
      <w:r w:rsidRPr="00672E9B">
        <w:t>.</w:t>
      </w:r>
    </w:p>
    <w:p w14:paraId="16050DB6" w14:textId="77777777" w:rsidR="00BB6EBF" w:rsidRPr="00672E9B" w:rsidRDefault="00BB6EBF" w:rsidP="00672E9B">
      <w:pPr>
        <w:spacing w:before="120"/>
        <w:rPr>
          <w:color w:val="000000"/>
        </w:rPr>
      </w:pPr>
    </w:p>
    <w:p w14:paraId="05AD9A22" w14:textId="77777777" w:rsidR="00672E9B" w:rsidRPr="00672E9B" w:rsidRDefault="00672E9B" w:rsidP="00672E9B">
      <w:pPr>
        <w:jc w:val="center"/>
        <w:rPr>
          <w:b/>
          <w:color w:val="000000"/>
          <w:u w:val="single"/>
        </w:rPr>
      </w:pPr>
      <w:r w:rsidRPr="00672E9B">
        <w:rPr>
          <w:b/>
          <w:color w:val="000000"/>
          <w:u w:val="single"/>
        </w:rPr>
        <w:t>CONCLUSION OF LAW</w:t>
      </w:r>
    </w:p>
    <w:p w14:paraId="6FFEC7CA" w14:textId="77777777" w:rsidR="00672E9B" w:rsidRPr="00672E9B" w:rsidRDefault="00672E9B" w:rsidP="00BB6EBF">
      <w:pPr>
        <w:spacing w:before="240"/>
        <w:rPr>
          <w:color w:val="000000"/>
        </w:rPr>
      </w:pPr>
      <w:r w:rsidRPr="00672E9B">
        <w:rPr>
          <w:color w:val="000000"/>
        </w:rPr>
        <w:t>The Claim, with any adjustment set forth above, satisfies all requirements of Pub. Util. Code §§ 1801-1812.</w:t>
      </w:r>
    </w:p>
    <w:p w14:paraId="1C438E7D" w14:textId="77777777" w:rsidR="00672E9B" w:rsidRPr="00672E9B" w:rsidRDefault="00672E9B" w:rsidP="00672E9B">
      <w:pPr>
        <w:rPr>
          <w:b/>
          <w:color w:val="000000"/>
          <w:u w:val="single"/>
        </w:rPr>
      </w:pPr>
    </w:p>
    <w:p w14:paraId="66BE1FDC" w14:textId="77777777" w:rsidR="00672E9B" w:rsidRPr="00672E9B" w:rsidRDefault="00672E9B" w:rsidP="00672E9B">
      <w:pPr>
        <w:jc w:val="center"/>
        <w:rPr>
          <w:b/>
          <w:color w:val="000000"/>
          <w:u w:val="single"/>
        </w:rPr>
      </w:pPr>
      <w:r w:rsidRPr="00672E9B">
        <w:rPr>
          <w:b/>
          <w:color w:val="000000"/>
          <w:u w:val="single"/>
        </w:rPr>
        <w:t>ORDER</w:t>
      </w:r>
    </w:p>
    <w:p w14:paraId="26D91B95" w14:textId="77777777" w:rsidR="00672E9B" w:rsidRPr="00672E9B" w:rsidRDefault="00672E9B" w:rsidP="00672E9B">
      <w:pPr>
        <w:jc w:val="center"/>
        <w:rPr>
          <w:b/>
          <w:color w:val="000000"/>
          <w:u w:val="single"/>
        </w:rPr>
      </w:pPr>
    </w:p>
    <w:p w14:paraId="7203E2BE" w14:textId="02749292" w:rsidR="00672E9B" w:rsidRPr="00672E9B" w:rsidRDefault="00672E9B" w:rsidP="00672E9B">
      <w:pPr>
        <w:numPr>
          <w:ilvl w:val="0"/>
          <w:numId w:val="4"/>
        </w:numPr>
        <w:tabs>
          <w:tab w:val="clear" w:pos="900"/>
          <w:tab w:val="num" w:pos="540"/>
        </w:tabs>
        <w:ind w:left="540" w:hanging="540"/>
        <w:rPr>
          <w:color w:val="000000"/>
        </w:rPr>
      </w:pPr>
      <w:r>
        <w:rPr>
          <w:color w:val="000000"/>
        </w:rPr>
        <w:t xml:space="preserve">Protect Our Communities Foundation </w:t>
      </w:r>
      <w:r w:rsidRPr="00672E9B">
        <w:rPr>
          <w:color w:val="000000"/>
        </w:rPr>
        <w:t>is awarded $</w:t>
      </w:r>
      <w:r w:rsidR="000D521F">
        <w:rPr>
          <w:color w:val="000000"/>
        </w:rPr>
        <w:t>64,306.14</w:t>
      </w:r>
      <w:r w:rsidRPr="00672E9B">
        <w:rPr>
          <w:color w:val="000000"/>
        </w:rPr>
        <w:t>.</w:t>
      </w:r>
    </w:p>
    <w:p w14:paraId="1A1E7508" w14:textId="078D5A49" w:rsidR="00672E9B" w:rsidRPr="00672E9B" w:rsidRDefault="00672E9B" w:rsidP="00672E9B">
      <w:pPr>
        <w:numPr>
          <w:ilvl w:val="0"/>
          <w:numId w:val="4"/>
        </w:numPr>
        <w:tabs>
          <w:tab w:val="clear" w:pos="900"/>
          <w:tab w:val="num" w:pos="540"/>
        </w:tabs>
        <w:spacing w:before="240"/>
        <w:ind w:left="547" w:hanging="547"/>
      </w:pPr>
      <w:r w:rsidRPr="00672E9B">
        <w:t xml:space="preserve">Within 30 days of the effective date of this decision, Pacific Gas and Electric Company ratepayers, Southern California Edison Company ratepayers, and San Diego Gas &amp; Electric Company ratepayers shall pay Environmental Defense Fund their respective shares of the award, based on their California-jurisdictional electric revenues for the 2017 calendar year, to reflect the year in which the proceeding was primarily litigated. Payment of the award shall include compound interest at the rate earned on prime, three-month non-financial commercial paper as reported in Federal Reserve Statistical Release H.15, beginning </w:t>
      </w:r>
      <w:r w:rsidR="00465DEA">
        <w:t>June 28</w:t>
      </w:r>
      <w:r w:rsidRPr="00672E9B">
        <w:t>, 2018, the 75</w:t>
      </w:r>
      <w:r w:rsidRPr="00672E9B">
        <w:rPr>
          <w:vertAlign w:val="superscript"/>
        </w:rPr>
        <w:t>th</w:t>
      </w:r>
      <w:r w:rsidRPr="00672E9B">
        <w:t xml:space="preserve"> day after the filing of </w:t>
      </w:r>
      <w:r w:rsidR="00465DEA">
        <w:t>Protect Out Communities Foundation’s</w:t>
      </w:r>
      <w:r w:rsidRPr="00672E9B">
        <w:t xml:space="preserve"> request, and continuing until full payment is made.</w:t>
      </w:r>
    </w:p>
    <w:p w14:paraId="1D7C7DDD" w14:textId="77777777" w:rsidR="00672E9B" w:rsidRPr="00672E9B" w:rsidRDefault="00672E9B" w:rsidP="00672E9B">
      <w:pPr>
        <w:keepNext/>
        <w:keepLines/>
        <w:numPr>
          <w:ilvl w:val="0"/>
          <w:numId w:val="4"/>
        </w:numPr>
        <w:tabs>
          <w:tab w:val="clear" w:pos="900"/>
          <w:tab w:val="num" w:pos="540"/>
        </w:tabs>
        <w:spacing w:before="240"/>
        <w:ind w:left="547" w:hanging="547"/>
      </w:pPr>
      <w:r w:rsidRPr="00672E9B">
        <w:t>The comment period for today’s decision is waived.</w:t>
      </w:r>
    </w:p>
    <w:p w14:paraId="4BF5457A" w14:textId="77777777" w:rsidR="00672E9B" w:rsidRPr="00672E9B" w:rsidRDefault="00672E9B" w:rsidP="00672E9B">
      <w:pPr>
        <w:keepNext/>
        <w:keepLines/>
        <w:spacing w:before="240"/>
        <w:rPr>
          <w:color w:val="000000"/>
        </w:rPr>
      </w:pPr>
      <w:r w:rsidRPr="00672E9B">
        <w:rPr>
          <w:color w:val="000000"/>
        </w:rPr>
        <w:t>This decision is effective today.</w:t>
      </w:r>
    </w:p>
    <w:p w14:paraId="6B281CE0" w14:textId="6F26BFAA" w:rsidR="00672E9B" w:rsidRPr="00672E9B" w:rsidRDefault="00672E9B" w:rsidP="002D4EB9">
      <w:pPr>
        <w:keepNext/>
        <w:keepLines/>
        <w:spacing w:before="240"/>
      </w:pPr>
      <w:r w:rsidRPr="00672E9B">
        <w:rPr>
          <w:color w:val="000000"/>
        </w:rPr>
        <w:t>Dated _____________, at Sa</w:t>
      </w:r>
      <w:r w:rsidR="007B2FC6">
        <w:rPr>
          <w:color w:val="000000"/>
        </w:rPr>
        <w:t>cramento</w:t>
      </w:r>
      <w:r w:rsidRPr="00672E9B">
        <w:rPr>
          <w:color w:val="000000"/>
        </w:rPr>
        <w:t>, California.</w:t>
      </w:r>
    </w:p>
    <w:p w14:paraId="7DAC63AB" w14:textId="77777777" w:rsidR="002D4EB9" w:rsidRDefault="002D4EB9" w:rsidP="00672E9B">
      <w:pPr>
        <w:sectPr w:rsidR="002D4EB9" w:rsidSect="008366FF">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gNumType w:fmt="numberInDash"/>
          <w:cols w:space="720"/>
          <w:titlePg/>
          <w:docGrid w:linePitch="360"/>
        </w:sectPr>
      </w:pPr>
    </w:p>
    <w:p w14:paraId="113199A2" w14:textId="77777777" w:rsidR="00672E9B" w:rsidRPr="00672E9B" w:rsidRDefault="00672E9B" w:rsidP="00672E9B">
      <w:pPr>
        <w:spacing w:line="360" w:lineRule="auto"/>
        <w:jc w:val="center"/>
        <w:rPr>
          <w:rFonts w:ascii="Helvetica" w:hAnsi="Helvetica"/>
          <w:b/>
          <w:sz w:val="26"/>
          <w:szCs w:val="26"/>
          <w:lang w:val="x-none" w:eastAsia="x-none"/>
        </w:rPr>
      </w:pPr>
      <w:r w:rsidRPr="00672E9B">
        <w:rPr>
          <w:rFonts w:ascii="Helvetica" w:hAnsi="Helvetica"/>
          <w:b/>
          <w:sz w:val="26"/>
          <w:szCs w:val="26"/>
          <w:lang w:val="x-none" w:eastAsia="x-none"/>
        </w:rPr>
        <w:lastRenderedPageBreak/>
        <w:t>APPENDIX</w:t>
      </w:r>
    </w:p>
    <w:p w14:paraId="36DF8A02" w14:textId="77777777" w:rsidR="00672E9B" w:rsidRPr="00672E9B" w:rsidRDefault="00672E9B" w:rsidP="00672E9B">
      <w:pPr>
        <w:spacing w:line="360" w:lineRule="auto"/>
        <w:ind w:firstLine="720"/>
        <w:jc w:val="center"/>
        <w:rPr>
          <w:rFonts w:ascii="Palatino" w:hAnsi="Palatino"/>
          <w:sz w:val="26"/>
          <w:szCs w:val="20"/>
          <w:lang w:val="x-none" w:eastAsia="x-none"/>
        </w:rPr>
      </w:pPr>
      <w:r w:rsidRPr="00672E9B">
        <w:rPr>
          <w:rFonts w:ascii="Palatino" w:hAnsi="Palatino"/>
          <w:sz w:val="28"/>
          <w:szCs w:val="28"/>
          <w:lang w:val="x-none" w:eastAsia="x-none"/>
        </w:rPr>
        <w:t>Compensation Decision Summary Information</w:t>
      </w:r>
    </w:p>
    <w:tbl>
      <w:tblPr>
        <w:tblW w:w="89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37"/>
        <w:gridCol w:w="2610"/>
        <w:gridCol w:w="450"/>
      </w:tblGrid>
      <w:tr w:rsidR="00672E9B" w:rsidRPr="00672E9B" w14:paraId="0253A74A" w14:textId="77777777" w:rsidTr="00AF50CC">
        <w:trPr>
          <w:trHeight w:val="288"/>
        </w:trPr>
        <w:tc>
          <w:tcPr>
            <w:tcW w:w="2880" w:type="dxa"/>
            <w:tcBorders>
              <w:top w:val="single" w:sz="4" w:space="0" w:color="auto"/>
              <w:left w:val="single" w:sz="4" w:space="0" w:color="auto"/>
              <w:bottom w:val="single" w:sz="4" w:space="0" w:color="auto"/>
              <w:right w:val="single" w:sz="4" w:space="0" w:color="auto"/>
            </w:tcBorders>
            <w:hideMark/>
          </w:tcPr>
          <w:p w14:paraId="38BE445F" w14:textId="77777777" w:rsidR="00672E9B" w:rsidRPr="00672E9B" w:rsidRDefault="00672E9B" w:rsidP="00672E9B">
            <w:r w:rsidRPr="00672E9B">
              <w:t>Compensation Decision:</w:t>
            </w:r>
          </w:p>
        </w:tc>
        <w:tc>
          <w:tcPr>
            <w:tcW w:w="3037" w:type="dxa"/>
            <w:tcBorders>
              <w:top w:val="single" w:sz="4" w:space="0" w:color="auto"/>
              <w:left w:val="single" w:sz="4" w:space="0" w:color="auto"/>
              <w:bottom w:val="single" w:sz="4" w:space="0" w:color="auto"/>
              <w:right w:val="single" w:sz="4" w:space="0" w:color="auto"/>
            </w:tcBorders>
          </w:tcPr>
          <w:p w14:paraId="7651BB96" w14:textId="77777777" w:rsidR="00672E9B" w:rsidRPr="00672E9B" w:rsidRDefault="00672E9B" w:rsidP="00672E9B"/>
        </w:tc>
        <w:tc>
          <w:tcPr>
            <w:tcW w:w="2610" w:type="dxa"/>
            <w:tcBorders>
              <w:top w:val="single" w:sz="4" w:space="0" w:color="auto"/>
              <w:left w:val="single" w:sz="4" w:space="0" w:color="auto"/>
              <w:bottom w:val="single" w:sz="4" w:space="0" w:color="auto"/>
              <w:right w:val="single" w:sz="4" w:space="0" w:color="auto"/>
            </w:tcBorders>
            <w:hideMark/>
          </w:tcPr>
          <w:p w14:paraId="389669D8" w14:textId="77777777" w:rsidR="00672E9B" w:rsidRPr="00672E9B" w:rsidRDefault="00672E9B" w:rsidP="00672E9B">
            <w:r w:rsidRPr="00672E9B">
              <w:t xml:space="preserve">Modifies Decision? </w:t>
            </w:r>
          </w:p>
        </w:tc>
        <w:tc>
          <w:tcPr>
            <w:tcW w:w="450" w:type="dxa"/>
            <w:tcBorders>
              <w:top w:val="single" w:sz="4" w:space="0" w:color="auto"/>
              <w:left w:val="single" w:sz="4" w:space="0" w:color="auto"/>
              <w:bottom w:val="single" w:sz="4" w:space="0" w:color="auto"/>
              <w:right w:val="single" w:sz="4" w:space="0" w:color="auto"/>
            </w:tcBorders>
          </w:tcPr>
          <w:p w14:paraId="7D676326" w14:textId="77777777" w:rsidR="00672E9B" w:rsidRPr="00672E9B" w:rsidRDefault="00672E9B" w:rsidP="00672E9B">
            <w:pPr>
              <w:jc w:val="center"/>
            </w:pPr>
          </w:p>
        </w:tc>
      </w:tr>
      <w:tr w:rsidR="00672E9B" w:rsidRPr="00672E9B" w14:paraId="56A3FAFA" w14:textId="77777777" w:rsidTr="00AF50CC">
        <w:trPr>
          <w:trHeight w:val="288"/>
        </w:trPr>
        <w:tc>
          <w:tcPr>
            <w:tcW w:w="2880" w:type="dxa"/>
            <w:tcBorders>
              <w:top w:val="single" w:sz="4" w:space="0" w:color="auto"/>
              <w:left w:val="single" w:sz="4" w:space="0" w:color="auto"/>
              <w:bottom w:val="single" w:sz="4" w:space="0" w:color="auto"/>
              <w:right w:val="single" w:sz="4" w:space="0" w:color="auto"/>
            </w:tcBorders>
            <w:hideMark/>
          </w:tcPr>
          <w:p w14:paraId="5E45665F" w14:textId="77777777" w:rsidR="00672E9B" w:rsidRPr="00672E9B" w:rsidRDefault="00672E9B" w:rsidP="00672E9B">
            <w:r w:rsidRPr="00672E9B">
              <w:t>Contribution Decision(s):</w:t>
            </w:r>
          </w:p>
        </w:tc>
        <w:tc>
          <w:tcPr>
            <w:tcW w:w="6097" w:type="dxa"/>
            <w:gridSpan w:val="3"/>
            <w:tcBorders>
              <w:top w:val="single" w:sz="4" w:space="0" w:color="auto"/>
              <w:left w:val="single" w:sz="4" w:space="0" w:color="auto"/>
              <w:bottom w:val="single" w:sz="4" w:space="0" w:color="auto"/>
              <w:right w:val="single" w:sz="4" w:space="0" w:color="auto"/>
            </w:tcBorders>
            <w:hideMark/>
          </w:tcPr>
          <w:p w14:paraId="277535F7" w14:textId="77777777" w:rsidR="00672E9B" w:rsidRPr="00672E9B" w:rsidRDefault="00672E9B" w:rsidP="00672E9B">
            <w:r w:rsidRPr="00672E9B">
              <w:t>D1802018</w:t>
            </w:r>
          </w:p>
        </w:tc>
      </w:tr>
      <w:tr w:rsidR="00672E9B" w:rsidRPr="00672E9B" w14:paraId="2B01144A" w14:textId="77777777" w:rsidTr="00AF50CC">
        <w:trPr>
          <w:trHeight w:val="288"/>
        </w:trPr>
        <w:tc>
          <w:tcPr>
            <w:tcW w:w="2880" w:type="dxa"/>
            <w:tcBorders>
              <w:top w:val="single" w:sz="4" w:space="0" w:color="auto"/>
              <w:left w:val="single" w:sz="4" w:space="0" w:color="auto"/>
              <w:bottom w:val="single" w:sz="4" w:space="0" w:color="auto"/>
              <w:right w:val="single" w:sz="4" w:space="0" w:color="auto"/>
            </w:tcBorders>
            <w:hideMark/>
          </w:tcPr>
          <w:p w14:paraId="6BE03623" w14:textId="77777777" w:rsidR="00672E9B" w:rsidRPr="00672E9B" w:rsidRDefault="00672E9B" w:rsidP="00672E9B">
            <w:r w:rsidRPr="00672E9B">
              <w:t>Proceeding(s):</w:t>
            </w:r>
          </w:p>
        </w:tc>
        <w:tc>
          <w:tcPr>
            <w:tcW w:w="6097" w:type="dxa"/>
            <w:gridSpan w:val="3"/>
            <w:tcBorders>
              <w:top w:val="single" w:sz="4" w:space="0" w:color="auto"/>
              <w:left w:val="single" w:sz="4" w:space="0" w:color="auto"/>
              <w:bottom w:val="single" w:sz="4" w:space="0" w:color="auto"/>
              <w:right w:val="single" w:sz="4" w:space="0" w:color="auto"/>
            </w:tcBorders>
            <w:hideMark/>
          </w:tcPr>
          <w:p w14:paraId="1389DD72" w14:textId="77777777" w:rsidR="00672E9B" w:rsidRPr="00672E9B" w:rsidRDefault="00672E9B" w:rsidP="00672E9B">
            <w:r w:rsidRPr="00672E9B">
              <w:t>R1602007</w:t>
            </w:r>
          </w:p>
        </w:tc>
      </w:tr>
      <w:tr w:rsidR="00672E9B" w:rsidRPr="00672E9B" w14:paraId="5BA2BB8A" w14:textId="77777777" w:rsidTr="00AF50CC">
        <w:trPr>
          <w:trHeight w:val="288"/>
        </w:trPr>
        <w:tc>
          <w:tcPr>
            <w:tcW w:w="2880" w:type="dxa"/>
            <w:tcBorders>
              <w:top w:val="single" w:sz="4" w:space="0" w:color="auto"/>
              <w:left w:val="single" w:sz="4" w:space="0" w:color="auto"/>
              <w:bottom w:val="single" w:sz="4" w:space="0" w:color="auto"/>
              <w:right w:val="single" w:sz="4" w:space="0" w:color="auto"/>
            </w:tcBorders>
            <w:hideMark/>
          </w:tcPr>
          <w:p w14:paraId="6374255C" w14:textId="77777777" w:rsidR="00672E9B" w:rsidRPr="00672E9B" w:rsidRDefault="00672E9B" w:rsidP="00672E9B">
            <w:r w:rsidRPr="00672E9B">
              <w:t>Author:</w:t>
            </w:r>
          </w:p>
        </w:tc>
        <w:tc>
          <w:tcPr>
            <w:tcW w:w="6097" w:type="dxa"/>
            <w:gridSpan w:val="3"/>
            <w:tcBorders>
              <w:top w:val="single" w:sz="4" w:space="0" w:color="auto"/>
              <w:left w:val="single" w:sz="4" w:space="0" w:color="auto"/>
              <w:bottom w:val="single" w:sz="4" w:space="0" w:color="auto"/>
              <w:right w:val="single" w:sz="4" w:space="0" w:color="auto"/>
            </w:tcBorders>
            <w:hideMark/>
          </w:tcPr>
          <w:p w14:paraId="79CA2963" w14:textId="77777777" w:rsidR="00672E9B" w:rsidRPr="00672E9B" w:rsidRDefault="00672E9B" w:rsidP="00672E9B">
            <w:r w:rsidRPr="00672E9B">
              <w:t>ALJ Fitch</w:t>
            </w:r>
          </w:p>
        </w:tc>
      </w:tr>
      <w:tr w:rsidR="00672E9B" w:rsidRPr="00672E9B" w14:paraId="1B830C75" w14:textId="77777777" w:rsidTr="00AF50CC">
        <w:trPr>
          <w:trHeight w:val="278"/>
        </w:trPr>
        <w:tc>
          <w:tcPr>
            <w:tcW w:w="2880" w:type="dxa"/>
            <w:tcBorders>
              <w:top w:val="single" w:sz="4" w:space="0" w:color="auto"/>
              <w:left w:val="single" w:sz="4" w:space="0" w:color="auto"/>
              <w:bottom w:val="single" w:sz="4" w:space="0" w:color="auto"/>
              <w:right w:val="single" w:sz="4" w:space="0" w:color="auto"/>
            </w:tcBorders>
            <w:hideMark/>
          </w:tcPr>
          <w:p w14:paraId="0D0191A6" w14:textId="77777777" w:rsidR="00672E9B" w:rsidRPr="00672E9B" w:rsidRDefault="00672E9B" w:rsidP="00672E9B">
            <w:r w:rsidRPr="00672E9B">
              <w:t>Payer(s):</w:t>
            </w:r>
          </w:p>
        </w:tc>
        <w:tc>
          <w:tcPr>
            <w:tcW w:w="6097" w:type="dxa"/>
            <w:gridSpan w:val="3"/>
            <w:tcBorders>
              <w:top w:val="single" w:sz="4" w:space="0" w:color="auto"/>
              <w:left w:val="single" w:sz="4" w:space="0" w:color="auto"/>
              <w:bottom w:val="single" w:sz="4" w:space="0" w:color="auto"/>
              <w:right w:val="single" w:sz="4" w:space="0" w:color="auto"/>
            </w:tcBorders>
            <w:hideMark/>
          </w:tcPr>
          <w:p w14:paraId="103D5218" w14:textId="77777777" w:rsidR="00672E9B" w:rsidRPr="00672E9B" w:rsidRDefault="00672E9B" w:rsidP="00672E9B">
            <w:r w:rsidRPr="00672E9B">
              <w:t>Pacific Gas and Electric Company ratepayers, Southern California Edison Company ratepayers, and San Diego Gas &amp; Electric Company ratepayers</w:t>
            </w:r>
          </w:p>
        </w:tc>
      </w:tr>
    </w:tbl>
    <w:p w14:paraId="0D819EA7" w14:textId="77777777" w:rsidR="00672E9B" w:rsidRPr="00672E9B" w:rsidRDefault="00672E9B" w:rsidP="00672E9B"/>
    <w:p w14:paraId="40B01E59" w14:textId="77777777" w:rsidR="00672E9B" w:rsidRPr="00672E9B" w:rsidRDefault="00672E9B" w:rsidP="00672E9B">
      <w:pPr>
        <w:jc w:val="center"/>
        <w:rPr>
          <w:sz w:val="28"/>
          <w:szCs w:val="28"/>
        </w:rPr>
      </w:pPr>
      <w:proofErr w:type="spellStart"/>
      <w:r w:rsidRPr="00672E9B">
        <w:rPr>
          <w:sz w:val="28"/>
          <w:szCs w:val="28"/>
        </w:rPr>
        <w:t>Intervenor</w:t>
      </w:r>
      <w:proofErr w:type="spellEnd"/>
      <w:r w:rsidRPr="00672E9B">
        <w:rPr>
          <w:sz w:val="28"/>
          <w:szCs w:val="28"/>
        </w:rPr>
        <w:t xml:space="preserve"> Information</w:t>
      </w:r>
    </w:p>
    <w:p w14:paraId="3F890038" w14:textId="77777777" w:rsidR="00672E9B" w:rsidRPr="00672E9B" w:rsidRDefault="00672E9B" w:rsidP="00672E9B"/>
    <w:tbl>
      <w:tblPr>
        <w:tblW w:w="90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310"/>
        <w:gridCol w:w="1296"/>
        <w:gridCol w:w="1296"/>
        <w:gridCol w:w="1296"/>
        <w:gridCol w:w="2322"/>
      </w:tblGrid>
      <w:tr w:rsidR="00465DEA" w:rsidRPr="00672E9B" w14:paraId="1715A88C" w14:textId="77777777" w:rsidTr="00AF50CC">
        <w:tc>
          <w:tcPr>
            <w:tcW w:w="1189" w:type="dxa"/>
            <w:tcBorders>
              <w:top w:val="single" w:sz="4" w:space="0" w:color="auto"/>
              <w:left w:val="single" w:sz="4" w:space="0" w:color="auto"/>
              <w:bottom w:val="single" w:sz="4" w:space="0" w:color="auto"/>
              <w:right w:val="single" w:sz="4" w:space="0" w:color="auto"/>
            </w:tcBorders>
            <w:hideMark/>
          </w:tcPr>
          <w:p w14:paraId="05DA2D8D" w14:textId="77777777" w:rsidR="00672E9B" w:rsidRPr="00672E9B" w:rsidRDefault="00672E9B" w:rsidP="00672E9B">
            <w:pPr>
              <w:jc w:val="center"/>
            </w:pPr>
            <w:proofErr w:type="spellStart"/>
            <w:r w:rsidRPr="00672E9B">
              <w:t>Intervenor</w:t>
            </w:r>
            <w:proofErr w:type="spellEnd"/>
          </w:p>
        </w:tc>
        <w:tc>
          <w:tcPr>
            <w:tcW w:w="1310" w:type="dxa"/>
            <w:tcBorders>
              <w:top w:val="single" w:sz="4" w:space="0" w:color="auto"/>
              <w:left w:val="single" w:sz="4" w:space="0" w:color="auto"/>
              <w:bottom w:val="single" w:sz="4" w:space="0" w:color="auto"/>
              <w:right w:val="single" w:sz="4" w:space="0" w:color="auto"/>
            </w:tcBorders>
            <w:hideMark/>
          </w:tcPr>
          <w:p w14:paraId="1E123F75" w14:textId="77777777" w:rsidR="00672E9B" w:rsidRPr="00672E9B" w:rsidRDefault="00672E9B" w:rsidP="00672E9B">
            <w:pPr>
              <w:jc w:val="center"/>
            </w:pPr>
            <w:r w:rsidRPr="00672E9B">
              <w:t>Claim Date</w:t>
            </w:r>
          </w:p>
        </w:tc>
        <w:tc>
          <w:tcPr>
            <w:tcW w:w="1442" w:type="dxa"/>
            <w:tcBorders>
              <w:top w:val="single" w:sz="4" w:space="0" w:color="auto"/>
              <w:left w:val="single" w:sz="4" w:space="0" w:color="auto"/>
              <w:bottom w:val="single" w:sz="4" w:space="0" w:color="auto"/>
              <w:right w:val="single" w:sz="4" w:space="0" w:color="auto"/>
            </w:tcBorders>
            <w:hideMark/>
          </w:tcPr>
          <w:p w14:paraId="3D193F0D" w14:textId="77777777" w:rsidR="00672E9B" w:rsidRPr="00672E9B" w:rsidRDefault="00672E9B" w:rsidP="00672E9B">
            <w:pPr>
              <w:jc w:val="center"/>
            </w:pPr>
            <w:r w:rsidRPr="00672E9B">
              <w:t>Amount Requested</w:t>
            </w:r>
          </w:p>
        </w:tc>
        <w:tc>
          <w:tcPr>
            <w:tcW w:w="1425" w:type="dxa"/>
            <w:tcBorders>
              <w:top w:val="single" w:sz="4" w:space="0" w:color="auto"/>
              <w:left w:val="single" w:sz="4" w:space="0" w:color="auto"/>
              <w:bottom w:val="single" w:sz="4" w:space="0" w:color="auto"/>
              <w:right w:val="single" w:sz="4" w:space="0" w:color="auto"/>
            </w:tcBorders>
            <w:hideMark/>
          </w:tcPr>
          <w:p w14:paraId="0C949D82" w14:textId="77777777" w:rsidR="00672E9B" w:rsidRPr="00672E9B" w:rsidRDefault="00672E9B" w:rsidP="00672E9B">
            <w:pPr>
              <w:jc w:val="center"/>
            </w:pPr>
            <w:r w:rsidRPr="00672E9B">
              <w:t>Amount Awarded</w:t>
            </w:r>
          </w:p>
        </w:tc>
        <w:tc>
          <w:tcPr>
            <w:tcW w:w="1312" w:type="dxa"/>
            <w:tcBorders>
              <w:top w:val="single" w:sz="4" w:space="0" w:color="auto"/>
              <w:left w:val="single" w:sz="4" w:space="0" w:color="auto"/>
              <w:bottom w:val="single" w:sz="4" w:space="0" w:color="auto"/>
              <w:right w:val="single" w:sz="4" w:space="0" w:color="auto"/>
            </w:tcBorders>
            <w:hideMark/>
          </w:tcPr>
          <w:p w14:paraId="3C6B3827" w14:textId="77777777" w:rsidR="00672E9B" w:rsidRPr="00672E9B" w:rsidRDefault="00672E9B" w:rsidP="00672E9B">
            <w:pPr>
              <w:jc w:val="center"/>
            </w:pPr>
            <w:r w:rsidRPr="00672E9B">
              <w:t>Multiplier?</w:t>
            </w:r>
          </w:p>
        </w:tc>
        <w:tc>
          <w:tcPr>
            <w:tcW w:w="2322" w:type="dxa"/>
            <w:tcBorders>
              <w:top w:val="single" w:sz="4" w:space="0" w:color="auto"/>
              <w:left w:val="single" w:sz="4" w:space="0" w:color="auto"/>
              <w:bottom w:val="single" w:sz="4" w:space="0" w:color="auto"/>
              <w:right w:val="single" w:sz="4" w:space="0" w:color="auto"/>
            </w:tcBorders>
            <w:hideMark/>
          </w:tcPr>
          <w:p w14:paraId="78560549" w14:textId="77777777" w:rsidR="00672E9B" w:rsidRPr="00672E9B" w:rsidRDefault="00672E9B" w:rsidP="00672E9B">
            <w:pPr>
              <w:jc w:val="center"/>
            </w:pPr>
            <w:r w:rsidRPr="00672E9B">
              <w:t>Reason Change/Disallowance</w:t>
            </w:r>
          </w:p>
        </w:tc>
      </w:tr>
      <w:tr w:rsidR="00465DEA" w:rsidRPr="00672E9B" w14:paraId="6CCF42C6" w14:textId="77777777" w:rsidTr="00AF50CC">
        <w:trPr>
          <w:trHeight w:val="872"/>
        </w:trPr>
        <w:tc>
          <w:tcPr>
            <w:tcW w:w="1189" w:type="dxa"/>
            <w:tcBorders>
              <w:top w:val="single" w:sz="4" w:space="0" w:color="auto"/>
              <w:left w:val="single" w:sz="4" w:space="0" w:color="auto"/>
              <w:bottom w:val="single" w:sz="4" w:space="0" w:color="auto"/>
              <w:right w:val="single" w:sz="4" w:space="0" w:color="auto"/>
            </w:tcBorders>
            <w:hideMark/>
          </w:tcPr>
          <w:p w14:paraId="34EFD369" w14:textId="6DFA4938" w:rsidR="00672E9B" w:rsidRPr="00672E9B" w:rsidRDefault="00465DEA" w:rsidP="00672E9B">
            <w:r>
              <w:t>Protect Our Communities Foundation</w:t>
            </w:r>
          </w:p>
        </w:tc>
        <w:tc>
          <w:tcPr>
            <w:tcW w:w="1310" w:type="dxa"/>
            <w:tcBorders>
              <w:top w:val="single" w:sz="4" w:space="0" w:color="auto"/>
              <w:left w:val="single" w:sz="4" w:space="0" w:color="auto"/>
              <w:bottom w:val="single" w:sz="4" w:space="0" w:color="auto"/>
              <w:right w:val="single" w:sz="4" w:space="0" w:color="auto"/>
            </w:tcBorders>
            <w:hideMark/>
          </w:tcPr>
          <w:p w14:paraId="6F8E20BC" w14:textId="41A17404" w:rsidR="00672E9B" w:rsidRPr="00672E9B" w:rsidRDefault="00465DEA" w:rsidP="00672E9B">
            <w:pPr>
              <w:jc w:val="center"/>
            </w:pPr>
            <w:r>
              <w:t>04/13</w:t>
            </w:r>
            <w:r w:rsidR="00672E9B" w:rsidRPr="00672E9B">
              <w:t>/2018</w:t>
            </w:r>
          </w:p>
        </w:tc>
        <w:tc>
          <w:tcPr>
            <w:tcW w:w="1442" w:type="dxa"/>
            <w:tcBorders>
              <w:top w:val="single" w:sz="4" w:space="0" w:color="auto"/>
              <w:left w:val="single" w:sz="4" w:space="0" w:color="auto"/>
              <w:bottom w:val="single" w:sz="4" w:space="0" w:color="auto"/>
              <w:right w:val="single" w:sz="4" w:space="0" w:color="auto"/>
            </w:tcBorders>
            <w:hideMark/>
          </w:tcPr>
          <w:p w14:paraId="3A8AB1FA" w14:textId="01002CC7" w:rsidR="00672E9B" w:rsidRPr="00672E9B" w:rsidRDefault="00672E9B" w:rsidP="00672E9B">
            <w:pPr>
              <w:jc w:val="center"/>
            </w:pPr>
            <w:r w:rsidRPr="00672E9B">
              <w:t>$</w:t>
            </w:r>
            <w:r w:rsidR="00465DEA" w:rsidRPr="008F16A6">
              <w:rPr>
                <w:color w:val="000000"/>
              </w:rPr>
              <w:t>63,389.00</w:t>
            </w:r>
          </w:p>
        </w:tc>
        <w:tc>
          <w:tcPr>
            <w:tcW w:w="1425" w:type="dxa"/>
            <w:tcBorders>
              <w:top w:val="single" w:sz="4" w:space="0" w:color="auto"/>
              <w:left w:val="single" w:sz="4" w:space="0" w:color="auto"/>
              <w:bottom w:val="single" w:sz="4" w:space="0" w:color="auto"/>
              <w:right w:val="single" w:sz="4" w:space="0" w:color="auto"/>
            </w:tcBorders>
            <w:hideMark/>
          </w:tcPr>
          <w:p w14:paraId="75DA8A06" w14:textId="64D6B9D2" w:rsidR="00672E9B" w:rsidRPr="00672E9B" w:rsidRDefault="00672E9B" w:rsidP="00672E9B">
            <w:pPr>
              <w:jc w:val="center"/>
            </w:pPr>
            <w:r w:rsidRPr="00672E9B">
              <w:t>$</w:t>
            </w:r>
            <w:r w:rsidR="000D521F">
              <w:t>64,306.14</w:t>
            </w:r>
          </w:p>
        </w:tc>
        <w:tc>
          <w:tcPr>
            <w:tcW w:w="1312" w:type="dxa"/>
            <w:tcBorders>
              <w:top w:val="single" w:sz="4" w:space="0" w:color="auto"/>
              <w:left w:val="single" w:sz="4" w:space="0" w:color="auto"/>
              <w:bottom w:val="single" w:sz="4" w:space="0" w:color="auto"/>
              <w:right w:val="single" w:sz="4" w:space="0" w:color="auto"/>
            </w:tcBorders>
            <w:hideMark/>
          </w:tcPr>
          <w:p w14:paraId="5BEE0FF3" w14:textId="77777777" w:rsidR="00672E9B" w:rsidRPr="00672E9B" w:rsidRDefault="00672E9B" w:rsidP="00672E9B">
            <w:pPr>
              <w:jc w:val="center"/>
            </w:pPr>
            <w:r w:rsidRPr="00672E9B">
              <w:t>N/A</w:t>
            </w:r>
          </w:p>
        </w:tc>
        <w:tc>
          <w:tcPr>
            <w:tcW w:w="2322" w:type="dxa"/>
            <w:tcBorders>
              <w:top w:val="single" w:sz="4" w:space="0" w:color="auto"/>
              <w:left w:val="single" w:sz="4" w:space="0" w:color="auto"/>
              <w:bottom w:val="single" w:sz="4" w:space="0" w:color="auto"/>
              <w:right w:val="single" w:sz="4" w:space="0" w:color="auto"/>
            </w:tcBorders>
          </w:tcPr>
          <w:p w14:paraId="56E6BC36" w14:textId="2E4929C6" w:rsidR="00672E9B" w:rsidRPr="00672E9B" w:rsidRDefault="000D521F" w:rsidP="00672E9B">
            <w:pPr>
              <w:jc w:val="center"/>
            </w:pPr>
            <w:r>
              <w:t>Time reporting errors.</w:t>
            </w:r>
          </w:p>
        </w:tc>
      </w:tr>
    </w:tbl>
    <w:p w14:paraId="664199FE" w14:textId="77777777" w:rsidR="00672E9B" w:rsidRPr="00672E9B" w:rsidRDefault="00672E9B" w:rsidP="00672E9B"/>
    <w:p w14:paraId="7DBD8D0C" w14:textId="77777777" w:rsidR="00672E9B" w:rsidRPr="00672E9B" w:rsidRDefault="00672E9B" w:rsidP="00672E9B">
      <w:pPr>
        <w:jc w:val="center"/>
        <w:rPr>
          <w:sz w:val="28"/>
          <w:szCs w:val="28"/>
        </w:rPr>
      </w:pPr>
      <w:r w:rsidRPr="00672E9B">
        <w:rPr>
          <w:sz w:val="28"/>
          <w:szCs w:val="28"/>
        </w:rPr>
        <w:t>Advocate Information</w:t>
      </w:r>
    </w:p>
    <w:p w14:paraId="6BD8F526" w14:textId="77777777" w:rsidR="00672E9B" w:rsidRPr="00672E9B" w:rsidRDefault="00672E9B" w:rsidP="00672E9B">
      <w:pPr>
        <w:rPr>
          <w:color w:val="008000"/>
        </w:rPr>
      </w:pPr>
    </w:p>
    <w:tbl>
      <w:tblPr>
        <w:tblW w:w="90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1147"/>
        <w:gridCol w:w="1373"/>
        <w:gridCol w:w="1327"/>
        <w:gridCol w:w="1170"/>
        <w:gridCol w:w="1530"/>
        <w:gridCol w:w="1530"/>
      </w:tblGrid>
      <w:tr w:rsidR="00672E9B" w:rsidRPr="00672E9B" w14:paraId="11635A8B" w14:textId="77777777" w:rsidTr="00465DEA">
        <w:trPr>
          <w:trHeight w:val="288"/>
        </w:trPr>
        <w:tc>
          <w:tcPr>
            <w:tcW w:w="1013" w:type="dxa"/>
            <w:tcBorders>
              <w:top w:val="single" w:sz="4" w:space="0" w:color="auto"/>
              <w:left w:val="single" w:sz="4" w:space="0" w:color="auto"/>
              <w:bottom w:val="single" w:sz="4" w:space="0" w:color="auto"/>
              <w:right w:val="single" w:sz="4" w:space="0" w:color="auto"/>
            </w:tcBorders>
            <w:hideMark/>
          </w:tcPr>
          <w:p w14:paraId="7D41B34E" w14:textId="77777777" w:rsidR="00672E9B" w:rsidRPr="00672E9B" w:rsidRDefault="00672E9B" w:rsidP="00672E9B">
            <w:pPr>
              <w:jc w:val="center"/>
              <w:rPr>
                <w:sz w:val="20"/>
              </w:rPr>
            </w:pPr>
            <w:r w:rsidRPr="00672E9B">
              <w:rPr>
                <w:sz w:val="20"/>
              </w:rPr>
              <w:t>First Name</w:t>
            </w:r>
          </w:p>
        </w:tc>
        <w:tc>
          <w:tcPr>
            <w:tcW w:w="1147" w:type="dxa"/>
            <w:tcBorders>
              <w:top w:val="single" w:sz="4" w:space="0" w:color="auto"/>
              <w:left w:val="single" w:sz="4" w:space="0" w:color="auto"/>
              <w:bottom w:val="single" w:sz="4" w:space="0" w:color="auto"/>
              <w:right w:val="single" w:sz="4" w:space="0" w:color="auto"/>
            </w:tcBorders>
            <w:hideMark/>
          </w:tcPr>
          <w:p w14:paraId="5C88A4F4" w14:textId="77777777" w:rsidR="00672E9B" w:rsidRPr="00672E9B" w:rsidRDefault="00672E9B" w:rsidP="00672E9B">
            <w:pPr>
              <w:jc w:val="center"/>
              <w:rPr>
                <w:sz w:val="20"/>
              </w:rPr>
            </w:pPr>
            <w:r w:rsidRPr="00672E9B">
              <w:rPr>
                <w:sz w:val="20"/>
              </w:rPr>
              <w:t>Last Name</w:t>
            </w:r>
          </w:p>
        </w:tc>
        <w:tc>
          <w:tcPr>
            <w:tcW w:w="1373" w:type="dxa"/>
            <w:tcBorders>
              <w:top w:val="single" w:sz="4" w:space="0" w:color="auto"/>
              <w:left w:val="single" w:sz="4" w:space="0" w:color="auto"/>
              <w:bottom w:val="single" w:sz="4" w:space="0" w:color="auto"/>
              <w:right w:val="single" w:sz="4" w:space="0" w:color="auto"/>
            </w:tcBorders>
            <w:hideMark/>
          </w:tcPr>
          <w:p w14:paraId="012D1AF5" w14:textId="77777777" w:rsidR="00672E9B" w:rsidRPr="00672E9B" w:rsidRDefault="00672E9B" w:rsidP="00672E9B">
            <w:pPr>
              <w:jc w:val="center"/>
              <w:rPr>
                <w:sz w:val="20"/>
              </w:rPr>
            </w:pPr>
            <w:r w:rsidRPr="00672E9B">
              <w:rPr>
                <w:sz w:val="20"/>
              </w:rPr>
              <w:t>Type</w:t>
            </w:r>
          </w:p>
        </w:tc>
        <w:tc>
          <w:tcPr>
            <w:tcW w:w="1327" w:type="dxa"/>
            <w:tcBorders>
              <w:top w:val="single" w:sz="4" w:space="0" w:color="auto"/>
              <w:left w:val="single" w:sz="4" w:space="0" w:color="auto"/>
              <w:bottom w:val="single" w:sz="4" w:space="0" w:color="auto"/>
              <w:right w:val="single" w:sz="4" w:space="0" w:color="auto"/>
            </w:tcBorders>
            <w:hideMark/>
          </w:tcPr>
          <w:p w14:paraId="3A6FD536" w14:textId="77777777" w:rsidR="00672E9B" w:rsidRPr="00672E9B" w:rsidRDefault="00672E9B" w:rsidP="00672E9B">
            <w:pPr>
              <w:jc w:val="center"/>
              <w:rPr>
                <w:sz w:val="20"/>
              </w:rPr>
            </w:pPr>
            <w:proofErr w:type="spellStart"/>
            <w:r w:rsidRPr="00672E9B">
              <w:rPr>
                <w:sz w:val="20"/>
              </w:rPr>
              <w:t>Intervenor</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6F5358E6" w14:textId="77777777" w:rsidR="00672E9B" w:rsidRPr="00672E9B" w:rsidRDefault="00672E9B" w:rsidP="00672E9B">
            <w:pPr>
              <w:jc w:val="center"/>
              <w:rPr>
                <w:sz w:val="20"/>
              </w:rPr>
            </w:pPr>
            <w:r w:rsidRPr="00672E9B">
              <w:rPr>
                <w:sz w:val="20"/>
              </w:rPr>
              <w:t>Hourly Fee Requested</w:t>
            </w:r>
          </w:p>
        </w:tc>
        <w:tc>
          <w:tcPr>
            <w:tcW w:w="1530" w:type="dxa"/>
            <w:tcBorders>
              <w:top w:val="single" w:sz="4" w:space="0" w:color="auto"/>
              <w:left w:val="single" w:sz="4" w:space="0" w:color="auto"/>
              <w:bottom w:val="single" w:sz="4" w:space="0" w:color="auto"/>
              <w:right w:val="single" w:sz="4" w:space="0" w:color="auto"/>
            </w:tcBorders>
            <w:hideMark/>
          </w:tcPr>
          <w:p w14:paraId="6B866484" w14:textId="77777777" w:rsidR="00672E9B" w:rsidRPr="00672E9B" w:rsidRDefault="00672E9B" w:rsidP="00672E9B">
            <w:pPr>
              <w:jc w:val="center"/>
              <w:rPr>
                <w:sz w:val="20"/>
              </w:rPr>
            </w:pPr>
            <w:r w:rsidRPr="00672E9B">
              <w:rPr>
                <w:sz w:val="20"/>
              </w:rPr>
              <w:t>Year Hourly Fee Requested</w:t>
            </w:r>
          </w:p>
        </w:tc>
        <w:tc>
          <w:tcPr>
            <w:tcW w:w="1530" w:type="dxa"/>
            <w:tcBorders>
              <w:top w:val="single" w:sz="4" w:space="0" w:color="auto"/>
              <w:left w:val="single" w:sz="4" w:space="0" w:color="auto"/>
              <w:bottom w:val="single" w:sz="4" w:space="0" w:color="auto"/>
              <w:right w:val="single" w:sz="4" w:space="0" w:color="auto"/>
            </w:tcBorders>
            <w:hideMark/>
          </w:tcPr>
          <w:p w14:paraId="1DCB0AA0" w14:textId="77777777" w:rsidR="00672E9B" w:rsidRPr="00672E9B" w:rsidRDefault="00672E9B" w:rsidP="00672E9B">
            <w:pPr>
              <w:jc w:val="center"/>
              <w:rPr>
                <w:sz w:val="20"/>
              </w:rPr>
            </w:pPr>
            <w:r w:rsidRPr="00672E9B">
              <w:rPr>
                <w:sz w:val="20"/>
              </w:rPr>
              <w:t>Hourly Fee Adopted</w:t>
            </w:r>
          </w:p>
        </w:tc>
      </w:tr>
      <w:tr w:rsidR="00465DEA" w:rsidRPr="00672E9B" w14:paraId="637B22F6" w14:textId="77777777" w:rsidTr="00465DEA">
        <w:trPr>
          <w:trHeight w:val="288"/>
        </w:trPr>
        <w:tc>
          <w:tcPr>
            <w:tcW w:w="1013" w:type="dxa"/>
            <w:tcBorders>
              <w:top w:val="single" w:sz="4" w:space="0" w:color="auto"/>
              <w:left w:val="single" w:sz="4" w:space="0" w:color="auto"/>
              <w:bottom w:val="single" w:sz="4" w:space="0" w:color="auto"/>
              <w:right w:val="single" w:sz="4" w:space="0" w:color="auto"/>
            </w:tcBorders>
            <w:shd w:val="clear" w:color="auto" w:fill="auto"/>
          </w:tcPr>
          <w:p w14:paraId="2B9545BD" w14:textId="1F91A95E" w:rsidR="00465DEA" w:rsidRPr="00672E9B" w:rsidRDefault="00465DEA" w:rsidP="00465DEA">
            <w:pPr>
              <w:jc w:val="center"/>
            </w:pPr>
            <w:r>
              <w:t>April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18A122D4" w14:textId="1A0C6894" w:rsidR="00465DEA" w:rsidRPr="00672E9B" w:rsidRDefault="00465DEA" w:rsidP="00465DEA">
            <w:proofErr w:type="spellStart"/>
            <w:r>
              <w:t>Sommer</w:t>
            </w:r>
            <w:proofErr w:type="spellEnd"/>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8C1D735" w14:textId="7184FC8D" w:rsidR="00465DEA" w:rsidRPr="00672E9B" w:rsidRDefault="00465DEA" w:rsidP="00465DEA">
            <w:pPr>
              <w:jc w:val="center"/>
            </w:pPr>
            <w:r>
              <w:t>Attorney</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F6A154C" w14:textId="53ACCA80" w:rsidR="00465DEA" w:rsidRPr="00672E9B" w:rsidRDefault="00465DEA" w:rsidP="00465DEA">
            <w:pPr>
              <w:jc w:val="center"/>
            </w:pPr>
            <w:r>
              <w:t>POC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BFE6FD" w14:textId="703862B5" w:rsidR="00465DEA" w:rsidRPr="00672E9B" w:rsidRDefault="00465DEA" w:rsidP="00465DEA">
            <w:pPr>
              <w:jc w:val="center"/>
            </w:pPr>
            <w:r w:rsidRPr="00465DEA">
              <w:t>$353</w:t>
            </w:r>
            <w: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0D64B5" w14:textId="3B40B3F1" w:rsidR="00465DEA" w:rsidRPr="00672E9B" w:rsidRDefault="00465DEA" w:rsidP="00465DEA">
            <w:pPr>
              <w:jc w:val="center"/>
            </w:pPr>
            <w:r w:rsidRPr="00465DEA">
              <w:t>2017</w:t>
            </w:r>
          </w:p>
        </w:tc>
        <w:tc>
          <w:tcPr>
            <w:tcW w:w="1530" w:type="dxa"/>
            <w:tcBorders>
              <w:top w:val="single" w:sz="4" w:space="0" w:color="auto"/>
              <w:left w:val="single" w:sz="4" w:space="0" w:color="auto"/>
              <w:bottom w:val="single" w:sz="4" w:space="0" w:color="auto"/>
              <w:right w:val="single" w:sz="4" w:space="0" w:color="auto"/>
            </w:tcBorders>
          </w:tcPr>
          <w:p w14:paraId="20DD43B4" w14:textId="4049BE2A" w:rsidR="00465DEA" w:rsidRPr="00672E9B" w:rsidRDefault="00BB6EBF" w:rsidP="00BB6EBF">
            <w:pPr>
              <w:jc w:val="right"/>
            </w:pPr>
            <w:r>
              <w:t>$353.00</w:t>
            </w:r>
          </w:p>
        </w:tc>
      </w:tr>
      <w:tr w:rsidR="00465DEA" w:rsidRPr="00672E9B" w14:paraId="02720925" w14:textId="77777777" w:rsidTr="00465DEA">
        <w:trPr>
          <w:trHeight w:val="288"/>
        </w:trPr>
        <w:tc>
          <w:tcPr>
            <w:tcW w:w="1013" w:type="dxa"/>
            <w:tcBorders>
              <w:top w:val="single" w:sz="4" w:space="0" w:color="auto"/>
              <w:left w:val="single" w:sz="4" w:space="0" w:color="auto"/>
              <w:bottom w:val="single" w:sz="4" w:space="0" w:color="auto"/>
              <w:right w:val="single" w:sz="4" w:space="0" w:color="auto"/>
            </w:tcBorders>
            <w:shd w:val="clear" w:color="auto" w:fill="auto"/>
          </w:tcPr>
          <w:p w14:paraId="05F917A7" w14:textId="626DEEEA" w:rsidR="00465DEA" w:rsidRPr="00672E9B" w:rsidRDefault="00465DEA" w:rsidP="00465DEA">
            <w:pPr>
              <w:jc w:val="center"/>
            </w:pPr>
            <w:r>
              <w:t xml:space="preserve"> April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00D24CE" w14:textId="2CB03AE3" w:rsidR="00465DEA" w:rsidRPr="00672E9B" w:rsidRDefault="00465DEA" w:rsidP="00465DEA">
            <w:proofErr w:type="spellStart"/>
            <w:r>
              <w:t>Sommer</w:t>
            </w:r>
            <w:proofErr w:type="spellEnd"/>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5349C315" w14:textId="44DA3D1F" w:rsidR="00465DEA" w:rsidRPr="00672E9B" w:rsidRDefault="00465DEA" w:rsidP="00465DEA">
            <w:pPr>
              <w:jc w:val="center"/>
            </w:pPr>
            <w:r>
              <w:t>Attorney</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4FCDEB13" w14:textId="25958A7C" w:rsidR="00465DEA" w:rsidRPr="00672E9B" w:rsidRDefault="00465DEA" w:rsidP="00465DEA">
            <w:pPr>
              <w:jc w:val="center"/>
            </w:pPr>
            <w:r>
              <w:t>POC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C007B4" w14:textId="3E2FACFE" w:rsidR="00465DEA" w:rsidRPr="00672E9B" w:rsidRDefault="00465DEA" w:rsidP="00465DEA">
            <w:pPr>
              <w:jc w:val="center"/>
            </w:pPr>
            <w:r w:rsidRPr="00465DEA">
              <w:t>$361</w:t>
            </w:r>
            <w: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F44906" w14:textId="3C4408BB" w:rsidR="00465DEA" w:rsidRPr="00672E9B" w:rsidRDefault="00465DEA" w:rsidP="00465DEA">
            <w:pPr>
              <w:jc w:val="center"/>
            </w:pPr>
            <w:r w:rsidRPr="00465DEA">
              <w:t>2018</w:t>
            </w:r>
          </w:p>
        </w:tc>
        <w:tc>
          <w:tcPr>
            <w:tcW w:w="1530" w:type="dxa"/>
            <w:tcBorders>
              <w:top w:val="single" w:sz="4" w:space="0" w:color="auto"/>
              <w:left w:val="single" w:sz="4" w:space="0" w:color="auto"/>
              <w:bottom w:val="single" w:sz="4" w:space="0" w:color="auto"/>
              <w:right w:val="single" w:sz="4" w:space="0" w:color="auto"/>
            </w:tcBorders>
          </w:tcPr>
          <w:p w14:paraId="24A253B5" w14:textId="19323F2F" w:rsidR="00465DEA" w:rsidRPr="00672E9B" w:rsidRDefault="00BB6EBF" w:rsidP="00BB6EBF">
            <w:pPr>
              <w:jc w:val="right"/>
            </w:pPr>
            <w:r>
              <w:t>$361.00</w:t>
            </w:r>
          </w:p>
        </w:tc>
      </w:tr>
      <w:tr w:rsidR="00465DEA" w:rsidRPr="00672E9B" w14:paraId="7777D200" w14:textId="77777777" w:rsidTr="00465DEA">
        <w:trPr>
          <w:trHeight w:val="288"/>
        </w:trPr>
        <w:tc>
          <w:tcPr>
            <w:tcW w:w="1013" w:type="dxa"/>
            <w:tcBorders>
              <w:top w:val="single" w:sz="4" w:space="0" w:color="auto"/>
              <w:left w:val="single" w:sz="4" w:space="0" w:color="auto"/>
              <w:bottom w:val="single" w:sz="4" w:space="0" w:color="auto"/>
              <w:right w:val="single" w:sz="4" w:space="0" w:color="auto"/>
            </w:tcBorders>
            <w:shd w:val="clear" w:color="auto" w:fill="auto"/>
          </w:tcPr>
          <w:p w14:paraId="6BD5815E" w14:textId="1362AFD0" w:rsidR="00465DEA" w:rsidRPr="00672E9B" w:rsidRDefault="00465DEA" w:rsidP="00465DEA">
            <w:pPr>
              <w:jc w:val="center"/>
            </w:pPr>
            <w:r>
              <w:t>Robert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8D0E470" w14:textId="30ECE37D" w:rsidR="00465DEA" w:rsidRPr="00672E9B" w:rsidRDefault="00465DEA" w:rsidP="00465DEA">
            <w:proofErr w:type="spellStart"/>
            <w:r>
              <w:t>Freehling</w:t>
            </w:r>
            <w:proofErr w:type="spellEnd"/>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00D8A62F" w14:textId="3D7D988D" w:rsidR="00465DEA" w:rsidRPr="00672E9B" w:rsidRDefault="00465DEA" w:rsidP="00465DEA">
            <w:pPr>
              <w:jc w:val="center"/>
            </w:pPr>
            <w:r>
              <w:t>Expert</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26C188B" w14:textId="01A329D5" w:rsidR="00465DEA" w:rsidRPr="00672E9B" w:rsidRDefault="00465DEA" w:rsidP="00465DEA">
            <w:pPr>
              <w:jc w:val="center"/>
            </w:pPr>
            <w:r>
              <w:t>POC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F63A34" w14:textId="4B5218B5" w:rsidR="00465DEA" w:rsidRPr="00672E9B" w:rsidRDefault="00465DEA" w:rsidP="00465DEA">
            <w:pPr>
              <w:jc w:val="center"/>
            </w:pPr>
            <w:r w:rsidRPr="00465DEA">
              <w:t>$225</w:t>
            </w:r>
            <w: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23BA97" w14:textId="190FC228" w:rsidR="00465DEA" w:rsidRPr="00672E9B" w:rsidRDefault="00465DEA" w:rsidP="00465DEA">
            <w:pPr>
              <w:jc w:val="center"/>
            </w:pPr>
            <w:r w:rsidRPr="00465DEA">
              <w:t>2017</w:t>
            </w:r>
          </w:p>
        </w:tc>
        <w:tc>
          <w:tcPr>
            <w:tcW w:w="1530" w:type="dxa"/>
            <w:tcBorders>
              <w:top w:val="single" w:sz="4" w:space="0" w:color="auto"/>
              <w:left w:val="single" w:sz="4" w:space="0" w:color="auto"/>
              <w:bottom w:val="single" w:sz="4" w:space="0" w:color="auto"/>
              <w:right w:val="single" w:sz="4" w:space="0" w:color="auto"/>
            </w:tcBorders>
          </w:tcPr>
          <w:p w14:paraId="21B9FEFC" w14:textId="7C191857" w:rsidR="00465DEA" w:rsidRPr="00672E9B" w:rsidRDefault="00BB6EBF" w:rsidP="00BB6EBF">
            <w:pPr>
              <w:jc w:val="right"/>
            </w:pPr>
            <w:r>
              <w:t>$225.00</w:t>
            </w:r>
          </w:p>
        </w:tc>
      </w:tr>
      <w:tr w:rsidR="00465DEA" w:rsidRPr="00672E9B" w14:paraId="24B08CE7" w14:textId="77777777" w:rsidTr="00465DEA">
        <w:trPr>
          <w:trHeight w:val="288"/>
        </w:trPr>
        <w:tc>
          <w:tcPr>
            <w:tcW w:w="1013" w:type="dxa"/>
            <w:tcBorders>
              <w:top w:val="single" w:sz="4" w:space="0" w:color="auto"/>
              <w:left w:val="single" w:sz="4" w:space="0" w:color="auto"/>
              <w:bottom w:val="single" w:sz="4" w:space="0" w:color="auto"/>
              <w:right w:val="single" w:sz="4" w:space="0" w:color="auto"/>
            </w:tcBorders>
            <w:shd w:val="clear" w:color="auto" w:fill="auto"/>
          </w:tcPr>
          <w:p w14:paraId="4AC03CA4" w14:textId="71348D26" w:rsidR="00465DEA" w:rsidRPr="00672E9B" w:rsidRDefault="00465DEA" w:rsidP="00465DEA">
            <w:pPr>
              <w:jc w:val="center"/>
            </w:pPr>
            <w:r>
              <w:t>Robert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BE3361F" w14:textId="142A50E5" w:rsidR="00465DEA" w:rsidRPr="00672E9B" w:rsidRDefault="00465DEA" w:rsidP="00465DEA">
            <w:proofErr w:type="spellStart"/>
            <w:r>
              <w:t>Freehling</w:t>
            </w:r>
            <w:proofErr w:type="spellEnd"/>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66A0153B" w14:textId="3818D5EC" w:rsidR="00465DEA" w:rsidRPr="00672E9B" w:rsidRDefault="00465DEA" w:rsidP="00465DEA">
            <w:pPr>
              <w:jc w:val="center"/>
            </w:pPr>
            <w:r>
              <w:t>Expert</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65B6DB3" w14:textId="6C2271FF" w:rsidR="00465DEA" w:rsidRPr="00672E9B" w:rsidRDefault="00465DEA" w:rsidP="00465DEA">
            <w:pPr>
              <w:jc w:val="center"/>
            </w:pPr>
            <w:r>
              <w:t>POC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8C29C5" w14:textId="79FBB4DB" w:rsidR="00465DEA" w:rsidRPr="00672E9B" w:rsidRDefault="00465DEA" w:rsidP="00465DEA">
            <w:pPr>
              <w:jc w:val="center"/>
            </w:pPr>
            <w:r w:rsidRPr="00465DEA">
              <w:t>$230</w:t>
            </w:r>
            <w: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2B37D1" w14:textId="0C98324E" w:rsidR="00465DEA" w:rsidRPr="00672E9B" w:rsidRDefault="00465DEA" w:rsidP="00465DEA">
            <w:pPr>
              <w:jc w:val="center"/>
            </w:pPr>
            <w:r w:rsidRPr="00465DEA">
              <w:t>2018</w:t>
            </w:r>
          </w:p>
        </w:tc>
        <w:tc>
          <w:tcPr>
            <w:tcW w:w="1530" w:type="dxa"/>
            <w:tcBorders>
              <w:top w:val="single" w:sz="4" w:space="0" w:color="auto"/>
              <w:left w:val="single" w:sz="4" w:space="0" w:color="auto"/>
              <w:bottom w:val="single" w:sz="4" w:space="0" w:color="auto"/>
              <w:right w:val="single" w:sz="4" w:space="0" w:color="auto"/>
            </w:tcBorders>
          </w:tcPr>
          <w:p w14:paraId="3D09312E" w14:textId="530597C8" w:rsidR="00465DEA" w:rsidRPr="00672E9B" w:rsidRDefault="004C184D" w:rsidP="00BB6EBF">
            <w:pPr>
              <w:jc w:val="right"/>
            </w:pPr>
            <w:r>
              <w:t>$230.00</w:t>
            </w:r>
          </w:p>
        </w:tc>
      </w:tr>
      <w:tr w:rsidR="00465DEA" w:rsidRPr="00672E9B" w14:paraId="445EA876" w14:textId="77777777" w:rsidTr="00465DEA">
        <w:trPr>
          <w:trHeight w:val="288"/>
        </w:trPr>
        <w:tc>
          <w:tcPr>
            <w:tcW w:w="1013" w:type="dxa"/>
            <w:tcBorders>
              <w:top w:val="single" w:sz="4" w:space="0" w:color="auto"/>
              <w:left w:val="single" w:sz="4" w:space="0" w:color="auto"/>
              <w:bottom w:val="single" w:sz="4" w:space="0" w:color="auto"/>
              <w:right w:val="single" w:sz="4" w:space="0" w:color="auto"/>
            </w:tcBorders>
            <w:shd w:val="clear" w:color="auto" w:fill="auto"/>
          </w:tcPr>
          <w:p w14:paraId="241A2F92" w14:textId="13A73443" w:rsidR="00465DEA" w:rsidRPr="00672E9B" w:rsidRDefault="00465DEA" w:rsidP="00465DEA">
            <w:pPr>
              <w:jc w:val="center"/>
            </w:pPr>
            <w:r>
              <w:t>Jamie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1B9FA99E" w14:textId="19E6F71E" w:rsidR="00465DEA" w:rsidRPr="00672E9B" w:rsidRDefault="00465DEA" w:rsidP="00465DEA">
            <w:r>
              <w:t>Pang</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573AC101" w14:textId="339E9997" w:rsidR="00465DEA" w:rsidRPr="00672E9B" w:rsidRDefault="00465DEA" w:rsidP="00465DEA">
            <w:r>
              <w:t>Law Clerk</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40B1C75" w14:textId="5982DF34" w:rsidR="00465DEA" w:rsidRPr="00672E9B" w:rsidRDefault="00465DEA" w:rsidP="00465DEA">
            <w:pPr>
              <w:jc w:val="center"/>
            </w:pPr>
            <w:r>
              <w:t>POC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4F66DB" w14:textId="1B80B712" w:rsidR="00465DEA" w:rsidRPr="00672E9B" w:rsidRDefault="00465DEA" w:rsidP="00465DEA">
            <w:pPr>
              <w:jc w:val="center"/>
            </w:pPr>
            <w:r w:rsidRPr="00465DEA">
              <w:t>$150</w:t>
            </w:r>
            <w: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629BBCC" w14:textId="45CE8F89" w:rsidR="00465DEA" w:rsidRPr="00672E9B" w:rsidRDefault="00465DEA" w:rsidP="00465DEA">
            <w:pPr>
              <w:jc w:val="center"/>
            </w:pPr>
            <w:r w:rsidRPr="00465DEA">
              <w:t>2018</w:t>
            </w:r>
          </w:p>
        </w:tc>
        <w:tc>
          <w:tcPr>
            <w:tcW w:w="1530" w:type="dxa"/>
            <w:tcBorders>
              <w:top w:val="single" w:sz="4" w:space="0" w:color="auto"/>
              <w:left w:val="single" w:sz="4" w:space="0" w:color="auto"/>
              <w:bottom w:val="single" w:sz="4" w:space="0" w:color="auto"/>
              <w:right w:val="single" w:sz="4" w:space="0" w:color="auto"/>
            </w:tcBorders>
          </w:tcPr>
          <w:p w14:paraId="7A164B96" w14:textId="3049769F" w:rsidR="00465DEA" w:rsidRPr="00672E9B" w:rsidRDefault="004C184D" w:rsidP="00BB6EBF">
            <w:pPr>
              <w:jc w:val="right"/>
            </w:pPr>
            <w:r>
              <w:t>$150.00</w:t>
            </w:r>
          </w:p>
        </w:tc>
      </w:tr>
    </w:tbl>
    <w:p w14:paraId="149E1814" w14:textId="241E43F6" w:rsidR="00672E9B" w:rsidRDefault="00672E9B" w:rsidP="00672E9B">
      <w:pPr>
        <w:spacing w:line="360" w:lineRule="auto"/>
        <w:rPr>
          <w:b/>
        </w:rPr>
      </w:pPr>
    </w:p>
    <w:p w14:paraId="3821E9F1" w14:textId="77777777" w:rsidR="007E1B9F" w:rsidRPr="00672E9B" w:rsidRDefault="007E1B9F" w:rsidP="00672E9B">
      <w:pPr>
        <w:spacing w:line="360" w:lineRule="auto"/>
        <w:rPr>
          <w:b/>
        </w:rPr>
      </w:pPr>
    </w:p>
    <w:p w14:paraId="72CCFD6C" w14:textId="3A75868F" w:rsidR="00BF5AD2" w:rsidRPr="002D4EB9" w:rsidRDefault="00672E9B" w:rsidP="002D4EB9">
      <w:pPr>
        <w:jc w:val="center"/>
      </w:pPr>
      <w:r w:rsidRPr="00672E9B">
        <w:rPr>
          <w:rFonts w:ascii="Helvetica" w:hAnsi="Helvetica"/>
          <w:b/>
        </w:rPr>
        <w:t xml:space="preserve">(END OF </w:t>
      </w:r>
      <w:r w:rsidRPr="00672E9B">
        <w:rPr>
          <w:rFonts w:ascii="Helvetica" w:hAnsi="Helvetica"/>
          <w:b/>
          <w:szCs w:val="26"/>
        </w:rPr>
        <w:t>APPENDIX</w:t>
      </w:r>
      <w:r w:rsidRPr="00672E9B">
        <w:rPr>
          <w:rFonts w:ascii="Helvetica" w:hAnsi="Helvetica"/>
          <w:b/>
        </w:rPr>
        <w:t>)</w:t>
      </w:r>
    </w:p>
    <w:sectPr w:rsidR="00BF5AD2" w:rsidRPr="002D4EB9" w:rsidSect="00866F70">
      <w:headerReference w:type="first" r:id="rId14"/>
      <w:footerReference w:type="first" r:id="rId15"/>
      <w:pgSz w:w="12240" w:h="15840" w:code="1"/>
      <w:pgMar w:top="1440" w:right="1800" w:bottom="1440" w:left="180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92954" w14:textId="77777777" w:rsidR="00EF5EAC" w:rsidRDefault="00EF5EAC" w:rsidP="00885956">
      <w:r>
        <w:separator/>
      </w:r>
    </w:p>
  </w:endnote>
  <w:endnote w:type="continuationSeparator" w:id="0">
    <w:p w14:paraId="01F406D2" w14:textId="77777777" w:rsidR="00EF5EAC" w:rsidRDefault="00EF5EAC"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B29E3" w14:textId="77777777" w:rsidR="00532682" w:rsidRDefault="00532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570652"/>
      <w:docPartObj>
        <w:docPartGallery w:val="Page Numbers (Bottom of Page)"/>
        <w:docPartUnique/>
      </w:docPartObj>
    </w:sdtPr>
    <w:sdtEndPr>
      <w:rPr>
        <w:noProof/>
      </w:rPr>
    </w:sdtEndPr>
    <w:sdtContent>
      <w:p w14:paraId="29D431BF" w14:textId="5C23BD24" w:rsidR="00532682" w:rsidRDefault="00532682" w:rsidP="002D4EB9">
        <w:pPr>
          <w:pStyle w:val="Footer"/>
          <w:tabs>
            <w:tab w:val="clear" w:pos="4680"/>
            <w:tab w:val="center" w:pos="4320"/>
          </w:tabs>
          <w:ind w:right="-720"/>
          <w:rPr>
            <w:noProof/>
          </w:rPr>
        </w:pPr>
        <w:r>
          <w:tab/>
        </w:r>
        <w:r>
          <w:fldChar w:fldCharType="begin"/>
        </w:r>
        <w:r>
          <w:instrText xml:space="preserve"> PAGE   \* MERGEFORMAT </w:instrText>
        </w:r>
        <w:r>
          <w:fldChar w:fldCharType="separate"/>
        </w:r>
        <w:r w:rsidR="005B0535">
          <w:rPr>
            <w:noProof/>
          </w:rPr>
          <w:t>- 20 -</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49329"/>
      <w:docPartObj>
        <w:docPartGallery w:val="Page Numbers (Bottom of Page)"/>
        <w:docPartUnique/>
      </w:docPartObj>
    </w:sdtPr>
    <w:sdtEndPr>
      <w:rPr>
        <w:noProof/>
      </w:rPr>
    </w:sdtEndPr>
    <w:sdtContent>
      <w:p w14:paraId="7E27C85F" w14:textId="3B051C0A" w:rsidR="00532682" w:rsidRDefault="00532682" w:rsidP="006B2DB0">
        <w:pPr>
          <w:pStyle w:val="Footer"/>
        </w:pPr>
        <w:r w:rsidRPr="006B2DB0">
          <w:rPr>
            <w:sz w:val="16"/>
            <w:szCs w:val="16"/>
          </w:rPr>
          <w:t>221857977</w:t>
        </w:r>
        <w:r>
          <w:rPr>
            <w:sz w:val="16"/>
            <w:szCs w:val="16"/>
          </w:rPr>
          <w:tab/>
        </w:r>
        <w:r w:rsidRPr="006B2DB0">
          <w:fldChar w:fldCharType="begin"/>
        </w:r>
        <w:r w:rsidRPr="006B2DB0">
          <w:instrText xml:space="preserve"> PAGE   \* MERGEFORMAT </w:instrText>
        </w:r>
        <w:r w:rsidRPr="006B2DB0">
          <w:fldChar w:fldCharType="separate"/>
        </w:r>
        <w:r w:rsidR="005B0535">
          <w:rPr>
            <w:noProof/>
          </w:rPr>
          <w:t>- 1 -</w:t>
        </w:r>
        <w:r w:rsidRPr="006B2DB0">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57678" w14:textId="0701183D" w:rsidR="00532682" w:rsidRPr="002D4EB9" w:rsidRDefault="00532682" w:rsidP="002D4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DECBA" w14:textId="77777777" w:rsidR="00EF5EAC" w:rsidRDefault="00EF5EAC" w:rsidP="00885956">
      <w:r>
        <w:separator/>
      </w:r>
    </w:p>
  </w:footnote>
  <w:footnote w:type="continuationSeparator" w:id="0">
    <w:p w14:paraId="13E410D5" w14:textId="77777777" w:rsidR="00EF5EAC" w:rsidRDefault="00EF5EAC" w:rsidP="00885956">
      <w:r>
        <w:continuationSeparator/>
      </w:r>
    </w:p>
  </w:footnote>
  <w:footnote w:id="1">
    <w:p w14:paraId="7CAF0DDD" w14:textId="35E256DC" w:rsidR="00532682" w:rsidRDefault="00532682">
      <w:pPr>
        <w:pStyle w:val="FootnoteText"/>
      </w:pPr>
      <w:r>
        <w:rPr>
          <w:rStyle w:val="FootnoteReference"/>
        </w:rPr>
        <w:footnoteRef/>
      </w:r>
      <w:r>
        <w:t xml:space="preserve">  All statutory references are to California Public Utilities Code unless indicated otherwise.</w:t>
      </w:r>
    </w:p>
  </w:footnote>
  <w:footnote w:id="2">
    <w:p w14:paraId="62B3E426" w14:textId="048C9DF5" w:rsidR="00532682" w:rsidRDefault="00532682">
      <w:pPr>
        <w:pStyle w:val="FootnoteText"/>
      </w:pPr>
      <w:r>
        <w:rPr>
          <w:rStyle w:val="FootnoteReference"/>
        </w:rPr>
        <w:footnoteRef/>
      </w:r>
      <w:r>
        <w:t xml:space="preserve">  The Division of Ratepayer Advocates was renamed the Office of Ratepayer Advocates effective September 26, 2013, pursuant to Senate Bill No. 96 (Budget Act of 2013: public resources), which was approved by the Governor on September 26, 2013.</w:t>
      </w:r>
    </w:p>
  </w:footnote>
  <w:footnote w:id="3">
    <w:p w14:paraId="2A44723A" w14:textId="083B5488" w:rsidR="00532682" w:rsidRPr="00DE3A5D" w:rsidRDefault="00532682" w:rsidP="005A53F1">
      <w:pPr>
        <w:pStyle w:val="ListParagraph"/>
        <w:ind w:left="0"/>
        <w:rPr>
          <w:rFonts w:ascii="Times New Roman" w:hAnsi="Times New Roman"/>
        </w:rPr>
      </w:pPr>
      <w:r w:rsidRPr="00DE3A5D">
        <w:rPr>
          <w:rStyle w:val="FootnoteReference"/>
          <w:rFonts w:ascii="Times New Roman" w:hAnsi="Times New Roman"/>
          <w:sz w:val="20"/>
          <w:szCs w:val="20"/>
        </w:rPr>
        <w:footnoteRef/>
      </w:r>
      <w:r w:rsidRPr="00DE3A5D">
        <w:rPr>
          <w:rFonts w:ascii="Times New Roman" w:hAnsi="Times New Roman"/>
        </w:rPr>
        <w:t xml:space="preserve"> </w:t>
      </w:r>
      <w:r>
        <w:rPr>
          <w:rFonts w:ascii="Times New Roman" w:hAnsi="Times New Roman"/>
        </w:rPr>
        <w:t xml:space="preserve"> </w:t>
      </w:r>
      <w:r w:rsidRPr="00DE3A5D">
        <w:rPr>
          <w:rFonts w:ascii="Times New Roman" w:hAnsi="Times New Roman"/>
          <w:sz w:val="20"/>
          <w:szCs w:val="20"/>
        </w:rPr>
        <w:t xml:space="preserve">This information may be </w:t>
      </w:r>
      <w:r w:rsidRPr="00DE3A5D">
        <w:rPr>
          <w:rFonts w:ascii="Times New Roman" w:hAnsi="Times New Roman"/>
          <w:color w:val="000000"/>
          <w:sz w:val="20"/>
          <w:szCs w:val="20"/>
        </w:rPr>
        <w:t>obtain</w:t>
      </w:r>
      <w:r>
        <w:rPr>
          <w:rFonts w:ascii="Times New Roman" w:hAnsi="Times New Roman"/>
          <w:color w:val="000000"/>
          <w:sz w:val="20"/>
          <w:szCs w:val="20"/>
        </w:rPr>
        <w:t xml:space="preserve">ed through the State Bar of California’s website at </w:t>
      </w:r>
      <w:hyperlink r:id="rId1" w:history="1">
        <w:r w:rsidRPr="00915118">
          <w:rPr>
            <w:rStyle w:val="Hyperlink"/>
            <w:rFonts w:ascii="Times New Roman" w:hAnsi="Times New Roman"/>
            <w:sz w:val="20"/>
            <w:szCs w:val="20"/>
          </w:rPr>
          <w:t>http://members.calbar.ca.gov/fal/MemberSearch/QuickSearch</w:t>
        </w:r>
      </w:hyperlink>
      <w:r>
        <w:rPr>
          <w:rFonts w:ascii="Times New Roman" w:hAnsi="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D0142" w14:textId="77777777" w:rsidR="00532682" w:rsidRDefault="00532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5BE8F" w14:textId="7AB29213" w:rsidR="00532682" w:rsidRPr="002D4EB9" w:rsidRDefault="00532682" w:rsidP="00866F70">
    <w:pPr>
      <w:pStyle w:val="Header"/>
      <w:tabs>
        <w:tab w:val="clear" w:pos="9360"/>
        <w:tab w:val="right" w:pos="8640"/>
      </w:tabs>
      <w:rPr>
        <w:b/>
      </w:rPr>
    </w:pPr>
    <w:r w:rsidRPr="002D4EB9">
      <w:t>R.16-02-</w:t>
    </w:r>
    <w:proofErr w:type="gramStart"/>
    <w:r w:rsidRPr="002D4EB9">
      <w:t>007  ALJ</w:t>
    </w:r>
    <w:proofErr w:type="gramEnd"/>
    <w:r w:rsidRPr="002D4EB9">
      <w:t>/JF2/</w:t>
    </w:r>
    <w:proofErr w:type="spellStart"/>
    <w:r w:rsidRPr="002D4EB9">
      <w:t>lil</w:t>
    </w:r>
    <w:proofErr w:type="spellEnd"/>
    <w:r w:rsidRPr="002D4EB9">
      <w:tab/>
    </w:r>
    <w:r w:rsidRPr="002D4EB9">
      <w:tab/>
    </w:r>
    <w:r w:rsidRPr="002D4EB9">
      <w:rPr>
        <w:b/>
      </w:rPr>
      <w:t>PROPOSED DECISION</w:t>
    </w:r>
  </w:p>
  <w:p w14:paraId="5ADA1A80" w14:textId="77777777" w:rsidR="00532682" w:rsidRPr="002D4EB9" w:rsidRDefault="00532682">
    <w:pPr>
      <w:rPr>
        <w:b/>
      </w:rPr>
    </w:pPr>
  </w:p>
  <w:p w14:paraId="09116362" w14:textId="77777777" w:rsidR="00532682" w:rsidRDefault="0053268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EE38" w14:textId="77777777" w:rsidR="00532682" w:rsidRDefault="005326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707C" w14:textId="77777777" w:rsidR="00532682" w:rsidRPr="002D4EB9" w:rsidRDefault="00532682" w:rsidP="002D4EB9">
    <w:pPr>
      <w:pStyle w:val="Header"/>
      <w:tabs>
        <w:tab w:val="clear" w:pos="9360"/>
        <w:tab w:val="right" w:pos="8640"/>
      </w:tabs>
      <w:rPr>
        <w:b/>
      </w:rPr>
    </w:pPr>
    <w:r w:rsidRPr="002D4EB9">
      <w:t>R.16-02-</w:t>
    </w:r>
    <w:proofErr w:type="gramStart"/>
    <w:r w:rsidRPr="002D4EB9">
      <w:t>007  ALJ</w:t>
    </w:r>
    <w:proofErr w:type="gramEnd"/>
    <w:r w:rsidRPr="002D4EB9">
      <w:t>/JF2/</w:t>
    </w:r>
    <w:proofErr w:type="spellStart"/>
    <w:r w:rsidRPr="002D4EB9">
      <w:t>lil</w:t>
    </w:r>
    <w:proofErr w:type="spellEnd"/>
    <w:r w:rsidRPr="002D4EB9">
      <w:tab/>
    </w:r>
    <w:r w:rsidRPr="002D4EB9">
      <w:tab/>
    </w:r>
    <w:r w:rsidRPr="002D4EB9">
      <w:rPr>
        <w:b/>
      </w:rPr>
      <w:t>PROPOSED DECISION</w:t>
    </w:r>
  </w:p>
  <w:p w14:paraId="68914399" w14:textId="77777777" w:rsidR="00532682" w:rsidRPr="002D4EB9" w:rsidRDefault="00532682" w:rsidP="002D4EB9">
    <w:pPr>
      <w:rPr>
        <w:b/>
      </w:rPr>
    </w:pPr>
  </w:p>
  <w:p w14:paraId="79B1FD20" w14:textId="05C22BBF" w:rsidR="00532682" w:rsidRDefault="00532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C8D"/>
    <w:multiLevelType w:val="hybridMultilevel"/>
    <w:tmpl w:val="93327050"/>
    <w:lvl w:ilvl="0" w:tplc="35C2E53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6BAC"/>
    <w:multiLevelType w:val="hybridMultilevel"/>
    <w:tmpl w:val="58C60B36"/>
    <w:lvl w:ilvl="0" w:tplc="6D6074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27280"/>
    <w:multiLevelType w:val="hybridMultilevel"/>
    <w:tmpl w:val="08249EE4"/>
    <w:lvl w:ilvl="0" w:tplc="0204AA6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02353D"/>
    <w:multiLevelType w:val="hybridMultilevel"/>
    <w:tmpl w:val="9AEE1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C22C1"/>
    <w:multiLevelType w:val="hybridMultilevel"/>
    <w:tmpl w:val="D9C6416E"/>
    <w:lvl w:ilvl="0" w:tplc="4C7EE1C2">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D1828"/>
    <w:multiLevelType w:val="hybridMultilevel"/>
    <w:tmpl w:val="8C565508"/>
    <w:lvl w:ilvl="0" w:tplc="74007EF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F09D3"/>
    <w:multiLevelType w:val="hybridMultilevel"/>
    <w:tmpl w:val="470EB4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303428"/>
    <w:multiLevelType w:val="hybridMultilevel"/>
    <w:tmpl w:val="F3965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E33D9"/>
    <w:multiLevelType w:val="hybridMultilevel"/>
    <w:tmpl w:val="03FC467A"/>
    <w:lvl w:ilvl="0" w:tplc="0E10EB50">
      <w:start w:val="1"/>
      <w:numFmt w:val="bullet"/>
      <w:lvlText w:val=""/>
      <w:lvlJc w:val="left"/>
      <w:pPr>
        <w:ind w:left="720" w:hanging="360"/>
      </w:pPr>
      <w:rPr>
        <w:rFonts w:ascii="Symbol" w:hAnsi="Symbol" w:hint="default"/>
        <w:sz w:val="18"/>
        <w:szCs w:val="1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AFF60"/>
    <w:multiLevelType w:val="hybridMultilevel"/>
    <w:tmpl w:val="EFD05D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460EDB"/>
    <w:multiLevelType w:val="hybridMultilevel"/>
    <w:tmpl w:val="DC52D78C"/>
    <w:lvl w:ilvl="0" w:tplc="C0CAB99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E39EC"/>
    <w:multiLevelType w:val="hybridMultilevel"/>
    <w:tmpl w:val="E53A8004"/>
    <w:lvl w:ilvl="0" w:tplc="B2006094">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7D6F94"/>
    <w:multiLevelType w:val="hybridMultilevel"/>
    <w:tmpl w:val="C478A8DC"/>
    <w:lvl w:ilvl="0" w:tplc="35C2E53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D638A"/>
    <w:multiLevelType w:val="hybridMultilevel"/>
    <w:tmpl w:val="056C6D44"/>
    <w:lvl w:ilvl="0" w:tplc="225468D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927E2"/>
    <w:multiLevelType w:val="hybridMultilevel"/>
    <w:tmpl w:val="1A7C4E0E"/>
    <w:lvl w:ilvl="0" w:tplc="F814A8F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E2838"/>
    <w:multiLevelType w:val="hybridMultilevel"/>
    <w:tmpl w:val="278480BE"/>
    <w:lvl w:ilvl="0" w:tplc="6BDAF41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E60CD"/>
    <w:multiLevelType w:val="hybridMultilevel"/>
    <w:tmpl w:val="2B524B60"/>
    <w:lvl w:ilvl="0" w:tplc="F2008684">
      <w:start w:val="2"/>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B6399F"/>
    <w:multiLevelType w:val="hybridMultilevel"/>
    <w:tmpl w:val="1F5A2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 w15:restartNumberingAfterBreak="0">
    <w:nsid w:val="600870A4"/>
    <w:multiLevelType w:val="hybridMultilevel"/>
    <w:tmpl w:val="9B385D1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A5A424C8">
      <w:start w:val="1"/>
      <w:numFmt w:val="bullet"/>
      <w:lvlText w:val=""/>
      <w:lvlJc w:val="left"/>
      <w:pPr>
        <w:ind w:left="1800" w:hanging="360"/>
      </w:pPr>
      <w:rPr>
        <w:rFonts w:ascii="Symbol" w:hAnsi="Symbol" w:hint="default"/>
        <w:color w:val="auto"/>
      </w:rPr>
    </w:lvl>
    <w:lvl w:ilvl="3" w:tplc="37284A14">
      <w:numFmt w:val="bullet"/>
      <w:lvlText w:val=""/>
      <w:lvlJc w:val="left"/>
      <w:pPr>
        <w:ind w:left="2520" w:hanging="360"/>
      </w:pPr>
      <w:rPr>
        <w:rFonts w:ascii="Wingdings" w:eastAsiaTheme="minorHAnsi" w:hAnsi="Wingdings" w:cstheme="minorBidi"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F12B41"/>
    <w:multiLevelType w:val="hybridMultilevel"/>
    <w:tmpl w:val="1F5A2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C611DE"/>
    <w:multiLevelType w:val="hybridMultilevel"/>
    <w:tmpl w:val="26CCC0A8"/>
    <w:lvl w:ilvl="0" w:tplc="A75AA536">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8179A5"/>
    <w:multiLevelType w:val="hybridMultilevel"/>
    <w:tmpl w:val="DC4284EE"/>
    <w:lvl w:ilvl="0" w:tplc="02584DE4">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3"/>
  </w:num>
  <w:num w:numId="3">
    <w:abstractNumId w:val="25"/>
  </w:num>
  <w:num w:numId="4">
    <w:abstractNumId w:val="19"/>
  </w:num>
  <w:num w:numId="5">
    <w:abstractNumId w:val="17"/>
  </w:num>
  <w:num w:numId="6">
    <w:abstractNumId w:val="20"/>
  </w:num>
  <w:num w:numId="7">
    <w:abstractNumId w:val="12"/>
  </w:num>
  <w:num w:numId="8">
    <w:abstractNumId w:val="21"/>
  </w:num>
  <w:num w:numId="9">
    <w:abstractNumId w:val="22"/>
  </w:num>
  <w:num w:numId="10">
    <w:abstractNumId w:val="18"/>
  </w:num>
  <w:num w:numId="11">
    <w:abstractNumId w:val="1"/>
  </w:num>
  <w:num w:numId="12">
    <w:abstractNumId w:val="8"/>
  </w:num>
  <w:num w:numId="13">
    <w:abstractNumId w:val="10"/>
  </w:num>
  <w:num w:numId="14">
    <w:abstractNumId w:val="7"/>
  </w:num>
  <w:num w:numId="15">
    <w:abstractNumId w:val="16"/>
  </w:num>
  <w:num w:numId="16">
    <w:abstractNumId w:val="14"/>
  </w:num>
  <w:num w:numId="17">
    <w:abstractNumId w:val="15"/>
  </w:num>
  <w:num w:numId="18">
    <w:abstractNumId w:val="9"/>
  </w:num>
  <w:num w:numId="19">
    <w:abstractNumId w:val="23"/>
  </w:num>
  <w:num w:numId="20">
    <w:abstractNumId w:val="5"/>
  </w:num>
  <w:num w:numId="21">
    <w:abstractNumId w:val="2"/>
  </w:num>
  <w:num w:numId="22">
    <w:abstractNumId w:val="0"/>
  </w:num>
  <w:num w:numId="23">
    <w:abstractNumId w:val="6"/>
  </w:num>
  <w:num w:numId="24">
    <w:abstractNumId w:val="13"/>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83"/>
    <w:rsid w:val="00001887"/>
    <w:rsid w:val="000018D0"/>
    <w:rsid w:val="00003A49"/>
    <w:rsid w:val="00005EDF"/>
    <w:rsid w:val="0000732A"/>
    <w:rsid w:val="00010D1A"/>
    <w:rsid w:val="00011017"/>
    <w:rsid w:val="00012E76"/>
    <w:rsid w:val="00015505"/>
    <w:rsid w:val="00025EE7"/>
    <w:rsid w:val="0002640D"/>
    <w:rsid w:val="00026A15"/>
    <w:rsid w:val="00034492"/>
    <w:rsid w:val="00035B79"/>
    <w:rsid w:val="00036F54"/>
    <w:rsid w:val="00036F5C"/>
    <w:rsid w:val="00037159"/>
    <w:rsid w:val="00037A96"/>
    <w:rsid w:val="000401E1"/>
    <w:rsid w:val="000412C8"/>
    <w:rsid w:val="0004163E"/>
    <w:rsid w:val="00042925"/>
    <w:rsid w:val="000455EE"/>
    <w:rsid w:val="00045A2F"/>
    <w:rsid w:val="0004615A"/>
    <w:rsid w:val="000503FC"/>
    <w:rsid w:val="00052567"/>
    <w:rsid w:val="0005290A"/>
    <w:rsid w:val="00052A6B"/>
    <w:rsid w:val="000572EE"/>
    <w:rsid w:val="00062B99"/>
    <w:rsid w:val="0006564D"/>
    <w:rsid w:val="00066178"/>
    <w:rsid w:val="00067005"/>
    <w:rsid w:val="00070AF3"/>
    <w:rsid w:val="00071C0E"/>
    <w:rsid w:val="0007216A"/>
    <w:rsid w:val="000728F9"/>
    <w:rsid w:val="00072A5D"/>
    <w:rsid w:val="00072C53"/>
    <w:rsid w:val="00072C81"/>
    <w:rsid w:val="00074E71"/>
    <w:rsid w:val="00075342"/>
    <w:rsid w:val="00075723"/>
    <w:rsid w:val="0008109C"/>
    <w:rsid w:val="00085DC2"/>
    <w:rsid w:val="0008683E"/>
    <w:rsid w:val="00086AA9"/>
    <w:rsid w:val="00092399"/>
    <w:rsid w:val="00092735"/>
    <w:rsid w:val="00093BAC"/>
    <w:rsid w:val="00095E93"/>
    <w:rsid w:val="00096964"/>
    <w:rsid w:val="0009793B"/>
    <w:rsid w:val="000A057E"/>
    <w:rsid w:val="000A2748"/>
    <w:rsid w:val="000A7B43"/>
    <w:rsid w:val="000B0FAF"/>
    <w:rsid w:val="000B2B39"/>
    <w:rsid w:val="000B3816"/>
    <w:rsid w:val="000B4696"/>
    <w:rsid w:val="000B4B58"/>
    <w:rsid w:val="000B4EF2"/>
    <w:rsid w:val="000B542D"/>
    <w:rsid w:val="000B6765"/>
    <w:rsid w:val="000C0EA0"/>
    <w:rsid w:val="000C16D7"/>
    <w:rsid w:val="000C21C9"/>
    <w:rsid w:val="000C2FEE"/>
    <w:rsid w:val="000C6B8E"/>
    <w:rsid w:val="000C72A0"/>
    <w:rsid w:val="000D1002"/>
    <w:rsid w:val="000D150C"/>
    <w:rsid w:val="000D21BF"/>
    <w:rsid w:val="000D25DF"/>
    <w:rsid w:val="000D2DBC"/>
    <w:rsid w:val="000D455F"/>
    <w:rsid w:val="000D521F"/>
    <w:rsid w:val="000D5C37"/>
    <w:rsid w:val="000D5E4F"/>
    <w:rsid w:val="000D6CA0"/>
    <w:rsid w:val="000D6DF8"/>
    <w:rsid w:val="000E0A29"/>
    <w:rsid w:val="000E41D9"/>
    <w:rsid w:val="000E560B"/>
    <w:rsid w:val="000E5B2C"/>
    <w:rsid w:val="000E69AF"/>
    <w:rsid w:val="000E6ABD"/>
    <w:rsid w:val="000E7C42"/>
    <w:rsid w:val="000E7D32"/>
    <w:rsid w:val="000F029E"/>
    <w:rsid w:val="000F0956"/>
    <w:rsid w:val="000F0BA8"/>
    <w:rsid w:val="000F0D32"/>
    <w:rsid w:val="000F3512"/>
    <w:rsid w:val="000F595C"/>
    <w:rsid w:val="000F6364"/>
    <w:rsid w:val="000F7670"/>
    <w:rsid w:val="001015A0"/>
    <w:rsid w:val="00107176"/>
    <w:rsid w:val="0011024A"/>
    <w:rsid w:val="00110D89"/>
    <w:rsid w:val="0011216F"/>
    <w:rsid w:val="00113B0A"/>
    <w:rsid w:val="00113D24"/>
    <w:rsid w:val="00114BED"/>
    <w:rsid w:val="00115259"/>
    <w:rsid w:val="00116322"/>
    <w:rsid w:val="00117132"/>
    <w:rsid w:val="00121023"/>
    <w:rsid w:val="0012228F"/>
    <w:rsid w:val="00123103"/>
    <w:rsid w:val="00123962"/>
    <w:rsid w:val="00123983"/>
    <w:rsid w:val="00125492"/>
    <w:rsid w:val="00127F90"/>
    <w:rsid w:val="00130956"/>
    <w:rsid w:val="00130F03"/>
    <w:rsid w:val="001323D5"/>
    <w:rsid w:val="00134162"/>
    <w:rsid w:val="001346EB"/>
    <w:rsid w:val="00135EDC"/>
    <w:rsid w:val="00141407"/>
    <w:rsid w:val="00141A4E"/>
    <w:rsid w:val="001426BD"/>
    <w:rsid w:val="00143586"/>
    <w:rsid w:val="001472E7"/>
    <w:rsid w:val="00150036"/>
    <w:rsid w:val="0015088C"/>
    <w:rsid w:val="00151542"/>
    <w:rsid w:val="00151AA8"/>
    <w:rsid w:val="00152F94"/>
    <w:rsid w:val="0015301C"/>
    <w:rsid w:val="00153F3C"/>
    <w:rsid w:val="00154859"/>
    <w:rsid w:val="0015600B"/>
    <w:rsid w:val="0015693B"/>
    <w:rsid w:val="00157390"/>
    <w:rsid w:val="00161D69"/>
    <w:rsid w:val="00163520"/>
    <w:rsid w:val="00163D28"/>
    <w:rsid w:val="001650C8"/>
    <w:rsid w:val="00165190"/>
    <w:rsid w:val="00166FA1"/>
    <w:rsid w:val="00171EBF"/>
    <w:rsid w:val="00175865"/>
    <w:rsid w:val="00177040"/>
    <w:rsid w:val="0018089E"/>
    <w:rsid w:val="00180E8C"/>
    <w:rsid w:val="00183E2E"/>
    <w:rsid w:val="001843BB"/>
    <w:rsid w:val="0018687D"/>
    <w:rsid w:val="00187F7B"/>
    <w:rsid w:val="00190834"/>
    <w:rsid w:val="00193B6B"/>
    <w:rsid w:val="00193E62"/>
    <w:rsid w:val="0019504A"/>
    <w:rsid w:val="0019540F"/>
    <w:rsid w:val="001962EB"/>
    <w:rsid w:val="001976EB"/>
    <w:rsid w:val="001A1079"/>
    <w:rsid w:val="001A3AFD"/>
    <w:rsid w:val="001A5EB6"/>
    <w:rsid w:val="001A6BDA"/>
    <w:rsid w:val="001A71C2"/>
    <w:rsid w:val="001A7659"/>
    <w:rsid w:val="001B1A85"/>
    <w:rsid w:val="001B1E03"/>
    <w:rsid w:val="001B666B"/>
    <w:rsid w:val="001B6709"/>
    <w:rsid w:val="001C0DD1"/>
    <w:rsid w:val="001C21AE"/>
    <w:rsid w:val="001C306C"/>
    <w:rsid w:val="001C54FD"/>
    <w:rsid w:val="001C5A4B"/>
    <w:rsid w:val="001C661E"/>
    <w:rsid w:val="001D1D4D"/>
    <w:rsid w:val="001D1D8B"/>
    <w:rsid w:val="001D264A"/>
    <w:rsid w:val="001D3ED2"/>
    <w:rsid w:val="001D645A"/>
    <w:rsid w:val="001D68C2"/>
    <w:rsid w:val="001D6C7A"/>
    <w:rsid w:val="001D7593"/>
    <w:rsid w:val="001D7977"/>
    <w:rsid w:val="001E1558"/>
    <w:rsid w:val="001E2CFF"/>
    <w:rsid w:val="001E3F15"/>
    <w:rsid w:val="001E6A7D"/>
    <w:rsid w:val="001E77CF"/>
    <w:rsid w:val="001F2002"/>
    <w:rsid w:val="001F238E"/>
    <w:rsid w:val="001F29DF"/>
    <w:rsid w:val="001F4567"/>
    <w:rsid w:val="001F7A3F"/>
    <w:rsid w:val="00200527"/>
    <w:rsid w:val="00204E3A"/>
    <w:rsid w:val="00205C9D"/>
    <w:rsid w:val="00206BEF"/>
    <w:rsid w:val="00212E10"/>
    <w:rsid w:val="00214702"/>
    <w:rsid w:val="00214B22"/>
    <w:rsid w:val="00217224"/>
    <w:rsid w:val="00222903"/>
    <w:rsid w:val="00222965"/>
    <w:rsid w:val="00222B93"/>
    <w:rsid w:val="00222FD4"/>
    <w:rsid w:val="0022302F"/>
    <w:rsid w:val="0022592F"/>
    <w:rsid w:val="002309A6"/>
    <w:rsid w:val="00240E57"/>
    <w:rsid w:val="002415DC"/>
    <w:rsid w:val="002428F2"/>
    <w:rsid w:val="00243895"/>
    <w:rsid w:val="002446DF"/>
    <w:rsid w:val="00245FCA"/>
    <w:rsid w:val="002466F8"/>
    <w:rsid w:val="0024774C"/>
    <w:rsid w:val="00247D1B"/>
    <w:rsid w:val="00250D3A"/>
    <w:rsid w:val="0025126E"/>
    <w:rsid w:val="00252095"/>
    <w:rsid w:val="00252E63"/>
    <w:rsid w:val="0025640F"/>
    <w:rsid w:val="002565BC"/>
    <w:rsid w:val="00256F00"/>
    <w:rsid w:val="00260518"/>
    <w:rsid w:val="00263832"/>
    <w:rsid w:val="00264333"/>
    <w:rsid w:val="00264BFD"/>
    <w:rsid w:val="00270E2E"/>
    <w:rsid w:val="00273208"/>
    <w:rsid w:val="002742A3"/>
    <w:rsid w:val="00277F35"/>
    <w:rsid w:val="00281961"/>
    <w:rsid w:val="00282690"/>
    <w:rsid w:val="00286B38"/>
    <w:rsid w:val="00287CFB"/>
    <w:rsid w:val="00292CD8"/>
    <w:rsid w:val="002975C2"/>
    <w:rsid w:val="002A00F8"/>
    <w:rsid w:val="002A16B3"/>
    <w:rsid w:val="002A2F4E"/>
    <w:rsid w:val="002A3B62"/>
    <w:rsid w:val="002A6C07"/>
    <w:rsid w:val="002A76EC"/>
    <w:rsid w:val="002B0654"/>
    <w:rsid w:val="002B094A"/>
    <w:rsid w:val="002B4EE4"/>
    <w:rsid w:val="002B70C8"/>
    <w:rsid w:val="002C1CA0"/>
    <w:rsid w:val="002C43CD"/>
    <w:rsid w:val="002C5FE7"/>
    <w:rsid w:val="002C61ED"/>
    <w:rsid w:val="002C7837"/>
    <w:rsid w:val="002D21CA"/>
    <w:rsid w:val="002D4EB9"/>
    <w:rsid w:val="002D53AA"/>
    <w:rsid w:val="002E0059"/>
    <w:rsid w:val="002E18C1"/>
    <w:rsid w:val="002E2591"/>
    <w:rsid w:val="002E30D0"/>
    <w:rsid w:val="002E5F83"/>
    <w:rsid w:val="002E5FC1"/>
    <w:rsid w:val="002E62D1"/>
    <w:rsid w:val="002E744D"/>
    <w:rsid w:val="002E77D8"/>
    <w:rsid w:val="002F2E64"/>
    <w:rsid w:val="002F3C3C"/>
    <w:rsid w:val="002F683E"/>
    <w:rsid w:val="002F6FCF"/>
    <w:rsid w:val="00300910"/>
    <w:rsid w:val="0030223A"/>
    <w:rsid w:val="0030245A"/>
    <w:rsid w:val="00303345"/>
    <w:rsid w:val="00303C2B"/>
    <w:rsid w:val="00310698"/>
    <w:rsid w:val="0031582D"/>
    <w:rsid w:val="00315905"/>
    <w:rsid w:val="003202C8"/>
    <w:rsid w:val="003217DC"/>
    <w:rsid w:val="003242B2"/>
    <w:rsid w:val="00324317"/>
    <w:rsid w:val="00324E42"/>
    <w:rsid w:val="00326F44"/>
    <w:rsid w:val="0033210D"/>
    <w:rsid w:val="00334E3F"/>
    <w:rsid w:val="00337049"/>
    <w:rsid w:val="0033722B"/>
    <w:rsid w:val="003435A9"/>
    <w:rsid w:val="00347608"/>
    <w:rsid w:val="003501DD"/>
    <w:rsid w:val="003514A7"/>
    <w:rsid w:val="003552B1"/>
    <w:rsid w:val="00357B97"/>
    <w:rsid w:val="00357F1A"/>
    <w:rsid w:val="00360D41"/>
    <w:rsid w:val="00362171"/>
    <w:rsid w:val="00363A3F"/>
    <w:rsid w:val="0037198E"/>
    <w:rsid w:val="00371EEA"/>
    <w:rsid w:val="00371FA8"/>
    <w:rsid w:val="003725C6"/>
    <w:rsid w:val="00374BD3"/>
    <w:rsid w:val="00374FD1"/>
    <w:rsid w:val="00377884"/>
    <w:rsid w:val="00380703"/>
    <w:rsid w:val="003822F4"/>
    <w:rsid w:val="003857BC"/>
    <w:rsid w:val="00386920"/>
    <w:rsid w:val="00386E94"/>
    <w:rsid w:val="00390B83"/>
    <w:rsid w:val="00390F0A"/>
    <w:rsid w:val="00391B58"/>
    <w:rsid w:val="00395DEB"/>
    <w:rsid w:val="003967B3"/>
    <w:rsid w:val="003978E3"/>
    <w:rsid w:val="003A22EB"/>
    <w:rsid w:val="003A3A44"/>
    <w:rsid w:val="003A4015"/>
    <w:rsid w:val="003A4ED6"/>
    <w:rsid w:val="003A504B"/>
    <w:rsid w:val="003A6346"/>
    <w:rsid w:val="003B1782"/>
    <w:rsid w:val="003B2EFB"/>
    <w:rsid w:val="003B2F41"/>
    <w:rsid w:val="003B3064"/>
    <w:rsid w:val="003B5EAC"/>
    <w:rsid w:val="003B6A1B"/>
    <w:rsid w:val="003C134D"/>
    <w:rsid w:val="003C1515"/>
    <w:rsid w:val="003C186C"/>
    <w:rsid w:val="003C4E9E"/>
    <w:rsid w:val="003C608A"/>
    <w:rsid w:val="003C65F8"/>
    <w:rsid w:val="003C6DE8"/>
    <w:rsid w:val="003D359B"/>
    <w:rsid w:val="003D4455"/>
    <w:rsid w:val="003D4B8D"/>
    <w:rsid w:val="003E34FD"/>
    <w:rsid w:val="003E450C"/>
    <w:rsid w:val="003E526A"/>
    <w:rsid w:val="003E55E1"/>
    <w:rsid w:val="003F0014"/>
    <w:rsid w:val="003F010C"/>
    <w:rsid w:val="003F333F"/>
    <w:rsid w:val="003F4237"/>
    <w:rsid w:val="003F4FFB"/>
    <w:rsid w:val="003F637A"/>
    <w:rsid w:val="00400B44"/>
    <w:rsid w:val="00401389"/>
    <w:rsid w:val="00406065"/>
    <w:rsid w:val="00406B97"/>
    <w:rsid w:val="00407BB2"/>
    <w:rsid w:val="00415074"/>
    <w:rsid w:val="004157F1"/>
    <w:rsid w:val="00415F2F"/>
    <w:rsid w:val="00417264"/>
    <w:rsid w:val="00420980"/>
    <w:rsid w:val="00421C63"/>
    <w:rsid w:val="004260F0"/>
    <w:rsid w:val="00430B02"/>
    <w:rsid w:val="00431120"/>
    <w:rsid w:val="00436CEF"/>
    <w:rsid w:val="00436EB3"/>
    <w:rsid w:val="004373DC"/>
    <w:rsid w:val="004401AC"/>
    <w:rsid w:val="00442044"/>
    <w:rsid w:val="004422EE"/>
    <w:rsid w:val="00442B79"/>
    <w:rsid w:val="00443809"/>
    <w:rsid w:val="004457D2"/>
    <w:rsid w:val="004506D6"/>
    <w:rsid w:val="00451D65"/>
    <w:rsid w:val="004534E7"/>
    <w:rsid w:val="004536CF"/>
    <w:rsid w:val="00453C8D"/>
    <w:rsid w:val="004548D9"/>
    <w:rsid w:val="00456C09"/>
    <w:rsid w:val="00457861"/>
    <w:rsid w:val="004620CA"/>
    <w:rsid w:val="00463130"/>
    <w:rsid w:val="0046524C"/>
    <w:rsid w:val="004652EA"/>
    <w:rsid w:val="00465DEA"/>
    <w:rsid w:val="00466263"/>
    <w:rsid w:val="00467D88"/>
    <w:rsid w:val="0047138B"/>
    <w:rsid w:val="00475BFC"/>
    <w:rsid w:val="0047649D"/>
    <w:rsid w:val="004775AB"/>
    <w:rsid w:val="00477A52"/>
    <w:rsid w:val="00480BF6"/>
    <w:rsid w:val="00482B96"/>
    <w:rsid w:val="004840D2"/>
    <w:rsid w:val="00484137"/>
    <w:rsid w:val="00484AF8"/>
    <w:rsid w:val="00492D19"/>
    <w:rsid w:val="0049612D"/>
    <w:rsid w:val="00496221"/>
    <w:rsid w:val="00496FCC"/>
    <w:rsid w:val="00497ED0"/>
    <w:rsid w:val="004A33A1"/>
    <w:rsid w:val="004A37D5"/>
    <w:rsid w:val="004A61DD"/>
    <w:rsid w:val="004A6A1E"/>
    <w:rsid w:val="004B0257"/>
    <w:rsid w:val="004B2CD6"/>
    <w:rsid w:val="004B6427"/>
    <w:rsid w:val="004C0961"/>
    <w:rsid w:val="004C184D"/>
    <w:rsid w:val="004C2AFC"/>
    <w:rsid w:val="004C2F5F"/>
    <w:rsid w:val="004C39A1"/>
    <w:rsid w:val="004C578D"/>
    <w:rsid w:val="004D0115"/>
    <w:rsid w:val="004D0364"/>
    <w:rsid w:val="004D6B6D"/>
    <w:rsid w:val="004D6E2F"/>
    <w:rsid w:val="004D71EB"/>
    <w:rsid w:val="004D7255"/>
    <w:rsid w:val="004D779D"/>
    <w:rsid w:val="004E0395"/>
    <w:rsid w:val="004E280D"/>
    <w:rsid w:val="004E3939"/>
    <w:rsid w:val="004E3D93"/>
    <w:rsid w:val="004F3BC4"/>
    <w:rsid w:val="004F42D2"/>
    <w:rsid w:val="004F773F"/>
    <w:rsid w:val="004F7E78"/>
    <w:rsid w:val="0050034B"/>
    <w:rsid w:val="00501605"/>
    <w:rsid w:val="005061BD"/>
    <w:rsid w:val="0050797B"/>
    <w:rsid w:val="00510FE0"/>
    <w:rsid w:val="00516CE7"/>
    <w:rsid w:val="00517E40"/>
    <w:rsid w:val="005215EF"/>
    <w:rsid w:val="00521B86"/>
    <w:rsid w:val="00524FDE"/>
    <w:rsid w:val="00526A58"/>
    <w:rsid w:val="005270D3"/>
    <w:rsid w:val="00527414"/>
    <w:rsid w:val="00527FDB"/>
    <w:rsid w:val="005304BB"/>
    <w:rsid w:val="00530579"/>
    <w:rsid w:val="00532682"/>
    <w:rsid w:val="00533373"/>
    <w:rsid w:val="00535120"/>
    <w:rsid w:val="0053605E"/>
    <w:rsid w:val="005378C6"/>
    <w:rsid w:val="00541EB8"/>
    <w:rsid w:val="00542251"/>
    <w:rsid w:val="00546D50"/>
    <w:rsid w:val="00547145"/>
    <w:rsid w:val="00551967"/>
    <w:rsid w:val="00552258"/>
    <w:rsid w:val="0055228B"/>
    <w:rsid w:val="005545E0"/>
    <w:rsid w:val="00555C16"/>
    <w:rsid w:val="0055621E"/>
    <w:rsid w:val="00556501"/>
    <w:rsid w:val="00561F83"/>
    <w:rsid w:val="00564A47"/>
    <w:rsid w:val="00564BD2"/>
    <w:rsid w:val="00565826"/>
    <w:rsid w:val="00567692"/>
    <w:rsid w:val="0057729F"/>
    <w:rsid w:val="00580FF2"/>
    <w:rsid w:val="005862D3"/>
    <w:rsid w:val="0059008F"/>
    <w:rsid w:val="00590135"/>
    <w:rsid w:val="005912FA"/>
    <w:rsid w:val="00593355"/>
    <w:rsid w:val="005939AB"/>
    <w:rsid w:val="00597118"/>
    <w:rsid w:val="005974E3"/>
    <w:rsid w:val="00597FBE"/>
    <w:rsid w:val="00597FF3"/>
    <w:rsid w:val="005A033E"/>
    <w:rsid w:val="005A1833"/>
    <w:rsid w:val="005A3904"/>
    <w:rsid w:val="005A53F1"/>
    <w:rsid w:val="005A56AF"/>
    <w:rsid w:val="005A59EF"/>
    <w:rsid w:val="005A63D4"/>
    <w:rsid w:val="005A65C2"/>
    <w:rsid w:val="005A7421"/>
    <w:rsid w:val="005B0535"/>
    <w:rsid w:val="005B2730"/>
    <w:rsid w:val="005B4CC8"/>
    <w:rsid w:val="005B675F"/>
    <w:rsid w:val="005B6957"/>
    <w:rsid w:val="005C1ECE"/>
    <w:rsid w:val="005C2BCE"/>
    <w:rsid w:val="005C327F"/>
    <w:rsid w:val="005C376A"/>
    <w:rsid w:val="005D0CC1"/>
    <w:rsid w:val="005D1CCE"/>
    <w:rsid w:val="005E0141"/>
    <w:rsid w:val="005E2218"/>
    <w:rsid w:val="005E3B13"/>
    <w:rsid w:val="005E3E3F"/>
    <w:rsid w:val="005E474F"/>
    <w:rsid w:val="005E4B9C"/>
    <w:rsid w:val="005E4BE6"/>
    <w:rsid w:val="005E7019"/>
    <w:rsid w:val="005F228D"/>
    <w:rsid w:val="005F4D82"/>
    <w:rsid w:val="00600D65"/>
    <w:rsid w:val="00601C29"/>
    <w:rsid w:val="00602B66"/>
    <w:rsid w:val="00603028"/>
    <w:rsid w:val="00603DC7"/>
    <w:rsid w:val="00604724"/>
    <w:rsid w:val="0060551A"/>
    <w:rsid w:val="00606399"/>
    <w:rsid w:val="00606C8B"/>
    <w:rsid w:val="006074BC"/>
    <w:rsid w:val="006077AE"/>
    <w:rsid w:val="0061075B"/>
    <w:rsid w:val="006123E7"/>
    <w:rsid w:val="00612647"/>
    <w:rsid w:val="00612C4C"/>
    <w:rsid w:val="0061421A"/>
    <w:rsid w:val="00620D4F"/>
    <w:rsid w:val="006220AD"/>
    <w:rsid w:val="00622430"/>
    <w:rsid w:val="00622C5A"/>
    <w:rsid w:val="00624626"/>
    <w:rsid w:val="006254A4"/>
    <w:rsid w:val="006314F9"/>
    <w:rsid w:val="00635E90"/>
    <w:rsid w:val="00636C30"/>
    <w:rsid w:val="00637EBB"/>
    <w:rsid w:val="0064074C"/>
    <w:rsid w:val="00642ACF"/>
    <w:rsid w:val="00642EE3"/>
    <w:rsid w:val="00645767"/>
    <w:rsid w:val="0065087E"/>
    <w:rsid w:val="00651A67"/>
    <w:rsid w:val="00652DEA"/>
    <w:rsid w:val="00655F84"/>
    <w:rsid w:val="00660D7E"/>
    <w:rsid w:val="00660F02"/>
    <w:rsid w:val="006637D2"/>
    <w:rsid w:val="006641AD"/>
    <w:rsid w:val="00672E9B"/>
    <w:rsid w:val="006734E8"/>
    <w:rsid w:val="00673595"/>
    <w:rsid w:val="00673EB1"/>
    <w:rsid w:val="0068087D"/>
    <w:rsid w:val="00682B41"/>
    <w:rsid w:val="00683C02"/>
    <w:rsid w:val="00683E01"/>
    <w:rsid w:val="00684C28"/>
    <w:rsid w:val="00690B03"/>
    <w:rsid w:val="00690D69"/>
    <w:rsid w:val="0069113A"/>
    <w:rsid w:val="0069139E"/>
    <w:rsid w:val="00691528"/>
    <w:rsid w:val="0069194D"/>
    <w:rsid w:val="00692738"/>
    <w:rsid w:val="006949D8"/>
    <w:rsid w:val="00694A4D"/>
    <w:rsid w:val="00696A71"/>
    <w:rsid w:val="00696CA2"/>
    <w:rsid w:val="00696EF4"/>
    <w:rsid w:val="006977A8"/>
    <w:rsid w:val="006A0181"/>
    <w:rsid w:val="006A28E3"/>
    <w:rsid w:val="006A3072"/>
    <w:rsid w:val="006A653E"/>
    <w:rsid w:val="006A696F"/>
    <w:rsid w:val="006A7272"/>
    <w:rsid w:val="006B2B9E"/>
    <w:rsid w:val="006B2DB0"/>
    <w:rsid w:val="006B63B9"/>
    <w:rsid w:val="006B69E6"/>
    <w:rsid w:val="006B7375"/>
    <w:rsid w:val="006C05BC"/>
    <w:rsid w:val="006C1FFD"/>
    <w:rsid w:val="006C25C7"/>
    <w:rsid w:val="006C3395"/>
    <w:rsid w:val="006C600C"/>
    <w:rsid w:val="006D1A46"/>
    <w:rsid w:val="006D1BE0"/>
    <w:rsid w:val="006D4607"/>
    <w:rsid w:val="006D4B0E"/>
    <w:rsid w:val="006D7203"/>
    <w:rsid w:val="006E0E5C"/>
    <w:rsid w:val="006E2498"/>
    <w:rsid w:val="006E47AD"/>
    <w:rsid w:val="006E4B16"/>
    <w:rsid w:val="006E678B"/>
    <w:rsid w:val="006E6965"/>
    <w:rsid w:val="006E6B67"/>
    <w:rsid w:val="006F07B6"/>
    <w:rsid w:val="006F4F5E"/>
    <w:rsid w:val="006F7711"/>
    <w:rsid w:val="00703D5A"/>
    <w:rsid w:val="00705C72"/>
    <w:rsid w:val="007103EC"/>
    <w:rsid w:val="0071344F"/>
    <w:rsid w:val="00713980"/>
    <w:rsid w:val="0071646B"/>
    <w:rsid w:val="00730225"/>
    <w:rsid w:val="00730D33"/>
    <w:rsid w:val="00731136"/>
    <w:rsid w:val="007312B4"/>
    <w:rsid w:val="00733B25"/>
    <w:rsid w:val="00733B54"/>
    <w:rsid w:val="00734B78"/>
    <w:rsid w:val="00740E30"/>
    <w:rsid w:val="00742841"/>
    <w:rsid w:val="00742B0C"/>
    <w:rsid w:val="00744351"/>
    <w:rsid w:val="0074620B"/>
    <w:rsid w:val="007473B3"/>
    <w:rsid w:val="007530A5"/>
    <w:rsid w:val="00755996"/>
    <w:rsid w:val="007559C9"/>
    <w:rsid w:val="0075692E"/>
    <w:rsid w:val="00757B44"/>
    <w:rsid w:val="00762754"/>
    <w:rsid w:val="00765A24"/>
    <w:rsid w:val="00766F9E"/>
    <w:rsid w:val="0077006D"/>
    <w:rsid w:val="007729B8"/>
    <w:rsid w:val="00773555"/>
    <w:rsid w:val="00773BD8"/>
    <w:rsid w:val="007740D6"/>
    <w:rsid w:val="00775159"/>
    <w:rsid w:val="007761F9"/>
    <w:rsid w:val="00776442"/>
    <w:rsid w:val="00780C7B"/>
    <w:rsid w:val="007816B2"/>
    <w:rsid w:val="00784C51"/>
    <w:rsid w:val="007859D2"/>
    <w:rsid w:val="00791F1A"/>
    <w:rsid w:val="00795BC9"/>
    <w:rsid w:val="00796BD5"/>
    <w:rsid w:val="007A3FCC"/>
    <w:rsid w:val="007A56D5"/>
    <w:rsid w:val="007A7C81"/>
    <w:rsid w:val="007A7DCE"/>
    <w:rsid w:val="007B061D"/>
    <w:rsid w:val="007B1C8B"/>
    <w:rsid w:val="007B29BF"/>
    <w:rsid w:val="007B2FC6"/>
    <w:rsid w:val="007B3A24"/>
    <w:rsid w:val="007B4C8D"/>
    <w:rsid w:val="007B672B"/>
    <w:rsid w:val="007C1B69"/>
    <w:rsid w:val="007C2067"/>
    <w:rsid w:val="007C2643"/>
    <w:rsid w:val="007C26A6"/>
    <w:rsid w:val="007C55EC"/>
    <w:rsid w:val="007C5FFE"/>
    <w:rsid w:val="007D1914"/>
    <w:rsid w:val="007E0BE7"/>
    <w:rsid w:val="007E1B9F"/>
    <w:rsid w:val="007E1CE5"/>
    <w:rsid w:val="007E1E78"/>
    <w:rsid w:val="007E50EA"/>
    <w:rsid w:val="007E6DBC"/>
    <w:rsid w:val="007E71C3"/>
    <w:rsid w:val="007F620E"/>
    <w:rsid w:val="007F6635"/>
    <w:rsid w:val="007F674B"/>
    <w:rsid w:val="00800DE0"/>
    <w:rsid w:val="008017BA"/>
    <w:rsid w:val="00802101"/>
    <w:rsid w:val="00802701"/>
    <w:rsid w:val="008103C2"/>
    <w:rsid w:val="00811156"/>
    <w:rsid w:val="0081344D"/>
    <w:rsid w:val="00815F1F"/>
    <w:rsid w:val="0081626F"/>
    <w:rsid w:val="00820BD6"/>
    <w:rsid w:val="00820C96"/>
    <w:rsid w:val="00821086"/>
    <w:rsid w:val="00821096"/>
    <w:rsid w:val="00822373"/>
    <w:rsid w:val="00823A66"/>
    <w:rsid w:val="008244CB"/>
    <w:rsid w:val="008273BB"/>
    <w:rsid w:val="00830C35"/>
    <w:rsid w:val="00832247"/>
    <w:rsid w:val="008329C3"/>
    <w:rsid w:val="00832DCA"/>
    <w:rsid w:val="0083350A"/>
    <w:rsid w:val="008366FF"/>
    <w:rsid w:val="00844AE1"/>
    <w:rsid w:val="00846879"/>
    <w:rsid w:val="00847AD6"/>
    <w:rsid w:val="0085010F"/>
    <w:rsid w:val="00850A2C"/>
    <w:rsid w:val="00854D0C"/>
    <w:rsid w:val="008557BA"/>
    <w:rsid w:val="00855FD7"/>
    <w:rsid w:val="00857227"/>
    <w:rsid w:val="008572CF"/>
    <w:rsid w:val="008605AB"/>
    <w:rsid w:val="00862D80"/>
    <w:rsid w:val="00864A9A"/>
    <w:rsid w:val="008652CE"/>
    <w:rsid w:val="00865A7A"/>
    <w:rsid w:val="00866E98"/>
    <w:rsid w:val="00866F70"/>
    <w:rsid w:val="008733F7"/>
    <w:rsid w:val="00873F26"/>
    <w:rsid w:val="00880EB0"/>
    <w:rsid w:val="008844B6"/>
    <w:rsid w:val="00885956"/>
    <w:rsid w:val="00887B1C"/>
    <w:rsid w:val="00892AC9"/>
    <w:rsid w:val="00892FF5"/>
    <w:rsid w:val="008952EE"/>
    <w:rsid w:val="008A46EB"/>
    <w:rsid w:val="008A6807"/>
    <w:rsid w:val="008B2069"/>
    <w:rsid w:val="008B262B"/>
    <w:rsid w:val="008B3023"/>
    <w:rsid w:val="008B39A2"/>
    <w:rsid w:val="008B4B85"/>
    <w:rsid w:val="008B67E2"/>
    <w:rsid w:val="008C09F7"/>
    <w:rsid w:val="008C128D"/>
    <w:rsid w:val="008C2208"/>
    <w:rsid w:val="008C3B8B"/>
    <w:rsid w:val="008C44F9"/>
    <w:rsid w:val="008C718C"/>
    <w:rsid w:val="008C797A"/>
    <w:rsid w:val="008D0206"/>
    <w:rsid w:val="008D16C5"/>
    <w:rsid w:val="008D330F"/>
    <w:rsid w:val="008D4B19"/>
    <w:rsid w:val="008E0D73"/>
    <w:rsid w:val="008E21E6"/>
    <w:rsid w:val="008E250F"/>
    <w:rsid w:val="008E2518"/>
    <w:rsid w:val="008E3450"/>
    <w:rsid w:val="008E6337"/>
    <w:rsid w:val="008E67EB"/>
    <w:rsid w:val="008E7977"/>
    <w:rsid w:val="008F16A6"/>
    <w:rsid w:val="008F3468"/>
    <w:rsid w:val="008F4EF3"/>
    <w:rsid w:val="008F5298"/>
    <w:rsid w:val="008F58AE"/>
    <w:rsid w:val="00901573"/>
    <w:rsid w:val="00903B9F"/>
    <w:rsid w:val="00904624"/>
    <w:rsid w:val="0090773C"/>
    <w:rsid w:val="00907A95"/>
    <w:rsid w:val="00911716"/>
    <w:rsid w:val="00914CF3"/>
    <w:rsid w:val="00914EC9"/>
    <w:rsid w:val="00915118"/>
    <w:rsid w:val="009206CB"/>
    <w:rsid w:val="00920C12"/>
    <w:rsid w:val="00921979"/>
    <w:rsid w:val="00921A35"/>
    <w:rsid w:val="00921C16"/>
    <w:rsid w:val="0092515C"/>
    <w:rsid w:val="00925FAB"/>
    <w:rsid w:val="00927421"/>
    <w:rsid w:val="009308D6"/>
    <w:rsid w:val="00930918"/>
    <w:rsid w:val="00930AB8"/>
    <w:rsid w:val="00931C36"/>
    <w:rsid w:val="00931EB8"/>
    <w:rsid w:val="00937DC7"/>
    <w:rsid w:val="00940F5C"/>
    <w:rsid w:val="00941930"/>
    <w:rsid w:val="00941985"/>
    <w:rsid w:val="00941B13"/>
    <w:rsid w:val="00942332"/>
    <w:rsid w:val="00943230"/>
    <w:rsid w:val="0094630A"/>
    <w:rsid w:val="00951640"/>
    <w:rsid w:val="00951C04"/>
    <w:rsid w:val="00951FEA"/>
    <w:rsid w:val="00952E8F"/>
    <w:rsid w:val="009532AD"/>
    <w:rsid w:val="00953FB0"/>
    <w:rsid w:val="00954234"/>
    <w:rsid w:val="0096136F"/>
    <w:rsid w:val="00961BDB"/>
    <w:rsid w:val="0096231B"/>
    <w:rsid w:val="00962437"/>
    <w:rsid w:val="00963DBE"/>
    <w:rsid w:val="00963EEF"/>
    <w:rsid w:val="009651C5"/>
    <w:rsid w:val="00965C5F"/>
    <w:rsid w:val="00966B91"/>
    <w:rsid w:val="009734B0"/>
    <w:rsid w:val="00974068"/>
    <w:rsid w:val="00974412"/>
    <w:rsid w:val="00974E97"/>
    <w:rsid w:val="00975DC2"/>
    <w:rsid w:val="00984857"/>
    <w:rsid w:val="00984BD8"/>
    <w:rsid w:val="0098640F"/>
    <w:rsid w:val="009871C2"/>
    <w:rsid w:val="0099075A"/>
    <w:rsid w:val="0099259D"/>
    <w:rsid w:val="009925FE"/>
    <w:rsid w:val="00993079"/>
    <w:rsid w:val="009932B1"/>
    <w:rsid w:val="00995E20"/>
    <w:rsid w:val="00995F62"/>
    <w:rsid w:val="009972F8"/>
    <w:rsid w:val="00997BEC"/>
    <w:rsid w:val="009A14E1"/>
    <w:rsid w:val="009A3EAA"/>
    <w:rsid w:val="009A62F6"/>
    <w:rsid w:val="009A7FAE"/>
    <w:rsid w:val="009B1A4E"/>
    <w:rsid w:val="009B5E45"/>
    <w:rsid w:val="009B78A5"/>
    <w:rsid w:val="009C33C8"/>
    <w:rsid w:val="009C4331"/>
    <w:rsid w:val="009C600A"/>
    <w:rsid w:val="009D1C30"/>
    <w:rsid w:val="009D1FA5"/>
    <w:rsid w:val="009D2A42"/>
    <w:rsid w:val="009D32A2"/>
    <w:rsid w:val="009D59E6"/>
    <w:rsid w:val="009D5FEE"/>
    <w:rsid w:val="009D6673"/>
    <w:rsid w:val="009D7D6F"/>
    <w:rsid w:val="009E5503"/>
    <w:rsid w:val="009E63C0"/>
    <w:rsid w:val="009E784C"/>
    <w:rsid w:val="009E797D"/>
    <w:rsid w:val="009F062B"/>
    <w:rsid w:val="009F2288"/>
    <w:rsid w:val="009F310F"/>
    <w:rsid w:val="009F5744"/>
    <w:rsid w:val="009F5E79"/>
    <w:rsid w:val="00A028D6"/>
    <w:rsid w:val="00A02F16"/>
    <w:rsid w:val="00A02F66"/>
    <w:rsid w:val="00A059A4"/>
    <w:rsid w:val="00A0743B"/>
    <w:rsid w:val="00A07A96"/>
    <w:rsid w:val="00A07D19"/>
    <w:rsid w:val="00A1154E"/>
    <w:rsid w:val="00A1192B"/>
    <w:rsid w:val="00A12A5E"/>
    <w:rsid w:val="00A143F5"/>
    <w:rsid w:val="00A14C8B"/>
    <w:rsid w:val="00A1580C"/>
    <w:rsid w:val="00A1584E"/>
    <w:rsid w:val="00A17A13"/>
    <w:rsid w:val="00A17C55"/>
    <w:rsid w:val="00A20B15"/>
    <w:rsid w:val="00A2174C"/>
    <w:rsid w:val="00A27726"/>
    <w:rsid w:val="00A301EC"/>
    <w:rsid w:val="00A319DE"/>
    <w:rsid w:val="00A3619A"/>
    <w:rsid w:val="00A37282"/>
    <w:rsid w:val="00A41E70"/>
    <w:rsid w:val="00A443F5"/>
    <w:rsid w:val="00A457E8"/>
    <w:rsid w:val="00A60D18"/>
    <w:rsid w:val="00A60DD5"/>
    <w:rsid w:val="00A60FB9"/>
    <w:rsid w:val="00A642DA"/>
    <w:rsid w:val="00A659D9"/>
    <w:rsid w:val="00A6651F"/>
    <w:rsid w:val="00A66974"/>
    <w:rsid w:val="00A67E89"/>
    <w:rsid w:val="00A72A4A"/>
    <w:rsid w:val="00A74F36"/>
    <w:rsid w:val="00A759EE"/>
    <w:rsid w:val="00A75D2D"/>
    <w:rsid w:val="00A77B1E"/>
    <w:rsid w:val="00A80A22"/>
    <w:rsid w:val="00A81601"/>
    <w:rsid w:val="00A82017"/>
    <w:rsid w:val="00A8332F"/>
    <w:rsid w:val="00A84D61"/>
    <w:rsid w:val="00A86988"/>
    <w:rsid w:val="00A86DB9"/>
    <w:rsid w:val="00A90FB6"/>
    <w:rsid w:val="00A910F1"/>
    <w:rsid w:val="00A92D0B"/>
    <w:rsid w:val="00A93F32"/>
    <w:rsid w:val="00AA1740"/>
    <w:rsid w:val="00AB2074"/>
    <w:rsid w:val="00AB2F7F"/>
    <w:rsid w:val="00AB30EF"/>
    <w:rsid w:val="00AB3510"/>
    <w:rsid w:val="00AB6A04"/>
    <w:rsid w:val="00AC0535"/>
    <w:rsid w:val="00AC09FF"/>
    <w:rsid w:val="00AC2137"/>
    <w:rsid w:val="00AC21E8"/>
    <w:rsid w:val="00AC226C"/>
    <w:rsid w:val="00AC2C20"/>
    <w:rsid w:val="00AC5A4B"/>
    <w:rsid w:val="00AC7981"/>
    <w:rsid w:val="00AD1306"/>
    <w:rsid w:val="00AD1AA0"/>
    <w:rsid w:val="00AD3268"/>
    <w:rsid w:val="00AD3F37"/>
    <w:rsid w:val="00AD5797"/>
    <w:rsid w:val="00AD742A"/>
    <w:rsid w:val="00AE149B"/>
    <w:rsid w:val="00AE37F0"/>
    <w:rsid w:val="00AE429F"/>
    <w:rsid w:val="00AE4688"/>
    <w:rsid w:val="00AE4DE9"/>
    <w:rsid w:val="00AE4F08"/>
    <w:rsid w:val="00AF1BF2"/>
    <w:rsid w:val="00AF50CC"/>
    <w:rsid w:val="00AF7BEE"/>
    <w:rsid w:val="00B00BCD"/>
    <w:rsid w:val="00B03003"/>
    <w:rsid w:val="00B061FF"/>
    <w:rsid w:val="00B0777C"/>
    <w:rsid w:val="00B10A1D"/>
    <w:rsid w:val="00B132A4"/>
    <w:rsid w:val="00B1593B"/>
    <w:rsid w:val="00B2009A"/>
    <w:rsid w:val="00B2292C"/>
    <w:rsid w:val="00B24F8B"/>
    <w:rsid w:val="00B302E4"/>
    <w:rsid w:val="00B30571"/>
    <w:rsid w:val="00B312DA"/>
    <w:rsid w:val="00B31565"/>
    <w:rsid w:val="00B31BF8"/>
    <w:rsid w:val="00B31F59"/>
    <w:rsid w:val="00B325AA"/>
    <w:rsid w:val="00B3470A"/>
    <w:rsid w:val="00B35560"/>
    <w:rsid w:val="00B3571F"/>
    <w:rsid w:val="00B35F1E"/>
    <w:rsid w:val="00B36592"/>
    <w:rsid w:val="00B43278"/>
    <w:rsid w:val="00B43DB5"/>
    <w:rsid w:val="00B46793"/>
    <w:rsid w:val="00B51C2B"/>
    <w:rsid w:val="00B51D29"/>
    <w:rsid w:val="00B53DF1"/>
    <w:rsid w:val="00B54050"/>
    <w:rsid w:val="00B54991"/>
    <w:rsid w:val="00B55CCD"/>
    <w:rsid w:val="00B56C6B"/>
    <w:rsid w:val="00B601C2"/>
    <w:rsid w:val="00B61944"/>
    <w:rsid w:val="00B621BD"/>
    <w:rsid w:val="00B62AC0"/>
    <w:rsid w:val="00B62C91"/>
    <w:rsid w:val="00B62E6F"/>
    <w:rsid w:val="00B65A89"/>
    <w:rsid w:val="00B66CF5"/>
    <w:rsid w:val="00B71F78"/>
    <w:rsid w:val="00B729DA"/>
    <w:rsid w:val="00B73E2D"/>
    <w:rsid w:val="00B7477F"/>
    <w:rsid w:val="00B74B92"/>
    <w:rsid w:val="00B76CBA"/>
    <w:rsid w:val="00B77011"/>
    <w:rsid w:val="00B776EF"/>
    <w:rsid w:val="00B80DCE"/>
    <w:rsid w:val="00B828A0"/>
    <w:rsid w:val="00B83963"/>
    <w:rsid w:val="00B84A76"/>
    <w:rsid w:val="00B91435"/>
    <w:rsid w:val="00B92043"/>
    <w:rsid w:val="00B932F2"/>
    <w:rsid w:val="00B944AA"/>
    <w:rsid w:val="00B95621"/>
    <w:rsid w:val="00B96C4B"/>
    <w:rsid w:val="00BA0FA0"/>
    <w:rsid w:val="00BA12C1"/>
    <w:rsid w:val="00BA4951"/>
    <w:rsid w:val="00BA548C"/>
    <w:rsid w:val="00BA7F15"/>
    <w:rsid w:val="00BB052D"/>
    <w:rsid w:val="00BB49BB"/>
    <w:rsid w:val="00BB6EBF"/>
    <w:rsid w:val="00BC0F1B"/>
    <w:rsid w:val="00BC34B2"/>
    <w:rsid w:val="00BC3677"/>
    <w:rsid w:val="00BC38FA"/>
    <w:rsid w:val="00BC56A2"/>
    <w:rsid w:val="00BC7817"/>
    <w:rsid w:val="00BD13BE"/>
    <w:rsid w:val="00BD169D"/>
    <w:rsid w:val="00BD3978"/>
    <w:rsid w:val="00BD6010"/>
    <w:rsid w:val="00BE1084"/>
    <w:rsid w:val="00BE1540"/>
    <w:rsid w:val="00BE45D0"/>
    <w:rsid w:val="00BE4BAB"/>
    <w:rsid w:val="00BE7F0D"/>
    <w:rsid w:val="00BF2F45"/>
    <w:rsid w:val="00BF5AD2"/>
    <w:rsid w:val="00BF6DEB"/>
    <w:rsid w:val="00BF7971"/>
    <w:rsid w:val="00C006F6"/>
    <w:rsid w:val="00C02649"/>
    <w:rsid w:val="00C0471D"/>
    <w:rsid w:val="00C04DE8"/>
    <w:rsid w:val="00C05F83"/>
    <w:rsid w:val="00C0689C"/>
    <w:rsid w:val="00C0741C"/>
    <w:rsid w:val="00C07EF7"/>
    <w:rsid w:val="00C10964"/>
    <w:rsid w:val="00C1098F"/>
    <w:rsid w:val="00C13B3F"/>
    <w:rsid w:val="00C13E1E"/>
    <w:rsid w:val="00C15593"/>
    <w:rsid w:val="00C16981"/>
    <w:rsid w:val="00C201D5"/>
    <w:rsid w:val="00C20A0F"/>
    <w:rsid w:val="00C22F25"/>
    <w:rsid w:val="00C25F5C"/>
    <w:rsid w:val="00C27164"/>
    <w:rsid w:val="00C3156C"/>
    <w:rsid w:val="00C32A83"/>
    <w:rsid w:val="00C33B8B"/>
    <w:rsid w:val="00C34DA7"/>
    <w:rsid w:val="00C34F4B"/>
    <w:rsid w:val="00C34F68"/>
    <w:rsid w:val="00C35D5B"/>
    <w:rsid w:val="00C3625C"/>
    <w:rsid w:val="00C372E0"/>
    <w:rsid w:val="00C4006F"/>
    <w:rsid w:val="00C427DA"/>
    <w:rsid w:val="00C4499A"/>
    <w:rsid w:val="00C51189"/>
    <w:rsid w:val="00C5234A"/>
    <w:rsid w:val="00C53B30"/>
    <w:rsid w:val="00C54B89"/>
    <w:rsid w:val="00C54EC8"/>
    <w:rsid w:val="00C55230"/>
    <w:rsid w:val="00C555A2"/>
    <w:rsid w:val="00C558C4"/>
    <w:rsid w:val="00C61EF3"/>
    <w:rsid w:val="00C63595"/>
    <w:rsid w:val="00C65C36"/>
    <w:rsid w:val="00C7102B"/>
    <w:rsid w:val="00C73A25"/>
    <w:rsid w:val="00C742D7"/>
    <w:rsid w:val="00C765A2"/>
    <w:rsid w:val="00C8056E"/>
    <w:rsid w:val="00C80771"/>
    <w:rsid w:val="00C84FA1"/>
    <w:rsid w:val="00C8549B"/>
    <w:rsid w:val="00C85DFF"/>
    <w:rsid w:val="00C92987"/>
    <w:rsid w:val="00C93CAA"/>
    <w:rsid w:val="00C953B4"/>
    <w:rsid w:val="00C95637"/>
    <w:rsid w:val="00C95A24"/>
    <w:rsid w:val="00CA2C8A"/>
    <w:rsid w:val="00CA3922"/>
    <w:rsid w:val="00CA3CC2"/>
    <w:rsid w:val="00CB3960"/>
    <w:rsid w:val="00CB4991"/>
    <w:rsid w:val="00CB7A66"/>
    <w:rsid w:val="00CC02D5"/>
    <w:rsid w:val="00CC4B40"/>
    <w:rsid w:val="00CC5BEB"/>
    <w:rsid w:val="00CD1E7C"/>
    <w:rsid w:val="00CD4480"/>
    <w:rsid w:val="00CD4784"/>
    <w:rsid w:val="00CD48A9"/>
    <w:rsid w:val="00CD6886"/>
    <w:rsid w:val="00CD6DF0"/>
    <w:rsid w:val="00CD799C"/>
    <w:rsid w:val="00CD7D17"/>
    <w:rsid w:val="00CE09D0"/>
    <w:rsid w:val="00CE3C67"/>
    <w:rsid w:val="00CE4B9D"/>
    <w:rsid w:val="00CE5A07"/>
    <w:rsid w:val="00CE66B6"/>
    <w:rsid w:val="00CF1129"/>
    <w:rsid w:val="00CF6B9E"/>
    <w:rsid w:val="00CF727F"/>
    <w:rsid w:val="00D0345E"/>
    <w:rsid w:val="00D075B1"/>
    <w:rsid w:val="00D07A19"/>
    <w:rsid w:val="00D10372"/>
    <w:rsid w:val="00D108D9"/>
    <w:rsid w:val="00D13BE1"/>
    <w:rsid w:val="00D14D8C"/>
    <w:rsid w:val="00D24AD2"/>
    <w:rsid w:val="00D256CF"/>
    <w:rsid w:val="00D25B86"/>
    <w:rsid w:val="00D274F4"/>
    <w:rsid w:val="00D27D5F"/>
    <w:rsid w:val="00D30C4F"/>
    <w:rsid w:val="00D31936"/>
    <w:rsid w:val="00D323A9"/>
    <w:rsid w:val="00D32B27"/>
    <w:rsid w:val="00D3465E"/>
    <w:rsid w:val="00D35461"/>
    <w:rsid w:val="00D36884"/>
    <w:rsid w:val="00D36927"/>
    <w:rsid w:val="00D404AB"/>
    <w:rsid w:val="00D43E00"/>
    <w:rsid w:val="00D43FFA"/>
    <w:rsid w:val="00D50C07"/>
    <w:rsid w:val="00D526B1"/>
    <w:rsid w:val="00D54357"/>
    <w:rsid w:val="00D54D3E"/>
    <w:rsid w:val="00D55123"/>
    <w:rsid w:val="00D563A3"/>
    <w:rsid w:val="00D56BCA"/>
    <w:rsid w:val="00D60642"/>
    <w:rsid w:val="00D61A1D"/>
    <w:rsid w:val="00D61AC0"/>
    <w:rsid w:val="00D61C1B"/>
    <w:rsid w:val="00D64BC6"/>
    <w:rsid w:val="00D70429"/>
    <w:rsid w:val="00D70DFC"/>
    <w:rsid w:val="00D74F4E"/>
    <w:rsid w:val="00D75107"/>
    <w:rsid w:val="00D77CC5"/>
    <w:rsid w:val="00D80DD9"/>
    <w:rsid w:val="00D81A02"/>
    <w:rsid w:val="00D81F2E"/>
    <w:rsid w:val="00D840DD"/>
    <w:rsid w:val="00D84F94"/>
    <w:rsid w:val="00D85552"/>
    <w:rsid w:val="00D864B7"/>
    <w:rsid w:val="00D8769E"/>
    <w:rsid w:val="00D87767"/>
    <w:rsid w:val="00D87816"/>
    <w:rsid w:val="00D9270C"/>
    <w:rsid w:val="00D9499D"/>
    <w:rsid w:val="00DA071E"/>
    <w:rsid w:val="00DA07B7"/>
    <w:rsid w:val="00DA23C2"/>
    <w:rsid w:val="00DA3AEE"/>
    <w:rsid w:val="00DA5F3D"/>
    <w:rsid w:val="00DB14DC"/>
    <w:rsid w:val="00DB7A98"/>
    <w:rsid w:val="00DC46AA"/>
    <w:rsid w:val="00DC7986"/>
    <w:rsid w:val="00DD3252"/>
    <w:rsid w:val="00DD3846"/>
    <w:rsid w:val="00DD3CAA"/>
    <w:rsid w:val="00DD4A80"/>
    <w:rsid w:val="00DD52BB"/>
    <w:rsid w:val="00DE0067"/>
    <w:rsid w:val="00DE01F6"/>
    <w:rsid w:val="00DE25FA"/>
    <w:rsid w:val="00DE2644"/>
    <w:rsid w:val="00DE3A5D"/>
    <w:rsid w:val="00DE7EA4"/>
    <w:rsid w:val="00DF11AF"/>
    <w:rsid w:val="00DF4C01"/>
    <w:rsid w:val="00DF6C07"/>
    <w:rsid w:val="00E00990"/>
    <w:rsid w:val="00E009E4"/>
    <w:rsid w:val="00E00FCE"/>
    <w:rsid w:val="00E0227E"/>
    <w:rsid w:val="00E023F0"/>
    <w:rsid w:val="00E06951"/>
    <w:rsid w:val="00E06977"/>
    <w:rsid w:val="00E06C9B"/>
    <w:rsid w:val="00E14333"/>
    <w:rsid w:val="00E15DC3"/>
    <w:rsid w:val="00E20821"/>
    <w:rsid w:val="00E21EA5"/>
    <w:rsid w:val="00E227BA"/>
    <w:rsid w:val="00E22EA4"/>
    <w:rsid w:val="00E23B2F"/>
    <w:rsid w:val="00E25078"/>
    <w:rsid w:val="00E26569"/>
    <w:rsid w:val="00E310B5"/>
    <w:rsid w:val="00E3120A"/>
    <w:rsid w:val="00E3243C"/>
    <w:rsid w:val="00E33135"/>
    <w:rsid w:val="00E333CB"/>
    <w:rsid w:val="00E351B5"/>
    <w:rsid w:val="00E35D4E"/>
    <w:rsid w:val="00E36433"/>
    <w:rsid w:val="00E3786F"/>
    <w:rsid w:val="00E40140"/>
    <w:rsid w:val="00E41ACD"/>
    <w:rsid w:val="00E41CFB"/>
    <w:rsid w:val="00E433C8"/>
    <w:rsid w:val="00E44120"/>
    <w:rsid w:val="00E44357"/>
    <w:rsid w:val="00E46BCF"/>
    <w:rsid w:val="00E50FB6"/>
    <w:rsid w:val="00E5252A"/>
    <w:rsid w:val="00E52992"/>
    <w:rsid w:val="00E5374E"/>
    <w:rsid w:val="00E53E19"/>
    <w:rsid w:val="00E5581A"/>
    <w:rsid w:val="00E60942"/>
    <w:rsid w:val="00E60BB2"/>
    <w:rsid w:val="00E61748"/>
    <w:rsid w:val="00E62532"/>
    <w:rsid w:val="00E6347C"/>
    <w:rsid w:val="00E63BEC"/>
    <w:rsid w:val="00E64AFC"/>
    <w:rsid w:val="00E70ED6"/>
    <w:rsid w:val="00E71316"/>
    <w:rsid w:val="00E72B42"/>
    <w:rsid w:val="00E72EF3"/>
    <w:rsid w:val="00E73217"/>
    <w:rsid w:val="00E7438C"/>
    <w:rsid w:val="00E74CAF"/>
    <w:rsid w:val="00E75121"/>
    <w:rsid w:val="00E75E09"/>
    <w:rsid w:val="00E81AEA"/>
    <w:rsid w:val="00E85252"/>
    <w:rsid w:val="00E878E0"/>
    <w:rsid w:val="00E9004C"/>
    <w:rsid w:val="00E92A89"/>
    <w:rsid w:val="00E93298"/>
    <w:rsid w:val="00E9366A"/>
    <w:rsid w:val="00E94154"/>
    <w:rsid w:val="00E959A0"/>
    <w:rsid w:val="00EA3B97"/>
    <w:rsid w:val="00EA4141"/>
    <w:rsid w:val="00EA743F"/>
    <w:rsid w:val="00EB09FE"/>
    <w:rsid w:val="00EB1F36"/>
    <w:rsid w:val="00EB4388"/>
    <w:rsid w:val="00EB4BD7"/>
    <w:rsid w:val="00EB54A4"/>
    <w:rsid w:val="00EB7184"/>
    <w:rsid w:val="00EB7FFE"/>
    <w:rsid w:val="00EC10A4"/>
    <w:rsid w:val="00EC251D"/>
    <w:rsid w:val="00EC3914"/>
    <w:rsid w:val="00EC39A8"/>
    <w:rsid w:val="00EC61EF"/>
    <w:rsid w:val="00ED1295"/>
    <w:rsid w:val="00ED46AA"/>
    <w:rsid w:val="00ED6981"/>
    <w:rsid w:val="00ED6B6B"/>
    <w:rsid w:val="00EE116A"/>
    <w:rsid w:val="00EE2ECE"/>
    <w:rsid w:val="00EE543D"/>
    <w:rsid w:val="00EF1D3D"/>
    <w:rsid w:val="00EF4F15"/>
    <w:rsid w:val="00EF5EAC"/>
    <w:rsid w:val="00F01FDC"/>
    <w:rsid w:val="00F02689"/>
    <w:rsid w:val="00F047A4"/>
    <w:rsid w:val="00F04904"/>
    <w:rsid w:val="00F06B8D"/>
    <w:rsid w:val="00F11F16"/>
    <w:rsid w:val="00F13926"/>
    <w:rsid w:val="00F14799"/>
    <w:rsid w:val="00F163B8"/>
    <w:rsid w:val="00F17030"/>
    <w:rsid w:val="00F1713D"/>
    <w:rsid w:val="00F20061"/>
    <w:rsid w:val="00F22B3A"/>
    <w:rsid w:val="00F24BE2"/>
    <w:rsid w:val="00F24EDE"/>
    <w:rsid w:val="00F25F7A"/>
    <w:rsid w:val="00F26371"/>
    <w:rsid w:val="00F2734A"/>
    <w:rsid w:val="00F27405"/>
    <w:rsid w:val="00F27ACD"/>
    <w:rsid w:val="00F30DA8"/>
    <w:rsid w:val="00F330A5"/>
    <w:rsid w:val="00F33934"/>
    <w:rsid w:val="00F34767"/>
    <w:rsid w:val="00F34A76"/>
    <w:rsid w:val="00F34C1F"/>
    <w:rsid w:val="00F34E0E"/>
    <w:rsid w:val="00F35273"/>
    <w:rsid w:val="00F35C09"/>
    <w:rsid w:val="00F3772B"/>
    <w:rsid w:val="00F415E7"/>
    <w:rsid w:val="00F416DA"/>
    <w:rsid w:val="00F47625"/>
    <w:rsid w:val="00F47D9F"/>
    <w:rsid w:val="00F47DB7"/>
    <w:rsid w:val="00F47E87"/>
    <w:rsid w:val="00F517EC"/>
    <w:rsid w:val="00F51AC6"/>
    <w:rsid w:val="00F54141"/>
    <w:rsid w:val="00F5456C"/>
    <w:rsid w:val="00F568A6"/>
    <w:rsid w:val="00F6017D"/>
    <w:rsid w:val="00F62AB9"/>
    <w:rsid w:val="00F62D39"/>
    <w:rsid w:val="00F63C29"/>
    <w:rsid w:val="00F659B4"/>
    <w:rsid w:val="00F67628"/>
    <w:rsid w:val="00F714B7"/>
    <w:rsid w:val="00F71E2A"/>
    <w:rsid w:val="00F725C8"/>
    <w:rsid w:val="00F76A59"/>
    <w:rsid w:val="00F8146D"/>
    <w:rsid w:val="00F81778"/>
    <w:rsid w:val="00F8244C"/>
    <w:rsid w:val="00F857B8"/>
    <w:rsid w:val="00F87969"/>
    <w:rsid w:val="00F92802"/>
    <w:rsid w:val="00FA01D3"/>
    <w:rsid w:val="00FA070A"/>
    <w:rsid w:val="00FA2775"/>
    <w:rsid w:val="00FA4732"/>
    <w:rsid w:val="00FA4854"/>
    <w:rsid w:val="00FA7749"/>
    <w:rsid w:val="00FB3498"/>
    <w:rsid w:val="00FB3CA7"/>
    <w:rsid w:val="00FB5F2A"/>
    <w:rsid w:val="00FB6D0A"/>
    <w:rsid w:val="00FC1891"/>
    <w:rsid w:val="00FC3AF0"/>
    <w:rsid w:val="00FC72B7"/>
    <w:rsid w:val="00FD3EA0"/>
    <w:rsid w:val="00FD6211"/>
    <w:rsid w:val="00FE2DE6"/>
    <w:rsid w:val="00FE3BAE"/>
    <w:rsid w:val="00FE5282"/>
    <w:rsid w:val="00FE6DE2"/>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435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885956"/>
    <w:rPr>
      <w:sz w:val="20"/>
      <w:szCs w:val="20"/>
    </w:rPr>
  </w:style>
  <w:style w:type="character" w:customStyle="1" w:styleId="FootnoteTextChar">
    <w:name w:val="Footnote Text Char"/>
    <w:basedOn w:val="DefaultParagraphFont"/>
    <w:link w:val="FootnoteText"/>
    <w:uiPriority w:val="99"/>
    <w:rsid w:val="00885956"/>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customStyle="1" w:styleId="Default">
    <w:name w:val="Default"/>
    <w:rsid w:val="00E53E19"/>
    <w:pPr>
      <w:autoSpaceDE w:val="0"/>
      <w:autoSpaceDN w:val="0"/>
      <w:adjustRightInd w:val="0"/>
    </w:pPr>
    <w:rPr>
      <w:rFonts w:ascii="Book Antiqua" w:hAnsi="Book Antiqua" w:cs="Book Antiqua"/>
      <w:color w:val="000000"/>
      <w:sz w:val="24"/>
      <w:szCs w:val="24"/>
    </w:rPr>
  </w:style>
  <w:style w:type="paragraph" w:styleId="NoSpacing">
    <w:name w:val="No Spacing"/>
    <w:uiPriority w:val="1"/>
    <w:qFormat/>
    <w:rsid w:val="0009793B"/>
    <w:rPr>
      <w:sz w:val="24"/>
      <w:szCs w:val="24"/>
    </w:rPr>
  </w:style>
  <w:style w:type="character" w:customStyle="1" w:styleId="displayonly">
    <w:name w:val="display_only"/>
    <w:basedOn w:val="DefaultParagraphFont"/>
    <w:rsid w:val="005D1CCE"/>
  </w:style>
  <w:style w:type="character" w:customStyle="1" w:styleId="Heading1Char">
    <w:name w:val="Heading 1 Char"/>
    <w:basedOn w:val="DefaultParagraphFont"/>
    <w:link w:val="Heading1"/>
    <w:rsid w:val="003435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4500">
      <w:bodyDiv w:val="1"/>
      <w:marLeft w:val="0"/>
      <w:marRight w:val="0"/>
      <w:marTop w:val="0"/>
      <w:marBottom w:val="0"/>
      <w:divBdr>
        <w:top w:val="none" w:sz="0" w:space="0" w:color="auto"/>
        <w:left w:val="none" w:sz="0" w:space="0" w:color="auto"/>
        <w:bottom w:val="none" w:sz="0" w:space="0" w:color="auto"/>
        <w:right w:val="none" w:sz="0" w:space="0" w:color="auto"/>
      </w:divBdr>
    </w:div>
    <w:div w:id="400298532">
      <w:bodyDiv w:val="1"/>
      <w:marLeft w:val="0"/>
      <w:marRight w:val="0"/>
      <w:marTop w:val="0"/>
      <w:marBottom w:val="0"/>
      <w:divBdr>
        <w:top w:val="none" w:sz="0" w:space="0" w:color="auto"/>
        <w:left w:val="none" w:sz="0" w:space="0" w:color="auto"/>
        <w:bottom w:val="none" w:sz="0" w:space="0" w:color="auto"/>
        <w:right w:val="none" w:sz="0" w:space="0" w:color="auto"/>
      </w:divBdr>
    </w:div>
    <w:div w:id="637995478">
      <w:bodyDiv w:val="1"/>
      <w:marLeft w:val="0"/>
      <w:marRight w:val="0"/>
      <w:marTop w:val="0"/>
      <w:marBottom w:val="0"/>
      <w:divBdr>
        <w:top w:val="none" w:sz="0" w:space="0" w:color="auto"/>
        <w:left w:val="none" w:sz="0" w:space="0" w:color="auto"/>
        <w:bottom w:val="none" w:sz="0" w:space="0" w:color="auto"/>
        <w:right w:val="none" w:sz="0" w:space="0" w:color="auto"/>
      </w:divBdr>
    </w:div>
    <w:div w:id="639307020">
      <w:bodyDiv w:val="1"/>
      <w:marLeft w:val="0"/>
      <w:marRight w:val="0"/>
      <w:marTop w:val="0"/>
      <w:marBottom w:val="0"/>
      <w:divBdr>
        <w:top w:val="none" w:sz="0" w:space="0" w:color="auto"/>
        <w:left w:val="none" w:sz="0" w:space="0" w:color="auto"/>
        <w:bottom w:val="none" w:sz="0" w:space="0" w:color="auto"/>
        <w:right w:val="none" w:sz="0" w:space="0" w:color="auto"/>
      </w:divBdr>
      <w:divsChild>
        <w:div w:id="1786582067">
          <w:marLeft w:val="0"/>
          <w:marRight w:val="0"/>
          <w:marTop w:val="0"/>
          <w:marBottom w:val="0"/>
          <w:divBdr>
            <w:top w:val="none" w:sz="0" w:space="0" w:color="auto"/>
            <w:left w:val="none" w:sz="0" w:space="0" w:color="auto"/>
            <w:bottom w:val="none" w:sz="0" w:space="0" w:color="auto"/>
            <w:right w:val="none" w:sz="0" w:space="0" w:color="auto"/>
          </w:divBdr>
        </w:div>
        <w:div w:id="1980374310">
          <w:marLeft w:val="0"/>
          <w:marRight w:val="0"/>
          <w:marTop w:val="0"/>
          <w:marBottom w:val="0"/>
          <w:divBdr>
            <w:top w:val="none" w:sz="0" w:space="0" w:color="auto"/>
            <w:left w:val="none" w:sz="0" w:space="0" w:color="auto"/>
            <w:bottom w:val="none" w:sz="0" w:space="0" w:color="auto"/>
            <w:right w:val="none" w:sz="0" w:space="0" w:color="auto"/>
          </w:divBdr>
        </w:div>
        <w:div w:id="1293708093">
          <w:marLeft w:val="0"/>
          <w:marRight w:val="0"/>
          <w:marTop w:val="0"/>
          <w:marBottom w:val="0"/>
          <w:divBdr>
            <w:top w:val="none" w:sz="0" w:space="0" w:color="auto"/>
            <w:left w:val="none" w:sz="0" w:space="0" w:color="auto"/>
            <w:bottom w:val="none" w:sz="0" w:space="0" w:color="auto"/>
            <w:right w:val="none" w:sz="0" w:space="0" w:color="auto"/>
          </w:divBdr>
        </w:div>
        <w:div w:id="957950917">
          <w:marLeft w:val="0"/>
          <w:marRight w:val="0"/>
          <w:marTop w:val="0"/>
          <w:marBottom w:val="0"/>
          <w:divBdr>
            <w:top w:val="none" w:sz="0" w:space="0" w:color="auto"/>
            <w:left w:val="none" w:sz="0" w:space="0" w:color="auto"/>
            <w:bottom w:val="none" w:sz="0" w:space="0" w:color="auto"/>
            <w:right w:val="none" w:sz="0" w:space="0" w:color="auto"/>
          </w:divBdr>
        </w:div>
        <w:div w:id="1259680389">
          <w:marLeft w:val="0"/>
          <w:marRight w:val="0"/>
          <w:marTop w:val="0"/>
          <w:marBottom w:val="0"/>
          <w:divBdr>
            <w:top w:val="none" w:sz="0" w:space="0" w:color="auto"/>
            <w:left w:val="none" w:sz="0" w:space="0" w:color="auto"/>
            <w:bottom w:val="none" w:sz="0" w:space="0" w:color="auto"/>
            <w:right w:val="none" w:sz="0" w:space="0" w:color="auto"/>
          </w:divBdr>
        </w:div>
      </w:divsChild>
    </w:div>
    <w:div w:id="707412333">
      <w:bodyDiv w:val="1"/>
      <w:marLeft w:val="0"/>
      <w:marRight w:val="0"/>
      <w:marTop w:val="0"/>
      <w:marBottom w:val="0"/>
      <w:divBdr>
        <w:top w:val="none" w:sz="0" w:space="0" w:color="auto"/>
        <w:left w:val="none" w:sz="0" w:space="0" w:color="auto"/>
        <w:bottom w:val="none" w:sz="0" w:space="0" w:color="auto"/>
        <w:right w:val="none" w:sz="0" w:space="0" w:color="auto"/>
      </w:divBdr>
      <w:divsChild>
        <w:div w:id="1021004632">
          <w:marLeft w:val="0"/>
          <w:marRight w:val="0"/>
          <w:marTop w:val="0"/>
          <w:marBottom w:val="0"/>
          <w:divBdr>
            <w:top w:val="none" w:sz="0" w:space="0" w:color="auto"/>
            <w:left w:val="none" w:sz="0" w:space="0" w:color="auto"/>
            <w:bottom w:val="none" w:sz="0" w:space="0" w:color="auto"/>
            <w:right w:val="none" w:sz="0" w:space="0" w:color="auto"/>
          </w:divBdr>
        </w:div>
        <w:div w:id="2116633895">
          <w:marLeft w:val="0"/>
          <w:marRight w:val="0"/>
          <w:marTop w:val="0"/>
          <w:marBottom w:val="0"/>
          <w:divBdr>
            <w:top w:val="none" w:sz="0" w:space="0" w:color="auto"/>
            <w:left w:val="none" w:sz="0" w:space="0" w:color="auto"/>
            <w:bottom w:val="none" w:sz="0" w:space="0" w:color="auto"/>
            <w:right w:val="none" w:sz="0" w:space="0" w:color="auto"/>
          </w:divBdr>
        </w:div>
        <w:div w:id="322319818">
          <w:marLeft w:val="0"/>
          <w:marRight w:val="0"/>
          <w:marTop w:val="0"/>
          <w:marBottom w:val="0"/>
          <w:divBdr>
            <w:top w:val="none" w:sz="0" w:space="0" w:color="auto"/>
            <w:left w:val="none" w:sz="0" w:space="0" w:color="auto"/>
            <w:bottom w:val="none" w:sz="0" w:space="0" w:color="auto"/>
            <w:right w:val="none" w:sz="0" w:space="0" w:color="auto"/>
          </w:divBdr>
        </w:div>
      </w:divsChild>
    </w:div>
    <w:div w:id="746223619">
      <w:bodyDiv w:val="1"/>
      <w:marLeft w:val="0"/>
      <w:marRight w:val="0"/>
      <w:marTop w:val="0"/>
      <w:marBottom w:val="0"/>
      <w:divBdr>
        <w:top w:val="none" w:sz="0" w:space="0" w:color="auto"/>
        <w:left w:val="none" w:sz="0" w:space="0" w:color="auto"/>
        <w:bottom w:val="none" w:sz="0" w:space="0" w:color="auto"/>
        <w:right w:val="none" w:sz="0" w:space="0" w:color="auto"/>
      </w:divBdr>
      <w:divsChild>
        <w:div w:id="1497304559">
          <w:marLeft w:val="0"/>
          <w:marRight w:val="0"/>
          <w:marTop w:val="0"/>
          <w:marBottom w:val="0"/>
          <w:divBdr>
            <w:top w:val="none" w:sz="0" w:space="0" w:color="auto"/>
            <w:left w:val="none" w:sz="0" w:space="0" w:color="auto"/>
            <w:bottom w:val="none" w:sz="0" w:space="0" w:color="auto"/>
            <w:right w:val="none" w:sz="0" w:space="0" w:color="auto"/>
          </w:divBdr>
        </w:div>
        <w:div w:id="431435701">
          <w:marLeft w:val="0"/>
          <w:marRight w:val="0"/>
          <w:marTop w:val="0"/>
          <w:marBottom w:val="0"/>
          <w:divBdr>
            <w:top w:val="none" w:sz="0" w:space="0" w:color="auto"/>
            <w:left w:val="none" w:sz="0" w:space="0" w:color="auto"/>
            <w:bottom w:val="none" w:sz="0" w:space="0" w:color="auto"/>
            <w:right w:val="none" w:sz="0" w:space="0" w:color="auto"/>
          </w:divBdr>
        </w:div>
        <w:div w:id="1413893581">
          <w:marLeft w:val="0"/>
          <w:marRight w:val="0"/>
          <w:marTop w:val="0"/>
          <w:marBottom w:val="0"/>
          <w:divBdr>
            <w:top w:val="none" w:sz="0" w:space="0" w:color="auto"/>
            <w:left w:val="none" w:sz="0" w:space="0" w:color="auto"/>
            <w:bottom w:val="none" w:sz="0" w:space="0" w:color="auto"/>
            <w:right w:val="none" w:sz="0" w:space="0" w:color="auto"/>
          </w:divBdr>
        </w:div>
        <w:div w:id="1377512723">
          <w:marLeft w:val="0"/>
          <w:marRight w:val="0"/>
          <w:marTop w:val="0"/>
          <w:marBottom w:val="0"/>
          <w:divBdr>
            <w:top w:val="none" w:sz="0" w:space="0" w:color="auto"/>
            <w:left w:val="none" w:sz="0" w:space="0" w:color="auto"/>
            <w:bottom w:val="none" w:sz="0" w:space="0" w:color="auto"/>
            <w:right w:val="none" w:sz="0" w:space="0" w:color="auto"/>
          </w:divBdr>
        </w:div>
        <w:div w:id="1423841776">
          <w:marLeft w:val="0"/>
          <w:marRight w:val="0"/>
          <w:marTop w:val="0"/>
          <w:marBottom w:val="0"/>
          <w:divBdr>
            <w:top w:val="none" w:sz="0" w:space="0" w:color="auto"/>
            <w:left w:val="none" w:sz="0" w:space="0" w:color="auto"/>
            <w:bottom w:val="none" w:sz="0" w:space="0" w:color="auto"/>
            <w:right w:val="none" w:sz="0" w:space="0" w:color="auto"/>
          </w:divBdr>
        </w:div>
        <w:div w:id="533540504">
          <w:marLeft w:val="0"/>
          <w:marRight w:val="0"/>
          <w:marTop w:val="0"/>
          <w:marBottom w:val="0"/>
          <w:divBdr>
            <w:top w:val="none" w:sz="0" w:space="0" w:color="auto"/>
            <w:left w:val="none" w:sz="0" w:space="0" w:color="auto"/>
            <w:bottom w:val="none" w:sz="0" w:space="0" w:color="auto"/>
            <w:right w:val="none" w:sz="0" w:space="0" w:color="auto"/>
          </w:divBdr>
        </w:div>
        <w:div w:id="455414588">
          <w:marLeft w:val="0"/>
          <w:marRight w:val="0"/>
          <w:marTop w:val="0"/>
          <w:marBottom w:val="0"/>
          <w:divBdr>
            <w:top w:val="none" w:sz="0" w:space="0" w:color="auto"/>
            <w:left w:val="none" w:sz="0" w:space="0" w:color="auto"/>
            <w:bottom w:val="none" w:sz="0" w:space="0" w:color="auto"/>
            <w:right w:val="none" w:sz="0" w:space="0" w:color="auto"/>
          </w:divBdr>
        </w:div>
        <w:div w:id="2107653098">
          <w:marLeft w:val="0"/>
          <w:marRight w:val="0"/>
          <w:marTop w:val="0"/>
          <w:marBottom w:val="0"/>
          <w:divBdr>
            <w:top w:val="none" w:sz="0" w:space="0" w:color="auto"/>
            <w:left w:val="none" w:sz="0" w:space="0" w:color="auto"/>
            <w:bottom w:val="none" w:sz="0" w:space="0" w:color="auto"/>
            <w:right w:val="none" w:sz="0" w:space="0" w:color="auto"/>
          </w:divBdr>
        </w:div>
        <w:div w:id="245841667">
          <w:marLeft w:val="0"/>
          <w:marRight w:val="0"/>
          <w:marTop w:val="0"/>
          <w:marBottom w:val="0"/>
          <w:divBdr>
            <w:top w:val="none" w:sz="0" w:space="0" w:color="auto"/>
            <w:left w:val="none" w:sz="0" w:space="0" w:color="auto"/>
            <w:bottom w:val="none" w:sz="0" w:space="0" w:color="auto"/>
            <w:right w:val="none" w:sz="0" w:space="0" w:color="auto"/>
          </w:divBdr>
        </w:div>
        <w:div w:id="1605917349">
          <w:marLeft w:val="0"/>
          <w:marRight w:val="0"/>
          <w:marTop w:val="0"/>
          <w:marBottom w:val="0"/>
          <w:divBdr>
            <w:top w:val="none" w:sz="0" w:space="0" w:color="auto"/>
            <w:left w:val="none" w:sz="0" w:space="0" w:color="auto"/>
            <w:bottom w:val="none" w:sz="0" w:space="0" w:color="auto"/>
            <w:right w:val="none" w:sz="0" w:space="0" w:color="auto"/>
          </w:divBdr>
        </w:div>
        <w:div w:id="68189141">
          <w:marLeft w:val="0"/>
          <w:marRight w:val="0"/>
          <w:marTop w:val="0"/>
          <w:marBottom w:val="0"/>
          <w:divBdr>
            <w:top w:val="none" w:sz="0" w:space="0" w:color="auto"/>
            <w:left w:val="none" w:sz="0" w:space="0" w:color="auto"/>
            <w:bottom w:val="none" w:sz="0" w:space="0" w:color="auto"/>
            <w:right w:val="none" w:sz="0" w:space="0" w:color="auto"/>
          </w:divBdr>
        </w:div>
        <w:div w:id="1408527646">
          <w:marLeft w:val="0"/>
          <w:marRight w:val="0"/>
          <w:marTop w:val="0"/>
          <w:marBottom w:val="0"/>
          <w:divBdr>
            <w:top w:val="none" w:sz="0" w:space="0" w:color="auto"/>
            <w:left w:val="none" w:sz="0" w:space="0" w:color="auto"/>
            <w:bottom w:val="none" w:sz="0" w:space="0" w:color="auto"/>
            <w:right w:val="none" w:sz="0" w:space="0" w:color="auto"/>
          </w:divBdr>
        </w:div>
        <w:div w:id="1013609199">
          <w:marLeft w:val="0"/>
          <w:marRight w:val="0"/>
          <w:marTop w:val="0"/>
          <w:marBottom w:val="0"/>
          <w:divBdr>
            <w:top w:val="none" w:sz="0" w:space="0" w:color="auto"/>
            <w:left w:val="none" w:sz="0" w:space="0" w:color="auto"/>
            <w:bottom w:val="none" w:sz="0" w:space="0" w:color="auto"/>
            <w:right w:val="none" w:sz="0" w:space="0" w:color="auto"/>
          </w:divBdr>
        </w:div>
        <w:div w:id="1788037243">
          <w:marLeft w:val="0"/>
          <w:marRight w:val="0"/>
          <w:marTop w:val="0"/>
          <w:marBottom w:val="0"/>
          <w:divBdr>
            <w:top w:val="none" w:sz="0" w:space="0" w:color="auto"/>
            <w:left w:val="none" w:sz="0" w:space="0" w:color="auto"/>
            <w:bottom w:val="none" w:sz="0" w:space="0" w:color="auto"/>
            <w:right w:val="none" w:sz="0" w:space="0" w:color="auto"/>
          </w:divBdr>
        </w:div>
        <w:div w:id="556212307">
          <w:marLeft w:val="0"/>
          <w:marRight w:val="0"/>
          <w:marTop w:val="0"/>
          <w:marBottom w:val="0"/>
          <w:divBdr>
            <w:top w:val="none" w:sz="0" w:space="0" w:color="auto"/>
            <w:left w:val="none" w:sz="0" w:space="0" w:color="auto"/>
            <w:bottom w:val="none" w:sz="0" w:space="0" w:color="auto"/>
            <w:right w:val="none" w:sz="0" w:space="0" w:color="auto"/>
          </w:divBdr>
        </w:div>
        <w:div w:id="514810537">
          <w:marLeft w:val="0"/>
          <w:marRight w:val="0"/>
          <w:marTop w:val="0"/>
          <w:marBottom w:val="0"/>
          <w:divBdr>
            <w:top w:val="none" w:sz="0" w:space="0" w:color="auto"/>
            <w:left w:val="none" w:sz="0" w:space="0" w:color="auto"/>
            <w:bottom w:val="none" w:sz="0" w:space="0" w:color="auto"/>
            <w:right w:val="none" w:sz="0" w:space="0" w:color="auto"/>
          </w:divBdr>
        </w:div>
        <w:div w:id="625355186">
          <w:marLeft w:val="0"/>
          <w:marRight w:val="0"/>
          <w:marTop w:val="0"/>
          <w:marBottom w:val="0"/>
          <w:divBdr>
            <w:top w:val="none" w:sz="0" w:space="0" w:color="auto"/>
            <w:left w:val="none" w:sz="0" w:space="0" w:color="auto"/>
            <w:bottom w:val="none" w:sz="0" w:space="0" w:color="auto"/>
            <w:right w:val="none" w:sz="0" w:space="0" w:color="auto"/>
          </w:divBdr>
        </w:div>
        <w:div w:id="874390572">
          <w:marLeft w:val="0"/>
          <w:marRight w:val="0"/>
          <w:marTop w:val="0"/>
          <w:marBottom w:val="0"/>
          <w:divBdr>
            <w:top w:val="none" w:sz="0" w:space="0" w:color="auto"/>
            <w:left w:val="none" w:sz="0" w:space="0" w:color="auto"/>
            <w:bottom w:val="none" w:sz="0" w:space="0" w:color="auto"/>
            <w:right w:val="none" w:sz="0" w:space="0" w:color="auto"/>
          </w:divBdr>
        </w:div>
        <w:div w:id="1035424702">
          <w:marLeft w:val="0"/>
          <w:marRight w:val="0"/>
          <w:marTop w:val="0"/>
          <w:marBottom w:val="0"/>
          <w:divBdr>
            <w:top w:val="none" w:sz="0" w:space="0" w:color="auto"/>
            <w:left w:val="none" w:sz="0" w:space="0" w:color="auto"/>
            <w:bottom w:val="none" w:sz="0" w:space="0" w:color="auto"/>
            <w:right w:val="none" w:sz="0" w:space="0" w:color="auto"/>
          </w:divBdr>
        </w:div>
        <w:div w:id="1395542409">
          <w:marLeft w:val="0"/>
          <w:marRight w:val="0"/>
          <w:marTop w:val="0"/>
          <w:marBottom w:val="0"/>
          <w:divBdr>
            <w:top w:val="none" w:sz="0" w:space="0" w:color="auto"/>
            <w:left w:val="none" w:sz="0" w:space="0" w:color="auto"/>
            <w:bottom w:val="none" w:sz="0" w:space="0" w:color="auto"/>
            <w:right w:val="none" w:sz="0" w:space="0" w:color="auto"/>
          </w:divBdr>
        </w:div>
        <w:div w:id="704256902">
          <w:marLeft w:val="0"/>
          <w:marRight w:val="0"/>
          <w:marTop w:val="0"/>
          <w:marBottom w:val="0"/>
          <w:divBdr>
            <w:top w:val="none" w:sz="0" w:space="0" w:color="auto"/>
            <w:left w:val="none" w:sz="0" w:space="0" w:color="auto"/>
            <w:bottom w:val="none" w:sz="0" w:space="0" w:color="auto"/>
            <w:right w:val="none" w:sz="0" w:space="0" w:color="auto"/>
          </w:divBdr>
        </w:div>
        <w:div w:id="36244223">
          <w:marLeft w:val="0"/>
          <w:marRight w:val="0"/>
          <w:marTop w:val="0"/>
          <w:marBottom w:val="0"/>
          <w:divBdr>
            <w:top w:val="none" w:sz="0" w:space="0" w:color="auto"/>
            <w:left w:val="none" w:sz="0" w:space="0" w:color="auto"/>
            <w:bottom w:val="none" w:sz="0" w:space="0" w:color="auto"/>
            <w:right w:val="none" w:sz="0" w:space="0" w:color="auto"/>
          </w:divBdr>
        </w:div>
        <w:div w:id="1971010838">
          <w:marLeft w:val="0"/>
          <w:marRight w:val="0"/>
          <w:marTop w:val="0"/>
          <w:marBottom w:val="0"/>
          <w:divBdr>
            <w:top w:val="none" w:sz="0" w:space="0" w:color="auto"/>
            <w:left w:val="none" w:sz="0" w:space="0" w:color="auto"/>
            <w:bottom w:val="none" w:sz="0" w:space="0" w:color="auto"/>
            <w:right w:val="none" w:sz="0" w:space="0" w:color="auto"/>
          </w:divBdr>
        </w:div>
        <w:div w:id="2146652048">
          <w:marLeft w:val="0"/>
          <w:marRight w:val="0"/>
          <w:marTop w:val="0"/>
          <w:marBottom w:val="0"/>
          <w:divBdr>
            <w:top w:val="none" w:sz="0" w:space="0" w:color="auto"/>
            <w:left w:val="none" w:sz="0" w:space="0" w:color="auto"/>
            <w:bottom w:val="none" w:sz="0" w:space="0" w:color="auto"/>
            <w:right w:val="none" w:sz="0" w:space="0" w:color="auto"/>
          </w:divBdr>
        </w:div>
        <w:div w:id="1456102464">
          <w:marLeft w:val="0"/>
          <w:marRight w:val="0"/>
          <w:marTop w:val="0"/>
          <w:marBottom w:val="0"/>
          <w:divBdr>
            <w:top w:val="none" w:sz="0" w:space="0" w:color="auto"/>
            <w:left w:val="none" w:sz="0" w:space="0" w:color="auto"/>
            <w:bottom w:val="none" w:sz="0" w:space="0" w:color="auto"/>
            <w:right w:val="none" w:sz="0" w:space="0" w:color="auto"/>
          </w:divBdr>
        </w:div>
        <w:div w:id="801656822">
          <w:marLeft w:val="0"/>
          <w:marRight w:val="0"/>
          <w:marTop w:val="0"/>
          <w:marBottom w:val="0"/>
          <w:divBdr>
            <w:top w:val="none" w:sz="0" w:space="0" w:color="auto"/>
            <w:left w:val="none" w:sz="0" w:space="0" w:color="auto"/>
            <w:bottom w:val="none" w:sz="0" w:space="0" w:color="auto"/>
            <w:right w:val="none" w:sz="0" w:space="0" w:color="auto"/>
          </w:divBdr>
        </w:div>
        <w:div w:id="842819349">
          <w:marLeft w:val="0"/>
          <w:marRight w:val="0"/>
          <w:marTop w:val="0"/>
          <w:marBottom w:val="0"/>
          <w:divBdr>
            <w:top w:val="none" w:sz="0" w:space="0" w:color="auto"/>
            <w:left w:val="none" w:sz="0" w:space="0" w:color="auto"/>
            <w:bottom w:val="none" w:sz="0" w:space="0" w:color="auto"/>
            <w:right w:val="none" w:sz="0" w:space="0" w:color="auto"/>
          </w:divBdr>
        </w:div>
        <w:div w:id="810558168">
          <w:marLeft w:val="0"/>
          <w:marRight w:val="0"/>
          <w:marTop w:val="0"/>
          <w:marBottom w:val="0"/>
          <w:divBdr>
            <w:top w:val="none" w:sz="0" w:space="0" w:color="auto"/>
            <w:left w:val="none" w:sz="0" w:space="0" w:color="auto"/>
            <w:bottom w:val="none" w:sz="0" w:space="0" w:color="auto"/>
            <w:right w:val="none" w:sz="0" w:space="0" w:color="auto"/>
          </w:divBdr>
        </w:div>
        <w:div w:id="1484732680">
          <w:marLeft w:val="0"/>
          <w:marRight w:val="0"/>
          <w:marTop w:val="0"/>
          <w:marBottom w:val="0"/>
          <w:divBdr>
            <w:top w:val="none" w:sz="0" w:space="0" w:color="auto"/>
            <w:left w:val="none" w:sz="0" w:space="0" w:color="auto"/>
            <w:bottom w:val="none" w:sz="0" w:space="0" w:color="auto"/>
            <w:right w:val="none" w:sz="0" w:space="0" w:color="auto"/>
          </w:divBdr>
        </w:div>
        <w:div w:id="2101871485">
          <w:marLeft w:val="0"/>
          <w:marRight w:val="0"/>
          <w:marTop w:val="0"/>
          <w:marBottom w:val="0"/>
          <w:divBdr>
            <w:top w:val="none" w:sz="0" w:space="0" w:color="auto"/>
            <w:left w:val="none" w:sz="0" w:space="0" w:color="auto"/>
            <w:bottom w:val="none" w:sz="0" w:space="0" w:color="auto"/>
            <w:right w:val="none" w:sz="0" w:space="0" w:color="auto"/>
          </w:divBdr>
        </w:div>
        <w:div w:id="1409691071">
          <w:marLeft w:val="0"/>
          <w:marRight w:val="0"/>
          <w:marTop w:val="0"/>
          <w:marBottom w:val="0"/>
          <w:divBdr>
            <w:top w:val="none" w:sz="0" w:space="0" w:color="auto"/>
            <w:left w:val="none" w:sz="0" w:space="0" w:color="auto"/>
            <w:bottom w:val="none" w:sz="0" w:space="0" w:color="auto"/>
            <w:right w:val="none" w:sz="0" w:space="0" w:color="auto"/>
          </w:divBdr>
        </w:div>
        <w:div w:id="2133472389">
          <w:marLeft w:val="0"/>
          <w:marRight w:val="0"/>
          <w:marTop w:val="0"/>
          <w:marBottom w:val="0"/>
          <w:divBdr>
            <w:top w:val="none" w:sz="0" w:space="0" w:color="auto"/>
            <w:left w:val="none" w:sz="0" w:space="0" w:color="auto"/>
            <w:bottom w:val="none" w:sz="0" w:space="0" w:color="auto"/>
            <w:right w:val="none" w:sz="0" w:space="0" w:color="auto"/>
          </w:divBdr>
        </w:div>
        <w:div w:id="2050063487">
          <w:marLeft w:val="0"/>
          <w:marRight w:val="0"/>
          <w:marTop w:val="0"/>
          <w:marBottom w:val="0"/>
          <w:divBdr>
            <w:top w:val="none" w:sz="0" w:space="0" w:color="auto"/>
            <w:left w:val="none" w:sz="0" w:space="0" w:color="auto"/>
            <w:bottom w:val="none" w:sz="0" w:space="0" w:color="auto"/>
            <w:right w:val="none" w:sz="0" w:space="0" w:color="auto"/>
          </w:divBdr>
        </w:div>
        <w:div w:id="898975998">
          <w:marLeft w:val="0"/>
          <w:marRight w:val="0"/>
          <w:marTop w:val="0"/>
          <w:marBottom w:val="0"/>
          <w:divBdr>
            <w:top w:val="none" w:sz="0" w:space="0" w:color="auto"/>
            <w:left w:val="none" w:sz="0" w:space="0" w:color="auto"/>
            <w:bottom w:val="none" w:sz="0" w:space="0" w:color="auto"/>
            <w:right w:val="none" w:sz="0" w:space="0" w:color="auto"/>
          </w:divBdr>
        </w:div>
        <w:div w:id="1586111087">
          <w:marLeft w:val="0"/>
          <w:marRight w:val="0"/>
          <w:marTop w:val="0"/>
          <w:marBottom w:val="0"/>
          <w:divBdr>
            <w:top w:val="none" w:sz="0" w:space="0" w:color="auto"/>
            <w:left w:val="none" w:sz="0" w:space="0" w:color="auto"/>
            <w:bottom w:val="none" w:sz="0" w:space="0" w:color="auto"/>
            <w:right w:val="none" w:sz="0" w:space="0" w:color="auto"/>
          </w:divBdr>
        </w:div>
        <w:div w:id="2121022830">
          <w:marLeft w:val="0"/>
          <w:marRight w:val="0"/>
          <w:marTop w:val="0"/>
          <w:marBottom w:val="0"/>
          <w:divBdr>
            <w:top w:val="none" w:sz="0" w:space="0" w:color="auto"/>
            <w:left w:val="none" w:sz="0" w:space="0" w:color="auto"/>
            <w:bottom w:val="none" w:sz="0" w:space="0" w:color="auto"/>
            <w:right w:val="none" w:sz="0" w:space="0" w:color="auto"/>
          </w:divBdr>
        </w:div>
        <w:div w:id="1308703272">
          <w:marLeft w:val="0"/>
          <w:marRight w:val="0"/>
          <w:marTop w:val="0"/>
          <w:marBottom w:val="0"/>
          <w:divBdr>
            <w:top w:val="none" w:sz="0" w:space="0" w:color="auto"/>
            <w:left w:val="none" w:sz="0" w:space="0" w:color="auto"/>
            <w:bottom w:val="none" w:sz="0" w:space="0" w:color="auto"/>
            <w:right w:val="none" w:sz="0" w:space="0" w:color="auto"/>
          </w:divBdr>
        </w:div>
        <w:div w:id="914314280">
          <w:marLeft w:val="0"/>
          <w:marRight w:val="0"/>
          <w:marTop w:val="0"/>
          <w:marBottom w:val="0"/>
          <w:divBdr>
            <w:top w:val="none" w:sz="0" w:space="0" w:color="auto"/>
            <w:left w:val="none" w:sz="0" w:space="0" w:color="auto"/>
            <w:bottom w:val="none" w:sz="0" w:space="0" w:color="auto"/>
            <w:right w:val="none" w:sz="0" w:space="0" w:color="auto"/>
          </w:divBdr>
        </w:div>
        <w:div w:id="385954676">
          <w:marLeft w:val="0"/>
          <w:marRight w:val="0"/>
          <w:marTop w:val="0"/>
          <w:marBottom w:val="0"/>
          <w:divBdr>
            <w:top w:val="none" w:sz="0" w:space="0" w:color="auto"/>
            <w:left w:val="none" w:sz="0" w:space="0" w:color="auto"/>
            <w:bottom w:val="none" w:sz="0" w:space="0" w:color="auto"/>
            <w:right w:val="none" w:sz="0" w:space="0" w:color="auto"/>
          </w:divBdr>
        </w:div>
        <w:div w:id="1833181718">
          <w:marLeft w:val="0"/>
          <w:marRight w:val="0"/>
          <w:marTop w:val="0"/>
          <w:marBottom w:val="0"/>
          <w:divBdr>
            <w:top w:val="none" w:sz="0" w:space="0" w:color="auto"/>
            <w:left w:val="none" w:sz="0" w:space="0" w:color="auto"/>
            <w:bottom w:val="none" w:sz="0" w:space="0" w:color="auto"/>
            <w:right w:val="none" w:sz="0" w:space="0" w:color="auto"/>
          </w:divBdr>
        </w:div>
        <w:div w:id="911041624">
          <w:marLeft w:val="0"/>
          <w:marRight w:val="0"/>
          <w:marTop w:val="0"/>
          <w:marBottom w:val="0"/>
          <w:divBdr>
            <w:top w:val="none" w:sz="0" w:space="0" w:color="auto"/>
            <w:left w:val="none" w:sz="0" w:space="0" w:color="auto"/>
            <w:bottom w:val="none" w:sz="0" w:space="0" w:color="auto"/>
            <w:right w:val="none" w:sz="0" w:space="0" w:color="auto"/>
          </w:divBdr>
        </w:div>
      </w:divsChild>
    </w:div>
    <w:div w:id="799496538">
      <w:bodyDiv w:val="1"/>
      <w:marLeft w:val="0"/>
      <w:marRight w:val="0"/>
      <w:marTop w:val="0"/>
      <w:marBottom w:val="0"/>
      <w:divBdr>
        <w:top w:val="none" w:sz="0" w:space="0" w:color="auto"/>
        <w:left w:val="none" w:sz="0" w:space="0" w:color="auto"/>
        <w:bottom w:val="none" w:sz="0" w:space="0" w:color="auto"/>
        <w:right w:val="none" w:sz="0" w:space="0" w:color="auto"/>
      </w:divBdr>
    </w:div>
    <w:div w:id="890112419">
      <w:bodyDiv w:val="1"/>
      <w:marLeft w:val="0"/>
      <w:marRight w:val="0"/>
      <w:marTop w:val="0"/>
      <w:marBottom w:val="0"/>
      <w:divBdr>
        <w:top w:val="none" w:sz="0" w:space="0" w:color="auto"/>
        <w:left w:val="none" w:sz="0" w:space="0" w:color="auto"/>
        <w:bottom w:val="none" w:sz="0" w:space="0" w:color="auto"/>
        <w:right w:val="none" w:sz="0" w:space="0" w:color="auto"/>
      </w:divBdr>
      <w:divsChild>
        <w:div w:id="1029180382">
          <w:marLeft w:val="0"/>
          <w:marRight w:val="0"/>
          <w:marTop w:val="0"/>
          <w:marBottom w:val="0"/>
          <w:divBdr>
            <w:top w:val="none" w:sz="0" w:space="0" w:color="auto"/>
            <w:left w:val="none" w:sz="0" w:space="0" w:color="auto"/>
            <w:bottom w:val="none" w:sz="0" w:space="0" w:color="auto"/>
            <w:right w:val="none" w:sz="0" w:space="0" w:color="auto"/>
          </w:divBdr>
        </w:div>
        <w:div w:id="1593512932">
          <w:marLeft w:val="0"/>
          <w:marRight w:val="0"/>
          <w:marTop w:val="0"/>
          <w:marBottom w:val="0"/>
          <w:divBdr>
            <w:top w:val="none" w:sz="0" w:space="0" w:color="auto"/>
            <w:left w:val="none" w:sz="0" w:space="0" w:color="auto"/>
            <w:bottom w:val="none" w:sz="0" w:space="0" w:color="auto"/>
            <w:right w:val="none" w:sz="0" w:space="0" w:color="auto"/>
          </w:divBdr>
        </w:div>
        <w:div w:id="464739897">
          <w:marLeft w:val="0"/>
          <w:marRight w:val="0"/>
          <w:marTop w:val="0"/>
          <w:marBottom w:val="0"/>
          <w:divBdr>
            <w:top w:val="none" w:sz="0" w:space="0" w:color="auto"/>
            <w:left w:val="none" w:sz="0" w:space="0" w:color="auto"/>
            <w:bottom w:val="none" w:sz="0" w:space="0" w:color="auto"/>
            <w:right w:val="none" w:sz="0" w:space="0" w:color="auto"/>
          </w:divBdr>
        </w:div>
        <w:div w:id="1543862567">
          <w:marLeft w:val="0"/>
          <w:marRight w:val="0"/>
          <w:marTop w:val="0"/>
          <w:marBottom w:val="0"/>
          <w:divBdr>
            <w:top w:val="none" w:sz="0" w:space="0" w:color="auto"/>
            <w:left w:val="none" w:sz="0" w:space="0" w:color="auto"/>
            <w:bottom w:val="none" w:sz="0" w:space="0" w:color="auto"/>
            <w:right w:val="none" w:sz="0" w:space="0" w:color="auto"/>
          </w:divBdr>
        </w:div>
        <w:div w:id="1849447931">
          <w:marLeft w:val="0"/>
          <w:marRight w:val="0"/>
          <w:marTop w:val="0"/>
          <w:marBottom w:val="0"/>
          <w:divBdr>
            <w:top w:val="none" w:sz="0" w:space="0" w:color="auto"/>
            <w:left w:val="none" w:sz="0" w:space="0" w:color="auto"/>
            <w:bottom w:val="none" w:sz="0" w:space="0" w:color="auto"/>
            <w:right w:val="none" w:sz="0" w:space="0" w:color="auto"/>
          </w:divBdr>
        </w:div>
        <w:div w:id="587273999">
          <w:marLeft w:val="0"/>
          <w:marRight w:val="0"/>
          <w:marTop w:val="0"/>
          <w:marBottom w:val="0"/>
          <w:divBdr>
            <w:top w:val="none" w:sz="0" w:space="0" w:color="auto"/>
            <w:left w:val="none" w:sz="0" w:space="0" w:color="auto"/>
            <w:bottom w:val="none" w:sz="0" w:space="0" w:color="auto"/>
            <w:right w:val="none" w:sz="0" w:space="0" w:color="auto"/>
          </w:divBdr>
        </w:div>
        <w:div w:id="910314947">
          <w:marLeft w:val="0"/>
          <w:marRight w:val="0"/>
          <w:marTop w:val="0"/>
          <w:marBottom w:val="0"/>
          <w:divBdr>
            <w:top w:val="none" w:sz="0" w:space="0" w:color="auto"/>
            <w:left w:val="none" w:sz="0" w:space="0" w:color="auto"/>
            <w:bottom w:val="none" w:sz="0" w:space="0" w:color="auto"/>
            <w:right w:val="none" w:sz="0" w:space="0" w:color="auto"/>
          </w:divBdr>
        </w:div>
        <w:div w:id="1178738097">
          <w:marLeft w:val="0"/>
          <w:marRight w:val="0"/>
          <w:marTop w:val="0"/>
          <w:marBottom w:val="0"/>
          <w:divBdr>
            <w:top w:val="none" w:sz="0" w:space="0" w:color="auto"/>
            <w:left w:val="none" w:sz="0" w:space="0" w:color="auto"/>
            <w:bottom w:val="none" w:sz="0" w:space="0" w:color="auto"/>
            <w:right w:val="none" w:sz="0" w:space="0" w:color="auto"/>
          </w:divBdr>
        </w:div>
        <w:div w:id="815755834">
          <w:marLeft w:val="0"/>
          <w:marRight w:val="0"/>
          <w:marTop w:val="0"/>
          <w:marBottom w:val="0"/>
          <w:divBdr>
            <w:top w:val="none" w:sz="0" w:space="0" w:color="auto"/>
            <w:left w:val="none" w:sz="0" w:space="0" w:color="auto"/>
            <w:bottom w:val="none" w:sz="0" w:space="0" w:color="auto"/>
            <w:right w:val="none" w:sz="0" w:space="0" w:color="auto"/>
          </w:divBdr>
        </w:div>
        <w:div w:id="1079718183">
          <w:marLeft w:val="0"/>
          <w:marRight w:val="0"/>
          <w:marTop w:val="0"/>
          <w:marBottom w:val="0"/>
          <w:divBdr>
            <w:top w:val="none" w:sz="0" w:space="0" w:color="auto"/>
            <w:left w:val="none" w:sz="0" w:space="0" w:color="auto"/>
            <w:bottom w:val="none" w:sz="0" w:space="0" w:color="auto"/>
            <w:right w:val="none" w:sz="0" w:space="0" w:color="auto"/>
          </w:divBdr>
        </w:div>
      </w:divsChild>
    </w:div>
    <w:div w:id="991719942">
      <w:bodyDiv w:val="1"/>
      <w:marLeft w:val="0"/>
      <w:marRight w:val="0"/>
      <w:marTop w:val="0"/>
      <w:marBottom w:val="0"/>
      <w:divBdr>
        <w:top w:val="none" w:sz="0" w:space="0" w:color="auto"/>
        <w:left w:val="none" w:sz="0" w:space="0" w:color="auto"/>
        <w:bottom w:val="none" w:sz="0" w:space="0" w:color="auto"/>
        <w:right w:val="none" w:sz="0" w:space="0" w:color="auto"/>
      </w:divBdr>
    </w:div>
    <w:div w:id="1148667033">
      <w:bodyDiv w:val="1"/>
      <w:marLeft w:val="0"/>
      <w:marRight w:val="0"/>
      <w:marTop w:val="0"/>
      <w:marBottom w:val="0"/>
      <w:divBdr>
        <w:top w:val="none" w:sz="0" w:space="0" w:color="auto"/>
        <w:left w:val="none" w:sz="0" w:space="0" w:color="auto"/>
        <w:bottom w:val="none" w:sz="0" w:space="0" w:color="auto"/>
        <w:right w:val="none" w:sz="0" w:space="0" w:color="auto"/>
      </w:divBdr>
      <w:divsChild>
        <w:div w:id="196234872">
          <w:marLeft w:val="0"/>
          <w:marRight w:val="0"/>
          <w:marTop w:val="0"/>
          <w:marBottom w:val="0"/>
          <w:divBdr>
            <w:top w:val="none" w:sz="0" w:space="0" w:color="auto"/>
            <w:left w:val="none" w:sz="0" w:space="0" w:color="auto"/>
            <w:bottom w:val="none" w:sz="0" w:space="0" w:color="auto"/>
            <w:right w:val="none" w:sz="0" w:space="0" w:color="auto"/>
          </w:divBdr>
        </w:div>
        <w:div w:id="1629778690">
          <w:marLeft w:val="0"/>
          <w:marRight w:val="0"/>
          <w:marTop w:val="0"/>
          <w:marBottom w:val="0"/>
          <w:divBdr>
            <w:top w:val="none" w:sz="0" w:space="0" w:color="auto"/>
            <w:left w:val="none" w:sz="0" w:space="0" w:color="auto"/>
            <w:bottom w:val="none" w:sz="0" w:space="0" w:color="auto"/>
            <w:right w:val="none" w:sz="0" w:space="0" w:color="auto"/>
          </w:divBdr>
        </w:div>
        <w:div w:id="1264219491">
          <w:marLeft w:val="0"/>
          <w:marRight w:val="0"/>
          <w:marTop w:val="0"/>
          <w:marBottom w:val="0"/>
          <w:divBdr>
            <w:top w:val="none" w:sz="0" w:space="0" w:color="auto"/>
            <w:left w:val="none" w:sz="0" w:space="0" w:color="auto"/>
            <w:bottom w:val="none" w:sz="0" w:space="0" w:color="auto"/>
            <w:right w:val="none" w:sz="0" w:space="0" w:color="auto"/>
          </w:divBdr>
        </w:div>
        <w:div w:id="298800612">
          <w:marLeft w:val="0"/>
          <w:marRight w:val="0"/>
          <w:marTop w:val="0"/>
          <w:marBottom w:val="0"/>
          <w:divBdr>
            <w:top w:val="none" w:sz="0" w:space="0" w:color="auto"/>
            <w:left w:val="none" w:sz="0" w:space="0" w:color="auto"/>
            <w:bottom w:val="none" w:sz="0" w:space="0" w:color="auto"/>
            <w:right w:val="none" w:sz="0" w:space="0" w:color="auto"/>
          </w:divBdr>
        </w:div>
        <w:div w:id="474180560">
          <w:marLeft w:val="0"/>
          <w:marRight w:val="0"/>
          <w:marTop w:val="0"/>
          <w:marBottom w:val="0"/>
          <w:divBdr>
            <w:top w:val="none" w:sz="0" w:space="0" w:color="auto"/>
            <w:left w:val="none" w:sz="0" w:space="0" w:color="auto"/>
            <w:bottom w:val="none" w:sz="0" w:space="0" w:color="auto"/>
            <w:right w:val="none" w:sz="0" w:space="0" w:color="auto"/>
          </w:divBdr>
        </w:div>
      </w:divsChild>
    </w:div>
    <w:div w:id="1186404322">
      <w:bodyDiv w:val="1"/>
      <w:marLeft w:val="0"/>
      <w:marRight w:val="0"/>
      <w:marTop w:val="0"/>
      <w:marBottom w:val="0"/>
      <w:divBdr>
        <w:top w:val="none" w:sz="0" w:space="0" w:color="auto"/>
        <w:left w:val="none" w:sz="0" w:space="0" w:color="auto"/>
        <w:bottom w:val="none" w:sz="0" w:space="0" w:color="auto"/>
        <w:right w:val="none" w:sz="0" w:space="0" w:color="auto"/>
      </w:divBdr>
    </w:div>
    <w:div w:id="1218203160">
      <w:bodyDiv w:val="1"/>
      <w:marLeft w:val="0"/>
      <w:marRight w:val="0"/>
      <w:marTop w:val="0"/>
      <w:marBottom w:val="0"/>
      <w:divBdr>
        <w:top w:val="none" w:sz="0" w:space="0" w:color="auto"/>
        <w:left w:val="none" w:sz="0" w:space="0" w:color="auto"/>
        <w:bottom w:val="none" w:sz="0" w:space="0" w:color="auto"/>
        <w:right w:val="none" w:sz="0" w:space="0" w:color="auto"/>
      </w:divBdr>
    </w:div>
    <w:div w:id="1473642927">
      <w:bodyDiv w:val="1"/>
      <w:marLeft w:val="0"/>
      <w:marRight w:val="0"/>
      <w:marTop w:val="0"/>
      <w:marBottom w:val="0"/>
      <w:divBdr>
        <w:top w:val="none" w:sz="0" w:space="0" w:color="auto"/>
        <w:left w:val="none" w:sz="0" w:space="0" w:color="auto"/>
        <w:bottom w:val="none" w:sz="0" w:space="0" w:color="auto"/>
        <w:right w:val="none" w:sz="0" w:space="0" w:color="auto"/>
      </w:divBdr>
    </w:div>
    <w:div w:id="1598366211">
      <w:bodyDiv w:val="1"/>
      <w:marLeft w:val="0"/>
      <w:marRight w:val="0"/>
      <w:marTop w:val="0"/>
      <w:marBottom w:val="0"/>
      <w:divBdr>
        <w:top w:val="none" w:sz="0" w:space="0" w:color="auto"/>
        <w:left w:val="none" w:sz="0" w:space="0" w:color="auto"/>
        <w:bottom w:val="none" w:sz="0" w:space="0" w:color="auto"/>
        <w:right w:val="none" w:sz="0" w:space="0" w:color="auto"/>
      </w:divBdr>
      <w:divsChild>
        <w:div w:id="213083896">
          <w:marLeft w:val="0"/>
          <w:marRight w:val="0"/>
          <w:marTop w:val="0"/>
          <w:marBottom w:val="0"/>
          <w:divBdr>
            <w:top w:val="none" w:sz="0" w:space="0" w:color="auto"/>
            <w:left w:val="none" w:sz="0" w:space="0" w:color="auto"/>
            <w:bottom w:val="none" w:sz="0" w:space="0" w:color="auto"/>
            <w:right w:val="none" w:sz="0" w:space="0" w:color="auto"/>
          </w:divBdr>
        </w:div>
        <w:div w:id="1797332676">
          <w:marLeft w:val="0"/>
          <w:marRight w:val="0"/>
          <w:marTop w:val="0"/>
          <w:marBottom w:val="0"/>
          <w:divBdr>
            <w:top w:val="none" w:sz="0" w:space="0" w:color="auto"/>
            <w:left w:val="none" w:sz="0" w:space="0" w:color="auto"/>
            <w:bottom w:val="none" w:sz="0" w:space="0" w:color="auto"/>
            <w:right w:val="none" w:sz="0" w:space="0" w:color="auto"/>
          </w:divBdr>
        </w:div>
        <w:div w:id="1353804889">
          <w:marLeft w:val="0"/>
          <w:marRight w:val="0"/>
          <w:marTop w:val="0"/>
          <w:marBottom w:val="0"/>
          <w:divBdr>
            <w:top w:val="none" w:sz="0" w:space="0" w:color="auto"/>
            <w:left w:val="none" w:sz="0" w:space="0" w:color="auto"/>
            <w:bottom w:val="none" w:sz="0" w:space="0" w:color="auto"/>
            <w:right w:val="none" w:sz="0" w:space="0" w:color="auto"/>
          </w:divBdr>
        </w:div>
        <w:div w:id="1291588084">
          <w:marLeft w:val="0"/>
          <w:marRight w:val="0"/>
          <w:marTop w:val="0"/>
          <w:marBottom w:val="0"/>
          <w:divBdr>
            <w:top w:val="none" w:sz="0" w:space="0" w:color="auto"/>
            <w:left w:val="none" w:sz="0" w:space="0" w:color="auto"/>
            <w:bottom w:val="none" w:sz="0" w:space="0" w:color="auto"/>
            <w:right w:val="none" w:sz="0" w:space="0" w:color="auto"/>
          </w:divBdr>
        </w:div>
        <w:div w:id="1172767443">
          <w:marLeft w:val="0"/>
          <w:marRight w:val="0"/>
          <w:marTop w:val="0"/>
          <w:marBottom w:val="0"/>
          <w:divBdr>
            <w:top w:val="none" w:sz="0" w:space="0" w:color="auto"/>
            <w:left w:val="none" w:sz="0" w:space="0" w:color="auto"/>
            <w:bottom w:val="none" w:sz="0" w:space="0" w:color="auto"/>
            <w:right w:val="none" w:sz="0" w:space="0" w:color="auto"/>
          </w:divBdr>
        </w:div>
      </w:divsChild>
    </w:div>
    <w:div w:id="1650986273">
      <w:bodyDiv w:val="1"/>
      <w:marLeft w:val="0"/>
      <w:marRight w:val="0"/>
      <w:marTop w:val="0"/>
      <w:marBottom w:val="0"/>
      <w:divBdr>
        <w:top w:val="none" w:sz="0" w:space="0" w:color="auto"/>
        <w:left w:val="none" w:sz="0" w:space="0" w:color="auto"/>
        <w:bottom w:val="none" w:sz="0" w:space="0" w:color="auto"/>
        <w:right w:val="none" w:sz="0" w:space="0" w:color="auto"/>
      </w:divBdr>
    </w:div>
    <w:div w:id="1767068805">
      <w:bodyDiv w:val="1"/>
      <w:marLeft w:val="0"/>
      <w:marRight w:val="0"/>
      <w:marTop w:val="0"/>
      <w:marBottom w:val="0"/>
      <w:divBdr>
        <w:top w:val="none" w:sz="0" w:space="0" w:color="auto"/>
        <w:left w:val="none" w:sz="0" w:space="0" w:color="auto"/>
        <w:bottom w:val="none" w:sz="0" w:space="0" w:color="auto"/>
        <w:right w:val="none" w:sz="0" w:space="0" w:color="auto"/>
      </w:divBdr>
    </w:div>
    <w:div w:id="1806854810">
      <w:bodyDiv w:val="1"/>
      <w:marLeft w:val="0"/>
      <w:marRight w:val="0"/>
      <w:marTop w:val="0"/>
      <w:marBottom w:val="0"/>
      <w:divBdr>
        <w:top w:val="none" w:sz="0" w:space="0" w:color="auto"/>
        <w:left w:val="none" w:sz="0" w:space="0" w:color="auto"/>
        <w:bottom w:val="none" w:sz="0" w:space="0" w:color="auto"/>
        <w:right w:val="none" w:sz="0" w:space="0" w:color="auto"/>
      </w:divBdr>
    </w:div>
    <w:div w:id="1877502838">
      <w:bodyDiv w:val="1"/>
      <w:marLeft w:val="0"/>
      <w:marRight w:val="0"/>
      <w:marTop w:val="0"/>
      <w:marBottom w:val="0"/>
      <w:divBdr>
        <w:top w:val="none" w:sz="0" w:space="0" w:color="auto"/>
        <w:left w:val="none" w:sz="0" w:space="0" w:color="auto"/>
        <w:bottom w:val="none" w:sz="0" w:space="0" w:color="auto"/>
        <w:right w:val="none" w:sz="0" w:space="0" w:color="auto"/>
      </w:divBdr>
    </w:div>
    <w:div w:id="2004123154">
      <w:bodyDiv w:val="1"/>
      <w:marLeft w:val="0"/>
      <w:marRight w:val="0"/>
      <w:marTop w:val="0"/>
      <w:marBottom w:val="0"/>
      <w:divBdr>
        <w:top w:val="none" w:sz="0" w:space="0" w:color="auto"/>
        <w:left w:val="none" w:sz="0" w:space="0" w:color="auto"/>
        <w:bottom w:val="none" w:sz="0" w:space="0" w:color="auto"/>
        <w:right w:val="none" w:sz="0" w:space="0" w:color="auto"/>
      </w:divBdr>
    </w:div>
    <w:div w:id="20749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E1760-29A7-458C-B4DB-D57F98BF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5859</Words>
  <Characters>33401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Icomp Claim Form</vt:lpstr>
    </vt:vector>
  </TitlesOfParts>
  <LinksUpToDate>false</LinksUpToDate>
  <CharactersWithSpaces>39182</CharactersWithSpaces>
  <SharedDoc>false</SharedDoc>
  <HyperlinkBase> </HyperlinkBase>
  <HLinks>
    <vt:vector size="12" baseType="variant">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Icomp Claim Form</dc:title>
  <dc:subject>Icomp Claim Form.</dc:subject>
  <dc:creator/>
  <dc:description>Icomp Claim Form.</dc:description>
  <cp:lastModifiedBy/>
  <cp:revision>1</cp:revision>
  <cp:lastPrinted>2013-07-15T17:59:00Z</cp:lastPrinted>
  <dcterms:created xsi:type="dcterms:W3CDTF">2018-08-10T21:46:00Z</dcterms:created>
  <dcterms:modified xsi:type="dcterms:W3CDTF">2018-08-23T17:54:00Z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://www.cpuc.ca.gov/DownloadAsset.aspx?id=2655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Icomp Claim Form.</vt:lpwstr>
  </property>
  <property fmtid="{D5CDD505-2E9C-101B-9397-08002B2CF9AE}" pid="8" name="EktExpiryDate">
    <vt:filetime>2016-02-02T19:55:00Z</vt:filetime>
  </property>
  <property fmtid="{D5CDD505-2E9C-101B-9397-08002B2CF9AE}" pid="9" name="EktExpiryType">
    <vt:i4>3</vt:i4>
  </property>
  <property fmtid="{D5CDD505-2E9C-101B-9397-08002B2CF9AE}" pid="10" name="EktDateCreated">
    <vt:filetime>2015-10-12T16:17:45Z</vt:filetime>
  </property>
  <property fmtid="{D5CDD505-2E9C-101B-9397-08002B2CF9AE}" pid="11" name="EktDateModified">
    <vt:filetime>2015-11-04T19:54:18Z</vt:filetime>
  </property>
  <property fmtid="{D5CDD505-2E9C-101B-9397-08002B2CF9AE}" pid="12" name="EktTaxCategory">
    <vt:lpwstr> #eksep# \Business Units\Administrative Law Judges #eksep# </vt:lpwstr>
  </property>
  <property fmtid="{D5CDD505-2E9C-101B-9397-08002B2CF9AE}" pid="13" name="EktDisabledTaxCategory">
    <vt:lpwstr/>
  </property>
  <property fmtid="{D5CDD505-2E9C-101B-9397-08002B2CF9AE}" pid="14" name="EktCmsSize">
    <vt:i4>139776</vt:i4>
  </property>
  <property fmtid="{D5CDD505-2E9C-101B-9397-08002B2CF9AE}" pid="15" name="EktSearchable">
    <vt:i4>1</vt:i4>
  </property>
  <property fmtid="{D5CDD505-2E9C-101B-9397-08002B2CF9AE}" pid="16" name="EktEDescription">
    <vt:lpwstr>Summary Icomp Claim Form.</vt:lpwstr>
  </property>
  <property fmtid="{D5CDD505-2E9C-101B-9397-08002B2CF9AE}" pid="17" name="ekttaxonomyenabled">
    <vt:i4>1</vt:i4>
  </property>
</Properties>
</file>