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A6" w:rsidRPr="00B82CE8" w:rsidRDefault="00C232A6" w:rsidP="00C232A6">
      <w:pPr>
        <w:pStyle w:val="titlebar"/>
        <w:spacing w:before="480"/>
        <w:rPr>
          <w:szCs w:val="26"/>
        </w:rPr>
      </w:pPr>
      <w:r w:rsidRPr="00B82CE8">
        <w:rPr>
          <w:szCs w:val="26"/>
        </w:rPr>
        <w:t>PUBLIC UTILITIES COMMISSION OF THE STATE OF CALIFORNIA</w:t>
      </w:r>
    </w:p>
    <w:tbl>
      <w:tblPr>
        <w:tblW w:w="0" w:type="auto"/>
        <w:tblLook w:val="0000" w:firstRow="0" w:lastRow="0" w:firstColumn="0" w:lastColumn="0" w:noHBand="0" w:noVBand="0"/>
      </w:tblPr>
      <w:tblGrid>
        <w:gridCol w:w="5328"/>
        <w:gridCol w:w="3528"/>
      </w:tblGrid>
      <w:tr w:rsidR="00C232A6" w:rsidRPr="00F45AB4" w:rsidTr="00C71C0D">
        <w:trPr>
          <w:cantSplit/>
          <w:trHeight w:val="590"/>
        </w:trPr>
        <w:tc>
          <w:tcPr>
            <w:tcW w:w="5328" w:type="dxa"/>
          </w:tcPr>
          <w:p w:rsidR="00C232A6" w:rsidRPr="00BD668B" w:rsidRDefault="00C232A6" w:rsidP="00C71C0D">
            <w:pPr>
              <w:spacing w:before="480"/>
              <w:rPr>
                <w:rFonts w:ascii="Palatino Linotype" w:hAnsi="Palatino Linotype"/>
                <w:smallCaps/>
                <w:sz w:val="26"/>
              </w:rPr>
            </w:pPr>
            <w:r w:rsidRPr="00BD668B">
              <w:rPr>
                <w:rFonts w:ascii="Palatino Linotype" w:hAnsi="Palatino Linotype"/>
                <w:smallCaps/>
                <w:sz w:val="26"/>
              </w:rPr>
              <w:t>Safety and Enforcement Division</w:t>
            </w:r>
          </w:p>
          <w:p w:rsidR="00C232A6" w:rsidRPr="00151D98" w:rsidRDefault="00C232A6" w:rsidP="00C71C0D">
            <w:pPr>
              <w:rPr>
                <w:rFonts w:ascii="Palatino Linotype" w:hAnsi="Palatino Linotype"/>
                <w:smallCaps/>
              </w:rPr>
            </w:pPr>
            <w:r w:rsidRPr="00151D98">
              <w:rPr>
                <w:rFonts w:ascii="Palatino Linotype" w:hAnsi="Palatino Linotype"/>
                <w:smallCaps/>
                <w:sz w:val="26"/>
              </w:rPr>
              <w:t>Rail Transit Safety Branch</w:t>
            </w:r>
          </w:p>
        </w:tc>
        <w:tc>
          <w:tcPr>
            <w:tcW w:w="3528" w:type="dxa"/>
          </w:tcPr>
          <w:p w:rsidR="00C232A6" w:rsidRPr="00F45AB4" w:rsidRDefault="00C232A6" w:rsidP="00C71C0D">
            <w:pPr>
              <w:spacing w:before="480"/>
              <w:ind w:left="720"/>
              <w:rPr>
                <w:rFonts w:ascii="Palatino Linotype" w:hAnsi="Palatino Linotype"/>
                <w:sz w:val="26"/>
              </w:rPr>
            </w:pPr>
            <w:r w:rsidRPr="00F45AB4">
              <w:rPr>
                <w:rFonts w:ascii="Palatino Linotype" w:hAnsi="Palatino Linotype"/>
                <w:sz w:val="26"/>
              </w:rPr>
              <w:t>Resolution ST-2</w:t>
            </w:r>
            <w:r>
              <w:rPr>
                <w:rFonts w:ascii="Palatino Linotype" w:hAnsi="Palatino Linotype"/>
                <w:sz w:val="26"/>
              </w:rPr>
              <w:t>1</w:t>
            </w:r>
            <w:r w:rsidR="006D3E15">
              <w:rPr>
                <w:rFonts w:ascii="Palatino Linotype" w:hAnsi="Palatino Linotype"/>
                <w:sz w:val="26"/>
              </w:rPr>
              <w:t>2</w:t>
            </w:r>
          </w:p>
          <w:p w:rsidR="00795B22" w:rsidRPr="00F45AB4" w:rsidRDefault="006D3E15" w:rsidP="00696B43">
            <w:pPr>
              <w:spacing w:after="20"/>
              <w:ind w:left="720"/>
              <w:rPr>
                <w:rFonts w:ascii="Palatino Linotype" w:hAnsi="Palatino Linotype"/>
                <w:sz w:val="26"/>
              </w:rPr>
            </w:pPr>
            <w:r>
              <w:rPr>
                <w:rFonts w:ascii="Palatino" w:hAnsi="Palatino"/>
                <w:sz w:val="26"/>
              </w:rPr>
              <w:t>October 11, 2018</w:t>
            </w:r>
          </w:p>
        </w:tc>
      </w:tr>
    </w:tbl>
    <w:p w:rsidR="00C232A6" w:rsidRPr="00F45AB4" w:rsidRDefault="00C232A6" w:rsidP="00C232A6">
      <w:pPr>
        <w:pStyle w:val="Heading1"/>
        <w:spacing w:before="480"/>
        <w:rPr>
          <w:rFonts w:ascii="Palatino Linotype" w:hAnsi="Palatino Linotype"/>
          <w:szCs w:val="26"/>
        </w:rPr>
      </w:pPr>
      <w:r w:rsidRPr="00F45AB4">
        <w:rPr>
          <w:rFonts w:ascii="Palatino Linotype" w:hAnsi="Palatino Linotype"/>
        </w:rPr>
        <w:t>RESOLUTION</w:t>
      </w:r>
    </w:p>
    <w:p w:rsidR="00B83649" w:rsidRPr="00F45AB4" w:rsidRDefault="006D3E15" w:rsidP="00B83649">
      <w:pPr>
        <w:pStyle w:val="Style1"/>
        <w:tabs>
          <w:tab w:val="clear" w:pos="-720"/>
          <w:tab w:val="left" w:pos="540"/>
        </w:tabs>
        <w:suppressAutoHyphens w:val="0"/>
        <w:spacing w:before="260" w:after="0"/>
        <w:jc w:val="center"/>
        <w:rPr>
          <w:rFonts w:ascii="Palatino Linotype" w:hAnsi="Palatino Linotype"/>
          <w:szCs w:val="24"/>
        </w:rPr>
      </w:pPr>
      <w:r w:rsidRPr="006D3E15">
        <w:rPr>
          <w:rFonts w:ascii="Palatino Linotype" w:hAnsi="Palatino Linotype"/>
          <w:caps/>
        </w:rPr>
        <w:t>RESOLUTION ST-212 GRANTING APPROVAL OF THE LOS ANGELES WORLD AIRPORTS LANDSIDE ACCESS MODERNIZATION PROGRAM AUTOMATED PEOPLE MOVER PROJECT</w:t>
      </w:r>
      <w:r>
        <w:rPr>
          <w:rFonts w:ascii="Palatino Linotype" w:hAnsi="Palatino Linotype"/>
          <w:caps/>
        </w:rPr>
        <w:br/>
      </w:r>
      <w:r w:rsidRPr="006D3E15">
        <w:rPr>
          <w:rFonts w:ascii="Palatino Linotype" w:hAnsi="Palatino Linotype"/>
          <w:szCs w:val="24"/>
        </w:rPr>
        <w:t>SAFETY CERTIFICATION PLAN</w:t>
      </w:r>
    </w:p>
    <w:p w:rsidR="00B83649" w:rsidRPr="00B6666F" w:rsidRDefault="00C232A6" w:rsidP="00B83649">
      <w:pPr>
        <w:pStyle w:val="Heading1"/>
        <w:spacing w:before="480"/>
        <w:jc w:val="both"/>
        <w:rPr>
          <w:rFonts w:ascii="Palatino Linotype" w:hAnsi="Palatino Linotype"/>
          <w:smallCaps/>
          <w:sz w:val="28"/>
        </w:rPr>
      </w:pPr>
      <w:r w:rsidRPr="00B6666F">
        <w:rPr>
          <w:rFonts w:ascii="Palatino Linotype" w:hAnsi="Palatino Linotype"/>
          <w:smallCaps/>
          <w:sz w:val="28"/>
        </w:rPr>
        <w:t>Summary</w:t>
      </w:r>
    </w:p>
    <w:p w:rsidR="00B83649" w:rsidRPr="00F45AB4" w:rsidRDefault="006D3E15" w:rsidP="00DE34D2">
      <w:pPr>
        <w:pStyle w:val="BodyText"/>
        <w:spacing w:before="260" w:beforeAutospacing="0" w:after="0" w:afterAutospacing="0"/>
        <w:rPr>
          <w:rFonts w:ascii="Palatino Linotype" w:hAnsi="Palatino Linotype"/>
          <w:sz w:val="26"/>
          <w:szCs w:val="26"/>
        </w:rPr>
      </w:pPr>
      <w:r w:rsidRPr="006D3E15">
        <w:rPr>
          <w:rFonts w:ascii="Palatino Linotype" w:hAnsi="Palatino Linotype"/>
          <w:sz w:val="26"/>
          <w:szCs w:val="26"/>
        </w:rPr>
        <w:t>This Resolution grants the request of the Los Angeles World Airports for approval of the Safety Certification Plan for the Landside Access Modernization Program Automated People Mover Project.</w:t>
      </w:r>
    </w:p>
    <w:p w:rsidR="00B83649" w:rsidRPr="00B6666F" w:rsidRDefault="006D3E15" w:rsidP="00B83649">
      <w:pPr>
        <w:pStyle w:val="Heading1"/>
        <w:spacing w:before="480"/>
        <w:jc w:val="both"/>
        <w:rPr>
          <w:rFonts w:ascii="Palatino Linotype" w:hAnsi="Palatino Linotype"/>
          <w:smallCaps/>
          <w:sz w:val="28"/>
        </w:rPr>
      </w:pPr>
      <w:r>
        <w:rPr>
          <w:rFonts w:ascii="Palatino Linotype" w:hAnsi="Palatino Linotype"/>
          <w:smallCaps/>
          <w:sz w:val="28"/>
        </w:rPr>
        <w:t xml:space="preserve">Product </w:t>
      </w:r>
      <w:proofErr w:type="spellStart"/>
      <w:r>
        <w:rPr>
          <w:rFonts w:ascii="Palatino Linotype" w:hAnsi="Palatino Linotype"/>
          <w:smallCaps/>
          <w:sz w:val="28"/>
        </w:rPr>
        <w:t>Discruption</w:t>
      </w:r>
      <w:proofErr w:type="spellEnd"/>
    </w:p>
    <w:p w:rsidR="006D3E15" w:rsidRPr="006D3E15" w:rsidRDefault="006D3E15" w:rsidP="006D3E15">
      <w:pPr>
        <w:pStyle w:val="NormalPalatino"/>
        <w:spacing w:before="260"/>
        <w:rPr>
          <w:rFonts w:ascii="Palatino Linotype" w:hAnsi="Palatino Linotype"/>
        </w:rPr>
      </w:pPr>
      <w:r w:rsidRPr="006D3E15">
        <w:rPr>
          <w:rFonts w:ascii="Palatino Linotype" w:hAnsi="Palatino Linotype"/>
        </w:rPr>
        <w:t xml:space="preserve">The Los Angeles World Airports (LAWA) Landside Access Modernization Program Automated People Mover (APM) Project includes planning, design, construction and operation of a 2.25-mile APM elevated fixed guideway system that will shuttle travelers and airport workers between the </w:t>
      </w:r>
      <w:proofErr w:type="spellStart"/>
      <w:r w:rsidRPr="006D3E15">
        <w:rPr>
          <w:rFonts w:ascii="Palatino Linotype" w:hAnsi="Palatino Linotype"/>
        </w:rPr>
        <w:t>the</w:t>
      </w:r>
      <w:proofErr w:type="spellEnd"/>
      <w:r w:rsidRPr="006D3E15">
        <w:rPr>
          <w:rFonts w:ascii="Palatino Linotype" w:hAnsi="Palatino Linotype"/>
        </w:rPr>
        <w:t xml:space="preserve"> Los Angeles Airport (LAX) Central Terminal Area (CTA)  and rental car facilities, parking facilities, and regional public transportation services, including a connection to the Los Angeles County Metropolitan Transportation Authority (Metro) Crenshaw line, which is currently under construction. </w:t>
      </w:r>
    </w:p>
    <w:p w:rsidR="006D3E15" w:rsidRPr="006D3E15" w:rsidRDefault="006D3E15" w:rsidP="006D3E15">
      <w:pPr>
        <w:pStyle w:val="NormalPalatino"/>
        <w:spacing w:before="260"/>
        <w:rPr>
          <w:rFonts w:ascii="Palatino Linotype" w:hAnsi="Palatino Linotype"/>
        </w:rPr>
      </w:pPr>
      <w:r w:rsidRPr="006D3E15">
        <w:rPr>
          <w:rFonts w:ascii="Palatino Linotype" w:hAnsi="Palatino Linotype"/>
        </w:rPr>
        <w:t>The APM System is an automated, rubber-tired people mover that will operate between LAX and the Consolidated-Rent-A-Car facility (</w:t>
      </w:r>
      <w:proofErr w:type="spellStart"/>
      <w:r w:rsidRPr="006D3E15">
        <w:rPr>
          <w:rFonts w:ascii="Palatino Linotype" w:hAnsi="Palatino Linotype"/>
        </w:rPr>
        <w:t>ConRAC</w:t>
      </w:r>
      <w:proofErr w:type="spellEnd"/>
      <w:r w:rsidRPr="006D3E15">
        <w:rPr>
          <w:rFonts w:ascii="Palatino Linotype" w:hAnsi="Palatino Linotype"/>
        </w:rPr>
        <w:t>). The LAWA APM and is owned and operated by LAWA and is scheduled to begin passenger service in March of 2023.</w:t>
      </w:r>
    </w:p>
    <w:p w:rsidR="00DE34D2" w:rsidRDefault="006D3E15" w:rsidP="006D3E15">
      <w:pPr>
        <w:pStyle w:val="NormalPalatino"/>
        <w:spacing w:before="260" w:beforeAutospacing="0" w:after="0" w:afterAutospacing="0"/>
        <w:rPr>
          <w:rFonts w:ascii="Palatino Linotype" w:hAnsi="Palatino Linotype"/>
        </w:rPr>
      </w:pPr>
      <w:r w:rsidRPr="006D3E15">
        <w:rPr>
          <w:rFonts w:ascii="Palatino Linotype" w:hAnsi="Palatino Linotype"/>
        </w:rPr>
        <w:lastRenderedPageBreak/>
        <w:t xml:space="preserve">The APM System’s elevated dual guideways enable people movers to travel in both directions. At completion, the system will have 6 stations.  Its approximate path runs east from the CTA West Station at the Tom Bradley International Terminal to the CTA Central Station, curling around the Theme Building and along Center Way to the CTA East Station, where it then crosses over Sepulveda Boulevard and then turns north to cross over Century Boulevard.  When the guideway reaches 96th Street, it turns back to the east and stops at the Intermodal Transfer Facility (ITF) West Station, then crosses over the Metro Crenshaw line, stops at the ITF East Station, with a connection to the Airport Metro Connector Transit Station, and </w:t>
      </w:r>
      <w:proofErr w:type="gramStart"/>
      <w:r w:rsidRPr="006D3E15">
        <w:rPr>
          <w:rFonts w:ascii="Palatino Linotype" w:hAnsi="Palatino Linotype"/>
        </w:rPr>
        <w:t>continues on</w:t>
      </w:r>
      <w:proofErr w:type="gramEnd"/>
      <w:r w:rsidRPr="006D3E15">
        <w:rPr>
          <w:rFonts w:ascii="Palatino Linotype" w:hAnsi="Palatino Linotype"/>
        </w:rPr>
        <w:t xml:space="preserve"> to the </w:t>
      </w:r>
      <w:proofErr w:type="spellStart"/>
      <w:r w:rsidRPr="006D3E15">
        <w:rPr>
          <w:rFonts w:ascii="Palatino Linotype" w:hAnsi="Palatino Linotype"/>
        </w:rPr>
        <w:t>ConRAC</w:t>
      </w:r>
      <w:proofErr w:type="spellEnd"/>
      <w:r w:rsidRPr="006D3E15">
        <w:rPr>
          <w:rFonts w:ascii="Palatino Linotype" w:hAnsi="Palatino Linotype"/>
        </w:rPr>
        <w:t xml:space="preserve"> Station.</w:t>
      </w:r>
    </w:p>
    <w:p w:rsidR="006D3E15" w:rsidRPr="006D3E15" w:rsidRDefault="00532E65" w:rsidP="006D3E15">
      <w:pPr>
        <w:pStyle w:val="NormalPalatino"/>
        <w:spacing w:before="260"/>
        <w:rPr>
          <w:rFonts w:ascii="Palatino Linotype" w:hAnsi="Palatino Linotype"/>
        </w:rPr>
      </w:pPr>
      <w:r>
        <w:rPr>
          <w:rFonts w:ascii="Palatino Linotype" w:hAnsi="Palatino Linotype"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183pt">
            <v:imagedata r:id="rId8" o:title="LAMP-Program Overview Map"/>
          </v:shape>
        </w:pict>
      </w:r>
    </w:p>
    <w:p w:rsidR="006D3E15" w:rsidRPr="006D3E15" w:rsidRDefault="006D3E15" w:rsidP="006D3E15">
      <w:pPr>
        <w:pStyle w:val="NormalPalatino"/>
        <w:spacing w:before="260"/>
        <w:rPr>
          <w:rFonts w:ascii="Palatino Linotype" w:hAnsi="Palatino Linotype"/>
        </w:rPr>
      </w:pPr>
      <w:r w:rsidRPr="006D3E15">
        <w:rPr>
          <w:rFonts w:ascii="Palatino Linotype" w:hAnsi="Palatino Linotype"/>
        </w:rPr>
        <w:t xml:space="preserve">Project construction will include: </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Approximately 2.25 miles of elevated, grade-separated APM Guideway connecting passenger terminals in the CTA with new airport landside facilities east of the CTA;</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 xml:space="preserve">A total of six (6) APM Stations, five to be constructed by the P3 Developer under the APM Contract.  The overall </w:t>
      </w:r>
      <w:proofErr w:type="spellStart"/>
      <w:r w:rsidRPr="006D3E15">
        <w:rPr>
          <w:rFonts w:ascii="Palatino Linotype" w:hAnsi="Palatino Linotype"/>
        </w:rPr>
        <w:t>ConRAC</w:t>
      </w:r>
      <w:proofErr w:type="spellEnd"/>
      <w:r w:rsidRPr="006D3E15">
        <w:rPr>
          <w:rFonts w:ascii="Palatino Linotype" w:hAnsi="Palatino Linotype"/>
        </w:rPr>
        <w:t xml:space="preserve"> Design and Construction scope will be under a separate contract and will consists of coordinating the design requirements for the APM operating components within the station enclosure provided by the </w:t>
      </w:r>
      <w:proofErr w:type="spellStart"/>
      <w:r w:rsidRPr="006D3E15">
        <w:rPr>
          <w:rFonts w:ascii="Palatino Linotype" w:hAnsi="Palatino Linotype"/>
        </w:rPr>
        <w:t>ConRAC</w:t>
      </w:r>
      <w:proofErr w:type="spellEnd"/>
      <w:r w:rsidRPr="006D3E15">
        <w:rPr>
          <w:rFonts w:ascii="Palatino Linotype" w:hAnsi="Palatino Linotype"/>
        </w:rPr>
        <w:t xml:space="preserve"> Developer;</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lastRenderedPageBreak/>
        <w:t>•</w:t>
      </w:r>
      <w:r w:rsidRPr="006D3E15">
        <w:rPr>
          <w:rFonts w:ascii="Palatino Linotype" w:hAnsi="Palatino Linotype"/>
        </w:rPr>
        <w:tab/>
        <w:t>Mezzanine access to the Airport Metro Connector (AMC) Transit Station (provided by parties outside the scope of this project) to be located at West 96th Street/Aviation Boulevard;</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Elevated Pedestrian Walkways connecting the APM Stations to certain terminals and CTA garages, and connecting ITF West Station to the vertical circulation cores at ITF West Garage;</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APM Operating System components, including driverless vehicles, Automatic Train Control, and Communications;</w:t>
      </w:r>
    </w:p>
    <w:p w:rsidR="006D3E15" w:rsidRPr="006D3E15" w:rsidRDefault="006D3E15" w:rsidP="008059CE">
      <w:pPr>
        <w:pStyle w:val="NormalPalatino"/>
        <w:spacing w:before="26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An APM Maintenance and Storage Facility; and</w:t>
      </w:r>
    </w:p>
    <w:p w:rsidR="006D3E15" w:rsidRPr="00F45AB4" w:rsidRDefault="006D3E15" w:rsidP="008059CE">
      <w:pPr>
        <w:pStyle w:val="NormalPalatino"/>
        <w:spacing w:before="260" w:beforeAutospacing="0" w:after="0" w:afterAutospacing="0"/>
        <w:ind w:left="709" w:hanging="283"/>
        <w:rPr>
          <w:rFonts w:ascii="Palatino Linotype" w:hAnsi="Palatino Linotype"/>
        </w:rPr>
      </w:pPr>
      <w:r w:rsidRPr="006D3E15">
        <w:rPr>
          <w:rFonts w:ascii="Palatino Linotype" w:hAnsi="Palatino Linotype"/>
        </w:rPr>
        <w:t>•</w:t>
      </w:r>
      <w:r w:rsidRPr="006D3E15">
        <w:rPr>
          <w:rFonts w:ascii="Palatino Linotype" w:hAnsi="Palatino Linotype"/>
        </w:rPr>
        <w:tab/>
        <w:t>Traction Power and Facilities Power Substations to support all the APM System electrical load requirements.</w:t>
      </w:r>
    </w:p>
    <w:p w:rsidR="006D3E15" w:rsidRPr="00B6666F" w:rsidRDefault="006D3E15" w:rsidP="006D3E15">
      <w:pPr>
        <w:pStyle w:val="Heading1"/>
        <w:spacing w:before="480"/>
        <w:jc w:val="both"/>
        <w:rPr>
          <w:rFonts w:ascii="Palatino Linotype" w:hAnsi="Palatino Linotype"/>
          <w:smallCaps/>
          <w:sz w:val="28"/>
        </w:rPr>
      </w:pPr>
      <w:r w:rsidRPr="00B6666F">
        <w:rPr>
          <w:rFonts w:ascii="Palatino Linotype" w:hAnsi="Palatino Linotype"/>
          <w:smallCaps/>
          <w:sz w:val="28"/>
        </w:rPr>
        <w:t>Background</w:t>
      </w:r>
    </w:p>
    <w:p w:rsidR="006D3E15" w:rsidRPr="006D3E15" w:rsidRDefault="006D3E15" w:rsidP="006D3E15">
      <w:pPr>
        <w:pStyle w:val="NormalPalatino"/>
        <w:spacing w:before="260"/>
        <w:rPr>
          <w:rFonts w:ascii="Palatino Linotype" w:hAnsi="Palatino Linotype"/>
        </w:rPr>
      </w:pPr>
      <w:r w:rsidRPr="006D3E15">
        <w:rPr>
          <w:rFonts w:ascii="Palatino Linotype" w:hAnsi="Palatino Linotype"/>
        </w:rPr>
        <w:t xml:space="preserve">Commission General Order 164-E, </w:t>
      </w:r>
      <w:r w:rsidRPr="006D3E15">
        <w:rPr>
          <w:rFonts w:ascii="Palatino Linotype" w:hAnsi="Palatino Linotype"/>
          <w:i/>
        </w:rPr>
        <w:t>Rules and Regulations Governing State Safety Oversight of Rail Fixed Guideway Systems</w:t>
      </w:r>
      <w:r w:rsidRPr="006D3E15">
        <w:rPr>
          <w:rFonts w:ascii="Palatino Linotype" w:hAnsi="Palatino Linotype"/>
        </w:rPr>
        <w:t xml:space="preserve">, Section 11, requires that Rail Fixed Guideway Systems prepare a project-specific Safety Certification Plan (SCP) for each major project and ensure that all entities involved in design, construction, operation, and maintenance of the project shall comply with the requirements outlined in the SCP.  The purpose of the SCP is to describe organizational authority and responsibilities, safety certification activities and processes, and documentation requirements and responsibilities. The SCP ensures that elements critical to safety are planned, designed, constructed, analyzed, tested, inspected, and implemented.  The SCP also ensures that training is provided, and rules and procedures are followed.  The SCP includes consideration of security-related issues and the security of the completed and integrated project within LAX Terminal’s layout.  </w:t>
      </w:r>
    </w:p>
    <w:p w:rsidR="006D3E15" w:rsidRDefault="006D3E15" w:rsidP="006D3E15">
      <w:pPr>
        <w:pStyle w:val="NormalPalatino"/>
        <w:spacing w:before="260" w:beforeAutospacing="0" w:after="0" w:afterAutospacing="0"/>
        <w:rPr>
          <w:rFonts w:ascii="Palatino Linotype" w:hAnsi="Palatino Linotype"/>
        </w:rPr>
      </w:pPr>
      <w:r w:rsidRPr="006D3E15">
        <w:rPr>
          <w:rFonts w:ascii="Palatino Linotype" w:hAnsi="Palatino Linotype"/>
        </w:rPr>
        <w:t xml:space="preserve">A written Safety Certification Verification Report (SCVR) is required by CPUC General Order 164-E at the end of the project, before revenue </w:t>
      </w:r>
      <w:r w:rsidRPr="006D3E15">
        <w:rPr>
          <w:rFonts w:ascii="Palatino Linotype" w:hAnsi="Palatino Linotype"/>
        </w:rPr>
        <w:lastRenderedPageBreak/>
        <w:t xml:space="preserve">service can begin.  The SCVR shall be submitted to CPUC staff (Staff) upon project completion.  The SCVR is then reviewed by Staff and, if acceptable, an approval letter is sent to the transit agency by the Safety and Enforcement Division Director, allowing the project to be placed into revenue service.  </w:t>
      </w:r>
    </w:p>
    <w:p w:rsidR="00B83649" w:rsidRPr="00B6666F" w:rsidRDefault="00C232A6" w:rsidP="00B83649">
      <w:pPr>
        <w:pStyle w:val="Heading1"/>
        <w:spacing w:before="480"/>
        <w:jc w:val="both"/>
        <w:rPr>
          <w:rFonts w:ascii="Palatino Linotype" w:hAnsi="Palatino Linotype"/>
          <w:smallCaps/>
          <w:sz w:val="28"/>
        </w:rPr>
      </w:pPr>
      <w:r w:rsidRPr="00B6666F">
        <w:rPr>
          <w:rFonts w:ascii="Palatino Linotype" w:hAnsi="Palatino Linotype"/>
          <w:smallCaps/>
          <w:sz w:val="28"/>
        </w:rPr>
        <w:t>Discussion</w:t>
      </w:r>
    </w:p>
    <w:p w:rsidR="006D3E15" w:rsidRDefault="006D3E15" w:rsidP="006D3E15">
      <w:pPr>
        <w:pStyle w:val="StyleBodyTextPalatinoLinotype13ptBlackBefore"/>
      </w:pPr>
      <w:r>
        <w:t xml:space="preserve">Commission General Order 164-E, Section 11, requires that Rail Fixed Guideway Systems prepare a project-specific SCP for all projects that initiate preliminary engineering after February 27, 2003.  LAWA is responsible for ensuring that all entities involved in design, construction, operation, and maintenance of </w:t>
      </w:r>
      <w:proofErr w:type="gramStart"/>
      <w:r>
        <w:t>all of</w:t>
      </w:r>
      <w:proofErr w:type="gramEnd"/>
      <w:r>
        <w:t xml:space="preserve"> the LAX APM comply with the requirements of the Safety Certification process.</w:t>
      </w:r>
    </w:p>
    <w:p w:rsidR="006D3E15" w:rsidRDefault="006D3E15" w:rsidP="006D3E15">
      <w:pPr>
        <w:pStyle w:val="StyleBodyTextPalatinoLinotype13ptBlackBefore"/>
      </w:pPr>
      <w:r>
        <w:t>On May 22, 2018, LAWA submitted a SCP for the LAX APM project for Staff review and Commission approval.  Based on Staff’s initial review of the submitted SCP, revisions were required.  LAX APM SCP Rev. 2 was resubmitted on July 2, 2018, for Staff review and Commission approval.</w:t>
      </w:r>
    </w:p>
    <w:p w:rsidR="006D3E15" w:rsidRDefault="006D3E15" w:rsidP="006D3E15">
      <w:pPr>
        <w:pStyle w:val="StyleBodyTextPalatinoLinotype13ptBlackBefore"/>
      </w:pPr>
      <w:r>
        <w:t xml:space="preserve">The submitted SCP describes the processes, responsibilities, documentation, and procedures needed for certification.  The intent of the SCP is to define the safety certification management including organizational authority and responsibilities, safety certification activities, processes and procedures.  Additionally, it provides a framework for ensuring that appropriate safety-related activities are performed and documented to support each Certificate of Compliance that will be issued.  </w:t>
      </w:r>
    </w:p>
    <w:p w:rsidR="00B83649" w:rsidRDefault="006D3E15" w:rsidP="006D3E15">
      <w:pPr>
        <w:pStyle w:val="StyleBodyTextPalatinoLinotype13ptBlackBefore"/>
      </w:pPr>
      <w:r>
        <w:t>The SCP objectives are to ensure that the following safety requirements have been satisfied:</w:t>
      </w:r>
    </w:p>
    <w:p w:rsidR="008059CE" w:rsidRDefault="008059CE" w:rsidP="00CE77FA">
      <w:pPr>
        <w:pStyle w:val="StyleBodyTextPalatinoLinotype13ptBlackBefore"/>
        <w:numPr>
          <w:ilvl w:val="0"/>
          <w:numId w:val="1"/>
        </w:numPr>
      </w:pPr>
      <w:r>
        <w:t>Facilities and equipment have been designed, constructed, installed, inspected, and tested in accordance with applicable codes, standards, criteria, and specifications.</w:t>
      </w:r>
    </w:p>
    <w:p w:rsidR="008059CE" w:rsidRDefault="008059CE" w:rsidP="00CE77FA">
      <w:pPr>
        <w:pStyle w:val="StyleBodyTextPalatinoLinotype13ptBlackBefore"/>
        <w:numPr>
          <w:ilvl w:val="0"/>
          <w:numId w:val="1"/>
        </w:numPr>
      </w:pPr>
      <w:r>
        <w:lastRenderedPageBreak/>
        <w:t>Procedures, rules, and other documentation have been adequately developed or reviewed and modified as necessary, by the Contractor.</w:t>
      </w:r>
    </w:p>
    <w:p w:rsidR="008059CE" w:rsidRPr="00D73C9F" w:rsidRDefault="008059CE" w:rsidP="00CE77FA">
      <w:pPr>
        <w:pStyle w:val="StyleBodyTextPalatinoLinotype13ptBlackBefore"/>
        <w:numPr>
          <w:ilvl w:val="0"/>
          <w:numId w:val="1"/>
        </w:numPr>
      </w:pPr>
      <w:r>
        <w:t>Operations and Maintenance personnel have been trained and are certified to perform their respective functions.</w:t>
      </w:r>
    </w:p>
    <w:p w:rsidR="008059CE" w:rsidRDefault="008059CE" w:rsidP="008059CE">
      <w:pPr>
        <w:pStyle w:val="StyleBodyTextPalatinoLinotype13ptBlackBefore"/>
      </w:pPr>
      <w:r>
        <w:t>The project is a design, build, operate and maintain project, so the selected contractors will have primary responsibility for implementation of the SCP, subject to approval and oversight of LAWA.  LAWA will be ultimately responsible for project safety certification and submittal of the SCVR to Commission Staff.</w:t>
      </w:r>
    </w:p>
    <w:p w:rsidR="008059CE" w:rsidRDefault="008059CE" w:rsidP="008059CE">
      <w:pPr>
        <w:pStyle w:val="StyleBodyTextPalatinoLinotype13ptBlackBefore"/>
      </w:pPr>
      <w:r>
        <w:t xml:space="preserve">The developer portion of the project consists of five contractors, Fluor Enterprises, Inc. (Fluor), Balfour Beatty Investments, Inc. (BBI), </w:t>
      </w:r>
      <w:proofErr w:type="spellStart"/>
      <w:r>
        <w:t>Hochtief</w:t>
      </w:r>
      <w:proofErr w:type="spellEnd"/>
      <w:r>
        <w:t xml:space="preserve"> PPP Solutions GmbH (</w:t>
      </w:r>
      <w:proofErr w:type="spellStart"/>
      <w:r>
        <w:t>Hochtief</w:t>
      </w:r>
      <w:proofErr w:type="spellEnd"/>
      <w:r>
        <w:t xml:space="preserve">), ACS Infrastructure Development, Inc. (ACS), and Bombardier Transportation Holdings USA Inc. (Bombardier).  The lead design-build contractor portion of the project consists of Fluor, BBII, Flatiron West, Inc. (Flatiron), HDR Engineering, Inc. (HDR), and Dragados USA, Inc. (Dragados USA).  The lead operations and maintenance portion of the project consists of Fluor, BBII, </w:t>
      </w:r>
      <w:proofErr w:type="spellStart"/>
      <w:r>
        <w:t>Hochtief</w:t>
      </w:r>
      <w:proofErr w:type="spellEnd"/>
      <w:r>
        <w:t xml:space="preserve"> North America, Inc., ACS, and Bombardier.  This conglomerate of contractors identifies themselves as the LAX Integrated Express Solutions (LINXS).  </w:t>
      </w:r>
    </w:p>
    <w:p w:rsidR="008059CE" w:rsidRDefault="008059CE" w:rsidP="008059CE">
      <w:pPr>
        <w:pStyle w:val="StyleBodyTextPalatinoLinotype13ptBlackBefore"/>
      </w:pPr>
      <w:r>
        <w:t xml:space="preserve">The SCP identifies the certifiable elements of the project, as well as the roles and responsibilities of each party (LINXS Contractor Group, LAWA, and CPUC Staff) involved throughout the project.  Staff from the Rail Transit Safety Branch will conduct continuous and ongoing oversight and inspections of the project and SCP implementation as the project progresses.  </w:t>
      </w:r>
    </w:p>
    <w:p w:rsidR="008059CE" w:rsidRDefault="008059CE" w:rsidP="008059CE">
      <w:pPr>
        <w:pStyle w:val="StyleBodyTextPalatinoLinotype13ptBlackBefore"/>
      </w:pPr>
      <w:r>
        <w:t xml:space="preserve">The SCP may be revised and expanded as the project progresses with Staff’s review and approval.  </w:t>
      </w:r>
    </w:p>
    <w:p w:rsidR="00B83649" w:rsidRPr="00D73C9F" w:rsidRDefault="008059CE" w:rsidP="008059CE">
      <w:pPr>
        <w:pStyle w:val="StyleBodyTextPalatinoLinotype13ptBlackBefore"/>
      </w:pPr>
      <w:r>
        <w:t xml:space="preserve">Staff reviewed and analyzed the content of the SCP in accordance with General Order 164-E Section 11, Requirements for Safety Certification Plan.  </w:t>
      </w:r>
      <w:r>
        <w:lastRenderedPageBreak/>
        <w:t xml:space="preserve">Staff finds that the SCP </w:t>
      </w:r>
      <w:proofErr w:type="gramStart"/>
      <w:r>
        <w:t>is in compliance with</w:t>
      </w:r>
      <w:proofErr w:type="gramEnd"/>
      <w:r>
        <w:t xml:space="preserve"> General Order 164-E.  Based upon the results of this review, Staff recommends that the Commission grant approval of LAWA’s SCP.</w:t>
      </w:r>
    </w:p>
    <w:p w:rsidR="00B6666F" w:rsidRPr="00B6666F" w:rsidRDefault="00B6666F" w:rsidP="00B6666F">
      <w:pPr>
        <w:pStyle w:val="Heading1"/>
        <w:tabs>
          <w:tab w:val="right" w:pos="8640"/>
        </w:tabs>
        <w:spacing w:before="480"/>
        <w:jc w:val="both"/>
        <w:rPr>
          <w:rFonts w:ascii="Palatino Linotype" w:hAnsi="Palatino Linotype"/>
          <w:smallCaps/>
          <w:sz w:val="28"/>
        </w:rPr>
      </w:pPr>
      <w:r w:rsidRPr="00B6666F">
        <w:rPr>
          <w:rFonts w:ascii="Palatino Linotype" w:hAnsi="Palatino Linotype"/>
          <w:smallCaps/>
          <w:sz w:val="28"/>
        </w:rPr>
        <w:t>Notice</w:t>
      </w:r>
    </w:p>
    <w:p w:rsidR="00B83649" w:rsidRPr="00D73C9F" w:rsidRDefault="00B83649" w:rsidP="00D73C9F">
      <w:pPr>
        <w:pStyle w:val="BodyText"/>
        <w:spacing w:before="260" w:beforeAutospacing="0" w:after="0" w:afterAutospacing="0"/>
        <w:rPr>
          <w:rFonts w:ascii="Palatino Linotype" w:hAnsi="Palatino Linotype"/>
          <w:sz w:val="26"/>
          <w:szCs w:val="26"/>
        </w:rPr>
      </w:pPr>
      <w:r w:rsidRPr="00D73C9F">
        <w:rPr>
          <w:rFonts w:ascii="Palatino Linotype" w:hAnsi="Palatino Linotype"/>
          <w:sz w:val="26"/>
          <w:szCs w:val="26"/>
        </w:rPr>
        <w:t xml:space="preserve">On </w:t>
      </w:r>
      <w:r w:rsidR="008059CE">
        <w:rPr>
          <w:rFonts w:ascii="Palatino" w:hAnsi="Palatino"/>
          <w:sz w:val="26"/>
          <w:szCs w:val="26"/>
        </w:rPr>
        <w:t>September 6, 2018</w:t>
      </w:r>
      <w:r w:rsidRPr="00D73C9F">
        <w:rPr>
          <w:rFonts w:ascii="Palatino Linotype" w:hAnsi="Palatino Linotype"/>
          <w:sz w:val="26"/>
          <w:szCs w:val="26"/>
        </w:rPr>
        <w:t xml:space="preserve">, this Resolution was published on the Commission’s Daily Calendar.  </w:t>
      </w:r>
    </w:p>
    <w:p w:rsidR="00C232A6" w:rsidRPr="00B6666F" w:rsidRDefault="00C232A6" w:rsidP="00C232A6">
      <w:pPr>
        <w:pStyle w:val="Heading1"/>
        <w:spacing w:before="480"/>
        <w:jc w:val="both"/>
        <w:rPr>
          <w:rFonts w:ascii="Palatino Linotype" w:hAnsi="Palatino Linotype"/>
          <w:smallCaps/>
          <w:sz w:val="28"/>
        </w:rPr>
      </w:pPr>
      <w:r w:rsidRPr="00B6666F">
        <w:rPr>
          <w:rFonts w:ascii="Palatino Linotype" w:hAnsi="Palatino Linotype"/>
          <w:smallCaps/>
          <w:sz w:val="28"/>
        </w:rPr>
        <w:t>Comments</w:t>
      </w:r>
    </w:p>
    <w:p w:rsidR="00B83649" w:rsidRPr="00D73C9F" w:rsidRDefault="00B83649" w:rsidP="00D73C9F">
      <w:pPr>
        <w:pStyle w:val="BodyText"/>
        <w:spacing w:before="260" w:beforeAutospacing="0" w:after="0" w:afterAutospacing="0"/>
        <w:rPr>
          <w:rFonts w:ascii="Palatino Linotype" w:hAnsi="Palatino Linotype"/>
          <w:sz w:val="26"/>
        </w:rPr>
      </w:pPr>
      <w:r w:rsidRPr="00D73C9F">
        <w:rPr>
          <w:rFonts w:ascii="Palatino Linotype" w:hAnsi="Palatino Linotype"/>
          <w:sz w:val="26"/>
        </w:rPr>
        <w:t xml:space="preserve">The draft resolution of the Safety and Enforcement Division in this matter was mailed in accordance with Section 311 of the Public Utilities Code and Rule 14.2(d)(1) of the Commission’s Rules of Practice and Procedure.  </w:t>
      </w:r>
      <w:r w:rsidR="00B82CE8">
        <w:rPr>
          <w:rFonts w:ascii="Palatino Linotype" w:hAnsi="Palatino Linotype"/>
          <w:sz w:val="26"/>
        </w:rPr>
        <w:br/>
      </w:r>
      <w:r w:rsidR="00DE34D2" w:rsidRPr="00D73C9F">
        <w:rPr>
          <w:rFonts w:ascii="Palatino Linotype" w:hAnsi="Palatino Linotype"/>
          <w:sz w:val="26"/>
        </w:rPr>
        <w:t>_____</w:t>
      </w:r>
      <w:r w:rsidR="00B82CE8">
        <w:rPr>
          <w:rFonts w:ascii="Palatino Linotype" w:hAnsi="Palatino Linotype"/>
          <w:sz w:val="26"/>
        </w:rPr>
        <w:t xml:space="preserve"> </w:t>
      </w:r>
      <w:r w:rsidRPr="00D73C9F">
        <w:rPr>
          <w:rFonts w:ascii="Palatino Linotype" w:hAnsi="Palatino Linotype"/>
          <w:sz w:val="26"/>
        </w:rPr>
        <w:t>comments were received.</w:t>
      </w:r>
    </w:p>
    <w:p w:rsidR="00C232A6" w:rsidRPr="00B6666F" w:rsidRDefault="00C232A6" w:rsidP="00C232A6">
      <w:pPr>
        <w:pStyle w:val="Heading1"/>
        <w:spacing w:before="480"/>
        <w:jc w:val="both"/>
        <w:rPr>
          <w:rFonts w:ascii="Palatino Linotype" w:hAnsi="Palatino Linotype"/>
          <w:smallCaps/>
          <w:sz w:val="28"/>
        </w:rPr>
      </w:pPr>
      <w:r w:rsidRPr="00B6666F">
        <w:rPr>
          <w:rFonts w:ascii="Palatino Linotype" w:hAnsi="Palatino Linotype"/>
          <w:smallCaps/>
          <w:sz w:val="28"/>
        </w:rPr>
        <w:t>Findings</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t>On May 22, 2018, LAWA submitted its SCP for the Landside Access Modernization Program Automated People Mover Project for Staff review and Commission approval.</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t>Staff's initial review of the submitted SCP resulted in additional comments, which required updates to SCP Revision 1.</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t>Revision 2 of the SCP was submitted on July 2, 2018.</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t>The LAWA LAX APM Project includes approximately 2.25 miles of elevated, grade-separated APM Guideway connecting passenger terminals in the CTA with new airport landside facilities east of the CTA, with a total of 6 APM Stations.</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t>This SCP identifies the process by which the project will be certified as meeting the established safety and security criteria and standards to operate in revenue service.</w:t>
      </w:r>
    </w:p>
    <w:p w:rsidR="008059CE" w:rsidRPr="008059CE" w:rsidRDefault="008059CE" w:rsidP="00CE77FA">
      <w:pPr>
        <w:pStyle w:val="standard"/>
        <w:numPr>
          <w:ilvl w:val="0"/>
          <w:numId w:val="3"/>
        </w:numPr>
        <w:spacing w:before="260" w:line="240" w:lineRule="auto"/>
        <w:rPr>
          <w:rFonts w:ascii="Palatino Linotype" w:hAnsi="Palatino Linotype"/>
        </w:rPr>
      </w:pPr>
      <w:r w:rsidRPr="008059CE">
        <w:rPr>
          <w:rFonts w:ascii="Palatino Linotype" w:hAnsi="Palatino Linotype"/>
        </w:rPr>
        <w:lastRenderedPageBreak/>
        <w:t>Staff reviewed and analyzed the content of the SCP and found it to be in accordance with General Order 164-E, Section 11 and the Rail Transit Safety Branch Program Management Standard Procedures Manual, State Safety and Security Oversight of Rail Fixed Guideway Systems, Section 9.</w:t>
      </w:r>
    </w:p>
    <w:p w:rsidR="00C232A6" w:rsidRPr="008059CE" w:rsidRDefault="00B6666F" w:rsidP="00B6666F">
      <w:pPr>
        <w:pStyle w:val="Heading1"/>
        <w:spacing w:before="480"/>
        <w:jc w:val="left"/>
        <w:rPr>
          <w:rFonts w:ascii="Palatino Linotype" w:hAnsi="Palatino Linotype"/>
          <w:smallCaps/>
        </w:rPr>
      </w:pPr>
      <w:r w:rsidRPr="008059CE">
        <w:rPr>
          <w:rFonts w:ascii="Palatino Linotype" w:hAnsi="Palatino Linotype"/>
          <w:smallCaps/>
        </w:rPr>
        <w:t>THEREFORE, IT IS ORDERED THAT:</w:t>
      </w:r>
    </w:p>
    <w:p w:rsidR="008059CE" w:rsidRPr="008059CE" w:rsidRDefault="008059CE" w:rsidP="00CE77FA">
      <w:pPr>
        <w:numPr>
          <w:ilvl w:val="0"/>
          <w:numId w:val="2"/>
        </w:numPr>
        <w:tabs>
          <w:tab w:val="left" w:pos="360"/>
        </w:tabs>
        <w:spacing w:before="260"/>
        <w:rPr>
          <w:rFonts w:ascii="Palatino Linotype" w:hAnsi="Palatino Linotype"/>
          <w:sz w:val="26"/>
        </w:rPr>
      </w:pPr>
      <w:r w:rsidRPr="008059CE">
        <w:rPr>
          <w:rFonts w:ascii="Palatino Linotype" w:hAnsi="Palatino Linotype"/>
          <w:sz w:val="26"/>
        </w:rPr>
        <w:t>The request of the Los Angeles World Airports for approval of the Safety Certification Plan for the Landside Modernization Access Program Automated People Mover Project is granted.</w:t>
      </w:r>
    </w:p>
    <w:p w:rsidR="008059CE" w:rsidRPr="008059CE" w:rsidRDefault="008059CE" w:rsidP="00CE77FA">
      <w:pPr>
        <w:numPr>
          <w:ilvl w:val="0"/>
          <w:numId w:val="2"/>
        </w:numPr>
        <w:tabs>
          <w:tab w:val="left" w:pos="360"/>
        </w:tabs>
        <w:spacing w:before="260"/>
        <w:rPr>
          <w:rFonts w:ascii="Palatino Linotype" w:hAnsi="Palatino Linotype"/>
          <w:sz w:val="26"/>
        </w:rPr>
      </w:pPr>
      <w:r w:rsidRPr="008059CE">
        <w:rPr>
          <w:rFonts w:ascii="Palatino Linotype" w:hAnsi="Palatino Linotype"/>
          <w:sz w:val="26"/>
        </w:rPr>
        <w:t>The Los Angeles World Airports shall submit the Safety Certification Verification Report to CPUC Staff upon project completion.</w:t>
      </w:r>
    </w:p>
    <w:p w:rsidR="00B83649" w:rsidRPr="00F45AB4" w:rsidRDefault="008059CE" w:rsidP="00CE77FA">
      <w:pPr>
        <w:numPr>
          <w:ilvl w:val="0"/>
          <w:numId w:val="2"/>
        </w:numPr>
        <w:tabs>
          <w:tab w:val="left" w:pos="360"/>
        </w:tabs>
        <w:spacing w:before="260"/>
        <w:rPr>
          <w:rFonts w:ascii="Palatino Linotype" w:hAnsi="Palatino Linotype"/>
          <w:sz w:val="26"/>
        </w:rPr>
      </w:pPr>
      <w:r w:rsidRPr="008059CE">
        <w:rPr>
          <w:rFonts w:ascii="Palatino Linotype" w:hAnsi="Palatino Linotype"/>
          <w:sz w:val="26"/>
        </w:rPr>
        <w:t>This resolution is effective today.</w:t>
      </w:r>
    </w:p>
    <w:p w:rsidR="00B83649" w:rsidRPr="00F45AB4" w:rsidRDefault="00B83649" w:rsidP="00B83649">
      <w:pPr>
        <w:pStyle w:val="Style1"/>
        <w:tabs>
          <w:tab w:val="clear" w:pos="-720"/>
        </w:tabs>
        <w:suppressAutoHyphens w:val="0"/>
        <w:spacing w:before="260" w:after="0"/>
        <w:rPr>
          <w:rFonts w:ascii="Palatino Linotype" w:hAnsi="Palatino Linotype"/>
          <w:szCs w:val="24"/>
        </w:rPr>
      </w:pPr>
      <w:r w:rsidRPr="00F45AB4">
        <w:rPr>
          <w:rFonts w:ascii="Palatino Linotype" w:hAnsi="Palatino Linotype"/>
          <w:szCs w:val="24"/>
        </w:rPr>
        <w:t xml:space="preserve">I certify that this resolution was adopted by the Public Utilities Commission at its regular meeting held </w:t>
      </w:r>
      <w:r w:rsidRPr="00AC4733">
        <w:rPr>
          <w:rFonts w:ascii="Palatino Linotype" w:hAnsi="Palatino Linotype"/>
          <w:szCs w:val="24"/>
        </w:rPr>
        <w:t xml:space="preserve">on </w:t>
      </w:r>
      <w:r w:rsidR="008059CE" w:rsidRPr="008059CE">
        <w:rPr>
          <w:rFonts w:ascii="Palatino Linotype" w:hAnsi="Palatino Linotype"/>
          <w:szCs w:val="24"/>
        </w:rPr>
        <w:t>October 11, 2018</w:t>
      </w:r>
      <w:r w:rsidRPr="00AC4733">
        <w:rPr>
          <w:rFonts w:ascii="Palatino Linotype" w:hAnsi="Palatino Linotype"/>
          <w:szCs w:val="24"/>
        </w:rPr>
        <w:t>.</w:t>
      </w:r>
      <w:r w:rsidRPr="00F45AB4">
        <w:rPr>
          <w:rFonts w:ascii="Palatino Linotype" w:hAnsi="Palatino Linotype"/>
          <w:szCs w:val="24"/>
        </w:rPr>
        <w:t xml:space="preserve">  The following Commissioners voting favorably thereon:</w:t>
      </w:r>
    </w:p>
    <w:p w:rsidR="00DE34D2" w:rsidRPr="00F062CB" w:rsidRDefault="00F062CB" w:rsidP="00F062CB">
      <w:pPr>
        <w:pStyle w:val="Style1"/>
        <w:tabs>
          <w:tab w:val="clear" w:pos="-720"/>
        </w:tabs>
        <w:suppressAutoHyphens w:val="0"/>
        <w:spacing w:before="720" w:after="0"/>
        <w:ind w:left="4680"/>
        <w:rPr>
          <w:rFonts w:ascii="Palatino Linotype" w:hAnsi="Palatino Linotype"/>
          <w:szCs w:val="24"/>
          <w:u w:val="single"/>
        </w:rPr>
      </w:pPr>
      <w:r>
        <w:rPr>
          <w:rFonts w:ascii="Palatino Linotype" w:hAnsi="Palatino Linotype"/>
          <w:szCs w:val="24"/>
          <w:u w:val="single"/>
        </w:rPr>
        <w:t xml:space="preserve">                                               </w:t>
      </w:r>
    </w:p>
    <w:p w:rsidR="00DE34D2" w:rsidRPr="00F062CB" w:rsidRDefault="00F062CB" w:rsidP="00D73C9F">
      <w:pPr>
        <w:pStyle w:val="Style1"/>
        <w:tabs>
          <w:tab w:val="clear" w:pos="-720"/>
        </w:tabs>
        <w:suppressAutoHyphens w:val="0"/>
        <w:spacing w:after="0" w:line="260" w:lineRule="exact"/>
        <w:ind w:left="4680" w:right="907"/>
        <w:jc w:val="center"/>
        <w:rPr>
          <w:rFonts w:ascii="Palatino Linotype" w:hAnsi="Palatino Linotype"/>
          <w:smallCaps/>
          <w:szCs w:val="24"/>
        </w:rPr>
      </w:pPr>
      <w:r w:rsidRPr="00F062CB">
        <w:rPr>
          <w:rFonts w:ascii="Palatino Linotype" w:hAnsi="Palatino Linotype"/>
          <w:smallCaps/>
          <w:szCs w:val="24"/>
        </w:rPr>
        <w:t>Alice Stebbins</w:t>
      </w:r>
    </w:p>
    <w:p w:rsidR="00DE34D2" w:rsidRDefault="00F062CB" w:rsidP="00D73C9F">
      <w:pPr>
        <w:pStyle w:val="Style1"/>
        <w:tabs>
          <w:tab w:val="clear" w:pos="-720"/>
        </w:tabs>
        <w:suppressAutoHyphens w:val="0"/>
        <w:spacing w:after="0" w:line="260" w:lineRule="exact"/>
        <w:ind w:left="4680" w:right="907"/>
        <w:jc w:val="center"/>
        <w:rPr>
          <w:rFonts w:ascii="Palatino Linotype" w:hAnsi="Palatino Linotype"/>
          <w:szCs w:val="24"/>
        </w:rPr>
      </w:pPr>
      <w:r w:rsidRPr="00F062CB">
        <w:rPr>
          <w:rFonts w:ascii="Palatino Linotype" w:hAnsi="Palatino Linotype"/>
          <w:szCs w:val="24"/>
        </w:rPr>
        <w:t>Executive Director</w:t>
      </w:r>
    </w:p>
    <w:p w:rsidR="008233E1" w:rsidRDefault="008233E1" w:rsidP="00D73C9F">
      <w:pPr>
        <w:pStyle w:val="Style1"/>
        <w:tabs>
          <w:tab w:val="clear" w:pos="-720"/>
        </w:tabs>
        <w:suppressAutoHyphens w:val="0"/>
        <w:spacing w:after="0" w:line="260" w:lineRule="exact"/>
        <w:ind w:left="4680" w:right="907"/>
        <w:jc w:val="center"/>
        <w:rPr>
          <w:rFonts w:ascii="Palatino Linotype" w:hAnsi="Palatino Linotype"/>
          <w:szCs w:val="24"/>
        </w:rPr>
      </w:pPr>
    </w:p>
    <w:p w:rsidR="008233E1" w:rsidRDefault="008233E1" w:rsidP="008233E1">
      <w:pPr>
        <w:pStyle w:val="Style1"/>
        <w:tabs>
          <w:tab w:val="clear" w:pos="-720"/>
        </w:tabs>
        <w:suppressAutoHyphens w:val="0"/>
        <w:spacing w:after="0" w:line="260" w:lineRule="exact"/>
        <w:ind w:left="4680" w:right="907"/>
        <w:rPr>
          <w:rFonts w:ascii="Palatino Linotype" w:hAnsi="Palatino Linotype"/>
          <w:smallCaps/>
          <w:szCs w:val="24"/>
        </w:rPr>
      </w:pPr>
      <w:r w:rsidRPr="006F5A27">
        <w:rPr>
          <w:rFonts w:ascii="Palatino Linotype" w:hAnsi="Palatino Linotype"/>
          <w:smallCaps/>
          <w:szCs w:val="24"/>
        </w:rPr>
        <w:t>Michael Picker</w:t>
      </w:r>
    </w:p>
    <w:p w:rsidR="008233E1" w:rsidRPr="00E175B1" w:rsidRDefault="008233E1" w:rsidP="008233E1">
      <w:pPr>
        <w:pStyle w:val="Style1"/>
        <w:tabs>
          <w:tab w:val="clear" w:pos="-720"/>
        </w:tabs>
        <w:suppressAutoHyphens w:val="0"/>
        <w:spacing w:after="0" w:line="260" w:lineRule="exact"/>
        <w:ind w:left="4680" w:right="907"/>
        <w:jc w:val="right"/>
        <w:rPr>
          <w:rFonts w:ascii="Palatino Linotype" w:hAnsi="Palatino Linotype"/>
          <w:szCs w:val="24"/>
        </w:rPr>
      </w:pPr>
      <w:r>
        <w:rPr>
          <w:rFonts w:ascii="Palatino Linotype" w:hAnsi="Palatino Linotype"/>
          <w:szCs w:val="24"/>
        </w:rPr>
        <w:t>President</w:t>
      </w:r>
    </w:p>
    <w:p w:rsidR="008233E1" w:rsidRDefault="008233E1" w:rsidP="008233E1">
      <w:pPr>
        <w:pStyle w:val="Style1"/>
        <w:tabs>
          <w:tab w:val="clear" w:pos="-720"/>
        </w:tabs>
        <w:suppressAutoHyphens w:val="0"/>
        <w:spacing w:after="0" w:line="260" w:lineRule="exact"/>
        <w:ind w:left="4680" w:right="907"/>
        <w:rPr>
          <w:rFonts w:ascii="Palatino Linotype" w:hAnsi="Palatino Linotype"/>
          <w:smallCaps/>
          <w:szCs w:val="24"/>
        </w:rPr>
      </w:pPr>
      <w:r>
        <w:rPr>
          <w:rFonts w:ascii="Palatino Linotype" w:hAnsi="Palatino Linotype"/>
          <w:smallCaps/>
          <w:szCs w:val="24"/>
        </w:rPr>
        <w:t>Carla J. Peterman</w:t>
      </w:r>
    </w:p>
    <w:p w:rsidR="008233E1" w:rsidRDefault="008233E1" w:rsidP="008233E1">
      <w:pPr>
        <w:pStyle w:val="Style1"/>
        <w:tabs>
          <w:tab w:val="clear" w:pos="-720"/>
        </w:tabs>
        <w:suppressAutoHyphens w:val="0"/>
        <w:spacing w:after="0" w:line="260" w:lineRule="exact"/>
        <w:ind w:left="4680" w:right="907"/>
        <w:rPr>
          <w:rFonts w:ascii="Palatino Linotype" w:hAnsi="Palatino Linotype"/>
          <w:smallCaps/>
          <w:szCs w:val="24"/>
        </w:rPr>
      </w:pPr>
      <w:r>
        <w:rPr>
          <w:rFonts w:ascii="Palatino Linotype" w:hAnsi="Palatino Linotype"/>
          <w:smallCaps/>
          <w:szCs w:val="24"/>
        </w:rPr>
        <w:t>Liane M. Randolph</w:t>
      </w:r>
    </w:p>
    <w:p w:rsidR="008233E1" w:rsidRDefault="008233E1" w:rsidP="008233E1">
      <w:pPr>
        <w:pStyle w:val="Style1"/>
        <w:tabs>
          <w:tab w:val="clear" w:pos="-720"/>
        </w:tabs>
        <w:suppressAutoHyphens w:val="0"/>
        <w:spacing w:after="0" w:line="260" w:lineRule="exact"/>
        <w:ind w:left="4680" w:right="907"/>
        <w:rPr>
          <w:rFonts w:ascii="Palatino Linotype" w:hAnsi="Palatino Linotype"/>
          <w:smallCaps/>
          <w:szCs w:val="24"/>
        </w:rPr>
      </w:pPr>
      <w:r w:rsidRPr="006F5A27">
        <w:rPr>
          <w:rFonts w:ascii="Palatino Linotype" w:hAnsi="Palatino Linotype"/>
          <w:smallCaps/>
          <w:szCs w:val="24"/>
        </w:rPr>
        <w:t>Martha Guzman Aceves</w:t>
      </w:r>
    </w:p>
    <w:p w:rsidR="008233E1" w:rsidRDefault="008233E1" w:rsidP="008233E1">
      <w:pPr>
        <w:pStyle w:val="Style1"/>
        <w:tabs>
          <w:tab w:val="clear" w:pos="-720"/>
        </w:tabs>
        <w:suppressAutoHyphens w:val="0"/>
        <w:spacing w:after="0" w:line="260" w:lineRule="exact"/>
        <w:ind w:left="4680" w:right="907"/>
        <w:rPr>
          <w:rFonts w:ascii="Palatino Linotype" w:hAnsi="Palatino Linotype"/>
          <w:smallCaps/>
          <w:szCs w:val="24"/>
        </w:rPr>
      </w:pPr>
      <w:r>
        <w:rPr>
          <w:rFonts w:ascii="Palatino Linotype" w:hAnsi="Palatino Linotype"/>
          <w:smallCaps/>
          <w:szCs w:val="24"/>
        </w:rPr>
        <w:t xml:space="preserve">Clifford </w:t>
      </w:r>
      <w:proofErr w:type="spellStart"/>
      <w:r>
        <w:rPr>
          <w:rFonts w:ascii="Palatino Linotype" w:hAnsi="Palatino Linotype"/>
          <w:smallCaps/>
          <w:szCs w:val="24"/>
        </w:rPr>
        <w:t>Rechtschaffen</w:t>
      </w:r>
      <w:proofErr w:type="spellEnd"/>
    </w:p>
    <w:p w:rsidR="008233E1" w:rsidRPr="00E175B1" w:rsidRDefault="008233E1" w:rsidP="008233E1">
      <w:pPr>
        <w:pStyle w:val="Style1"/>
        <w:tabs>
          <w:tab w:val="clear" w:pos="-720"/>
        </w:tabs>
        <w:suppressAutoHyphens w:val="0"/>
        <w:spacing w:after="0" w:line="260" w:lineRule="exact"/>
        <w:ind w:left="4680" w:right="907"/>
        <w:jc w:val="right"/>
        <w:rPr>
          <w:rFonts w:ascii="Palatino Linotype" w:hAnsi="Palatino Linotype"/>
          <w:szCs w:val="24"/>
        </w:rPr>
      </w:pPr>
      <w:r>
        <w:rPr>
          <w:rFonts w:ascii="Palatino Linotype" w:hAnsi="Palatino Linotype"/>
          <w:szCs w:val="24"/>
        </w:rPr>
        <w:t>Commissioners</w:t>
      </w:r>
    </w:p>
    <w:p w:rsidR="008233E1" w:rsidRPr="00F45AB4" w:rsidRDefault="008233E1" w:rsidP="00D73C9F">
      <w:pPr>
        <w:pStyle w:val="Style1"/>
        <w:tabs>
          <w:tab w:val="clear" w:pos="-720"/>
        </w:tabs>
        <w:suppressAutoHyphens w:val="0"/>
        <w:spacing w:after="0" w:line="260" w:lineRule="exact"/>
        <w:ind w:left="4680" w:right="907"/>
        <w:jc w:val="center"/>
        <w:rPr>
          <w:rFonts w:ascii="Palatino Linotype" w:hAnsi="Palatino Linotype"/>
          <w:szCs w:val="24"/>
        </w:rPr>
      </w:pPr>
    </w:p>
    <w:p w:rsidR="00B83649" w:rsidRPr="009A73F3" w:rsidRDefault="00B83649" w:rsidP="00B83649">
      <w:pPr>
        <w:pStyle w:val="standard"/>
        <w:tabs>
          <w:tab w:val="left" w:pos="5760"/>
          <w:tab w:val="left" w:pos="6480"/>
        </w:tabs>
        <w:spacing w:before="260" w:line="240" w:lineRule="auto"/>
        <w:ind w:firstLine="0"/>
      </w:pPr>
    </w:p>
    <w:sectPr w:rsidR="00B83649" w:rsidRPr="009A73F3" w:rsidSect="006F3A18">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48" w:rsidRDefault="004D1A48">
      <w:r>
        <w:separator/>
      </w:r>
    </w:p>
  </w:endnote>
  <w:endnote w:type="continuationSeparator" w:id="0">
    <w:p w:rsidR="004D1A48" w:rsidRDefault="004D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E65" w:rsidRDefault="00532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A6" w:rsidRDefault="00C232A6">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A6" w:rsidRDefault="00532E65" w:rsidP="00532E65">
    <w:pPr>
      <w:pStyle w:val="Footer"/>
    </w:pPr>
    <w:r>
      <w:rPr>
        <w:rFonts w:ascii="Tahoma" w:hAnsi="Tahoma" w:cs="Tahoma"/>
        <w:sz w:val="17"/>
        <w:szCs w:val="17"/>
      </w:rPr>
      <w:t>226739900</w:t>
    </w:r>
    <w:r>
      <w:rPr>
        <w:rFonts w:ascii="Tahoma" w:hAnsi="Tahoma" w:cs="Tahoma"/>
        <w:sz w:val="17"/>
        <w:szCs w:val="17"/>
      </w:rPr>
      <w:tab/>
    </w:r>
    <w:bookmarkStart w:id="0" w:name="_GoBack"/>
    <w:bookmarkEnd w:id="0"/>
    <w:r w:rsidR="00C232A6">
      <w:t xml:space="preserve">- </w:t>
    </w:r>
    <w:r w:rsidR="00C232A6">
      <w:fldChar w:fldCharType="begin"/>
    </w:r>
    <w:r w:rsidR="00C232A6">
      <w:instrText xml:space="preserve"> PAGE   \* MERGEFORMAT </w:instrText>
    </w:r>
    <w:r w:rsidR="00C232A6">
      <w:fldChar w:fldCharType="separate"/>
    </w:r>
    <w:r w:rsidR="00C232A6">
      <w:rPr>
        <w:noProof/>
      </w:rPr>
      <w:t>2</w:t>
    </w:r>
    <w:r w:rsidR="00C232A6">
      <w:rPr>
        <w:noProof/>
      </w:rPr>
      <w:fldChar w:fldCharType="end"/>
    </w:r>
    <w:r w:rsidR="00C232A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48" w:rsidRDefault="004D1A48">
      <w:r>
        <w:separator/>
      </w:r>
    </w:p>
  </w:footnote>
  <w:footnote w:type="continuationSeparator" w:id="0">
    <w:p w:rsidR="004D1A48" w:rsidRDefault="004D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E65" w:rsidRDefault="0053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868"/>
      <w:gridCol w:w="2988"/>
    </w:tblGrid>
    <w:tr w:rsidR="00C232A6" w:rsidRPr="00F1353C" w:rsidTr="00151D98">
      <w:tc>
        <w:tcPr>
          <w:tcW w:w="5868" w:type="dxa"/>
          <w:shd w:val="clear" w:color="auto" w:fill="auto"/>
        </w:tcPr>
        <w:p w:rsidR="00C232A6" w:rsidRPr="00F1353C" w:rsidRDefault="006D3E15" w:rsidP="00696B43">
          <w:pPr>
            <w:pStyle w:val="Header"/>
            <w:rPr>
              <w:rFonts w:ascii="Palatino Linotype" w:hAnsi="Palatino Linotype"/>
              <w:sz w:val="26"/>
              <w:szCs w:val="26"/>
            </w:rPr>
          </w:pPr>
          <w:r w:rsidRPr="006D3E15">
            <w:rPr>
              <w:rFonts w:ascii="Palatino Linotype" w:hAnsi="Palatino Linotype"/>
              <w:szCs w:val="26"/>
            </w:rPr>
            <w:t>SED/RTSB/EIM/RNC/DAR/SCA/NST/AK7/</w:t>
          </w:r>
          <w:r w:rsidR="00696B43" w:rsidRPr="00EF701D">
            <w:rPr>
              <w:rFonts w:ascii="Palatino Linotype" w:hAnsi="Palatino Linotype"/>
              <w:szCs w:val="26"/>
            </w:rPr>
            <w:t>PD2</w:t>
          </w:r>
        </w:p>
      </w:tc>
      <w:tc>
        <w:tcPr>
          <w:tcW w:w="2988" w:type="dxa"/>
          <w:shd w:val="clear" w:color="auto" w:fill="auto"/>
        </w:tcPr>
        <w:p w:rsidR="00C232A6" w:rsidRPr="00F1353C" w:rsidRDefault="00B6666F" w:rsidP="00C232A6">
          <w:pPr>
            <w:pStyle w:val="Header"/>
            <w:jc w:val="right"/>
            <w:rPr>
              <w:rFonts w:ascii="Palatino Linotype" w:hAnsi="Palatino Linotype"/>
              <w:sz w:val="26"/>
              <w:szCs w:val="26"/>
            </w:rPr>
          </w:pPr>
          <w:r w:rsidRPr="00F1353C">
            <w:rPr>
              <w:rFonts w:ascii="Palatino Linotype" w:hAnsi="Palatino Linotype"/>
              <w:sz w:val="26"/>
              <w:szCs w:val="26"/>
            </w:rPr>
            <w:t>Resolution ST-21</w:t>
          </w:r>
          <w:r w:rsidR="006D3E15">
            <w:rPr>
              <w:rFonts w:ascii="Palatino Linotype" w:hAnsi="Palatino Linotype"/>
              <w:sz w:val="26"/>
              <w:szCs w:val="26"/>
            </w:rPr>
            <w:t>2</w:t>
          </w:r>
        </w:p>
      </w:tc>
    </w:tr>
    <w:tr w:rsidR="00C232A6" w:rsidRPr="00F1353C" w:rsidTr="00151D98">
      <w:tc>
        <w:tcPr>
          <w:tcW w:w="5868" w:type="dxa"/>
          <w:shd w:val="clear" w:color="auto" w:fill="auto"/>
        </w:tcPr>
        <w:p w:rsidR="00C232A6" w:rsidRPr="00F1353C" w:rsidRDefault="00B6666F" w:rsidP="00C232A6">
          <w:pPr>
            <w:pStyle w:val="Header"/>
            <w:rPr>
              <w:rFonts w:ascii="Palatino Linotype" w:hAnsi="Palatino Linotype"/>
              <w:sz w:val="26"/>
              <w:szCs w:val="26"/>
            </w:rPr>
          </w:pPr>
          <w:r w:rsidRPr="00795B22">
            <w:rPr>
              <w:rFonts w:ascii="Palatino" w:hAnsi="Palatino"/>
              <w:sz w:val="26"/>
            </w:rPr>
            <w:t>Agenda ID # _____</w:t>
          </w:r>
        </w:p>
      </w:tc>
      <w:tc>
        <w:tcPr>
          <w:tcW w:w="2988" w:type="dxa"/>
          <w:shd w:val="clear" w:color="auto" w:fill="auto"/>
        </w:tcPr>
        <w:p w:rsidR="00C232A6" w:rsidRPr="00F1353C" w:rsidRDefault="006D3E15" w:rsidP="004214A1">
          <w:pPr>
            <w:pStyle w:val="Header"/>
            <w:spacing w:after="20"/>
            <w:jc w:val="right"/>
            <w:rPr>
              <w:rFonts w:ascii="Palatino Linotype" w:hAnsi="Palatino Linotype"/>
              <w:sz w:val="26"/>
              <w:szCs w:val="26"/>
            </w:rPr>
          </w:pPr>
          <w:r w:rsidRPr="006D3E15">
            <w:rPr>
              <w:rFonts w:ascii="Palatino Linotype" w:hAnsi="Palatino Linotype"/>
              <w:sz w:val="26"/>
              <w:szCs w:val="26"/>
            </w:rPr>
            <w:t>October 11, 2018</w:t>
          </w:r>
        </w:p>
      </w:tc>
    </w:tr>
  </w:tbl>
  <w:p w:rsidR="00C232A6" w:rsidRPr="00696B43" w:rsidRDefault="00696B43" w:rsidP="00696B43">
    <w:pPr>
      <w:pStyle w:val="Header"/>
      <w:jc w:val="center"/>
      <w:rPr>
        <w:rFonts w:ascii="Palatino Linotype" w:hAnsi="Palatino Linotype"/>
        <w:b/>
        <w:sz w:val="26"/>
        <w:szCs w:val="26"/>
      </w:rPr>
    </w:pPr>
    <w:r w:rsidRPr="00696B43">
      <w:rPr>
        <w:rFonts w:ascii="Palatino Linotype" w:hAnsi="Palatino Linotype"/>
        <w:b/>
        <w:sz w:val="26"/>
        <w:szCs w:val="26"/>
      </w:rPr>
      <w:t>PROPOSED RESOLUTION</w:t>
    </w:r>
  </w:p>
  <w:p w:rsidR="00696B43" w:rsidRDefault="00696B43" w:rsidP="00C232A6">
    <w:pPr>
      <w:pStyle w:val="Header"/>
      <w:rPr>
        <w:rFonts w:ascii="Palatino Linotype" w:hAnsi="Palatino Linotype"/>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538"/>
    </w:tblGrid>
    <w:tr w:rsidR="00696B43" w:rsidRPr="007F6BE6" w:rsidTr="00C16A1F">
      <w:tc>
        <w:tcPr>
          <w:tcW w:w="6318" w:type="dxa"/>
          <w:tcBorders>
            <w:top w:val="nil"/>
            <w:left w:val="nil"/>
            <w:bottom w:val="nil"/>
            <w:right w:val="nil"/>
          </w:tcBorders>
          <w:shd w:val="clear" w:color="auto" w:fill="auto"/>
        </w:tcPr>
        <w:p w:rsidR="00696B43" w:rsidRPr="00C16A1F" w:rsidRDefault="006D3E15" w:rsidP="00C16A1F">
          <w:pPr>
            <w:tabs>
              <w:tab w:val="right" w:pos="11070"/>
            </w:tabs>
            <w:rPr>
              <w:rFonts w:ascii="Palatino Linotype" w:hAnsi="Palatino Linotype"/>
              <w:sz w:val="22"/>
            </w:rPr>
          </w:pPr>
          <w:r w:rsidRPr="006D3E15">
            <w:rPr>
              <w:rFonts w:ascii="Palatino Linotype" w:hAnsi="Palatino Linotype"/>
            </w:rPr>
            <w:t>SED/RTSB/EIM/RNC/DAR/SCA/NST/AK7/</w:t>
          </w:r>
          <w:r w:rsidR="00696B43" w:rsidRPr="00C16A1F">
            <w:rPr>
              <w:rFonts w:ascii="Palatino Linotype" w:hAnsi="Palatino Linotype"/>
            </w:rPr>
            <w:t>PD2</w:t>
          </w:r>
        </w:p>
      </w:tc>
      <w:tc>
        <w:tcPr>
          <w:tcW w:w="2538" w:type="dxa"/>
          <w:tcBorders>
            <w:top w:val="nil"/>
            <w:left w:val="nil"/>
            <w:bottom w:val="nil"/>
            <w:right w:val="nil"/>
          </w:tcBorders>
          <w:shd w:val="clear" w:color="auto" w:fill="auto"/>
        </w:tcPr>
        <w:p w:rsidR="00696B43" w:rsidRPr="007F6BE6" w:rsidRDefault="00696B43" w:rsidP="00C16A1F">
          <w:pPr>
            <w:tabs>
              <w:tab w:val="right" w:pos="11070"/>
            </w:tabs>
            <w:jc w:val="right"/>
            <w:rPr>
              <w:rFonts w:ascii="Palatino Linotype" w:hAnsi="Palatino Linotype"/>
              <w:sz w:val="22"/>
            </w:rPr>
          </w:pPr>
          <w:r w:rsidRPr="007F6BE6">
            <w:rPr>
              <w:rFonts w:ascii="Palatino Linotype" w:hAnsi="Palatino Linotype"/>
              <w:sz w:val="26"/>
            </w:rPr>
            <w:t>Item # _____</w:t>
          </w:r>
        </w:p>
      </w:tc>
    </w:tr>
    <w:tr w:rsidR="00696B43" w:rsidRPr="007F6BE6" w:rsidTr="00C16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8" w:type="dxa"/>
          <w:shd w:val="clear" w:color="auto" w:fill="auto"/>
        </w:tcPr>
        <w:p w:rsidR="00696B43" w:rsidRPr="00C16A1F" w:rsidRDefault="00696B43" w:rsidP="00C16A1F">
          <w:pPr>
            <w:tabs>
              <w:tab w:val="right" w:pos="11070"/>
            </w:tabs>
            <w:rPr>
              <w:rFonts w:ascii="Palatino Linotype" w:hAnsi="Palatino Linotype"/>
              <w:sz w:val="26"/>
            </w:rPr>
          </w:pPr>
        </w:p>
      </w:tc>
      <w:tc>
        <w:tcPr>
          <w:tcW w:w="2538" w:type="dxa"/>
          <w:shd w:val="clear" w:color="auto" w:fill="auto"/>
        </w:tcPr>
        <w:p w:rsidR="00696B43" w:rsidRPr="007F6BE6" w:rsidRDefault="00696B43" w:rsidP="00C16A1F">
          <w:pPr>
            <w:tabs>
              <w:tab w:val="right" w:pos="11070"/>
            </w:tabs>
            <w:spacing w:after="20"/>
            <w:jc w:val="right"/>
            <w:rPr>
              <w:rFonts w:ascii="Palatino Linotype" w:hAnsi="Palatino Linotype"/>
              <w:sz w:val="26"/>
            </w:rPr>
          </w:pPr>
          <w:r w:rsidRPr="007F6BE6">
            <w:rPr>
              <w:rFonts w:ascii="Palatino Linotype" w:hAnsi="Palatino Linotype"/>
              <w:sz w:val="26"/>
            </w:rPr>
            <w:t xml:space="preserve">Agenda ID # </w:t>
          </w:r>
          <w:r w:rsidR="00AD5FBF">
            <w:rPr>
              <w:rFonts w:ascii="Palatino Linotype" w:hAnsi="Palatino Linotype"/>
              <w:sz w:val="26"/>
            </w:rPr>
            <w:t>_____</w:t>
          </w:r>
        </w:p>
      </w:tc>
    </w:tr>
  </w:tbl>
  <w:p w:rsidR="00696B43" w:rsidRPr="00696B43" w:rsidRDefault="00696B43" w:rsidP="00696B43">
    <w:pPr>
      <w:pStyle w:val="Header"/>
      <w:tabs>
        <w:tab w:val="left" w:pos="6300"/>
      </w:tabs>
      <w:jc w:val="center"/>
      <w:rPr>
        <w:rFonts w:ascii="Palatino Linotype" w:hAnsi="Palatino Linotype"/>
        <w:b/>
        <w:sz w:val="26"/>
      </w:rPr>
    </w:pPr>
    <w:r w:rsidRPr="00696B43">
      <w:rPr>
        <w:rFonts w:ascii="Palatino Linotype" w:hAnsi="Palatino Linotype"/>
        <w:b/>
        <w:sz w:val="26"/>
      </w:rPr>
      <w:t>PROPOSED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843BE"/>
    <w:multiLevelType w:val="hybridMultilevel"/>
    <w:tmpl w:val="F97C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00327"/>
    <w:multiLevelType w:val="hybridMultilevel"/>
    <w:tmpl w:val="FF8E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805CA"/>
    <w:multiLevelType w:val="hybridMultilevel"/>
    <w:tmpl w:val="8CC0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ED0"/>
    <w:rsid w:val="00001A40"/>
    <w:rsid w:val="00005CBA"/>
    <w:rsid w:val="00006C41"/>
    <w:rsid w:val="000078CF"/>
    <w:rsid w:val="00010B3C"/>
    <w:rsid w:val="0001314D"/>
    <w:rsid w:val="00021C90"/>
    <w:rsid w:val="0002239E"/>
    <w:rsid w:val="000347C1"/>
    <w:rsid w:val="00034F64"/>
    <w:rsid w:val="00041CF2"/>
    <w:rsid w:val="00042C7E"/>
    <w:rsid w:val="00047F5E"/>
    <w:rsid w:val="00055C10"/>
    <w:rsid w:val="00056EC4"/>
    <w:rsid w:val="00060460"/>
    <w:rsid w:val="000622D9"/>
    <w:rsid w:val="00063A3C"/>
    <w:rsid w:val="00064C9B"/>
    <w:rsid w:val="00065A3E"/>
    <w:rsid w:val="0006784F"/>
    <w:rsid w:val="0007139D"/>
    <w:rsid w:val="00073D5F"/>
    <w:rsid w:val="0007511E"/>
    <w:rsid w:val="00075E71"/>
    <w:rsid w:val="00075FCD"/>
    <w:rsid w:val="00081953"/>
    <w:rsid w:val="00082BEC"/>
    <w:rsid w:val="00083673"/>
    <w:rsid w:val="00085380"/>
    <w:rsid w:val="00085791"/>
    <w:rsid w:val="000868E1"/>
    <w:rsid w:val="00092546"/>
    <w:rsid w:val="00095119"/>
    <w:rsid w:val="000A0EAF"/>
    <w:rsid w:val="000B04B0"/>
    <w:rsid w:val="000B688A"/>
    <w:rsid w:val="000C6EC2"/>
    <w:rsid w:val="000C779C"/>
    <w:rsid w:val="000E4EF7"/>
    <w:rsid w:val="000E5E2F"/>
    <w:rsid w:val="000E757D"/>
    <w:rsid w:val="000F08F2"/>
    <w:rsid w:val="000F0D7E"/>
    <w:rsid w:val="00100D14"/>
    <w:rsid w:val="00103378"/>
    <w:rsid w:val="00106627"/>
    <w:rsid w:val="001066A4"/>
    <w:rsid w:val="00107FAF"/>
    <w:rsid w:val="00110072"/>
    <w:rsid w:val="001131F9"/>
    <w:rsid w:val="00116B3C"/>
    <w:rsid w:val="00123173"/>
    <w:rsid w:val="00123725"/>
    <w:rsid w:val="00127FF3"/>
    <w:rsid w:val="001306F3"/>
    <w:rsid w:val="00130BE4"/>
    <w:rsid w:val="0013162C"/>
    <w:rsid w:val="00131B1A"/>
    <w:rsid w:val="001323AF"/>
    <w:rsid w:val="0013345A"/>
    <w:rsid w:val="00140622"/>
    <w:rsid w:val="00141867"/>
    <w:rsid w:val="001462F8"/>
    <w:rsid w:val="00151D98"/>
    <w:rsid w:val="0015285A"/>
    <w:rsid w:val="00171D09"/>
    <w:rsid w:val="0017325B"/>
    <w:rsid w:val="00176CE0"/>
    <w:rsid w:val="0018261D"/>
    <w:rsid w:val="001868CA"/>
    <w:rsid w:val="00194158"/>
    <w:rsid w:val="001A3093"/>
    <w:rsid w:val="001A55BB"/>
    <w:rsid w:val="001A6797"/>
    <w:rsid w:val="001A6924"/>
    <w:rsid w:val="001B0099"/>
    <w:rsid w:val="001B0F50"/>
    <w:rsid w:val="001B356D"/>
    <w:rsid w:val="001B5511"/>
    <w:rsid w:val="001B6375"/>
    <w:rsid w:val="001C1336"/>
    <w:rsid w:val="001C5346"/>
    <w:rsid w:val="001C6162"/>
    <w:rsid w:val="001E5A3B"/>
    <w:rsid w:val="001F0A16"/>
    <w:rsid w:val="001F7C14"/>
    <w:rsid w:val="002017A2"/>
    <w:rsid w:val="00203D68"/>
    <w:rsid w:val="002210D3"/>
    <w:rsid w:val="002226FE"/>
    <w:rsid w:val="00222BAD"/>
    <w:rsid w:val="00236C78"/>
    <w:rsid w:val="00241483"/>
    <w:rsid w:val="00241B05"/>
    <w:rsid w:val="00244821"/>
    <w:rsid w:val="002508DC"/>
    <w:rsid w:val="00251B06"/>
    <w:rsid w:val="00256763"/>
    <w:rsid w:val="00257A5E"/>
    <w:rsid w:val="002641BB"/>
    <w:rsid w:val="00264405"/>
    <w:rsid w:val="00266674"/>
    <w:rsid w:val="00270049"/>
    <w:rsid w:val="00281C30"/>
    <w:rsid w:val="002854D6"/>
    <w:rsid w:val="0028550F"/>
    <w:rsid w:val="0029405D"/>
    <w:rsid w:val="002A27AE"/>
    <w:rsid w:val="002A53C8"/>
    <w:rsid w:val="002A78C0"/>
    <w:rsid w:val="002B4580"/>
    <w:rsid w:val="002B79FA"/>
    <w:rsid w:val="002D00C6"/>
    <w:rsid w:val="002E0ABE"/>
    <w:rsid w:val="002E3026"/>
    <w:rsid w:val="002E38B5"/>
    <w:rsid w:val="002F0852"/>
    <w:rsid w:val="002F162E"/>
    <w:rsid w:val="002F3D00"/>
    <w:rsid w:val="00302E96"/>
    <w:rsid w:val="00303252"/>
    <w:rsid w:val="003041BE"/>
    <w:rsid w:val="00305C1B"/>
    <w:rsid w:val="00311244"/>
    <w:rsid w:val="0031135D"/>
    <w:rsid w:val="00323339"/>
    <w:rsid w:val="0032534A"/>
    <w:rsid w:val="003306A0"/>
    <w:rsid w:val="00331545"/>
    <w:rsid w:val="00331848"/>
    <w:rsid w:val="003414AF"/>
    <w:rsid w:val="00341807"/>
    <w:rsid w:val="003549DC"/>
    <w:rsid w:val="00356D33"/>
    <w:rsid w:val="00362DFD"/>
    <w:rsid w:val="00366C75"/>
    <w:rsid w:val="003733BB"/>
    <w:rsid w:val="0037360E"/>
    <w:rsid w:val="00375DDD"/>
    <w:rsid w:val="00377353"/>
    <w:rsid w:val="003803FF"/>
    <w:rsid w:val="0038372D"/>
    <w:rsid w:val="00385EE1"/>
    <w:rsid w:val="0038645D"/>
    <w:rsid w:val="00387930"/>
    <w:rsid w:val="00393A2E"/>
    <w:rsid w:val="003A02A5"/>
    <w:rsid w:val="003A24BD"/>
    <w:rsid w:val="003A5446"/>
    <w:rsid w:val="003A7B4C"/>
    <w:rsid w:val="003B0EC7"/>
    <w:rsid w:val="003B6B47"/>
    <w:rsid w:val="003B7C17"/>
    <w:rsid w:val="003C634E"/>
    <w:rsid w:val="003D1448"/>
    <w:rsid w:val="003D1629"/>
    <w:rsid w:val="003D57B2"/>
    <w:rsid w:val="003D7009"/>
    <w:rsid w:val="003E0AC8"/>
    <w:rsid w:val="003E678E"/>
    <w:rsid w:val="003E6B45"/>
    <w:rsid w:val="003F1BC4"/>
    <w:rsid w:val="003F3AEE"/>
    <w:rsid w:val="003F3CC7"/>
    <w:rsid w:val="003F7244"/>
    <w:rsid w:val="004014BC"/>
    <w:rsid w:val="004052BF"/>
    <w:rsid w:val="00410638"/>
    <w:rsid w:val="00415F93"/>
    <w:rsid w:val="00420563"/>
    <w:rsid w:val="004214A1"/>
    <w:rsid w:val="004265D6"/>
    <w:rsid w:val="004547D8"/>
    <w:rsid w:val="00455AB2"/>
    <w:rsid w:val="00455D9C"/>
    <w:rsid w:val="0046000D"/>
    <w:rsid w:val="004616CC"/>
    <w:rsid w:val="004624AF"/>
    <w:rsid w:val="00463A74"/>
    <w:rsid w:val="00465BD4"/>
    <w:rsid w:val="00470FCC"/>
    <w:rsid w:val="00477F1C"/>
    <w:rsid w:val="00481D92"/>
    <w:rsid w:val="00482D6F"/>
    <w:rsid w:val="004A3BAA"/>
    <w:rsid w:val="004C20A0"/>
    <w:rsid w:val="004C6C64"/>
    <w:rsid w:val="004C76C2"/>
    <w:rsid w:val="004D1A48"/>
    <w:rsid w:val="004D61AB"/>
    <w:rsid w:val="004E2AA3"/>
    <w:rsid w:val="004E4FE1"/>
    <w:rsid w:val="004F1952"/>
    <w:rsid w:val="004F437C"/>
    <w:rsid w:val="005043A9"/>
    <w:rsid w:val="00505601"/>
    <w:rsid w:val="00510E30"/>
    <w:rsid w:val="00514060"/>
    <w:rsid w:val="00516ACF"/>
    <w:rsid w:val="005210EC"/>
    <w:rsid w:val="005218F1"/>
    <w:rsid w:val="00522372"/>
    <w:rsid w:val="00523D48"/>
    <w:rsid w:val="00527B10"/>
    <w:rsid w:val="00527C6E"/>
    <w:rsid w:val="00531596"/>
    <w:rsid w:val="00531DFF"/>
    <w:rsid w:val="00532E65"/>
    <w:rsid w:val="005351E8"/>
    <w:rsid w:val="00535B68"/>
    <w:rsid w:val="00535C8D"/>
    <w:rsid w:val="00536882"/>
    <w:rsid w:val="005418F8"/>
    <w:rsid w:val="00543C10"/>
    <w:rsid w:val="00546002"/>
    <w:rsid w:val="0055236C"/>
    <w:rsid w:val="0056005C"/>
    <w:rsid w:val="0057139D"/>
    <w:rsid w:val="00571486"/>
    <w:rsid w:val="0057309E"/>
    <w:rsid w:val="00580108"/>
    <w:rsid w:val="00592EB7"/>
    <w:rsid w:val="0059311D"/>
    <w:rsid w:val="00595019"/>
    <w:rsid w:val="005A1088"/>
    <w:rsid w:val="005A1BA5"/>
    <w:rsid w:val="005A1C66"/>
    <w:rsid w:val="005A24A8"/>
    <w:rsid w:val="005A543E"/>
    <w:rsid w:val="005B4195"/>
    <w:rsid w:val="005B5020"/>
    <w:rsid w:val="005C43B8"/>
    <w:rsid w:val="005C5CF9"/>
    <w:rsid w:val="005D3102"/>
    <w:rsid w:val="005D6160"/>
    <w:rsid w:val="005F43FE"/>
    <w:rsid w:val="005F7A86"/>
    <w:rsid w:val="006000EC"/>
    <w:rsid w:val="006007E9"/>
    <w:rsid w:val="00602EA2"/>
    <w:rsid w:val="0060373F"/>
    <w:rsid w:val="00603A07"/>
    <w:rsid w:val="00614C4E"/>
    <w:rsid w:val="0061552C"/>
    <w:rsid w:val="00617FC7"/>
    <w:rsid w:val="0062489B"/>
    <w:rsid w:val="00625A2C"/>
    <w:rsid w:val="006268A4"/>
    <w:rsid w:val="00632D54"/>
    <w:rsid w:val="006343BD"/>
    <w:rsid w:val="006343CF"/>
    <w:rsid w:val="00635CAB"/>
    <w:rsid w:val="0065297B"/>
    <w:rsid w:val="00656BED"/>
    <w:rsid w:val="00660131"/>
    <w:rsid w:val="006613A3"/>
    <w:rsid w:val="00661792"/>
    <w:rsid w:val="006641E0"/>
    <w:rsid w:val="006652CA"/>
    <w:rsid w:val="00672077"/>
    <w:rsid w:val="00674828"/>
    <w:rsid w:val="00681088"/>
    <w:rsid w:val="0068165E"/>
    <w:rsid w:val="006948F9"/>
    <w:rsid w:val="00695CB2"/>
    <w:rsid w:val="00696B43"/>
    <w:rsid w:val="00696F8B"/>
    <w:rsid w:val="006A20C9"/>
    <w:rsid w:val="006A498A"/>
    <w:rsid w:val="006A5C82"/>
    <w:rsid w:val="006A73DA"/>
    <w:rsid w:val="006B5B33"/>
    <w:rsid w:val="006C6033"/>
    <w:rsid w:val="006C68F7"/>
    <w:rsid w:val="006D2867"/>
    <w:rsid w:val="006D3C36"/>
    <w:rsid w:val="006D3E15"/>
    <w:rsid w:val="006E173A"/>
    <w:rsid w:val="006E1A7D"/>
    <w:rsid w:val="006E2335"/>
    <w:rsid w:val="006F2B2B"/>
    <w:rsid w:val="006F3A18"/>
    <w:rsid w:val="007038E4"/>
    <w:rsid w:val="00704D90"/>
    <w:rsid w:val="007075E7"/>
    <w:rsid w:val="00714E54"/>
    <w:rsid w:val="0071576A"/>
    <w:rsid w:val="007162AC"/>
    <w:rsid w:val="00723AE7"/>
    <w:rsid w:val="00725C03"/>
    <w:rsid w:val="00726903"/>
    <w:rsid w:val="00727BAE"/>
    <w:rsid w:val="00730C2B"/>
    <w:rsid w:val="00731A8D"/>
    <w:rsid w:val="00733B78"/>
    <w:rsid w:val="00742EE8"/>
    <w:rsid w:val="00744C97"/>
    <w:rsid w:val="007458F3"/>
    <w:rsid w:val="007637F4"/>
    <w:rsid w:val="00764715"/>
    <w:rsid w:val="00772270"/>
    <w:rsid w:val="0077455B"/>
    <w:rsid w:val="00777FA2"/>
    <w:rsid w:val="00791D6D"/>
    <w:rsid w:val="00793B10"/>
    <w:rsid w:val="00795B22"/>
    <w:rsid w:val="00797506"/>
    <w:rsid w:val="007A1B8B"/>
    <w:rsid w:val="007A558E"/>
    <w:rsid w:val="007A691B"/>
    <w:rsid w:val="007B053A"/>
    <w:rsid w:val="007B1FAE"/>
    <w:rsid w:val="007B4C66"/>
    <w:rsid w:val="007B5527"/>
    <w:rsid w:val="007B58E0"/>
    <w:rsid w:val="007B71EE"/>
    <w:rsid w:val="007C005F"/>
    <w:rsid w:val="007C40AD"/>
    <w:rsid w:val="007C6A30"/>
    <w:rsid w:val="007C6DF1"/>
    <w:rsid w:val="007D0912"/>
    <w:rsid w:val="007D16C9"/>
    <w:rsid w:val="007E4FF2"/>
    <w:rsid w:val="007E6FAA"/>
    <w:rsid w:val="007F15BE"/>
    <w:rsid w:val="007F1822"/>
    <w:rsid w:val="007F329A"/>
    <w:rsid w:val="007F638F"/>
    <w:rsid w:val="007F674F"/>
    <w:rsid w:val="007F6BE6"/>
    <w:rsid w:val="007F70B0"/>
    <w:rsid w:val="0080381A"/>
    <w:rsid w:val="0080418D"/>
    <w:rsid w:val="008059CE"/>
    <w:rsid w:val="00806B89"/>
    <w:rsid w:val="00811F6A"/>
    <w:rsid w:val="0081277E"/>
    <w:rsid w:val="00820ED8"/>
    <w:rsid w:val="008233E1"/>
    <w:rsid w:val="00835F45"/>
    <w:rsid w:val="00842F5C"/>
    <w:rsid w:val="008502C2"/>
    <w:rsid w:val="00851CF0"/>
    <w:rsid w:val="0085585C"/>
    <w:rsid w:val="00855CDB"/>
    <w:rsid w:val="008571FB"/>
    <w:rsid w:val="0085757D"/>
    <w:rsid w:val="00860033"/>
    <w:rsid w:val="00860A7E"/>
    <w:rsid w:val="00860FBB"/>
    <w:rsid w:val="00861033"/>
    <w:rsid w:val="00861426"/>
    <w:rsid w:val="00863E75"/>
    <w:rsid w:val="008649E2"/>
    <w:rsid w:val="00873CCA"/>
    <w:rsid w:val="00876F35"/>
    <w:rsid w:val="00885D21"/>
    <w:rsid w:val="00887A38"/>
    <w:rsid w:val="00891D2C"/>
    <w:rsid w:val="008954FB"/>
    <w:rsid w:val="00897017"/>
    <w:rsid w:val="008A13AD"/>
    <w:rsid w:val="008A402B"/>
    <w:rsid w:val="008A7BBA"/>
    <w:rsid w:val="008A7F6D"/>
    <w:rsid w:val="008B2602"/>
    <w:rsid w:val="008B39E4"/>
    <w:rsid w:val="008C642D"/>
    <w:rsid w:val="008D0E54"/>
    <w:rsid w:val="008F0506"/>
    <w:rsid w:val="008F70E6"/>
    <w:rsid w:val="00902BB4"/>
    <w:rsid w:val="00903406"/>
    <w:rsid w:val="00932271"/>
    <w:rsid w:val="00934C2E"/>
    <w:rsid w:val="00940E13"/>
    <w:rsid w:val="00954448"/>
    <w:rsid w:val="00955F2E"/>
    <w:rsid w:val="00957689"/>
    <w:rsid w:val="00964162"/>
    <w:rsid w:val="009706BE"/>
    <w:rsid w:val="00974C09"/>
    <w:rsid w:val="00975781"/>
    <w:rsid w:val="00975CAE"/>
    <w:rsid w:val="009775D5"/>
    <w:rsid w:val="00980708"/>
    <w:rsid w:val="0098108C"/>
    <w:rsid w:val="00983CF2"/>
    <w:rsid w:val="00984993"/>
    <w:rsid w:val="00990491"/>
    <w:rsid w:val="00997990"/>
    <w:rsid w:val="009A7250"/>
    <w:rsid w:val="009A73F3"/>
    <w:rsid w:val="009B0D94"/>
    <w:rsid w:val="009C1F01"/>
    <w:rsid w:val="009C39D7"/>
    <w:rsid w:val="009D2E96"/>
    <w:rsid w:val="009E3562"/>
    <w:rsid w:val="009F67AE"/>
    <w:rsid w:val="009F6898"/>
    <w:rsid w:val="00A00901"/>
    <w:rsid w:val="00A03485"/>
    <w:rsid w:val="00A037C3"/>
    <w:rsid w:val="00A078D7"/>
    <w:rsid w:val="00A13A76"/>
    <w:rsid w:val="00A13F73"/>
    <w:rsid w:val="00A15AE9"/>
    <w:rsid w:val="00A16A73"/>
    <w:rsid w:val="00A25816"/>
    <w:rsid w:val="00A308EC"/>
    <w:rsid w:val="00A34F3F"/>
    <w:rsid w:val="00A35676"/>
    <w:rsid w:val="00A36994"/>
    <w:rsid w:val="00A403BB"/>
    <w:rsid w:val="00A4230A"/>
    <w:rsid w:val="00A43141"/>
    <w:rsid w:val="00A451FB"/>
    <w:rsid w:val="00A541C7"/>
    <w:rsid w:val="00A55174"/>
    <w:rsid w:val="00A55DCD"/>
    <w:rsid w:val="00A56AFD"/>
    <w:rsid w:val="00A64435"/>
    <w:rsid w:val="00A67030"/>
    <w:rsid w:val="00A81482"/>
    <w:rsid w:val="00A93392"/>
    <w:rsid w:val="00A950E2"/>
    <w:rsid w:val="00AA43E1"/>
    <w:rsid w:val="00AA4FA5"/>
    <w:rsid w:val="00AB5563"/>
    <w:rsid w:val="00AC0BB4"/>
    <w:rsid w:val="00AC1777"/>
    <w:rsid w:val="00AC1DE2"/>
    <w:rsid w:val="00AC3A26"/>
    <w:rsid w:val="00AC40BF"/>
    <w:rsid w:val="00AC4733"/>
    <w:rsid w:val="00AC4A9F"/>
    <w:rsid w:val="00AC5A44"/>
    <w:rsid w:val="00AD1BFC"/>
    <w:rsid w:val="00AD4CD0"/>
    <w:rsid w:val="00AD5FBF"/>
    <w:rsid w:val="00AD612A"/>
    <w:rsid w:val="00AE02CA"/>
    <w:rsid w:val="00AE06BB"/>
    <w:rsid w:val="00AE2F6A"/>
    <w:rsid w:val="00AE3142"/>
    <w:rsid w:val="00AE55BE"/>
    <w:rsid w:val="00AE6C50"/>
    <w:rsid w:val="00AE77BD"/>
    <w:rsid w:val="00AF02D9"/>
    <w:rsid w:val="00AF17EB"/>
    <w:rsid w:val="00AF41E6"/>
    <w:rsid w:val="00AF49CC"/>
    <w:rsid w:val="00AF4AD4"/>
    <w:rsid w:val="00AF7229"/>
    <w:rsid w:val="00AF7698"/>
    <w:rsid w:val="00B023C5"/>
    <w:rsid w:val="00B03231"/>
    <w:rsid w:val="00B04B6A"/>
    <w:rsid w:val="00B053D3"/>
    <w:rsid w:val="00B0698E"/>
    <w:rsid w:val="00B0762C"/>
    <w:rsid w:val="00B1056B"/>
    <w:rsid w:val="00B11556"/>
    <w:rsid w:val="00B12B8A"/>
    <w:rsid w:val="00B14271"/>
    <w:rsid w:val="00B1606B"/>
    <w:rsid w:val="00B21AFD"/>
    <w:rsid w:val="00B23898"/>
    <w:rsid w:val="00B23BE7"/>
    <w:rsid w:val="00B23D54"/>
    <w:rsid w:val="00B242EF"/>
    <w:rsid w:val="00B2538B"/>
    <w:rsid w:val="00B26145"/>
    <w:rsid w:val="00B26E3F"/>
    <w:rsid w:val="00B31AEA"/>
    <w:rsid w:val="00B339EA"/>
    <w:rsid w:val="00B3405E"/>
    <w:rsid w:val="00B36BBA"/>
    <w:rsid w:val="00B3768A"/>
    <w:rsid w:val="00B509EF"/>
    <w:rsid w:val="00B60543"/>
    <w:rsid w:val="00B64143"/>
    <w:rsid w:val="00B6666F"/>
    <w:rsid w:val="00B66D4B"/>
    <w:rsid w:val="00B82CE8"/>
    <w:rsid w:val="00B83649"/>
    <w:rsid w:val="00B84A89"/>
    <w:rsid w:val="00B8558C"/>
    <w:rsid w:val="00B91FB8"/>
    <w:rsid w:val="00B92D99"/>
    <w:rsid w:val="00B94801"/>
    <w:rsid w:val="00B94CCE"/>
    <w:rsid w:val="00B97448"/>
    <w:rsid w:val="00BA33FD"/>
    <w:rsid w:val="00BA487A"/>
    <w:rsid w:val="00BA5FF1"/>
    <w:rsid w:val="00BB1D7B"/>
    <w:rsid w:val="00BB1FBD"/>
    <w:rsid w:val="00BC02B8"/>
    <w:rsid w:val="00BC2E4B"/>
    <w:rsid w:val="00BC707D"/>
    <w:rsid w:val="00BD043D"/>
    <w:rsid w:val="00BD07C2"/>
    <w:rsid w:val="00BD1CFB"/>
    <w:rsid w:val="00BD2EE9"/>
    <w:rsid w:val="00BD668B"/>
    <w:rsid w:val="00BD76ED"/>
    <w:rsid w:val="00BE23CA"/>
    <w:rsid w:val="00BF4148"/>
    <w:rsid w:val="00BF49FD"/>
    <w:rsid w:val="00BF5F8C"/>
    <w:rsid w:val="00BF696B"/>
    <w:rsid w:val="00BF77D0"/>
    <w:rsid w:val="00C0050E"/>
    <w:rsid w:val="00C03461"/>
    <w:rsid w:val="00C16A1F"/>
    <w:rsid w:val="00C213D4"/>
    <w:rsid w:val="00C22CCC"/>
    <w:rsid w:val="00C232A6"/>
    <w:rsid w:val="00C2372E"/>
    <w:rsid w:val="00C314F8"/>
    <w:rsid w:val="00C402F5"/>
    <w:rsid w:val="00C43C2F"/>
    <w:rsid w:val="00C43F6F"/>
    <w:rsid w:val="00C45079"/>
    <w:rsid w:val="00C45D13"/>
    <w:rsid w:val="00C54947"/>
    <w:rsid w:val="00C55B43"/>
    <w:rsid w:val="00C57378"/>
    <w:rsid w:val="00C576B6"/>
    <w:rsid w:val="00C66683"/>
    <w:rsid w:val="00C67181"/>
    <w:rsid w:val="00C67239"/>
    <w:rsid w:val="00C71C0D"/>
    <w:rsid w:val="00C73DE7"/>
    <w:rsid w:val="00C762C0"/>
    <w:rsid w:val="00C81589"/>
    <w:rsid w:val="00C81910"/>
    <w:rsid w:val="00C82EEB"/>
    <w:rsid w:val="00C8568D"/>
    <w:rsid w:val="00C9316D"/>
    <w:rsid w:val="00C94D27"/>
    <w:rsid w:val="00CA0AFD"/>
    <w:rsid w:val="00CA351A"/>
    <w:rsid w:val="00CA41D8"/>
    <w:rsid w:val="00CA445E"/>
    <w:rsid w:val="00CA5E41"/>
    <w:rsid w:val="00CB16AB"/>
    <w:rsid w:val="00CB1868"/>
    <w:rsid w:val="00CC0D5C"/>
    <w:rsid w:val="00CC485F"/>
    <w:rsid w:val="00CC57D6"/>
    <w:rsid w:val="00CC6042"/>
    <w:rsid w:val="00CD5410"/>
    <w:rsid w:val="00CE083B"/>
    <w:rsid w:val="00CE12CA"/>
    <w:rsid w:val="00CE2B0E"/>
    <w:rsid w:val="00CE3A4A"/>
    <w:rsid w:val="00CE4E00"/>
    <w:rsid w:val="00CE77FA"/>
    <w:rsid w:val="00CF2D46"/>
    <w:rsid w:val="00CF30FE"/>
    <w:rsid w:val="00CF3D27"/>
    <w:rsid w:val="00D03CC9"/>
    <w:rsid w:val="00D061B6"/>
    <w:rsid w:val="00D07537"/>
    <w:rsid w:val="00D079BE"/>
    <w:rsid w:val="00D132F1"/>
    <w:rsid w:val="00D21D3F"/>
    <w:rsid w:val="00D22E94"/>
    <w:rsid w:val="00D24053"/>
    <w:rsid w:val="00D243DD"/>
    <w:rsid w:val="00D2591C"/>
    <w:rsid w:val="00D26314"/>
    <w:rsid w:val="00D279B2"/>
    <w:rsid w:val="00D32EBB"/>
    <w:rsid w:val="00D33ED0"/>
    <w:rsid w:val="00D35606"/>
    <w:rsid w:val="00D359A1"/>
    <w:rsid w:val="00D41E06"/>
    <w:rsid w:val="00D450D2"/>
    <w:rsid w:val="00D477E6"/>
    <w:rsid w:val="00D57E01"/>
    <w:rsid w:val="00D61EA0"/>
    <w:rsid w:val="00D64BCE"/>
    <w:rsid w:val="00D65710"/>
    <w:rsid w:val="00D6600A"/>
    <w:rsid w:val="00D710D8"/>
    <w:rsid w:val="00D73C9F"/>
    <w:rsid w:val="00D764C9"/>
    <w:rsid w:val="00D77746"/>
    <w:rsid w:val="00D8106F"/>
    <w:rsid w:val="00D816C0"/>
    <w:rsid w:val="00D83DB9"/>
    <w:rsid w:val="00D85AC8"/>
    <w:rsid w:val="00DA13E8"/>
    <w:rsid w:val="00DA7ED4"/>
    <w:rsid w:val="00DB085E"/>
    <w:rsid w:val="00DB0B71"/>
    <w:rsid w:val="00DB3E7C"/>
    <w:rsid w:val="00DB7189"/>
    <w:rsid w:val="00DB7A7F"/>
    <w:rsid w:val="00DB7B52"/>
    <w:rsid w:val="00DC3CA1"/>
    <w:rsid w:val="00DC56F4"/>
    <w:rsid w:val="00DC5C55"/>
    <w:rsid w:val="00DD0F86"/>
    <w:rsid w:val="00DD7830"/>
    <w:rsid w:val="00DE00C3"/>
    <w:rsid w:val="00DE34D2"/>
    <w:rsid w:val="00DE3FDA"/>
    <w:rsid w:val="00DE48BF"/>
    <w:rsid w:val="00DE5C06"/>
    <w:rsid w:val="00DF0FF5"/>
    <w:rsid w:val="00DF1F4A"/>
    <w:rsid w:val="00DF619B"/>
    <w:rsid w:val="00DF71A7"/>
    <w:rsid w:val="00E00A31"/>
    <w:rsid w:val="00E019F8"/>
    <w:rsid w:val="00E04526"/>
    <w:rsid w:val="00E05E09"/>
    <w:rsid w:val="00E12EFF"/>
    <w:rsid w:val="00E144D8"/>
    <w:rsid w:val="00E14A0B"/>
    <w:rsid w:val="00E31C2D"/>
    <w:rsid w:val="00E31E79"/>
    <w:rsid w:val="00E36A0B"/>
    <w:rsid w:val="00E402BB"/>
    <w:rsid w:val="00E45016"/>
    <w:rsid w:val="00E47C76"/>
    <w:rsid w:val="00E52232"/>
    <w:rsid w:val="00E618DE"/>
    <w:rsid w:val="00E72A7D"/>
    <w:rsid w:val="00E74CE6"/>
    <w:rsid w:val="00E76981"/>
    <w:rsid w:val="00E86363"/>
    <w:rsid w:val="00E904A0"/>
    <w:rsid w:val="00E963ED"/>
    <w:rsid w:val="00EA0A64"/>
    <w:rsid w:val="00EA2ED3"/>
    <w:rsid w:val="00EA546B"/>
    <w:rsid w:val="00EB3227"/>
    <w:rsid w:val="00EB3E15"/>
    <w:rsid w:val="00EB3E3B"/>
    <w:rsid w:val="00EB5260"/>
    <w:rsid w:val="00EB6871"/>
    <w:rsid w:val="00EC4797"/>
    <w:rsid w:val="00ED0F4F"/>
    <w:rsid w:val="00ED1ECF"/>
    <w:rsid w:val="00ED3FFC"/>
    <w:rsid w:val="00EE1230"/>
    <w:rsid w:val="00EE1F13"/>
    <w:rsid w:val="00EE32EF"/>
    <w:rsid w:val="00EE6A07"/>
    <w:rsid w:val="00EF0C43"/>
    <w:rsid w:val="00EF378A"/>
    <w:rsid w:val="00EF5EBE"/>
    <w:rsid w:val="00EF666E"/>
    <w:rsid w:val="00EF701D"/>
    <w:rsid w:val="00EF7455"/>
    <w:rsid w:val="00F03368"/>
    <w:rsid w:val="00F03676"/>
    <w:rsid w:val="00F03921"/>
    <w:rsid w:val="00F03977"/>
    <w:rsid w:val="00F04021"/>
    <w:rsid w:val="00F062CB"/>
    <w:rsid w:val="00F07218"/>
    <w:rsid w:val="00F106E3"/>
    <w:rsid w:val="00F1289C"/>
    <w:rsid w:val="00F17D43"/>
    <w:rsid w:val="00F20A3B"/>
    <w:rsid w:val="00F212F5"/>
    <w:rsid w:val="00F22C4B"/>
    <w:rsid w:val="00F33777"/>
    <w:rsid w:val="00F356B0"/>
    <w:rsid w:val="00F36CF9"/>
    <w:rsid w:val="00F373ED"/>
    <w:rsid w:val="00F37FFD"/>
    <w:rsid w:val="00F40F94"/>
    <w:rsid w:val="00F45AB4"/>
    <w:rsid w:val="00F46955"/>
    <w:rsid w:val="00F566A0"/>
    <w:rsid w:val="00F61F99"/>
    <w:rsid w:val="00F72521"/>
    <w:rsid w:val="00F778C0"/>
    <w:rsid w:val="00F77969"/>
    <w:rsid w:val="00F80EA7"/>
    <w:rsid w:val="00FA1C59"/>
    <w:rsid w:val="00FA2071"/>
    <w:rsid w:val="00FA7179"/>
    <w:rsid w:val="00FB3B4A"/>
    <w:rsid w:val="00FB47AB"/>
    <w:rsid w:val="00FC224B"/>
    <w:rsid w:val="00FC509B"/>
    <w:rsid w:val="00FC50C4"/>
    <w:rsid w:val="00FD09F0"/>
    <w:rsid w:val="00FD1B6F"/>
    <w:rsid w:val="00FF16C6"/>
    <w:rsid w:val="00FF2753"/>
    <w:rsid w:val="00FF5C51"/>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1C2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qFormat/>
    <w:rsid w:val="00FA1C59"/>
    <w:pPr>
      <w:keepNext/>
      <w:tabs>
        <w:tab w:val="num" w:pos="1215"/>
      </w:tabs>
      <w:spacing w:before="120" w:after="120"/>
      <w:ind w:left="1215" w:hanging="495"/>
      <w:outlineLvl w:val="1"/>
    </w:pPr>
    <w:rPr>
      <w:rFonts w:ascii="Helvetica" w:hAnsi="Helvetica"/>
      <w:b/>
      <w:i/>
      <w:sz w:val="26"/>
      <w:szCs w:val="20"/>
    </w:rPr>
  </w:style>
  <w:style w:type="paragraph" w:styleId="Heading9">
    <w:name w:val="heading 9"/>
    <w:basedOn w:val="Normal"/>
    <w:next w:val="Normal"/>
    <w:qFormat/>
    <w:rsid w:val="003879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sid w:val="00387930"/>
    <w:rPr>
      <w:b/>
      <w:bCs/>
    </w:rPr>
  </w:style>
  <w:style w:type="paragraph" w:styleId="BodyText">
    <w:name w:val="Body Text"/>
    <w:basedOn w:val="Normal"/>
    <w:rsid w:val="00387930"/>
    <w:pPr>
      <w:spacing w:before="100" w:beforeAutospacing="1" w:after="100" w:afterAutospacing="1"/>
    </w:pPr>
  </w:style>
  <w:style w:type="paragraph" w:styleId="BodyTextIndent">
    <w:name w:val="Body Text Indent"/>
    <w:basedOn w:val="Normal"/>
    <w:rsid w:val="00063A3C"/>
    <w:pPr>
      <w:spacing w:after="120"/>
      <w:ind w:left="360"/>
    </w:pPr>
    <w:rPr>
      <w:sz w:val="20"/>
      <w:szCs w:val="20"/>
    </w:rPr>
  </w:style>
  <w:style w:type="paragraph" w:customStyle="1" w:styleId="standard">
    <w:name w:val="standard"/>
    <w:basedOn w:val="Normal"/>
    <w:link w:val="standardChar"/>
    <w:rsid w:val="00063A3C"/>
    <w:pPr>
      <w:spacing w:line="360" w:lineRule="auto"/>
      <w:ind w:firstLine="720"/>
    </w:pPr>
    <w:rPr>
      <w:rFonts w:ascii="Palatino" w:hAnsi="Palatino"/>
      <w:sz w:val="26"/>
      <w:szCs w:val="20"/>
    </w:rPr>
  </w:style>
  <w:style w:type="paragraph" w:styleId="BodyText2">
    <w:name w:val="Body Text 2"/>
    <w:basedOn w:val="Normal"/>
    <w:rsid w:val="00063A3C"/>
    <w:pPr>
      <w:spacing w:after="120" w:line="480" w:lineRule="auto"/>
    </w:pPr>
  </w:style>
  <w:style w:type="character" w:styleId="CommentReference">
    <w:name w:val="annotation reference"/>
    <w:semiHidden/>
    <w:rsid w:val="00C82EEB"/>
    <w:rPr>
      <w:sz w:val="16"/>
      <w:szCs w:val="16"/>
    </w:rPr>
  </w:style>
  <w:style w:type="paragraph" w:styleId="CommentText">
    <w:name w:val="annotation text"/>
    <w:basedOn w:val="Normal"/>
    <w:semiHidden/>
    <w:rsid w:val="00C82EEB"/>
    <w:rPr>
      <w:sz w:val="20"/>
      <w:szCs w:val="20"/>
    </w:rPr>
  </w:style>
  <w:style w:type="paragraph" w:styleId="CommentSubject">
    <w:name w:val="annotation subject"/>
    <w:basedOn w:val="CommentText"/>
    <w:next w:val="CommentText"/>
    <w:semiHidden/>
    <w:rsid w:val="00C82EEB"/>
    <w:rPr>
      <w:b/>
      <w:bCs/>
    </w:rPr>
  </w:style>
  <w:style w:type="paragraph" w:customStyle="1" w:styleId="LetterheadDefault">
    <w:name w:val="Letterhead Default"/>
    <w:basedOn w:val="Normal"/>
    <w:autoRedefine/>
    <w:rsid w:val="00106627"/>
    <w:rPr>
      <w:rFonts w:ascii="Scala-Regular" w:eastAsia="Times" w:hAnsi="Scala-Regular"/>
      <w:szCs w:val="20"/>
    </w:rPr>
  </w:style>
  <w:style w:type="paragraph" w:customStyle="1" w:styleId="NormalPalatino">
    <w:name w:val="Normal + Palatino"/>
    <w:aliases w:val="13 pt,Justified"/>
    <w:basedOn w:val="NormalWeb"/>
    <w:link w:val="NormalPalatinoChar"/>
    <w:rsid w:val="00CC0D5C"/>
    <w:rPr>
      <w:rFonts w:ascii="Palatino" w:hAnsi="Palatino" w:cs="Times New Roman"/>
      <w:sz w:val="26"/>
      <w:szCs w:val="26"/>
    </w:rPr>
  </w:style>
  <w:style w:type="character" w:customStyle="1" w:styleId="NormalWebChar">
    <w:name w:val="Normal (Web) Char"/>
    <w:link w:val="NormalWeb"/>
    <w:rsid w:val="00CC0D5C"/>
    <w:rPr>
      <w:rFonts w:ascii="Arial Unicode MS" w:eastAsia="Arial Unicode MS" w:hAnsi="Arial Unicode MS" w:cs="Arial Unicode MS"/>
      <w:sz w:val="24"/>
      <w:szCs w:val="24"/>
      <w:lang w:val="en-US" w:eastAsia="en-US" w:bidi="ar-SA"/>
    </w:rPr>
  </w:style>
  <w:style w:type="character" w:customStyle="1" w:styleId="NormalPalatinoChar">
    <w:name w:val="Normal + Palatino Char"/>
    <w:aliases w:val="13 pt Char,Justified Char"/>
    <w:link w:val="NormalPalatino"/>
    <w:rsid w:val="00CC0D5C"/>
    <w:rPr>
      <w:rFonts w:ascii="Palatino" w:eastAsia="Arial Unicode MS" w:hAnsi="Palatino" w:cs="Arial Unicode MS"/>
      <w:sz w:val="26"/>
      <w:szCs w:val="26"/>
      <w:lang w:val="en-US" w:eastAsia="en-US" w:bidi="ar-SA"/>
    </w:rPr>
  </w:style>
  <w:style w:type="paragraph" w:styleId="DocumentMap">
    <w:name w:val="Document Map"/>
    <w:basedOn w:val="Normal"/>
    <w:semiHidden/>
    <w:rsid w:val="002017A2"/>
    <w:pPr>
      <w:shd w:val="clear" w:color="auto" w:fill="000080"/>
    </w:pPr>
    <w:rPr>
      <w:rFonts w:ascii="Tahoma" w:hAnsi="Tahoma" w:cs="Tahoma"/>
      <w:sz w:val="20"/>
      <w:szCs w:val="20"/>
    </w:rPr>
  </w:style>
  <w:style w:type="character" w:styleId="FollowedHyperlink">
    <w:name w:val="FollowedHyperlink"/>
    <w:rsid w:val="00CD5410"/>
    <w:rPr>
      <w:color w:val="800080"/>
      <w:u w:val="single"/>
    </w:rPr>
  </w:style>
  <w:style w:type="character" w:customStyle="1" w:styleId="standardChar">
    <w:name w:val="standard Char"/>
    <w:link w:val="standard"/>
    <w:rsid w:val="00FA1C59"/>
    <w:rPr>
      <w:rFonts w:ascii="Palatino" w:hAnsi="Palatino"/>
      <w:sz w:val="26"/>
      <w:lang w:val="en-US" w:eastAsia="en-US" w:bidi="ar-SA"/>
    </w:rPr>
  </w:style>
  <w:style w:type="paragraph" w:styleId="FootnoteText">
    <w:name w:val="footnote text"/>
    <w:basedOn w:val="Normal"/>
    <w:semiHidden/>
    <w:rsid w:val="006E173A"/>
    <w:rPr>
      <w:sz w:val="20"/>
      <w:szCs w:val="20"/>
    </w:rPr>
  </w:style>
  <w:style w:type="character" w:styleId="FootnoteReference">
    <w:name w:val="footnote reference"/>
    <w:semiHidden/>
    <w:rsid w:val="006E173A"/>
    <w:rPr>
      <w:vertAlign w:val="superscript"/>
    </w:rPr>
  </w:style>
  <w:style w:type="paragraph" w:styleId="ListParagraph">
    <w:name w:val="List Paragraph"/>
    <w:basedOn w:val="Normal"/>
    <w:uiPriority w:val="34"/>
    <w:qFormat/>
    <w:rsid w:val="00F37FFD"/>
    <w:pPr>
      <w:ind w:left="720"/>
    </w:pPr>
  </w:style>
  <w:style w:type="paragraph" w:styleId="Revision">
    <w:name w:val="Revision"/>
    <w:hidden/>
    <w:uiPriority w:val="99"/>
    <w:semiHidden/>
    <w:rsid w:val="00B339EA"/>
    <w:rPr>
      <w:sz w:val="24"/>
      <w:szCs w:val="24"/>
    </w:rPr>
  </w:style>
  <w:style w:type="character" w:customStyle="1" w:styleId="FooterChar">
    <w:name w:val="Footer Char"/>
    <w:link w:val="Footer"/>
    <w:uiPriority w:val="99"/>
    <w:rsid w:val="00C232A6"/>
    <w:rPr>
      <w:sz w:val="24"/>
      <w:szCs w:val="24"/>
    </w:rPr>
  </w:style>
  <w:style w:type="paragraph" w:customStyle="1" w:styleId="StyleBodyTextPalatinoLinotype13ptBlackBefore">
    <w:name w:val="Style Body Text + Palatino Linotype 13 pt Black Before:"/>
    <w:basedOn w:val="BodyText"/>
    <w:rsid w:val="00D73C9F"/>
    <w:pPr>
      <w:spacing w:before="260" w:beforeAutospacing="0" w:after="0" w:afterAutospacing="0"/>
    </w:pPr>
    <w:rPr>
      <w:rFonts w:ascii="Palatino Linotype" w:hAnsi="Palatino Linotype"/>
      <w:color w:val="000000"/>
      <w:sz w:val="26"/>
      <w:szCs w:val="20"/>
    </w:rPr>
  </w:style>
  <w:style w:type="table" w:styleId="TableGrid">
    <w:name w:val="Table Grid"/>
    <w:basedOn w:val="TableNormal"/>
    <w:rsid w:val="00696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1468">
      <w:bodyDiv w:val="1"/>
      <w:marLeft w:val="0"/>
      <w:marRight w:val="0"/>
      <w:marTop w:val="0"/>
      <w:marBottom w:val="0"/>
      <w:divBdr>
        <w:top w:val="none" w:sz="0" w:space="0" w:color="auto"/>
        <w:left w:val="none" w:sz="0" w:space="0" w:color="auto"/>
        <w:bottom w:val="none" w:sz="0" w:space="0" w:color="auto"/>
        <w:right w:val="none" w:sz="0" w:space="0" w:color="auto"/>
      </w:divBdr>
      <w:divsChild>
        <w:div w:id="1720473569">
          <w:marLeft w:val="0"/>
          <w:marRight w:val="0"/>
          <w:marTop w:val="0"/>
          <w:marBottom w:val="0"/>
          <w:divBdr>
            <w:top w:val="none" w:sz="0" w:space="0" w:color="auto"/>
            <w:left w:val="none" w:sz="0" w:space="0" w:color="auto"/>
            <w:bottom w:val="none" w:sz="0" w:space="0" w:color="auto"/>
            <w:right w:val="none" w:sz="0" w:space="0" w:color="auto"/>
          </w:divBdr>
        </w:div>
      </w:divsChild>
    </w:div>
    <w:div w:id="230315772">
      <w:bodyDiv w:val="1"/>
      <w:marLeft w:val="0"/>
      <w:marRight w:val="0"/>
      <w:marTop w:val="0"/>
      <w:marBottom w:val="0"/>
      <w:divBdr>
        <w:top w:val="none" w:sz="0" w:space="0" w:color="auto"/>
        <w:left w:val="none" w:sz="0" w:space="0" w:color="auto"/>
        <w:bottom w:val="none" w:sz="0" w:space="0" w:color="auto"/>
        <w:right w:val="none" w:sz="0" w:space="0" w:color="auto"/>
      </w:divBdr>
    </w:div>
    <w:div w:id="9063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63F7-5C69-4EF8-852C-B964AAD6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PUBLIC UTILITIES COMMISSION OF THE STATE OF CALIFORNIA</vt:lpstr>
    </vt:vector>
  </TitlesOfParts>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UTILITIES COMMISSION OF THE STATE OF CALIFORNIA</dc:title>
  <dc:subject/>
  <dc:creator/>
  <cp:keywords/>
  <cp:lastModifiedBy/>
  <cp:revision>1</cp:revision>
  <cp:lastPrinted>2009-11-17T22:29:00Z</cp:lastPrinted>
  <dcterms:created xsi:type="dcterms:W3CDTF">2018-09-05T22:00:00Z</dcterms:created>
  <dcterms:modified xsi:type="dcterms:W3CDTF">2018-09-06T18:54:00Z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-1790008133</vt:i4>
  </property>
  <property fmtid="{D5CDD505-2E9C-101B-9397-08002B2CF9AE}" pid="3" name="_ReviewCycleID">
    <vt:i4>-1790008133</vt:i4>
  </property>
  <property fmtid="{D5CDD505-2E9C-101B-9397-08002B2CF9AE}" pid="4" name="_NewReviewCycle">
    <vt:lpwstr/>
  </property>
  <property fmtid="{D5CDD505-2E9C-101B-9397-08002B2CF9AE}" pid="5" name="_EmailEntryID">
    <vt:lpwstr>00000000C165928702715B40B9F0BF3FD673DC2007002C50DA6871D03348A682C1DFB999FF70000000499AA700002C50DA6871D03348A682C1DFB999FF70000000499BA90000</vt:lpwstr>
  </property>
  <property fmtid="{D5CDD505-2E9C-101B-9397-08002B2CF9AE}" pid="6" name="_EmailStoreID">
    <vt:lpwstr>0000000038A1BB1005E5101AA1BB08002B2A56C20000454D534D44422E444C4C00000000000000001B55FA20AA6611CD9BC800AA002FC45A0C0000006F75746C6F6F6B2E637075632E63612E676F76002F4F3D435055432F4F553D50554353462F636E3D526563697069656E74732F636E3D44415200</vt:lpwstr>
  </property>
  <property fmtid="{D5CDD505-2E9C-101B-9397-08002B2CF9AE}" pid="7" name="_EmailStoreID0">
    <vt:lpwstr>0000000038A1BB1005E5101AA1BB08002B2A56C20000454D534D44422E444C4C00000000000000001B55FA20AA6611CD9BC800AA002FC45A0C0000005061747269636B2E446F6E6E656C6C7940637075632E63612E676F76002F6F3D435055432F6F753D45786368616E67652041646D696E6973747261746976652047726F7</vt:lpwstr>
  </property>
  <property fmtid="{D5CDD505-2E9C-101B-9397-08002B2CF9AE}" pid="8" name="_EmailStoreID1">
    <vt:lpwstr>570202846594449424F484632335350444C54292F636E3D526563697069656E74732F636E3D446F6E6E656C6C792C205061747269636B36393100E94632F44C00000002000000100000005000610074007200690063006B002E0044006F006E006E0065006C006C007900400063007000750063002E00630061002E0067006F</vt:lpwstr>
  </property>
  <property fmtid="{D5CDD505-2E9C-101B-9397-08002B2CF9AE}" pid="9" name="_EmailStoreID2">
    <vt:lpwstr>00760000000000</vt:lpwstr>
  </property>
  <property fmtid="{D5CDD505-2E9C-101B-9397-08002B2CF9AE}" pid="10" name="_ReviewingToolsShownOnce">
    <vt:lpwstr/>
  </property>
</Properties>
</file>