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5E" w:rsidRPr="0010374D" w:rsidRDefault="0010374D">
      <w:bookmarkStart w:id="0" w:name="_GoBack"/>
      <w:bookmarkEnd w:id="0"/>
      <w:r>
        <w:t>ALJ/SCR/ek4</w:t>
      </w:r>
      <w:r>
        <w:tab/>
      </w:r>
      <w:r>
        <w:tab/>
      </w:r>
      <w:r>
        <w:rPr>
          <w:b/>
        </w:rPr>
        <w:t>PROPOSED DECISION</w:t>
      </w:r>
      <w:r>
        <w:rPr>
          <w:b/>
        </w:rPr>
        <w:tab/>
        <w:t xml:space="preserve">       </w:t>
      </w:r>
      <w:r w:rsidR="000C4365">
        <w:rPr>
          <w:b/>
        </w:rPr>
        <w:t xml:space="preserve"> </w:t>
      </w:r>
      <w:r>
        <w:rPr>
          <w:b/>
        </w:rPr>
        <w:t xml:space="preserve">   </w:t>
      </w:r>
      <w:r>
        <w:t>Agenda ID #</w:t>
      </w:r>
      <w:r w:rsidR="000C4365">
        <w:t>16474</w:t>
      </w:r>
    </w:p>
    <w:p w:rsidR="00A7305E" w:rsidRDefault="0010374D" w:rsidP="0010374D">
      <w:pPr>
        <w:jc w:val="right"/>
      </w:pPr>
      <w:r>
        <w:t>Ratesetting</w:t>
      </w:r>
    </w:p>
    <w:p w:rsidR="0060407B" w:rsidRDefault="0060407B" w:rsidP="0010374D">
      <w:pPr>
        <w:jc w:val="right"/>
      </w:pPr>
      <w:r>
        <w:t>9/13/2018</w:t>
      </w:r>
    </w:p>
    <w:p w:rsidR="0010374D" w:rsidRDefault="0010374D"/>
    <w:p w:rsidR="0010374D" w:rsidRPr="0010374D" w:rsidRDefault="0010374D">
      <w:r>
        <w:t xml:space="preserve">Decision </w:t>
      </w:r>
      <w:r>
        <w:rPr>
          <w:b/>
          <w:u w:val="single"/>
        </w:rPr>
        <w:t>PROPOSED DECISION OF ALJ ROSCOW</w:t>
      </w:r>
      <w:r w:rsidRPr="0010374D">
        <w:rPr>
          <w:b/>
        </w:rPr>
        <w:t xml:space="preserve"> </w:t>
      </w:r>
      <w:r>
        <w:t xml:space="preserve">(Mailed </w:t>
      </w:r>
      <w:r w:rsidR="004025B5">
        <w:t>4/</w:t>
      </w:r>
      <w:r w:rsidR="00D07DD0">
        <w:t>27</w:t>
      </w:r>
      <w:r w:rsidR="004025B5">
        <w:t>/2018</w:t>
      </w:r>
      <w:r>
        <w:t>)</w:t>
      </w:r>
    </w:p>
    <w:p w:rsidR="0010374D" w:rsidRDefault="0010374D"/>
    <w:p w:rsidR="00B30FF9" w:rsidRDefault="00B30FF9">
      <w:pPr>
        <w:rPr>
          <w:rFonts w:ascii="Helvetica" w:hAnsi="Helvetica"/>
          <w:b/>
          <w:bCs/>
          <w:sz w:val="24"/>
        </w:rPr>
      </w:pPr>
      <w:r>
        <w:rPr>
          <w:rFonts w:ascii="Helvetica" w:hAnsi="Helvetica"/>
          <w:b/>
          <w:bCs/>
          <w:sz w:val="24"/>
        </w:rPr>
        <w:t>BEFORE THE PUBLIC UTILITIES COMMISSION OF THE STATE OF CALIFORNIA</w:t>
      </w:r>
    </w:p>
    <w:p w:rsidR="00A473B6" w:rsidRDefault="00A473B6">
      <w:pPr>
        <w:rPr>
          <w:rFonts w:ascii="Helvetica" w:hAnsi="Helvetica"/>
          <w:b/>
          <w:bCs/>
          <w:sz w:val="24"/>
        </w:rPr>
      </w:pPr>
    </w:p>
    <w:tbl>
      <w:tblPr>
        <w:tblW w:w="0" w:type="auto"/>
        <w:tblLayout w:type="fixed"/>
        <w:tblLook w:val="0000" w:firstRow="0" w:lastRow="0" w:firstColumn="0" w:lastColumn="0" w:noHBand="0" w:noVBand="0"/>
      </w:tblPr>
      <w:tblGrid>
        <w:gridCol w:w="5328"/>
        <w:gridCol w:w="3917"/>
      </w:tblGrid>
      <w:tr w:rsidR="00A473B6" w:rsidRPr="00CE7D80" w:rsidTr="00A473B6">
        <w:tc>
          <w:tcPr>
            <w:tcW w:w="5328" w:type="dxa"/>
            <w:tcBorders>
              <w:bottom w:val="single" w:sz="6" w:space="0" w:color="auto"/>
              <w:right w:val="single" w:sz="6" w:space="0" w:color="auto"/>
            </w:tcBorders>
          </w:tcPr>
          <w:p w:rsidR="00A473B6" w:rsidRDefault="00244589" w:rsidP="00244589">
            <w:pPr>
              <w:suppressAutoHyphens/>
            </w:pPr>
            <w:r w:rsidRPr="00244589">
              <w:t>Application of Pacific Gas and Electric Company for Authority, Among Other Things, to Increase Rates and Charges for Electric and Gas Service Effective on January 1, 2017.  (U39M)</w:t>
            </w:r>
          </w:p>
          <w:p w:rsidR="00244589" w:rsidRPr="00CE7D80" w:rsidRDefault="00244589" w:rsidP="00244589">
            <w:pPr>
              <w:suppressAutoHyphens/>
            </w:pPr>
          </w:p>
        </w:tc>
        <w:tc>
          <w:tcPr>
            <w:tcW w:w="3917" w:type="dxa"/>
            <w:tcBorders>
              <w:left w:val="nil"/>
            </w:tcBorders>
          </w:tcPr>
          <w:p w:rsidR="00A473B6" w:rsidRDefault="00A473B6" w:rsidP="00A473B6">
            <w:pPr>
              <w:suppressAutoHyphens/>
              <w:jc w:val="center"/>
            </w:pPr>
          </w:p>
          <w:p w:rsidR="00A473B6" w:rsidRPr="00CE7D80" w:rsidRDefault="00A473B6" w:rsidP="00A473B6">
            <w:pPr>
              <w:suppressAutoHyphens/>
              <w:jc w:val="center"/>
            </w:pPr>
          </w:p>
          <w:p w:rsidR="00A473B6" w:rsidRPr="00CE7D80" w:rsidRDefault="00A473B6" w:rsidP="00A473B6">
            <w:pPr>
              <w:suppressAutoHyphens/>
              <w:jc w:val="center"/>
            </w:pPr>
            <w:r w:rsidRPr="00CE7D80">
              <w:t>Application 1</w:t>
            </w:r>
            <w:r>
              <w:t>5</w:t>
            </w:r>
            <w:r w:rsidRPr="00CE7D80">
              <w:t>-</w:t>
            </w:r>
            <w:r>
              <w:t>09</w:t>
            </w:r>
            <w:r w:rsidRPr="00CE7D80">
              <w:t>-00</w:t>
            </w:r>
            <w:r>
              <w:t>1</w:t>
            </w:r>
          </w:p>
        </w:tc>
      </w:tr>
    </w:tbl>
    <w:p w:rsidR="00B30FF9" w:rsidRDefault="00B30FF9">
      <w:pPr>
        <w:suppressAutoHyphens/>
      </w:pPr>
    </w:p>
    <w:p w:rsidR="00422D31" w:rsidRDefault="00422D31">
      <w:pPr>
        <w:suppressAutoHyphens/>
      </w:pPr>
    </w:p>
    <w:p w:rsidR="00422D31" w:rsidRDefault="0010374D" w:rsidP="0010374D">
      <w:pPr>
        <w:pStyle w:val="Heading1"/>
        <w:numPr>
          <w:ilvl w:val="0"/>
          <w:numId w:val="0"/>
        </w:numPr>
        <w:jc w:val="center"/>
      </w:pPr>
      <w:bookmarkStart w:id="1" w:name="_Toc509589553"/>
      <w:r w:rsidRPr="00F31AF9">
        <w:t>DECISION GRANTING INTERVENOR COMPENSATION</w:t>
      </w:r>
      <w:r>
        <w:t xml:space="preserve"> </w:t>
      </w:r>
      <w:r w:rsidRPr="00F31AF9">
        <w:t xml:space="preserve">TO </w:t>
      </w:r>
      <w:r>
        <w:br/>
        <w:t>SCOTT J. RAFFERTY</w:t>
      </w:r>
      <w:r w:rsidRPr="00F31AF9">
        <w:t xml:space="preserve"> FOR SUBSTANTIAL CONTRIBUTION</w:t>
      </w:r>
      <w:r>
        <w:t xml:space="preserve"> </w:t>
      </w:r>
      <w:r>
        <w:br/>
        <w:t>T</w:t>
      </w:r>
      <w:r w:rsidRPr="00F31AF9">
        <w:t>O DECISION</w:t>
      </w:r>
      <w:r>
        <w:t xml:space="preserve"> 17-05-013</w:t>
      </w:r>
      <w:bookmarkEnd w:id="1"/>
    </w:p>
    <w:p w:rsidR="00422D31" w:rsidRDefault="00422D31">
      <w:pPr>
        <w:suppressAutoHyphens/>
      </w:pPr>
    </w:p>
    <w:p w:rsidR="0010374D" w:rsidRDefault="0010374D">
      <w:pPr>
        <w:sectPr w:rsidR="0010374D" w:rsidSect="0010374D">
          <w:headerReference w:type="default" r:id="rId9"/>
          <w:footerReference w:type="first" r:id="rId10"/>
          <w:pgSz w:w="12240" w:h="15840" w:code="1"/>
          <w:pgMar w:top="1708" w:right="1440" w:bottom="1440" w:left="1440" w:header="720" w:footer="720" w:gutter="0"/>
          <w:pgNumType w:start="1"/>
          <w:cols w:space="720"/>
          <w:titlePg/>
          <w:docGrid w:linePitch="354"/>
        </w:sectPr>
      </w:pPr>
    </w:p>
    <w:p w:rsidR="005016EB" w:rsidRDefault="005016EB"/>
    <w:sdt>
      <w:sdtPr>
        <w:rPr>
          <w:rFonts w:ascii="Palatino" w:eastAsia="Times New Roman" w:hAnsi="Palatino" w:cs="Times New Roman"/>
          <w:b w:val="0"/>
          <w:bCs w:val="0"/>
          <w:color w:val="auto"/>
          <w:sz w:val="26"/>
          <w:szCs w:val="20"/>
          <w:lang w:eastAsia="en-US"/>
        </w:rPr>
        <w:id w:val="-1407224581"/>
        <w:docPartObj>
          <w:docPartGallery w:val="Table of Contents"/>
          <w:docPartUnique/>
        </w:docPartObj>
      </w:sdtPr>
      <w:sdtEndPr>
        <w:rPr>
          <w:noProof/>
        </w:rPr>
      </w:sdtEndPr>
      <w:sdtContent>
        <w:p w:rsidR="00732D5A" w:rsidRDefault="00732D5A">
          <w:pPr>
            <w:pStyle w:val="TOCHeading"/>
          </w:pPr>
        </w:p>
        <w:p w:rsidR="005B4598" w:rsidRDefault="00732D5A">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09589553" w:history="1">
            <w:r w:rsidR="005B4598" w:rsidRPr="004460E0">
              <w:rPr>
                <w:rStyle w:val="Hyperlink"/>
              </w:rPr>
              <w:t>DECISION GRANTING INTERVENOR COMPENSATION TO  SCOTT J. RAFFERTY FOR SUBSTANTIAL CONTRIBUTION  TO DECISION 17-05-013</w:t>
            </w:r>
            <w:r w:rsidR="005B4598">
              <w:rPr>
                <w:webHidden/>
              </w:rPr>
              <w:tab/>
            </w:r>
            <w:r w:rsidR="005B4598">
              <w:rPr>
                <w:webHidden/>
              </w:rPr>
              <w:fldChar w:fldCharType="begin"/>
            </w:r>
            <w:r w:rsidR="005B4598">
              <w:rPr>
                <w:webHidden/>
              </w:rPr>
              <w:instrText xml:space="preserve"> PAGEREF _Toc509589553 \h </w:instrText>
            </w:r>
            <w:r w:rsidR="005B4598">
              <w:rPr>
                <w:webHidden/>
              </w:rPr>
            </w:r>
            <w:r w:rsidR="005B4598">
              <w:rPr>
                <w:webHidden/>
              </w:rPr>
              <w:fldChar w:fldCharType="separate"/>
            </w:r>
            <w:r w:rsidR="00376BF0">
              <w:rPr>
                <w:webHidden/>
              </w:rPr>
              <w:t>1</w:t>
            </w:r>
            <w:r w:rsidR="005B4598">
              <w:rPr>
                <w:webHidden/>
              </w:rPr>
              <w:fldChar w:fldCharType="end"/>
            </w:r>
          </w:hyperlink>
        </w:p>
        <w:p w:rsidR="005B4598" w:rsidRDefault="00376BF0">
          <w:pPr>
            <w:pStyle w:val="TOC1"/>
            <w:rPr>
              <w:rFonts w:asciiTheme="minorHAnsi" w:eastAsiaTheme="minorEastAsia" w:hAnsiTheme="minorHAnsi" w:cstheme="minorBidi"/>
              <w:sz w:val="22"/>
              <w:szCs w:val="22"/>
            </w:rPr>
          </w:pPr>
          <w:hyperlink w:anchor="_Toc509589554" w:history="1">
            <w:r w:rsidR="005B4598" w:rsidRPr="004460E0">
              <w:rPr>
                <w:rStyle w:val="Hyperlink"/>
              </w:rPr>
              <w:t>Summary</w:t>
            </w:r>
            <w:r w:rsidR="005B4598">
              <w:rPr>
                <w:webHidden/>
              </w:rPr>
              <w:tab/>
            </w:r>
            <w:r w:rsidR="005B4598">
              <w:rPr>
                <w:webHidden/>
              </w:rPr>
              <w:fldChar w:fldCharType="begin"/>
            </w:r>
            <w:r w:rsidR="005B4598">
              <w:rPr>
                <w:webHidden/>
              </w:rPr>
              <w:instrText xml:space="preserve"> PAGEREF _Toc509589554 \h </w:instrText>
            </w:r>
            <w:r w:rsidR="005B4598">
              <w:rPr>
                <w:webHidden/>
              </w:rPr>
            </w:r>
            <w:r w:rsidR="005B4598">
              <w:rPr>
                <w:webHidden/>
              </w:rPr>
              <w:fldChar w:fldCharType="separate"/>
            </w:r>
            <w:r>
              <w:rPr>
                <w:webHidden/>
              </w:rPr>
              <w:t>2</w:t>
            </w:r>
            <w:r w:rsidR="005B4598">
              <w:rPr>
                <w:webHidden/>
              </w:rPr>
              <w:fldChar w:fldCharType="end"/>
            </w:r>
          </w:hyperlink>
        </w:p>
        <w:p w:rsidR="005B4598" w:rsidRDefault="00376BF0">
          <w:pPr>
            <w:pStyle w:val="TOC1"/>
            <w:rPr>
              <w:rFonts w:asciiTheme="minorHAnsi" w:eastAsiaTheme="minorEastAsia" w:hAnsiTheme="minorHAnsi" w:cstheme="minorBidi"/>
              <w:sz w:val="22"/>
              <w:szCs w:val="22"/>
            </w:rPr>
          </w:pPr>
          <w:hyperlink w:anchor="_Toc509589555" w:history="1">
            <w:r w:rsidR="005B4598" w:rsidRPr="004460E0">
              <w:rPr>
                <w:rStyle w:val="Hyperlink"/>
              </w:rPr>
              <w:t>1.</w:t>
            </w:r>
            <w:r w:rsidR="005B4598">
              <w:rPr>
                <w:rFonts w:asciiTheme="minorHAnsi" w:eastAsiaTheme="minorEastAsia" w:hAnsiTheme="minorHAnsi" w:cstheme="minorBidi"/>
                <w:sz w:val="22"/>
                <w:szCs w:val="22"/>
              </w:rPr>
              <w:tab/>
            </w:r>
            <w:r w:rsidR="005B4598" w:rsidRPr="004460E0">
              <w:rPr>
                <w:rStyle w:val="Hyperlink"/>
              </w:rPr>
              <w:t>Background</w:t>
            </w:r>
            <w:r w:rsidR="005B4598">
              <w:rPr>
                <w:webHidden/>
              </w:rPr>
              <w:tab/>
            </w:r>
            <w:r w:rsidR="005B4598">
              <w:rPr>
                <w:webHidden/>
              </w:rPr>
              <w:fldChar w:fldCharType="begin"/>
            </w:r>
            <w:r w:rsidR="005B4598">
              <w:rPr>
                <w:webHidden/>
              </w:rPr>
              <w:instrText xml:space="preserve"> PAGEREF _Toc509589555 \h </w:instrText>
            </w:r>
            <w:r w:rsidR="005B4598">
              <w:rPr>
                <w:webHidden/>
              </w:rPr>
            </w:r>
            <w:r w:rsidR="005B4598">
              <w:rPr>
                <w:webHidden/>
              </w:rPr>
              <w:fldChar w:fldCharType="separate"/>
            </w:r>
            <w:r>
              <w:rPr>
                <w:webHidden/>
              </w:rPr>
              <w:t>2</w:t>
            </w:r>
            <w:r w:rsidR="005B4598">
              <w:rPr>
                <w:webHidden/>
              </w:rPr>
              <w:fldChar w:fldCharType="end"/>
            </w:r>
          </w:hyperlink>
        </w:p>
        <w:p w:rsidR="005B4598" w:rsidRDefault="00376BF0">
          <w:pPr>
            <w:pStyle w:val="TOC1"/>
            <w:rPr>
              <w:rFonts w:asciiTheme="minorHAnsi" w:eastAsiaTheme="minorEastAsia" w:hAnsiTheme="minorHAnsi" w:cstheme="minorBidi"/>
              <w:sz w:val="22"/>
              <w:szCs w:val="22"/>
            </w:rPr>
          </w:pPr>
          <w:hyperlink w:anchor="_Toc509589556" w:history="1">
            <w:r w:rsidR="005B4598" w:rsidRPr="004460E0">
              <w:rPr>
                <w:rStyle w:val="Hyperlink"/>
              </w:rPr>
              <w:t>2.</w:t>
            </w:r>
            <w:r w:rsidR="005B4598">
              <w:rPr>
                <w:rFonts w:asciiTheme="minorHAnsi" w:eastAsiaTheme="minorEastAsia" w:hAnsiTheme="minorHAnsi" w:cstheme="minorBidi"/>
                <w:sz w:val="22"/>
                <w:szCs w:val="22"/>
              </w:rPr>
              <w:tab/>
            </w:r>
            <w:r w:rsidR="005B4598" w:rsidRPr="004460E0">
              <w:rPr>
                <w:rStyle w:val="Hyperlink"/>
              </w:rPr>
              <w:t>Requirements for Awards of Compensation</w:t>
            </w:r>
            <w:r w:rsidR="005B4598">
              <w:rPr>
                <w:webHidden/>
              </w:rPr>
              <w:tab/>
            </w:r>
            <w:r w:rsidR="005B4598">
              <w:rPr>
                <w:webHidden/>
              </w:rPr>
              <w:fldChar w:fldCharType="begin"/>
            </w:r>
            <w:r w:rsidR="005B4598">
              <w:rPr>
                <w:webHidden/>
              </w:rPr>
              <w:instrText xml:space="preserve"> PAGEREF _Toc509589556 \h </w:instrText>
            </w:r>
            <w:r w:rsidR="005B4598">
              <w:rPr>
                <w:webHidden/>
              </w:rPr>
            </w:r>
            <w:r w:rsidR="005B4598">
              <w:rPr>
                <w:webHidden/>
              </w:rPr>
              <w:fldChar w:fldCharType="separate"/>
            </w:r>
            <w:r>
              <w:rPr>
                <w:webHidden/>
              </w:rPr>
              <w:t>3</w:t>
            </w:r>
            <w:r w:rsidR="005B4598">
              <w:rPr>
                <w:webHidden/>
              </w:rPr>
              <w:fldChar w:fldCharType="end"/>
            </w:r>
          </w:hyperlink>
        </w:p>
        <w:p w:rsidR="005B4598" w:rsidRDefault="00376BF0">
          <w:pPr>
            <w:pStyle w:val="TOC2"/>
            <w:rPr>
              <w:rFonts w:asciiTheme="minorHAnsi" w:eastAsiaTheme="minorEastAsia" w:hAnsiTheme="minorHAnsi" w:cstheme="minorBidi"/>
              <w:sz w:val="22"/>
              <w:szCs w:val="22"/>
            </w:rPr>
          </w:pPr>
          <w:hyperlink w:anchor="_Toc509589557" w:history="1">
            <w:r w:rsidR="005B4598" w:rsidRPr="004460E0">
              <w:rPr>
                <w:rStyle w:val="Hyperlink"/>
              </w:rPr>
              <w:t>2.1.</w:t>
            </w:r>
            <w:r w:rsidR="005B4598">
              <w:rPr>
                <w:rFonts w:asciiTheme="minorHAnsi" w:eastAsiaTheme="minorEastAsia" w:hAnsiTheme="minorHAnsi" w:cstheme="minorBidi"/>
                <w:sz w:val="22"/>
                <w:szCs w:val="22"/>
              </w:rPr>
              <w:tab/>
            </w:r>
            <w:r w:rsidR="005B4598" w:rsidRPr="004460E0">
              <w:rPr>
                <w:rStyle w:val="Hyperlink"/>
              </w:rPr>
              <w:t>Preliminary Procedural Issues</w:t>
            </w:r>
            <w:r w:rsidR="005B4598">
              <w:rPr>
                <w:webHidden/>
              </w:rPr>
              <w:tab/>
            </w:r>
            <w:r w:rsidR="005B4598">
              <w:rPr>
                <w:webHidden/>
              </w:rPr>
              <w:fldChar w:fldCharType="begin"/>
            </w:r>
            <w:r w:rsidR="005B4598">
              <w:rPr>
                <w:webHidden/>
              </w:rPr>
              <w:instrText xml:space="preserve"> PAGEREF _Toc509589557 \h </w:instrText>
            </w:r>
            <w:r w:rsidR="005B4598">
              <w:rPr>
                <w:webHidden/>
              </w:rPr>
            </w:r>
            <w:r w:rsidR="005B4598">
              <w:rPr>
                <w:webHidden/>
              </w:rPr>
              <w:fldChar w:fldCharType="separate"/>
            </w:r>
            <w:r>
              <w:rPr>
                <w:webHidden/>
              </w:rPr>
              <w:t>4</w:t>
            </w:r>
            <w:r w:rsidR="005B4598">
              <w:rPr>
                <w:webHidden/>
              </w:rPr>
              <w:fldChar w:fldCharType="end"/>
            </w:r>
          </w:hyperlink>
        </w:p>
        <w:p w:rsidR="005B4598" w:rsidRDefault="00376BF0">
          <w:pPr>
            <w:pStyle w:val="TOC2"/>
            <w:rPr>
              <w:rFonts w:asciiTheme="minorHAnsi" w:eastAsiaTheme="minorEastAsia" w:hAnsiTheme="minorHAnsi" w:cstheme="minorBidi"/>
              <w:sz w:val="22"/>
              <w:szCs w:val="22"/>
            </w:rPr>
          </w:pPr>
          <w:hyperlink w:anchor="_Toc509589558" w:history="1">
            <w:r w:rsidR="005B4598" w:rsidRPr="004460E0">
              <w:rPr>
                <w:rStyle w:val="Hyperlink"/>
              </w:rPr>
              <w:t>2.2.</w:t>
            </w:r>
            <w:r w:rsidR="005B4598">
              <w:rPr>
                <w:rFonts w:asciiTheme="minorHAnsi" w:eastAsiaTheme="minorEastAsia" w:hAnsiTheme="minorHAnsi" w:cstheme="minorBidi"/>
                <w:sz w:val="22"/>
                <w:szCs w:val="22"/>
              </w:rPr>
              <w:tab/>
            </w:r>
            <w:r w:rsidR="005B4598" w:rsidRPr="004460E0">
              <w:rPr>
                <w:rStyle w:val="Hyperlink"/>
              </w:rPr>
              <w:t>Financial Hardship</w:t>
            </w:r>
            <w:r w:rsidR="005B4598">
              <w:rPr>
                <w:webHidden/>
              </w:rPr>
              <w:tab/>
            </w:r>
            <w:r w:rsidR="005B4598">
              <w:rPr>
                <w:webHidden/>
              </w:rPr>
              <w:fldChar w:fldCharType="begin"/>
            </w:r>
            <w:r w:rsidR="005B4598">
              <w:rPr>
                <w:webHidden/>
              </w:rPr>
              <w:instrText xml:space="preserve"> PAGEREF _Toc509589558 \h </w:instrText>
            </w:r>
            <w:r w:rsidR="005B4598">
              <w:rPr>
                <w:webHidden/>
              </w:rPr>
            </w:r>
            <w:r w:rsidR="005B4598">
              <w:rPr>
                <w:webHidden/>
              </w:rPr>
              <w:fldChar w:fldCharType="separate"/>
            </w:r>
            <w:r>
              <w:rPr>
                <w:webHidden/>
              </w:rPr>
              <w:t>5</w:t>
            </w:r>
            <w:r w:rsidR="005B4598">
              <w:rPr>
                <w:webHidden/>
              </w:rPr>
              <w:fldChar w:fldCharType="end"/>
            </w:r>
          </w:hyperlink>
        </w:p>
        <w:p w:rsidR="005B4598" w:rsidRDefault="00376BF0">
          <w:pPr>
            <w:pStyle w:val="TOC1"/>
            <w:rPr>
              <w:rFonts w:asciiTheme="minorHAnsi" w:eastAsiaTheme="minorEastAsia" w:hAnsiTheme="minorHAnsi" w:cstheme="minorBidi"/>
              <w:sz w:val="22"/>
              <w:szCs w:val="22"/>
            </w:rPr>
          </w:pPr>
          <w:hyperlink w:anchor="_Toc509589559" w:history="1">
            <w:r w:rsidR="005B4598" w:rsidRPr="004460E0">
              <w:rPr>
                <w:rStyle w:val="Hyperlink"/>
              </w:rPr>
              <w:t>3.</w:t>
            </w:r>
            <w:r w:rsidR="005B4598">
              <w:rPr>
                <w:rFonts w:asciiTheme="minorHAnsi" w:eastAsiaTheme="minorEastAsia" w:hAnsiTheme="minorHAnsi" w:cstheme="minorBidi"/>
                <w:sz w:val="22"/>
                <w:szCs w:val="22"/>
              </w:rPr>
              <w:tab/>
            </w:r>
            <w:r w:rsidR="005B4598" w:rsidRPr="004460E0">
              <w:rPr>
                <w:rStyle w:val="Hyperlink"/>
              </w:rPr>
              <w:t>Substantial Contribution</w:t>
            </w:r>
            <w:r w:rsidR="005B4598">
              <w:rPr>
                <w:webHidden/>
              </w:rPr>
              <w:tab/>
            </w:r>
            <w:r w:rsidR="005B4598">
              <w:rPr>
                <w:webHidden/>
              </w:rPr>
              <w:fldChar w:fldCharType="begin"/>
            </w:r>
            <w:r w:rsidR="005B4598">
              <w:rPr>
                <w:webHidden/>
              </w:rPr>
              <w:instrText xml:space="preserve"> PAGEREF _Toc509589559 \h </w:instrText>
            </w:r>
            <w:r w:rsidR="005B4598">
              <w:rPr>
                <w:webHidden/>
              </w:rPr>
            </w:r>
            <w:r w:rsidR="005B4598">
              <w:rPr>
                <w:webHidden/>
              </w:rPr>
              <w:fldChar w:fldCharType="separate"/>
            </w:r>
            <w:r>
              <w:rPr>
                <w:webHidden/>
              </w:rPr>
              <w:t>7</w:t>
            </w:r>
            <w:r w:rsidR="005B4598">
              <w:rPr>
                <w:webHidden/>
              </w:rPr>
              <w:fldChar w:fldCharType="end"/>
            </w:r>
          </w:hyperlink>
        </w:p>
        <w:p w:rsidR="005B4598" w:rsidRDefault="00376BF0">
          <w:pPr>
            <w:pStyle w:val="TOC2"/>
            <w:rPr>
              <w:rFonts w:asciiTheme="minorHAnsi" w:eastAsiaTheme="minorEastAsia" w:hAnsiTheme="minorHAnsi" w:cstheme="minorBidi"/>
              <w:sz w:val="22"/>
              <w:szCs w:val="22"/>
            </w:rPr>
          </w:pPr>
          <w:hyperlink w:anchor="_Toc509589560" w:history="1">
            <w:r w:rsidR="005B4598" w:rsidRPr="004460E0">
              <w:rPr>
                <w:rStyle w:val="Hyperlink"/>
              </w:rPr>
              <w:t>3.1.</w:t>
            </w:r>
            <w:r w:rsidR="005B4598">
              <w:rPr>
                <w:rFonts w:asciiTheme="minorHAnsi" w:eastAsiaTheme="minorEastAsia" w:hAnsiTheme="minorHAnsi" w:cstheme="minorBidi"/>
                <w:sz w:val="22"/>
                <w:szCs w:val="22"/>
              </w:rPr>
              <w:tab/>
            </w:r>
            <w:r w:rsidR="005B4598" w:rsidRPr="004460E0">
              <w:rPr>
                <w:rStyle w:val="Hyperlink"/>
              </w:rPr>
              <w:t>Safety</w:t>
            </w:r>
            <w:r w:rsidR="005B4598">
              <w:rPr>
                <w:webHidden/>
              </w:rPr>
              <w:tab/>
            </w:r>
            <w:r w:rsidR="005B4598">
              <w:rPr>
                <w:webHidden/>
              </w:rPr>
              <w:fldChar w:fldCharType="begin"/>
            </w:r>
            <w:r w:rsidR="005B4598">
              <w:rPr>
                <w:webHidden/>
              </w:rPr>
              <w:instrText xml:space="preserve"> PAGEREF _Toc509589560 \h </w:instrText>
            </w:r>
            <w:r w:rsidR="005B4598">
              <w:rPr>
                <w:webHidden/>
              </w:rPr>
            </w:r>
            <w:r w:rsidR="005B4598">
              <w:rPr>
                <w:webHidden/>
              </w:rPr>
              <w:fldChar w:fldCharType="separate"/>
            </w:r>
            <w:r>
              <w:rPr>
                <w:webHidden/>
              </w:rPr>
              <w:t>9</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61" w:history="1">
            <w:r w:rsidR="005B4598" w:rsidRPr="004460E0">
              <w:rPr>
                <w:rStyle w:val="Hyperlink"/>
              </w:rPr>
              <w:t>3.1.1.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_Toc509589561 \h </w:instrText>
            </w:r>
            <w:r w:rsidR="005B4598">
              <w:rPr>
                <w:webHidden/>
              </w:rPr>
            </w:r>
            <w:r w:rsidR="005B4598">
              <w:rPr>
                <w:webHidden/>
              </w:rPr>
              <w:fldChar w:fldCharType="separate"/>
            </w:r>
            <w:r>
              <w:rPr>
                <w:webHidden/>
              </w:rPr>
              <w:t>10</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62" w:history="1">
            <w:r w:rsidR="005B4598" w:rsidRPr="004460E0">
              <w:rPr>
                <w:rStyle w:val="Hyperlink"/>
              </w:rPr>
              <w:t>3.1.2.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_Toc509589562 \h </w:instrText>
            </w:r>
            <w:r w:rsidR="005B4598">
              <w:rPr>
                <w:webHidden/>
              </w:rPr>
            </w:r>
            <w:r w:rsidR="005B4598">
              <w:rPr>
                <w:webHidden/>
              </w:rPr>
              <w:fldChar w:fldCharType="separate"/>
            </w:r>
            <w:r>
              <w:rPr>
                <w:webHidden/>
              </w:rPr>
              <w:t>10</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63" w:history="1">
            <w:r w:rsidR="005B4598" w:rsidRPr="004460E0">
              <w:rPr>
                <w:rStyle w:val="Hyperlink"/>
              </w:rPr>
              <w:t>3.1.3.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_Toc509589563 \h </w:instrText>
            </w:r>
            <w:r w:rsidR="005B4598">
              <w:rPr>
                <w:webHidden/>
              </w:rPr>
            </w:r>
            <w:r w:rsidR="005B4598">
              <w:rPr>
                <w:webHidden/>
              </w:rPr>
              <w:fldChar w:fldCharType="separate"/>
            </w:r>
            <w:r>
              <w:rPr>
                <w:webHidden/>
              </w:rPr>
              <w:t>11</w:t>
            </w:r>
            <w:r w:rsidR="005B4598">
              <w:rPr>
                <w:webHidden/>
              </w:rPr>
              <w:fldChar w:fldCharType="end"/>
            </w:r>
          </w:hyperlink>
        </w:p>
        <w:p w:rsidR="005B4598" w:rsidRDefault="00376BF0">
          <w:pPr>
            <w:pStyle w:val="TOC2"/>
            <w:rPr>
              <w:rFonts w:asciiTheme="minorHAnsi" w:eastAsiaTheme="minorEastAsia" w:hAnsiTheme="minorHAnsi" w:cstheme="minorBidi"/>
              <w:sz w:val="22"/>
              <w:szCs w:val="22"/>
            </w:rPr>
          </w:pPr>
          <w:hyperlink w:anchor="_Toc509589564" w:history="1">
            <w:r w:rsidR="005B4598" w:rsidRPr="004460E0">
              <w:rPr>
                <w:rStyle w:val="Hyperlink"/>
              </w:rPr>
              <w:t>3.2.</w:t>
            </w:r>
            <w:r w:rsidR="005B4598">
              <w:rPr>
                <w:rFonts w:asciiTheme="minorHAnsi" w:eastAsiaTheme="minorEastAsia" w:hAnsiTheme="minorHAnsi" w:cstheme="minorBidi"/>
                <w:sz w:val="22"/>
                <w:szCs w:val="22"/>
              </w:rPr>
              <w:tab/>
            </w:r>
            <w:r w:rsidR="005B4598" w:rsidRPr="004460E0">
              <w:rPr>
                <w:rStyle w:val="Hyperlink"/>
              </w:rPr>
              <w:t>Settlement</w:t>
            </w:r>
            <w:r w:rsidR="005B4598">
              <w:rPr>
                <w:webHidden/>
              </w:rPr>
              <w:tab/>
            </w:r>
            <w:r w:rsidR="005B4598">
              <w:rPr>
                <w:webHidden/>
              </w:rPr>
              <w:fldChar w:fldCharType="begin"/>
            </w:r>
            <w:r w:rsidR="005B4598">
              <w:rPr>
                <w:webHidden/>
              </w:rPr>
              <w:instrText xml:space="preserve"> PAGEREF _Toc509589564 \h </w:instrText>
            </w:r>
            <w:r w:rsidR="005B4598">
              <w:rPr>
                <w:webHidden/>
              </w:rPr>
            </w:r>
            <w:r w:rsidR="005B4598">
              <w:rPr>
                <w:webHidden/>
              </w:rPr>
              <w:fldChar w:fldCharType="separate"/>
            </w:r>
            <w:r>
              <w:rPr>
                <w:webHidden/>
              </w:rPr>
              <w:t>17</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65" w:history="1">
            <w:r w:rsidR="005B4598" w:rsidRPr="004460E0">
              <w:rPr>
                <w:rStyle w:val="Hyperlink"/>
              </w:rPr>
              <w:t>3.2.1.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_Toc509589565 \h </w:instrText>
            </w:r>
            <w:r w:rsidR="005B4598">
              <w:rPr>
                <w:webHidden/>
              </w:rPr>
            </w:r>
            <w:r w:rsidR="005B4598">
              <w:rPr>
                <w:webHidden/>
              </w:rPr>
              <w:fldChar w:fldCharType="separate"/>
            </w:r>
            <w:r>
              <w:rPr>
                <w:webHidden/>
              </w:rPr>
              <w:t>17</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66" w:history="1">
            <w:r w:rsidR="005B4598" w:rsidRPr="004460E0">
              <w:rPr>
                <w:rStyle w:val="Hyperlink"/>
              </w:rPr>
              <w:t>3.2.2.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_Toc509589566 \h </w:instrText>
            </w:r>
            <w:r w:rsidR="005B4598">
              <w:rPr>
                <w:webHidden/>
              </w:rPr>
            </w:r>
            <w:r w:rsidR="005B4598">
              <w:rPr>
                <w:webHidden/>
              </w:rPr>
              <w:fldChar w:fldCharType="separate"/>
            </w:r>
            <w:r>
              <w:rPr>
                <w:webHidden/>
              </w:rPr>
              <w:t>17</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67" w:history="1">
            <w:r w:rsidR="005B4598" w:rsidRPr="004460E0">
              <w:rPr>
                <w:rStyle w:val="Hyperlink"/>
              </w:rPr>
              <w:t>3.2.3.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_Toc509589567 \h </w:instrText>
            </w:r>
            <w:r w:rsidR="005B4598">
              <w:rPr>
                <w:webHidden/>
              </w:rPr>
            </w:r>
            <w:r w:rsidR="005B4598">
              <w:rPr>
                <w:webHidden/>
              </w:rPr>
              <w:fldChar w:fldCharType="separate"/>
            </w:r>
            <w:r>
              <w:rPr>
                <w:webHidden/>
              </w:rPr>
              <w:t>18</w:t>
            </w:r>
            <w:r w:rsidR="005B4598">
              <w:rPr>
                <w:webHidden/>
              </w:rPr>
              <w:fldChar w:fldCharType="end"/>
            </w:r>
          </w:hyperlink>
        </w:p>
        <w:p w:rsidR="005B4598" w:rsidRDefault="00376BF0">
          <w:pPr>
            <w:pStyle w:val="TOC2"/>
            <w:rPr>
              <w:rFonts w:asciiTheme="minorHAnsi" w:eastAsiaTheme="minorEastAsia" w:hAnsiTheme="minorHAnsi" w:cstheme="minorBidi"/>
              <w:sz w:val="22"/>
              <w:szCs w:val="22"/>
            </w:rPr>
          </w:pPr>
          <w:hyperlink w:anchor="_Toc509589568" w:history="1">
            <w:r w:rsidR="005B4598" w:rsidRPr="004460E0">
              <w:rPr>
                <w:rStyle w:val="Hyperlink"/>
              </w:rPr>
              <w:t>3.3.</w:t>
            </w:r>
            <w:r w:rsidR="005B4598">
              <w:rPr>
                <w:rFonts w:asciiTheme="minorHAnsi" w:eastAsiaTheme="minorEastAsia" w:hAnsiTheme="minorHAnsi" w:cstheme="minorBidi"/>
                <w:sz w:val="22"/>
                <w:szCs w:val="22"/>
              </w:rPr>
              <w:tab/>
            </w:r>
            <w:r w:rsidR="005B4598" w:rsidRPr="004460E0">
              <w:rPr>
                <w:rStyle w:val="Hyperlink"/>
              </w:rPr>
              <w:t>Compensation Metrics</w:t>
            </w:r>
            <w:r w:rsidR="005B4598">
              <w:rPr>
                <w:webHidden/>
              </w:rPr>
              <w:tab/>
            </w:r>
            <w:r w:rsidR="005B4598">
              <w:rPr>
                <w:webHidden/>
              </w:rPr>
              <w:fldChar w:fldCharType="begin"/>
            </w:r>
            <w:r w:rsidR="005B4598">
              <w:rPr>
                <w:webHidden/>
              </w:rPr>
              <w:instrText xml:space="preserve"> PAGEREF _Toc509589568 \h </w:instrText>
            </w:r>
            <w:r w:rsidR="005B4598">
              <w:rPr>
                <w:webHidden/>
              </w:rPr>
            </w:r>
            <w:r w:rsidR="005B4598">
              <w:rPr>
                <w:webHidden/>
              </w:rPr>
              <w:fldChar w:fldCharType="separate"/>
            </w:r>
            <w:r>
              <w:rPr>
                <w:webHidden/>
              </w:rPr>
              <w:t>19</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69" w:history="1">
            <w:r w:rsidR="005B4598" w:rsidRPr="004460E0">
              <w:rPr>
                <w:rStyle w:val="Hyperlink"/>
              </w:rPr>
              <w:t>3.3.1.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_Toc509589569 \h </w:instrText>
            </w:r>
            <w:r w:rsidR="005B4598">
              <w:rPr>
                <w:webHidden/>
              </w:rPr>
            </w:r>
            <w:r w:rsidR="005B4598">
              <w:rPr>
                <w:webHidden/>
              </w:rPr>
              <w:fldChar w:fldCharType="separate"/>
            </w:r>
            <w:r>
              <w:rPr>
                <w:webHidden/>
              </w:rPr>
              <w:t>19</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70" w:history="1">
            <w:r w:rsidR="005B4598" w:rsidRPr="004460E0">
              <w:rPr>
                <w:rStyle w:val="Hyperlink"/>
              </w:rPr>
              <w:t>3.3.2.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_Toc509589570 \h </w:instrText>
            </w:r>
            <w:r w:rsidR="005B4598">
              <w:rPr>
                <w:webHidden/>
              </w:rPr>
            </w:r>
            <w:r w:rsidR="005B4598">
              <w:rPr>
                <w:webHidden/>
              </w:rPr>
              <w:fldChar w:fldCharType="separate"/>
            </w:r>
            <w:r>
              <w:rPr>
                <w:webHidden/>
              </w:rPr>
              <w:t>19</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71" w:history="1">
            <w:r w:rsidR="005B4598" w:rsidRPr="004460E0">
              <w:rPr>
                <w:rStyle w:val="Hyperlink"/>
              </w:rPr>
              <w:t>3.3.3.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_Toc509589571 \h </w:instrText>
            </w:r>
            <w:r w:rsidR="005B4598">
              <w:rPr>
                <w:webHidden/>
              </w:rPr>
            </w:r>
            <w:r w:rsidR="005B4598">
              <w:rPr>
                <w:webHidden/>
              </w:rPr>
              <w:fldChar w:fldCharType="separate"/>
            </w:r>
            <w:r>
              <w:rPr>
                <w:webHidden/>
              </w:rPr>
              <w:t>20</w:t>
            </w:r>
            <w:r w:rsidR="005B4598">
              <w:rPr>
                <w:webHidden/>
              </w:rPr>
              <w:fldChar w:fldCharType="end"/>
            </w:r>
          </w:hyperlink>
        </w:p>
        <w:p w:rsidR="005B4598" w:rsidRDefault="00376BF0">
          <w:pPr>
            <w:pStyle w:val="TOC2"/>
            <w:rPr>
              <w:rFonts w:asciiTheme="minorHAnsi" w:eastAsiaTheme="minorEastAsia" w:hAnsiTheme="minorHAnsi" w:cstheme="minorBidi"/>
              <w:sz w:val="22"/>
              <w:szCs w:val="22"/>
            </w:rPr>
          </w:pPr>
          <w:hyperlink w:anchor="_Toc509589572" w:history="1">
            <w:r w:rsidR="005B4598" w:rsidRPr="004460E0">
              <w:rPr>
                <w:rStyle w:val="Hyperlink"/>
              </w:rPr>
              <w:t>3.4.</w:t>
            </w:r>
            <w:r w:rsidR="005B4598">
              <w:rPr>
                <w:rFonts w:asciiTheme="minorHAnsi" w:eastAsiaTheme="minorEastAsia" w:hAnsiTheme="minorHAnsi" w:cstheme="minorBidi"/>
                <w:sz w:val="22"/>
                <w:szCs w:val="22"/>
              </w:rPr>
              <w:tab/>
            </w:r>
            <w:r w:rsidR="005B4598" w:rsidRPr="004460E0">
              <w:rPr>
                <w:rStyle w:val="Hyperlink"/>
              </w:rPr>
              <w:t>Rate Case Cycle (Third Post-Test Year)</w:t>
            </w:r>
            <w:r w:rsidR="005B4598">
              <w:rPr>
                <w:webHidden/>
              </w:rPr>
              <w:tab/>
            </w:r>
            <w:r w:rsidR="005B4598">
              <w:rPr>
                <w:webHidden/>
              </w:rPr>
              <w:fldChar w:fldCharType="begin"/>
            </w:r>
            <w:r w:rsidR="005B4598">
              <w:rPr>
                <w:webHidden/>
              </w:rPr>
              <w:instrText xml:space="preserve"> PAGEREF _Toc509589572 \h </w:instrText>
            </w:r>
            <w:r w:rsidR="005B4598">
              <w:rPr>
                <w:webHidden/>
              </w:rPr>
            </w:r>
            <w:r w:rsidR="005B4598">
              <w:rPr>
                <w:webHidden/>
              </w:rPr>
              <w:fldChar w:fldCharType="separate"/>
            </w:r>
            <w:r>
              <w:rPr>
                <w:webHidden/>
              </w:rPr>
              <w:t>23</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73" w:history="1">
            <w:r w:rsidR="005B4598" w:rsidRPr="004460E0">
              <w:rPr>
                <w:rStyle w:val="Hyperlink"/>
              </w:rPr>
              <w:t>3.4.1.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_Toc509589573 \h </w:instrText>
            </w:r>
            <w:r w:rsidR="005B4598">
              <w:rPr>
                <w:webHidden/>
              </w:rPr>
            </w:r>
            <w:r w:rsidR="005B4598">
              <w:rPr>
                <w:webHidden/>
              </w:rPr>
              <w:fldChar w:fldCharType="separate"/>
            </w:r>
            <w:r>
              <w:rPr>
                <w:webHidden/>
              </w:rPr>
              <w:t>23</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74" w:history="1">
            <w:r w:rsidR="005B4598" w:rsidRPr="004460E0">
              <w:rPr>
                <w:rStyle w:val="Hyperlink"/>
              </w:rPr>
              <w:t>3.4.2.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_Toc509589574 \h </w:instrText>
            </w:r>
            <w:r w:rsidR="005B4598">
              <w:rPr>
                <w:webHidden/>
              </w:rPr>
            </w:r>
            <w:r w:rsidR="005B4598">
              <w:rPr>
                <w:webHidden/>
              </w:rPr>
              <w:fldChar w:fldCharType="separate"/>
            </w:r>
            <w:r>
              <w:rPr>
                <w:webHidden/>
              </w:rPr>
              <w:t>23</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75" w:history="1">
            <w:r w:rsidR="005B4598" w:rsidRPr="004460E0">
              <w:rPr>
                <w:rStyle w:val="Hyperlink"/>
              </w:rPr>
              <w:t>3.4.3.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_Toc509589575 \h </w:instrText>
            </w:r>
            <w:r w:rsidR="005B4598">
              <w:rPr>
                <w:webHidden/>
              </w:rPr>
            </w:r>
            <w:r w:rsidR="005B4598">
              <w:rPr>
                <w:webHidden/>
              </w:rPr>
              <w:fldChar w:fldCharType="separate"/>
            </w:r>
            <w:r>
              <w:rPr>
                <w:webHidden/>
              </w:rPr>
              <w:t>25</w:t>
            </w:r>
            <w:r w:rsidR="005B4598">
              <w:rPr>
                <w:webHidden/>
              </w:rPr>
              <w:fldChar w:fldCharType="end"/>
            </w:r>
          </w:hyperlink>
        </w:p>
        <w:p w:rsidR="005B4598" w:rsidRDefault="00376BF0">
          <w:pPr>
            <w:pStyle w:val="TOC2"/>
            <w:rPr>
              <w:rFonts w:asciiTheme="minorHAnsi" w:eastAsiaTheme="minorEastAsia" w:hAnsiTheme="minorHAnsi" w:cstheme="minorBidi"/>
              <w:sz w:val="22"/>
              <w:szCs w:val="22"/>
            </w:rPr>
          </w:pPr>
          <w:hyperlink w:anchor="_Toc509589576" w:history="1">
            <w:r w:rsidR="005B4598" w:rsidRPr="004460E0">
              <w:rPr>
                <w:rStyle w:val="Hyperlink"/>
              </w:rPr>
              <w:t>3.5.</w:t>
            </w:r>
            <w:r w:rsidR="005B4598">
              <w:rPr>
                <w:rFonts w:asciiTheme="minorHAnsi" w:eastAsiaTheme="minorEastAsia" w:hAnsiTheme="minorHAnsi" w:cstheme="minorBidi"/>
                <w:sz w:val="22"/>
                <w:szCs w:val="22"/>
              </w:rPr>
              <w:tab/>
            </w:r>
            <w:r w:rsidR="005B4598" w:rsidRPr="004460E0">
              <w:rPr>
                <w:rStyle w:val="Hyperlink"/>
              </w:rPr>
              <w:t>Gas Leak Maintenance</w:t>
            </w:r>
            <w:r w:rsidR="005B4598">
              <w:rPr>
                <w:webHidden/>
              </w:rPr>
              <w:tab/>
            </w:r>
            <w:r w:rsidR="005B4598">
              <w:rPr>
                <w:webHidden/>
              </w:rPr>
              <w:fldChar w:fldCharType="begin"/>
            </w:r>
            <w:r w:rsidR="005B4598">
              <w:rPr>
                <w:webHidden/>
              </w:rPr>
              <w:instrText xml:space="preserve"> PAGEREF _Toc509589576 \h </w:instrText>
            </w:r>
            <w:r w:rsidR="005B4598">
              <w:rPr>
                <w:webHidden/>
              </w:rPr>
            </w:r>
            <w:r w:rsidR="005B4598">
              <w:rPr>
                <w:webHidden/>
              </w:rPr>
              <w:fldChar w:fldCharType="separate"/>
            </w:r>
            <w:r>
              <w:rPr>
                <w:webHidden/>
              </w:rPr>
              <w:t>25</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77" w:history="1">
            <w:r w:rsidR="005B4598" w:rsidRPr="004460E0">
              <w:rPr>
                <w:rStyle w:val="Hyperlink"/>
              </w:rPr>
              <w:t>3.5.1.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_Toc509589577 \h </w:instrText>
            </w:r>
            <w:r w:rsidR="005B4598">
              <w:rPr>
                <w:webHidden/>
              </w:rPr>
            </w:r>
            <w:r w:rsidR="005B4598">
              <w:rPr>
                <w:webHidden/>
              </w:rPr>
              <w:fldChar w:fldCharType="separate"/>
            </w:r>
            <w:r>
              <w:rPr>
                <w:webHidden/>
              </w:rPr>
              <w:t>25</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78" w:history="1">
            <w:r w:rsidR="005B4598" w:rsidRPr="004460E0">
              <w:rPr>
                <w:rStyle w:val="Hyperlink"/>
              </w:rPr>
              <w:t>3.5.2.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_Toc509589578 \h </w:instrText>
            </w:r>
            <w:r w:rsidR="005B4598">
              <w:rPr>
                <w:webHidden/>
              </w:rPr>
            </w:r>
            <w:r w:rsidR="005B4598">
              <w:rPr>
                <w:webHidden/>
              </w:rPr>
              <w:fldChar w:fldCharType="separate"/>
            </w:r>
            <w:r>
              <w:rPr>
                <w:webHidden/>
              </w:rPr>
              <w:t>26</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79" w:history="1">
            <w:r w:rsidR="005B4598" w:rsidRPr="004460E0">
              <w:rPr>
                <w:rStyle w:val="Hyperlink"/>
              </w:rPr>
              <w:t>3.5.3.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_Toc509589579 \h </w:instrText>
            </w:r>
            <w:r w:rsidR="005B4598">
              <w:rPr>
                <w:webHidden/>
              </w:rPr>
            </w:r>
            <w:r w:rsidR="005B4598">
              <w:rPr>
                <w:webHidden/>
              </w:rPr>
              <w:fldChar w:fldCharType="separate"/>
            </w:r>
            <w:r>
              <w:rPr>
                <w:webHidden/>
              </w:rPr>
              <w:t>26</w:t>
            </w:r>
            <w:r w:rsidR="005B4598">
              <w:rPr>
                <w:webHidden/>
              </w:rPr>
              <w:fldChar w:fldCharType="end"/>
            </w:r>
          </w:hyperlink>
        </w:p>
        <w:p w:rsidR="005B4598" w:rsidRDefault="00376BF0">
          <w:pPr>
            <w:pStyle w:val="TOC2"/>
            <w:rPr>
              <w:rFonts w:asciiTheme="minorHAnsi" w:eastAsiaTheme="minorEastAsia" w:hAnsiTheme="minorHAnsi" w:cstheme="minorBidi"/>
              <w:sz w:val="22"/>
              <w:szCs w:val="22"/>
            </w:rPr>
          </w:pPr>
          <w:hyperlink w:anchor="_Toc509589580" w:history="1">
            <w:r w:rsidR="005B4598" w:rsidRPr="004460E0">
              <w:rPr>
                <w:rStyle w:val="Hyperlink"/>
              </w:rPr>
              <w:t>3.6.</w:t>
            </w:r>
            <w:r w:rsidR="005B4598">
              <w:rPr>
                <w:rFonts w:asciiTheme="minorHAnsi" w:eastAsiaTheme="minorEastAsia" w:hAnsiTheme="minorHAnsi" w:cstheme="minorBidi"/>
                <w:sz w:val="22"/>
                <w:szCs w:val="22"/>
              </w:rPr>
              <w:tab/>
            </w:r>
            <w:r w:rsidR="005B4598" w:rsidRPr="004460E0">
              <w:rPr>
                <w:rStyle w:val="Hyperlink"/>
              </w:rPr>
              <w:t>Monitor Costs</w:t>
            </w:r>
            <w:r w:rsidR="005B4598">
              <w:rPr>
                <w:webHidden/>
              </w:rPr>
              <w:tab/>
            </w:r>
            <w:r w:rsidR="005B4598">
              <w:rPr>
                <w:webHidden/>
              </w:rPr>
              <w:fldChar w:fldCharType="begin"/>
            </w:r>
            <w:r w:rsidR="005B4598">
              <w:rPr>
                <w:webHidden/>
              </w:rPr>
              <w:instrText xml:space="preserve"> PAGEREF _Toc509589580 \h </w:instrText>
            </w:r>
            <w:r w:rsidR="005B4598">
              <w:rPr>
                <w:webHidden/>
              </w:rPr>
            </w:r>
            <w:r w:rsidR="005B4598">
              <w:rPr>
                <w:webHidden/>
              </w:rPr>
              <w:fldChar w:fldCharType="separate"/>
            </w:r>
            <w:r>
              <w:rPr>
                <w:webHidden/>
              </w:rPr>
              <w:t>27</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81" w:history="1">
            <w:r w:rsidR="005B4598" w:rsidRPr="004460E0">
              <w:rPr>
                <w:rStyle w:val="Hyperlink"/>
              </w:rPr>
              <w:t>3.6.1.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_Toc509589581 \h </w:instrText>
            </w:r>
            <w:r w:rsidR="005B4598">
              <w:rPr>
                <w:webHidden/>
              </w:rPr>
            </w:r>
            <w:r w:rsidR="005B4598">
              <w:rPr>
                <w:webHidden/>
              </w:rPr>
              <w:fldChar w:fldCharType="separate"/>
            </w:r>
            <w:r>
              <w:rPr>
                <w:webHidden/>
              </w:rPr>
              <w:t>28</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82" w:history="1">
            <w:r w:rsidR="005B4598" w:rsidRPr="004460E0">
              <w:rPr>
                <w:rStyle w:val="Hyperlink"/>
              </w:rPr>
              <w:t>3.6.2.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_Toc509589582 \h </w:instrText>
            </w:r>
            <w:r w:rsidR="005B4598">
              <w:rPr>
                <w:webHidden/>
              </w:rPr>
            </w:r>
            <w:r w:rsidR="005B4598">
              <w:rPr>
                <w:webHidden/>
              </w:rPr>
              <w:fldChar w:fldCharType="separate"/>
            </w:r>
            <w:r>
              <w:rPr>
                <w:webHidden/>
              </w:rPr>
              <w:t>28</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83" w:history="1">
            <w:r w:rsidR="005B4598" w:rsidRPr="004460E0">
              <w:rPr>
                <w:rStyle w:val="Hyperlink"/>
              </w:rPr>
              <w:t>3.6.3.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_Toc509589583 \h </w:instrText>
            </w:r>
            <w:r w:rsidR="005B4598">
              <w:rPr>
                <w:webHidden/>
              </w:rPr>
            </w:r>
            <w:r w:rsidR="005B4598">
              <w:rPr>
                <w:webHidden/>
              </w:rPr>
              <w:fldChar w:fldCharType="separate"/>
            </w:r>
            <w:r>
              <w:rPr>
                <w:webHidden/>
              </w:rPr>
              <w:t>29</w:t>
            </w:r>
            <w:r w:rsidR="005B4598">
              <w:rPr>
                <w:webHidden/>
              </w:rPr>
              <w:fldChar w:fldCharType="end"/>
            </w:r>
          </w:hyperlink>
        </w:p>
        <w:p w:rsidR="005B4598" w:rsidRDefault="00376BF0">
          <w:pPr>
            <w:pStyle w:val="TOC2"/>
            <w:rPr>
              <w:rFonts w:asciiTheme="minorHAnsi" w:eastAsiaTheme="minorEastAsia" w:hAnsiTheme="minorHAnsi" w:cstheme="minorBidi"/>
              <w:sz w:val="22"/>
              <w:szCs w:val="22"/>
            </w:rPr>
          </w:pPr>
          <w:hyperlink w:anchor="_Toc509589584" w:history="1">
            <w:r w:rsidR="005B4598" w:rsidRPr="004460E0">
              <w:rPr>
                <w:rStyle w:val="Hyperlink"/>
              </w:rPr>
              <w:t>3.7.</w:t>
            </w:r>
            <w:r w:rsidR="005B4598">
              <w:rPr>
                <w:rFonts w:asciiTheme="minorHAnsi" w:eastAsiaTheme="minorEastAsia" w:hAnsiTheme="minorHAnsi" w:cstheme="minorBidi"/>
                <w:sz w:val="22"/>
                <w:szCs w:val="22"/>
              </w:rPr>
              <w:tab/>
            </w:r>
            <w:r w:rsidR="005B4598" w:rsidRPr="004460E0">
              <w:rPr>
                <w:rStyle w:val="Hyperlink"/>
              </w:rPr>
              <w:t>Possible Remedy If Post- Settlement Cost Reductions  Were Not Reflected In Application</w:t>
            </w:r>
            <w:r w:rsidR="005B4598">
              <w:rPr>
                <w:webHidden/>
              </w:rPr>
              <w:tab/>
            </w:r>
            <w:r w:rsidR="005B4598">
              <w:rPr>
                <w:webHidden/>
              </w:rPr>
              <w:fldChar w:fldCharType="begin"/>
            </w:r>
            <w:r w:rsidR="005B4598">
              <w:rPr>
                <w:webHidden/>
              </w:rPr>
              <w:instrText xml:space="preserve"> PAGEREF _Toc509589584 \h </w:instrText>
            </w:r>
            <w:r w:rsidR="005B4598">
              <w:rPr>
                <w:webHidden/>
              </w:rPr>
            </w:r>
            <w:r w:rsidR="005B4598">
              <w:rPr>
                <w:webHidden/>
              </w:rPr>
              <w:fldChar w:fldCharType="separate"/>
            </w:r>
            <w:r>
              <w:rPr>
                <w:webHidden/>
              </w:rPr>
              <w:t>30</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85" w:history="1">
            <w:r w:rsidR="005B4598" w:rsidRPr="004460E0">
              <w:rPr>
                <w:rStyle w:val="Hyperlink"/>
              </w:rPr>
              <w:t>3.7.1.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_Toc509589585 \h </w:instrText>
            </w:r>
            <w:r w:rsidR="005B4598">
              <w:rPr>
                <w:webHidden/>
              </w:rPr>
            </w:r>
            <w:r w:rsidR="005B4598">
              <w:rPr>
                <w:webHidden/>
              </w:rPr>
              <w:fldChar w:fldCharType="separate"/>
            </w:r>
            <w:r>
              <w:rPr>
                <w:webHidden/>
              </w:rPr>
              <w:t>30</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86" w:history="1">
            <w:r w:rsidR="005B4598" w:rsidRPr="004460E0">
              <w:rPr>
                <w:rStyle w:val="Hyperlink"/>
              </w:rPr>
              <w:t>3.7.2.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_Toc509589586 \h </w:instrText>
            </w:r>
            <w:r w:rsidR="005B4598">
              <w:rPr>
                <w:webHidden/>
              </w:rPr>
            </w:r>
            <w:r w:rsidR="005B4598">
              <w:rPr>
                <w:webHidden/>
              </w:rPr>
              <w:fldChar w:fldCharType="separate"/>
            </w:r>
            <w:r>
              <w:rPr>
                <w:webHidden/>
              </w:rPr>
              <w:t>30</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87" w:history="1">
            <w:r w:rsidR="005B4598" w:rsidRPr="004460E0">
              <w:rPr>
                <w:rStyle w:val="Hyperlink"/>
              </w:rPr>
              <w:t>3.7.3.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_Toc509589587 \h </w:instrText>
            </w:r>
            <w:r w:rsidR="005B4598">
              <w:rPr>
                <w:webHidden/>
              </w:rPr>
            </w:r>
            <w:r w:rsidR="005B4598">
              <w:rPr>
                <w:webHidden/>
              </w:rPr>
              <w:fldChar w:fldCharType="separate"/>
            </w:r>
            <w:r>
              <w:rPr>
                <w:webHidden/>
              </w:rPr>
              <w:t>31</w:t>
            </w:r>
            <w:r w:rsidR="005B4598">
              <w:rPr>
                <w:webHidden/>
              </w:rPr>
              <w:fldChar w:fldCharType="end"/>
            </w:r>
          </w:hyperlink>
        </w:p>
        <w:p w:rsidR="005B4598" w:rsidRDefault="00376BF0">
          <w:pPr>
            <w:pStyle w:val="TOC2"/>
            <w:rPr>
              <w:rFonts w:asciiTheme="minorHAnsi" w:eastAsiaTheme="minorEastAsia" w:hAnsiTheme="minorHAnsi" w:cstheme="minorBidi"/>
              <w:sz w:val="22"/>
              <w:szCs w:val="22"/>
            </w:rPr>
          </w:pPr>
          <w:hyperlink w:anchor="_Toc509589588" w:history="1">
            <w:r w:rsidR="005B4598" w:rsidRPr="004460E0">
              <w:rPr>
                <w:rStyle w:val="Hyperlink"/>
              </w:rPr>
              <w:t>3.8.</w:t>
            </w:r>
            <w:r w:rsidR="005B4598">
              <w:rPr>
                <w:rFonts w:asciiTheme="minorHAnsi" w:eastAsiaTheme="minorEastAsia" w:hAnsiTheme="minorHAnsi" w:cstheme="minorBidi"/>
                <w:sz w:val="22"/>
                <w:szCs w:val="22"/>
              </w:rPr>
              <w:tab/>
            </w:r>
            <w:r w:rsidR="005B4598" w:rsidRPr="004460E0">
              <w:rPr>
                <w:rStyle w:val="Hyperlink"/>
              </w:rPr>
              <w:t>Standard for Evaluating Settlements</w:t>
            </w:r>
            <w:r w:rsidR="005B4598">
              <w:rPr>
                <w:webHidden/>
              </w:rPr>
              <w:tab/>
            </w:r>
            <w:r w:rsidR="005B4598">
              <w:rPr>
                <w:webHidden/>
              </w:rPr>
              <w:fldChar w:fldCharType="begin"/>
            </w:r>
            <w:r w:rsidR="005B4598">
              <w:rPr>
                <w:webHidden/>
              </w:rPr>
              <w:instrText xml:space="preserve"> PAGEREF _Toc509589588 \h </w:instrText>
            </w:r>
            <w:r w:rsidR="005B4598">
              <w:rPr>
                <w:webHidden/>
              </w:rPr>
            </w:r>
            <w:r w:rsidR="005B4598">
              <w:rPr>
                <w:webHidden/>
              </w:rPr>
              <w:fldChar w:fldCharType="separate"/>
            </w:r>
            <w:r>
              <w:rPr>
                <w:webHidden/>
              </w:rPr>
              <w:t>31</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89" w:history="1">
            <w:r w:rsidR="005B4598" w:rsidRPr="004460E0">
              <w:rPr>
                <w:rStyle w:val="Hyperlink"/>
              </w:rPr>
              <w:t>3.8.1.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_Toc509589589 \h </w:instrText>
            </w:r>
            <w:r w:rsidR="005B4598">
              <w:rPr>
                <w:webHidden/>
              </w:rPr>
            </w:r>
            <w:r w:rsidR="005B4598">
              <w:rPr>
                <w:webHidden/>
              </w:rPr>
              <w:fldChar w:fldCharType="separate"/>
            </w:r>
            <w:r>
              <w:rPr>
                <w:webHidden/>
              </w:rPr>
              <w:t>32</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90" w:history="1">
            <w:r w:rsidR="005B4598" w:rsidRPr="004460E0">
              <w:rPr>
                <w:rStyle w:val="Hyperlink"/>
              </w:rPr>
              <w:t>3.8.2.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_Toc509589590 \h </w:instrText>
            </w:r>
            <w:r w:rsidR="005B4598">
              <w:rPr>
                <w:webHidden/>
              </w:rPr>
            </w:r>
            <w:r w:rsidR="005B4598">
              <w:rPr>
                <w:webHidden/>
              </w:rPr>
              <w:fldChar w:fldCharType="separate"/>
            </w:r>
            <w:r>
              <w:rPr>
                <w:webHidden/>
              </w:rPr>
              <w:t>32</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91" w:history="1">
            <w:r w:rsidR="005B4598" w:rsidRPr="004460E0">
              <w:rPr>
                <w:rStyle w:val="Hyperlink"/>
              </w:rPr>
              <w:t>3.8.3.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_Toc509589591 \h </w:instrText>
            </w:r>
            <w:r w:rsidR="005B4598">
              <w:rPr>
                <w:webHidden/>
              </w:rPr>
            </w:r>
            <w:r w:rsidR="005B4598">
              <w:rPr>
                <w:webHidden/>
              </w:rPr>
              <w:fldChar w:fldCharType="separate"/>
            </w:r>
            <w:r>
              <w:rPr>
                <w:webHidden/>
              </w:rPr>
              <w:t>33</w:t>
            </w:r>
            <w:r w:rsidR="005B4598">
              <w:rPr>
                <w:webHidden/>
              </w:rPr>
              <w:fldChar w:fldCharType="end"/>
            </w:r>
          </w:hyperlink>
        </w:p>
        <w:p w:rsidR="005B4598" w:rsidRDefault="00376BF0">
          <w:pPr>
            <w:pStyle w:val="TOC2"/>
            <w:rPr>
              <w:rFonts w:asciiTheme="minorHAnsi" w:eastAsiaTheme="minorEastAsia" w:hAnsiTheme="minorHAnsi" w:cstheme="minorBidi"/>
              <w:sz w:val="22"/>
              <w:szCs w:val="22"/>
            </w:rPr>
          </w:pPr>
          <w:hyperlink w:anchor="_Toc509589592" w:history="1">
            <w:r w:rsidR="005B4598" w:rsidRPr="004460E0">
              <w:rPr>
                <w:rStyle w:val="Hyperlink"/>
              </w:rPr>
              <w:t>3.9.</w:t>
            </w:r>
            <w:r w:rsidR="005B4598">
              <w:rPr>
                <w:rFonts w:asciiTheme="minorHAnsi" w:eastAsiaTheme="minorEastAsia" w:hAnsiTheme="minorHAnsi" w:cstheme="minorBidi"/>
                <w:sz w:val="22"/>
                <w:szCs w:val="22"/>
              </w:rPr>
              <w:tab/>
            </w:r>
            <w:r w:rsidR="005B4598" w:rsidRPr="004460E0">
              <w:rPr>
                <w:rStyle w:val="Hyperlink"/>
              </w:rPr>
              <w:t>Catalyst for Acceptance of Modifications</w:t>
            </w:r>
            <w:r w:rsidR="005B4598">
              <w:rPr>
                <w:webHidden/>
              </w:rPr>
              <w:tab/>
            </w:r>
            <w:r w:rsidR="005B4598">
              <w:rPr>
                <w:webHidden/>
              </w:rPr>
              <w:fldChar w:fldCharType="begin"/>
            </w:r>
            <w:r w:rsidR="005B4598">
              <w:rPr>
                <w:webHidden/>
              </w:rPr>
              <w:instrText xml:space="preserve"> PAGEREF _Toc509589592 \h </w:instrText>
            </w:r>
            <w:r w:rsidR="005B4598">
              <w:rPr>
                <w:webHidden/>
              </w:rPr>
            </w:r>
            <w:r w:rsidR="005B4598">
              <w:rPr>
                <w:webHidden/>
              </w:rPr>
              <w:fldChar w:fldCharType="separate"/>
            </w:r>
            <w:r>
              <w:rPr>
                <w:webHidden/>
              </w:rPr>
              <w:t>34</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93" w:history="1">
            <w:r w:rsidR="005B4598" w:rsidRPr="004460E0">
              <w:rPr>
                <w:rStyle w:val="Hyperlink"/>
              </w:rPr>
              <w:t>3.9.1.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_Toc509589593 \h </w:instrText>
            </w:r>
            <w:r w:rsidR="005B4598">
              <w:rPr>
                <w:webHidden/>
              </w:rPr>
            </w:r>
            <w:r w:rsidR="005B4598">
              <w:rPr>
                <w:webHidden/>
              </w:rPr>
              <w:fldChar w:fldCharType="separate"/>
            </w:r>
            <w:r>
              <w:rPr>
                <w:webHidden/>
              </w:rPr>
              <w:t>34</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94" w:history="1">
            <w:r w:rsidR="005B4598" w:rsidRPr="004460E0">
              <w:rPr>
                <w:rStyle w:val="Hyperlink"/>
              </w:rPr>
              <w:t>3.9.2.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_Toc509589594 \h </w:instrText>
            </w:r>
            <w:r w:rsidR="005B4598">
              <w:rPr>
                <w:webHidden/>
              </w:rPr>
            </w:r>
            <w:r w:rsidR="005B4598">
              <w:rPr>
                <w:webHidden/>
              </w:rPr>
              <w:fldChar w:fldCharType="separate"/>
            </w:r>
            <w:r>
              <w:rPr>
                <w:webHidden/>
              </w:rPr>
              <w:t>35</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95" w:history="1">
            <w:r w:rsidR="005B4598" w:rsidRPr="004460E0">
              <w:rPr>
                <w:rStyle w:val="Hyperlink"/>
              </w:rPr>
              <w:t>3.9.3.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_Toc509589595 \h </w:instrText>
            </w:r>
            <w:r w:rsidR="005B4598">
              <w:rPr>
                <w:webHidden/>
              </w:rPr>
            </w:r>
            <w:r w:rsidR="005B4598">
              <w:rPr>
                <w:webHidden/>
              </w:rPr>
              <w:fldChar w:fldCharType="separate"/>
            </w:r>
            <w:r>
              <w:rPr>
                <w:webHidden/>
              </w:rPr>
              <w:t>35</w:t>
            </w:r>
            <w:r w:rsidR="005B4598">
              <w:rPr>
                <w:webHidden/>
              </w:rPr>
              <w:fldChar w:fldCharType="end"/>
            </w:r>
          </w:hyperlink>
        </w:p>
        <w:p w:rsidR="005B4598" w:rsidRDefault="00376BF0">
          <w:pPr>
            <w:pStyle w:val="TOC2"/>
            <w:tabs>
              <w:tab w:val="left" w:pos="1620"/>
            </w:tabs>
            <w:rPr>
              <w:rFonts w:asciiTheme="minorHAnsi" w:eastAsiaTheme="minorEastAsia" w:hAnsiTheme="minorHAnsi" w:cstheme="minorBidi"/>
              <w:sz w:val="22"/>
              <w:szCs w:val="22"/>
            </w:rPr>
          </w:pPr>
          <w:hyperlink w:anchor="_Toc509589596" w:history="1">
            <w:r w:rsidR="005B4598" w:rsidRPr="004460E0">
              <w:rPr>
                <w:rStyle w:val="Hyperlink"/>
              </w:rPr>
              <w:t>3.10.</w:t>
            </w:r>
            <w:r w:rsidR="005B4598">
              <w:rPr>
                <w:rFonts w:asciiTheme="minorHAnsi" w:eastAsiaTheme="minorEastAsia" w:hAnsiTheme="minorHAnsi" w:cstheme="minorBidi"/>
                <w:sz w:val="22"/>
                <w:szCs w:val="22"/>
              </w:rPr>
              <w:tab/>
            </w:r>
            <w:r w:rsidR="005B4598" w:rsidRPr="004460E0">
              <w:rPr>
                <w:rStyle w:val="Hyperlink"/>
              </w:rPr>
              <w:t>Undergrounding</w:t>
            </w:r>
            <w:r w:rsidR="005B4598">
              <w:rPr>
                <w:webHidden/>
              </w:rPr>
              <w:tab/>
            </w:r>
            <w:r w:rsidR="005B4598">
              <w:rPr>
                <w:webHidden/>
              </w:rPr>
              <w:fldChar w:fldCharType="begin"/>
            </w:r>
            <w:r w:rsidR="005B4598">
              <w:rPr>
                <w:webHidden/>
              </w:rPr>
              <w:instrText xml:space="preserve"> PAGEREF _Toc509589596 \h </w:instrText>
            </w:r>
            <w:r w:rsidR="005B4598">
              <w:rPr>
                <w:webHidden/>
              </w:rPr>
            </w:r>
            <w:r w:rsidR="005B4598">
              <w:rPr>
                <w:webHidden/>
              </w:rPr>
              <w:fldChar w:fldCharType="separate"/>
            </w:r>
            <w:r>
              <w:rPr>
                <w:webHidden/>
              </w:rPr>
              <w:t>36</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597" w:history="1">
            <w:r w:rsidR="005B4598" w:rsidRPr="004460E0">
              <w:rPr>
                <w:rStyle w:val="Hyperlink"/>
              </w:rPr>
              <w:t>3.10.1.</w:t>
            </w:r>
            <w:r w:rsidR="005B4598">
              <w:rPr>
                <w:rFonts w:asciiTheme="minorHAnsi" w:eastAsiaTheme="minorEastAsia" w:hAnsiTheme="minorHAnsi" w:cstheme="minorBidi"/>
                <w:sz w:val="22"/>
                <w:szCs w:val="22"/>
              </w:rPr>
              <w:tab/>
            </w:r>
            <w:r w:rsidR="005B4598" w:rsidRPr="004460E0">
              <w:rPr>
                <w:rStyle w:val="Hyperlink"/>
              </w:rPr>
              <w:t>Intervenor’s Claimed Contribution</w:t>
            </w:r>
            <w:r w:rsidR="005B4598">
              <w:rPr>
                <w:webHidden/>
              </w:rPr>
              <w:tab/>
            </w:r>
            <w:r w:rsidR="005B4598">
              <w:rPr>
                <w:webHidden/>
              </w:rPr>
              <w:fldChar w:fldCharType="begin"/>
            </w:r>
            <w:r w:rsidR="005B4598">
              <w:rPr>
                <w:webHidden/>
              </w:rPr>
              <w:instrText xml:space="preserve"> PAGEREF _Toc509589597 \h </w:instrText>
            </w:r>
            <w:r w:rsidR="005B4598">
              <w:rPr>
                <w:webHidden/>
              </w:rPr>
            </w:r>
            <w:r w:rsidR="005B4598">
              <w:rPr>
                <w:webHidden/>
              </w:rPr>
              <w:fldChar w:fldCharType="separate"/>
            </w:r>
            <w:r>
              <w:rPr>
                <w:webHidden/>
              </w:rPr>
              <w:t>36</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604" w:history="1">
            <w:r w:rsidR="005B4598" w:rsidRPr="004460E0">
              <w:rPr>
                <w:rStyle w:val="Hyperlink"/>
              </w:rPr>
              <w:t>3.10.2.</w:t>
            </w:r>
            <w:r w:rsidR="005B4598">
              <w:rPr>
                <w:rFonts w:asciiTheme="minorHAnsi" w:eastAsiaTheme="minorEastAsia" w:hAnsiTheme="minorHAnsi" w:cstheme="minorBidi"/>
                <w:sz w:val="22"/>
                <w:szCs w:val="22"/>
              </w:rPr>
              <w:tab/>
            </w:r>
            <w:r w:rsidR="005B4598" w:rsidRPr="004460E0">
              <w:rPr>
                <w:rStyle w:val="Hyperlink"/>
              </w:rPr>
              <w:t>Specific References to Intervenor’s  Claimed Contribution</w:t>
            </w:r>
            <w:r w:rsidR="005B4598">
              <w:rPr>
                <w:webHidden/>
              </w:rPr>
              <w:tab/>
            </w:r>
            <w:r w:rsidR="005B4598">
              <w:rPr>
                <w:webHidden/>
              </w:rPr>
              <w:fldChar w:fldCharType="begin"/>
            </w:r>
            <w:r w:rsidR="005B4598">
              <w:rPr>
                <w:webHidden/>
              </w:rPr>
              <w:instrText xml:space="preserve"> PAGEREF _Toc509589604 \h </w:instrText>
            </w:r>
            <w:r w:rsidR="005B4598">
              <w:rPr>
                <w:webHidden/>
              </w:rPr>
            </w:r>
            <w:r w:rsidR="005B4598">
              <w:rPr>
                <w:webHidden/>
              </w:rPr>
              <w:fldChar w:fldCharType="separate"/>
            </w:r>
            <w:r>
              <w:rPr>
                <w:webHidden/>
              </w:rPr>
              <w:t>37</w:t>
            </w:r>
            <w:r w:rsidR="005B4598">
              <w:rPr>
                <w:webHidden/>
              </w:rPr>
              <w:fldChar w:fldCharType="end"/>
            </w:r>
          </w:hyperlink>
        </w:p>
        <w:p w:rsidR="005B4598" w:rsidRDefault="00376BF0">
          <w:pPr>
            <w:pStyle w:val="TOC3"/>
            <w:tabs>
              <w:tab w:val="left" w:pos="2430"/>
            </w:tabs>
            <w:rPr>
              <w:rFonts w:asciiTheme="minorHAnsi" w:eastAsiaTheme="minorEastAsia" w:hAnsiTheme="minorHAnsi" w:cstheme="minorBidi"/>
              <w:sz w:val="22"/>
              <w:szCs w:val="22"/>
            </w:rPr>
          </w:pPr>
          <w:hyperlink w:anchor="_Toc509589607" w:history="1">
            <w:r w:rsidR="005B4598" w:rsidRPr="004460E0">
              <w:rPr>
                <w:rStyle w:val="Hyperlink"/>
              </w:rPr>
              <w:t>3.10.3.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_Toc509589607 \h </w:instrText>
            </w:r>
            <w:r w:rsidR="005B4598">
              <w:rPr>
                <w:webHidden/>
              </w:rPr>
            </w:r>
            <w:r w:rsidR="005B4598">
              <w:rPr>
                <w:webHidden/>
              </w:rPr>
              <w:fldChar w:fldCharType="separate"/>
            </w:r>
            <w:r>
              <w:rPr>
                <w:webHidden/>
              </w:rPr>
              <w:t>37</w:t>
            </w:r>
            <w:r w:rsidR="005B4598">
              <w:rPr>
                <w:webHidden/>
              </w:rPr>
              <w:fldChar w:fldCharType="end"/>
            </w:r>
          </w:hyperlink>
        </w:p>
        <w:p w:rsidR="005B4598" w:rsidRDefault="00376BF0">
          <w:pPr>
            <w:pStyle w:val="TOC1"/>
            <w:rPr>
              <w:rFonts w:asciiTheme="minorHAnsi" w:eastAsiaTheme="minorEastAsia" w:hAnsiTheme="minorHAnsi" w:cstheme="minorBidi"/>
              <w:sz w:val="22"/>
              <w:szCs w:val="22"/>
            </w:rPr>
          </w:pPr>
          <w:hyperlink w:anchor="_Toc509589608" w:history="1">
            <w:r w:rsidR="005B4598" w:rsidRPr="004460E0">
              <w:rPr>
                <w:rStyle w:val="Hyperlink"/>
              </w:rPr>
              <w:t>4.</w:t>
            </w:r>
            <w:r w:rsidR="005B4598">
              <w:rPr>
                <w:rFonts w:asciiTheme="minorHAnsi" w:eastAsiaTheme="minorEastAsia" w:hAnsiTheme="minorHAnsi" w:cstheme="minorBidi"/>
                <w:sz w:val="22"/>
                <w:szCs w:val="22"/>
              </w:rPr>
              <w:tab/>
            </w:r>
            <w:r w:rsidR="005B4598" w:rsidRPr="004460E0">
              <w:rPr>
                <w:rStyle w:val="Hyperlink"/>
              </w:rPr>
              <w:t>Reasonableness of Requested Compensation</w:t>
            </w:r>
            <w:r w:rsidR="005B4598">
              <w:rPr>
                <w:webHidden/>
              </w:rPr>
              <w:tab/>
            </w:r>
            <w:r w:rsidR="005B4598">
              <w:rPr>
                <w:webHidden/>
              </w:rPr>
              <w:fldChar w:fldCharType="begin"/>
            </w:r>
            <w:r w:rsidR="005B4598">
              <w:rPr>
                <w:webHidden/>
              </w:rPr>
              <w:instrText xml:space="preserve"> PAGEREF _Toc509589608 \h </w:instrText>
            </w:r>
            <w:r w:rsidR="005B4598">
              <w:rPr>
                <w:webHidden/>
              </w:rPr>
            </w:r>
            <w:r w:rsidR="005B4598">
              <w:rPr>
                <w:webHidden/>
              </w:rPr>
              <w:fldChar w:fldCharType="separate"/>
            </w:r>
            <w:r>
              <w:rPr>
                <w:webHidden/>
              </w:rPr>
              <w:t>38</w:t>
            </w:r>
            <w:r w:rsidR="005B4598">
              <w:rPr>
                <w:webHidden/>
              </w:rPr>
              <w:fldChar w:fldCharType="end"/>
            </w:r>
          </w:hyperlink>
        </w:p>
        <w:p w:rsidR="005B4598" w:rsidRDefault="00376BF0">
          <w:pPr>
            <w:pStyle w:val="TOC2"/>
            <w:rPr>
              <w:rFonts w:asciiTheme="minorHAnsi" w:eastAsiaTheme="minorEastAsia" w:hAnsiTheme="minorHAnsi" w:cstheme="minorBidi"/>
              <w:sz w:val="22"/>
              <w:szCs w:val="22"/>
            </w:rPr>
          </w:pPr>
          <w:hyperlink w:anchor="_Toc509589609" w:history="1">
            <w:r w:rsidR="005B4598" w:rsidRPr="004460E0">
              <w:rPr>
                <w:rStyle w:val="Hyperlink"/>
              </w:rPr>
              <w:t>4.1.</w:t>
            </w:r>
            <w:r w:rsidR="005B4598">
              <w:rPr>
                <w:rFonts w:asciiTheme="minorHAnsi" w:eastAsiaTheme="minorEastAsia" w:hAnsiTheme="minorHAnsi" w:cstheme="minorBidi"/>
                <w:sz w:val="22"/>
                <w:szCs w:val="22"/>
              </w:rPr>
              <w:tab/>
            </w:r>
            <w:r w:rsidR="005B4598" w:rsidRPr="004460E0">
              <w:rPr>
                <w:rStyle w:val="Hyperlink"/>
              </w:rPr>
              <w:t>Hours and Costs Related to and Necessary  for Substantial Contribution</w:t>
            </w:r>
            <w:r w:rsidR="005B4598">
              <w:rPr>
                <w:webHidden/>
              </w:rPr>
              <w:tab/>
            </w:r>
            <w:r w:rsidR="005B4598">
              <w:rPr>
                <w:webHidden/>
              </w:rPr>
              <w:fldChar w:fldCharType="begin"/>
            </w:r>
            <w:r w:rsidR="005B4598">
              <w:rPr>
                <w:webHidden/>
              </w:rPr>
              <w:instrText xml:space="preserve"> PAGEREF _Toc509589609 \h </w:instrText>
            </w:r>
            <w:r w:rsidR="005B4598">
              <w:rPr>
                <w:webHidden/>
              </w:rPr>
            </w:r>
            <w:r w:rsidR="005B4598">
              <w:rPr>
                <w:webHidden/>
              </w:rPr>
              <w:fldChar w:fldCharType="separate"/>
            </w:r>
            <w:r>
              <w:rPr>
                <w:webHidden/>
              </w:rPr>
              <w:t>39</w:t>
            </w:r>
            <w:r w:rsidR="005B4598">
              <w:rPr>
                <w:webHidden/>
              </w:rPr>
              <w:fldChar w:fldCharType="end"/>
            </w:r>
          </w:hyperlink>
        </w:p>
        <w:p w:rsidR="005B4598" w:rsidRDefault="00376BF0">
          <w:pPr>
            <w:pStyle w:val="TOC2"/>
            <w:rPr>
              <w:rFonts w:asciiTheme="minorHAnsi" w:eastAsiaTheme="minorEastAsia" w:hAnsiTheme="minorHAnsi" w:cstheme="minorBidi"/>
              <w:sz w:val="22"/>
              <w:szCs w:val="22"/>
            </w:rPr>
          </w:pPr>
          <w:hyperlink w:anchor="_Toc509589610" w:history="1">
            <w:r w:rsidR="005B4598" w:rsidRPr="004460E0">
              <w:rPr>
                <w:rStyle w:val="Hyperlink"/>
              </w:rPr>
              <w:t>4.2.</w:t>
            </w:r>
            <w:r w:rsidR="005B4598">
              <w:rPr>
                <w:rFonts w:asciiTheme="minorHAnsi" w:eastAsiaTheme="minorEastAsia" w:hAnsiTheme="minorHAnsi" w:cstheme="minorBidi"/>
                <w:sz w:val="22"/>
                <w:szCs w:val="22"/>
              </w:rPr>
              <w:tab/>
            </w:r>
            <w:r w:rsidR="005B4598" w:rsidRPr="004460E0">
              <w:rPr>
                <w:rStyle w:val="Hyperlink"/>
              </w:rPr>
              <w:t>Preparation of Claim</w:t>
            </w:r>
            <w:r w:rsidR="005B4598">
              <w:rPr>
                <w:webHidden/>
              </w:rPr>
              <w:tab/>
            </w:r>
            <w:r w:rsidR="005B4598">
              <w:rPr>
                <w:webHidden/>
              </w:rPr>
              <w:fldChar w:fldCharType="begin"/>
            </w:r>
            <w:r w:rsidR="005B4598">
              <w:rPr>
                <w:webHidden/>
              </w:rPr>
              <w:instrText xml:space="preserve"> PAGEREF _Toc509589610 \h </w:instrText>
            </w:r>
            <w:r w:rsidR="005B4598">
              <w:rPr>
                <w:webHidden/>
              </w:rPr>
            </w:r>
            <w:r w:rsidR="005B4598">
              <w:rPr>
                <w:webHidden/>
              </w:rPr>
              <w:fldChar w:fldCharType="separate"/>
            </w:r>
            <w:r>
              <w:rPr>
                <w:webHidden/>
              </w:rPr>
              <w:t>44</w:t>
            </w:r>
            <w:r w:rsidR="005B4598">
              <w:rPr>
                <w:webHidden/>
              </w:rPr>
              <w:fldChar w:fldCharType="end"/>
            </w:r>
          </w:hyperlink>
        </w:p>
        <w:p w:rsidR="005B4598" w:rsidRDefault="00376BF0">
          <w:pPr>
            <w:pStyle w:val="TOC2"/>
            <w:rPr>
              <w:rFonts w:asciiTheme="minorHAnsi" w:eastAsiaTheme="minorEastAsia" w:hAnsiTheme="minorHAnsi" w:cstheme="minorBidi"/>
              <w:sz w:val="22"/>
              <w:szCs w:val="22"/>
            </w:rPr>
          </w:pPr>
          <w:hyperlink w:anchor="_Toc509589638" w:history="1">
            <w:r w:rsidR="005B4598" w:rsidRPr="004460E0">
              <w:rPr>
                <w:rStyle w:val="Hyperlink"/>
              </w:rPr>
              <w:t>4.3.</w:t>
            </w:r>
            <w:r w:rsidR="005B4598">
              <w:rPr>
                <w:rFonts w:asciiTheme="minorHAnsi" w:eastAsiaTheme="minorEastAsia" w:hAnsiTheme="minorHAnsi" w:cstheme="minorBidi"/>
                <w:sz w:val="22"/>
                <w:szCs w:val="22"/>
              </w:rPr>
              <w:tab/>
            </w:r>
            <w:r w:rsidR="005B4598" w:rsidRPr="004460E0">
              <w:rPr>
                <w:rStyle w:val="Hyperlink"/>
              </w:rPr>
              <w:t>Intervenor Hourly Rates</w:t>
            </w:r>
            <w:r w:rsidR="005B4598">
              <w:rPr>
                <w:webHidden/>
              </w:rPr>
              <w:tab/>
            </w:r>
            <w:r w:rsidR="005B4598">
              <w:rPr>
                <w:webHidden/>
              </w:rPr>
              <w:fldChar w:fldCharType="begin"/>
            </w:r>
            <w:r w:rsidR="005B4598">
              <w:rPr>
                <w:webHidden/>
              </w:rPr>
              <w:instrText xml:space="preserve"> PAGEREF _Toc509589638 \h </w:instrText>
            </w:r>
            <w:r w:rsidR="005B4598">
              <w:rPr>
                <w:webHidden/>
              </w:rPr>
            </w:r>
            <w:r w:rsidR="005B4598">
              <w:rPr>
                <w:webHidden/>
              </w:rPr>
              <w:fldChar w:fldCharType="separate"/>
            </w:r>
            <w:r>
              <w:rPr>
                <w:webHidden/>
              </w:rPr>
              <w:t>45</w:t>
            </w:r>
            <w:r w:rsidR="005B4598">
              <w:rPr>
                <w:webHidden/>
              </w:rPr>
              <w:fldChar w:fldCharType="end"/>
            </w:r>
          </w:hyperlink>
        </w:p>
        <w:p w:rsidR="005B4598" w:rsidRDefault="00376BF0">
          <w:pPr>
            <w:pStyle w:val="TOC1"/>
            <w:rPr>
              <w:rFonts w:asciiTheme="minorHAnsi" w:eastAsiaTheme="minorEastAsia" w:hAnsiTheme="minorHAnsi" w:cstheme="minorBidi"/>
              <w:sz w:val="22"/>
              <w:szCs w:val="22"/>
            </w:rPr>
          </w:pPr>
          <w:hyperlink w:anchor="_Toc509589639" w:history="1">
            <w:r w:rsidR="005B4598" w:rsidRPr="004460E0">
              <w:rPr>
                <w:rStyle w:val="Hyperlink"/>
              </w:rPr>
              <w:t>5.</w:t>
            </w:r>
            <w:r w:rsidR="005B4598">
              <w:rPr>
                <w:rFonts w:asciiTheme="minorHAnsi" w:eastAsiaTheme="minorEastAsia" w:hAnsiTheme="minorHAnsi" w:cstheme="minorBidi"/>
                <w:sz w:val="22"/>
                <w:szCs w:val="22"/>
              </w:rPr>
              <w:tab/>
            </w:r>
            <w:r w:rsidR="005B4598" w:rsidRPr="004460E0">
              <w:rPr>
                <w:rStyle w:val="Hyperlink"/>
              </w:rPr>
              <w:t>Productivity</w:t>
            </w:r>
            <w:r w:rsidR="005B4598">
              <w:rPr>
                <w:webHidden/>
              </w:rPr>
              <w:tab/>
            </w:r>
            <w:r w:rsidR="005B4598">
              <w:rPr>
                <w:webHidden/>
              </w:rPr>
              <w:fldChar w:fldCharType="begin"/>
            </w:r>
            <w:r w:rsidR="005B4598">
              <w:rPr>
                <w:webHidden/>
              </w:rPr>
              <w:instrText xml:space="preserve"> PAGEREF _Toc509589639 \h </w:instrText>
            </w:r>
            <w:r w:rsidR="005B4598">
              <w:rPr>
                <w:webHidden/>
              </w:rPr>
            </w:r>
            <w:r w:rsidR="005B4598">
              <w:rPr>
                <w:webHidden/>
              </w:rPr>
              <w:fldChar w:fldCharType="separate"/>
            </w:r>
            <w:r>
              <w:rPr>
                <w:webHidden/>
              </w:rPr>
              <w:t>49</w:t>
            </w:r>
            <w:r w:rsidR="005B4598">
              <w:rPr>
                <w:webHidden/>
              </w:rPr>
              <w:fldChar w:fldCharType="end"/>
            </w:r>
          </w:hyperlink>
        </w:p>
        <w:p w:rsidR="005B4598" w:rsidRDefault="00376BF0">
          <w:pPr>
            <w:pStyle w:val="TOC2"/>
            <w:rPr>
              <w:rFonts w:asciiTheme="minorHAnsi" w:eastAsiaTheme="minorEastAsia" w:hAnsiTheme="minorHAnsi" w:cstheme="minorBidi"/>
              <w:sz w:val="22"/>
              <w:szCs w:val="22"/>
            </w:rPr>
          </w:pPr>
          <w:hyperlink w:anchor="_Toc509589640" w:history="1">
            <w:r w:rsidR="005B4598" w:rsidRPr="004460E0">
              <w:rPr>
                <w:rStyle w:val="Hyperlink"/>
              </w:rPr>
              <w:t>5.1.</w:t>
            </w:r>
            <w:r w:rsidR="005B4598">
              <w:rPr>
                <w:rFonts w:asciiTheme="minorHAnsi" w:eastAsiaTheme="minorEastAsia" w:hAnsiTheme="minorHAnsi" w:cstheme="minorBidi"/>
                <w:sz w:val="22"/>
                <w:szCs w:val="22"/>
              </w:rPr>
              <w:tab/>
            </w:r>
            <w:r w:rsidR="005B4598" w:rsidRPr="004460E0">
              <w:rPr>
                <w:rStyle w:val="Hyperlink"/>
              </w:rPr>
              <w:t>[OLD] Intervenor’s Claim of Cost Reasonableness/[NEW] General Claim of Reasonableness (§ 1801 and § 1806):</w:t>
            </w:r>
            <w:r w:rsidR="005B4598">
              <w:rPr>
                <w:webHidden/>
              </w:rPr>
              <w:tab/>
            </w:r>
            <w:r w:rsidR="005B4598">
              <w:rPr>
                <w:webHidden/>
              </w:rPr>
              <w:fldChar w:fldCharType="begin"/>
            </w:r>
            <w:r w:rsidR="005B4598">
              <w:rPr>
                <w:webHidden/>
              </w:rPr>
              <w:instrText xml:space="preserve"> PAGEREF _Toc509589640 \h </w:instrText>
            </w:r>
            <w:r w:rsidR="005B4598">
              <w:rPr>
                <w:webHidden/>
              </w:rPr>
            </w:r>
            <w:r w:rsidR="005B4598">
              <w:rPr>
                <w:webHidden/>
              </w:rPr>
              <w:fldChar w:fldCharType="separate"/>
            </w:r>
            <w:r>
              <w:rPr>
                <w:webHidden/>
              </w:rPr>
              <w:t>49</w:t>
            </w:r>
            <w:r w:rsidR="005B4598">
              <w:rPr>
                <w:webHidden/>
              </w:rPr>
              <w:fldChar w:fldCharType="end"/>
            </w:r>
          </w:hyperlink>
        </w:p>
        <w:p w:rsidR="005B4598" w:rsidRDefault="00376BF0">
          <w:pPr>
            <w:pStyle w:val="TOC2"/>
            <w:rPr>
              <w:rFonts w:asciiTheme="minorHAnsi" w:eastAsiaTheme="minorEastAsia" w:hAnsiTheme="minorHAnsi" w:cstheme="minorBidi"/>
              <w:sz w:val="22"/>
              <w:szCs w:val="22"/>
            </w:rPr>
          </w:pPr>
          <w:hyperlink w:anchor="_Toc509589641" w:history="1">
            <w:r w:rsidR="005B4598" w:rsidRPr="004460E0">
              <w:rPr>
                <w:rStyle w:val="Hyperlink"/>
              </w:rPr>
              <w:t>5.2.</w:t>
            </w:r>
            <w:r w:rsidR="005B4598">
              <w:rPr>
                <w:rFonts w:asciiTheme="minorHAnsi" w:eastAsiaTheme="minorEastAsia" w:hAnsiTheme="minorHAnsi" w:cstheme="minorBidi"/>
                <w:sz w:val="22"/>
                <w:szCs w:val="22"/>
              </w:rPr>
              <w:tab/>
            </w:r>
            <w:r w:rsidR="005B4598" w:rsidRPr="004460E0">
              <w:rPr>
                <w:rStyle w:val="Hyperlink"/>
              </w:rPr>
              <w:t>Reasonableness of Hours Claimed:</w:t>
            </w:r>
            <w:r w:rsidR="005B4598">
              <w:rPr>
                <w:webHidden/>
              </w:rPr>
              <w:tab/>
            </w:r>
            <w:r w:rsidR="005B4598">
              <w:rPr>
                <w:webHidden/>
              </w:rPr>
              <w:fldChar w:fldCharType="begin"/>
            </w:r>
            <w:r w:rsidR="005B4598">
              <w:rPr>
                <w:webHidden/>
              </w:rPr>
              <w:instrText xml:space="preserve"> PAGEREF _Toc509589641 \h </w:instrText>
            </w:r>
            <w:r w:rsidR="005B4598">
              <w:rPr>
                <w:webHidden/>
              </w:rPr>
            </w:r>
            <w:r w:rsidR="005B4598">
              <w:rPr>
                <w:webHidden/>
              </w:rPr>
              <w:fldChar w:fldCharType="separate"/>
            </w:r>
            <w:r>
              <w:rPr>
                <w:webHidden/>
              </w:rPr>
              <w:t>50</w:t>
            </w:r>
            <w:r w:rsidR="005B4598">
              <w:rPr>
                <w:webHidden/>
              </w:rPr>
              <w:fldChar w:fldCharType="end"/>
            </w:r>
          </w:hyperlink>
        </w:p>
        <w:p w:rsidR="005B4598" w:rsidRDefault="00376BF0">
          <w:pPr>
            <w:pStyle w:val="TOC2"/>
            <w:rPr>
              <w:rFonts w:asciiTheme="minorHAnsi" w:eastAsiaTheme="minorEastAsia" w:hAnsiTheme="minorHAnsi" w:cstheme="minorBidi"/>
              <w:sz w:val="22"/>
              <w:szCs w:val="22"/>
            </w:rPr>
          </w:pPr>
          <w:hyperlink w:anchor="_Toc509589642" w:history="1">
            <w:r w:rsidR="005B4598" w:rsidRPr="004460E0">
              <w:rPr>
                <w:rStyle w:val="Hyperlink"/>
              </w:rPr>
              <w:t>5.3.</w:t>
            </w:r>
            <w:r w:rsidR="005B4598">
              <w:rPr>
                <w:rFonts w:asciiTheme="minorHAnsi" w:eastAsiaTheme="minorEastAsia" w:hAnsiTheme="minorHAnsi" w:cstheme="minorBidi"/>
                <w:sz w:val="22"/>
                <w:szCs w:val="22"/>
              </w:rPr>
              <w:tab/>
            </w:r>
            <w:r w:rsidR="005B4598" w:rsidRPr="004460E0">
              <w:rPr>
                <w:rStyle w:val="Hyperlink"/>
              </w:rPr>
              <w:t>Discussion</w:t>
            </w:r>
            <w:r w:rsidR="005B4598">
              <w:rPr>
                <w:webHidden/>
              </w:rPr>
              <w:tab/>
            </w:r>
            <w:r w:rsidR="005B4598">
              <w:rPr>
                <w:webHidden/>
              </w:rPr>
              <w:fldChar w:fldCharType="begin"/>
            </w:r>
            <w:r w:rsidR="005B4598">
              <w:rPr>
                <w:webHidden/>
              </w:rPr>
              <w:instrText xml:space="preserve"> PAGEREF _Toc509589642 \h </w:instrText>
            </w:r>
            <w:r w:rsidR="005B4598">
              <w:rPr>
                <w:webHidden/>
              </w:rPr>
            </w:r>
            <w:r w:rsidR="005B4598">
              <w:rPr>
                <w:webHidden/>
              </w:rPr>
              <w:fldChar w:fldCharType="separate"/>
            </w:r>
            <w:r>
              <w:rPr>
                <w:webHidden/>
              </w:rPr>
              <w:t>50</w:t>
            </w:r>
            <w:r w:rsidR="005B4598">
              <w:rPr>
                <w:webHidden/>
              </w:rPr>
              <w:fldChar w:fldCharType="end"/>
            </w:r>
          </w:hyperlink>
        </w:p>
        <w:p w:rsidR="005B4598" w:rsidRDefault="00376BF0">
          <w:pPr>
            <w:pStyle w:val="TOC1"/>
            <w:rPr>
              <w:rFonts w:asciiTheme="minorHAnsi" w:eastAsiaTheme="minorEastAsia" w:hAnsiTheme="minorHAnsi" w:cstheme="minorBidi"/>
              <w:sz w:val="22"/>
              <w:szCs w:val="22"/>
            </w:rPr>
          </w:pPr>
          <w:hyperlink w:anchor="_Toc509589643" w:history="1">
            <w:r w:rsidR="005B4598" w:rsidRPr="004460E0">
              <w:rPr>
                <w:rStyle w:val="Hyperlink"/>
              </w:rPr>
              <w:t>6.</w:t>
            </w:r>
            <w:r w:rsidR="005B4598">
              <w:rPr>
                <w:rFonts w:asciiTheme="minorHAnsi" w:eastAsiaTheme="minorEastAsia" w:hAnsiTheme="minorHAnsi" w:cstheme="minorBidi"/>
                <w:sz w:val="22"/>
                <w:szCs w:val="22"/>
              </w:rPr>
              <w:tab/>
            </w:r>
            <w:r w:rsidR="005B4598" w:rsidRPr="004460E0">
              <w:rPr>
                <w:rStyle w:val="Hyperlink"/>
              </w:rPr>
              <w:t>Award</w:t>
            </w:r>
            <w:r w:rsidR="005B4598">
              <w:rPr>
                <w:webHidden/>
              </w:rPr>
              <w:tab/>
            </w:r>
            <w:r w:rsidR="005B4598">
              <w:rPr>
                <w:webHidden/>
              </w:rPr>
              <w:fldChar w:fldCharType="begin"/>
            </w:r>
            <w:r w:rsidR="005B4598">
              <w:rPr>
                <w:webHidden/>
              </w:rPr>
              <w:instrText xml:space="preserve"> PAGEREF _Toc509589643 \h </w:instrText>
            </w:r>
            <w:r w:rsidR="005B4598">
              <w:rPr>
                <w:webHidden/>
              </w:rPr>
            </w:r>
            <w:r w:rsidR="005B4598">
              <w:rPr>
                <w:webHidden/>
              </w:rPr>
              <w:fldChar w:fldCharType="separate"/>
            </w:r>
            <w:r>
              <w:rPr>
                <w:webHidden/>
              </w:rPr>
              <w:t>51</w:t>
            </w:r>
            <w:r w:rsidR="005B4598">
              <w:rPr>
                <w:webHidden/>
              </w:rPr>
              <w:fldChar w:fldCharType="end"/>
            </w:r>
          </w:hyperlink>
        </w:p>
        <w:p w:rsidR="005B4598" w:rsidRDefault="00376BF0">
          <w:pPr>
            <w:pStyle w:val="TOC1"/>
            <w:rPr>
              <w:rFonts w:asciiTheme="minorHAnsi" w:eastAsiaTheme="minorEastAsia" w:hAnsiTheme="minorHAnsi" w:cstheme="minorBidi"/>
              <w:sz w:val="22"/>
              <w:szCs w:val="22"/>
            </w:rPr>
          </w:pPr>
          <w:hyperlink w:anchor="_Toc509589644" w:history="1">
            <w:r w:rsidR="005B4598" w:rsidRPr="004460E0">
              <w:rPr>
                <w:rStyle w:val="Hyperlink"/>
              </w:rPr>
              <w:t>7.</w:t>
            </w:r>
            <w:r w:rsidR="005B4598">
              <w:rPr>
                <w:rFonts w:asciiTheme="minorHAnsi" w:eastAsiaTheme="minorEastAsia" w:hAnsiTheme="minorHAnsi" w:cstheme="minorBidi"/>
                <w:sz w:val="22"/>
                <w:szCs w:val="22"/>
              </w:rPr>
              <w:tab/>
            </w:r>
            <w:r w:rsidR="005B4598" w:rsidRPr="004460E0">
              <w:rPr>
                <w:rStyle w:val="Hyperlink"/>
              </w:rPr>
              <w:t>Comment Period</w:t>
            </w:r>
            <w:r w:rsidR="005B4598">
              <w:rPr>
                <w:webHidden/>
              </w:rPr>
              <w:tab/>
            </w:r>
            <w:r w:rsidR="005B4598">
              <w:rPr>
                <w:webHidden/>
              </w:rPr>
              <w:fldChar w:fldCharType="begin"/>
            </w:r>
            <w:r w:rsidR="005B4598">
              <w:rPr>
                <w:webHidden/>
              </w:rPr>
              <w:instrText xml:space="preserve"> PAGEREF _Toc509589644 \h </w:instrText>
            </w:r>
            <w:r w:rsidR="005B4598">
              <w:rPr>
                <w:webHidden/>
              </w:rPr>
            </w:r>
            <w:r w:rsidR="005B4598">
              <w:rPr>
                <w:webHidden/>
              </w:rPr>
              <w:fldChar w:fldCharType="separate"/>
            </w:r>
            <w:r>
              <w:rPr>
                <w:webHidden/>
              </w:rPr>
              <w:t>52</w:t>
            </w:r>
            <w:r w:rsidR="005B4598">
              <w:rPr>
                <w:webHidden/>
              </w:rPr>
              <w:fldChar w:fldCharType="end"/>
            </w:r>
          </w:hyperlink>
        </w:p>
        <w:p w:rsidR="005B4598" w:rsidRDefault="00376BF0">
          <w:pPr>
            <w:pStyle w:val="TOC1"/>
            <w:rPr>
              <w:rFonts w:asciiTheme="minorHAnsi" w:eastAsiaTheme="minorEastAsia" w:hAnsiTheme="minorHAnsi" w:cstheme="minorBidi"/>
              <w:sz w:val="22"/>
              <w:szCs w:val="22"/>
            </w:rPr>
          </w:pPr>
          <w:hyperlink w:anchor="_Toc509589645" w:history="1">
            <w:r w:rsidR="005B4598" w:rsidRPr="004460E0">
              <w:rPr>
                <w:rStyle w:val="Hyperlink"/>
              </w:rPr>
              <w:t>8.</w:t>
            </w:r>
            <w:r w:rsidR="005B4598">
              <w:rPr>
                <w:rFonts w:asciiTheme="minorHAnsi" w:eastAsiaTheme="minorEastAsia" w:hAnsiTheme="minorHAnsi" w:cstheme="minorBidi"/>
                <w:sz w:val="22"/>
                <w:szCs w:val="22"/>
              </w:rPr>
              <w:tab/>
            </w:r>
            <w:r w:rsidR="005B4598" w:rsidRPr="004460E0">
              <w:rPr>
                <w:rStyle w:val="Hyperlink"/>
              </w:rPr>
              <w:t>Assignment of Proceeding</w:t>
            </w:r>
            <w:r w:rsidR="005B4598">
              <w:rPr>
                <w:webHidden/>
              </w:rPr>
              <w:tab/>
            </w:r>
            <w:r w:rsidR="005B4598">
              <w:rPr>
                <w:webHidden/>
              </w:rPr>
              <w:fldChar w:fldCharType="begin"/>
            </w:r>
            <w:r w:rsidR="005B4598">
              <w:rPr>
                <w:webHidden/>
              </w:rPr>
              <w:instrText xml:space="preserve"> PAGEREF _Toc509589645 \h </w:instrText>
            </w:r>
            <w:r w:rsidR="005B4598">
              <w:rPr>
                <w:webHidden/>
              </w:rPr>
            </w:r>
            <w:r w:rsidR="005B4598">
              <w:rPr>
                <w:webHidden/>
              </w:rPr>
              <w:fldChar w:fldCharType="separate"/>
            </w:r>
            <w:r>
              <w:rPr>
                <w:webHidden/>
              </w:rPr>
              <w:t>52</w:t>
            </w:r>
            <w:r w:rsidR="005B4598">
              <w:rPr>
                <w:webHidden/>
              </w:rPr>
              <w:fldChar w:fldCharType="end"/>
            </w:r>
          </w:hyperlink>
        </w:p>
        <w:p w:rsidR="005B4598" w:rsidRDefault="00376BF0">
          <w:pPr>
            <w:pStyle w:val="TOC1"/>
            <w:rPr>
              <w:rFonts w:asciiTheme="minorHAnsi" w:eastAsiaTheme="minorEastAsia" w:hAnsiTheme="minorHAnsi" w:cstheme="minorBidi"/>
              <w:sz w:val="22"/>
              <w:szCs w:val="22"/>
            </w:rPr>
          </w:pPr>
          <w:hyperlink w:anchor="_Toc509589646" w:history="1">
            <w:r w:rsidR="005B4598" w:rsidRPr="004460E0">
              <w:rPr>
                <w:rStyle w:val="Hyperlink"/>
              </w:rPr>
              <w:t>Findings of Fact</w:t>
            </w:r>
            <w:r w:rsidR="005B4598">
              <w:rPr>
                <w:webHidden/>
              </w:rPr>
              <w:tab/>
            </w:r>
            <w:r w:rsidR="005B4598">
              <w:rPr>
                <w:webHidden/>
              </w:rPr>
              <w:fldChar w:fldCharType="begin"/>
            </w:r>
            <w:r w:rsidR="005B4598">
              <w:rPr>
                <w:webHidden/>
              </w:rPr>
              <w:instrText xml:space="preserve"> PAGEREF _Toc509589646 \h </w:instrText>
            </w:r>
            <w:r w:rsidR="005B4598">
              <w:rPr>
                <w:webHidden/>
              </w:rPr>
            </w:r>
            <w:r w:rsidR="005B4598">
              <w:rPr>
                <w:webHidden/>
              </w:rPr>
              <w:fldChar w:fldCharType="separate"/>
            </w:r>
            <w:r>
              <w:rPr>
                <w:webHidden/>
              </w:rPr>
              <w:t>53</w:t>
            </w:r>
            <w:r w:rsidR="005B4598">
              <w:rPr>
                <w:webHidden/>
              </w:rPr>
              <w:fldChar w:fldCharType="end"/>
            </w:r>
          </w:hyperlink>
        </w:p>
        <w:p w:rsidR="005B4598" w:rsidRDefault="00376BF0">
          <w:pPr>
            <w:pStyle w:val="TOC1"/>
            <w:rPr>
              <w:rFonts w:asciiTheme="minorHAnsi" w:eastAsiaTheme="minorEastAsia" w:hAnsiTheme="minorHAnsi" w:cstheme="minorBidi"/>
              <w:sz w:val="22"/>
              <w:szCs w:val="22"/>
            </w:rPr>
          </w:pPr>
          <w:hyperlink w:anchor="_Toc509589647" w:history="1">
            <w:r w:rsidR="005B4598" w:rsidRPr="004460E0">
              <w:rPr>
                <w:rStyle w:val="Hyperlink"/>
              </w:rPr>
              <w:t>Conclusions of Law</w:t>
            </w:r>
            <w:r w:rsidR="005B4598">
              <w:rPr>
                <w:webHidden/>
              </w:rPr>
              <w:tab/>
            </w:r>
            <w:r w:rsidR="005B4598">
              <w:rPr>
                <w:webHidden/>
              </w:rPr>
              <w:fldChar w:fldCharType="begin"/>
            </w:r>
            <w:r w:rsidR="005B4598">
              <w:rPr>
                <w:webHidden/>
              </w:rPr>
              <w:instrText xml:space="preserve"> PAGEREF _Toc509589647 \h </w:instrText>
            </w:r>
            <w:r w:rsidR="005B4598">
              <w:rPr>
                <w:webHidden/>
              </w:rPr>
            </w:r>
            <w:r w:rsidR="005B4598">
              <w:rPr>
                <w:webHidden/>
              </w:rPr>
              <w:fldChar w:fldCharType="separate"/>
            </w:r>
            <w:r>
              <w:rPr>
                <w:webHidden/>
              </w:rPr>
              <w:t>53</w:t>
            </w:r>
            <w:r w:rsidR="005B4598">
              <w:rPr>
                <w:webHidden/>
              </w:rPr>
              <w:fldChar w:fldCharType="end"/>
            </w:r>
          </w:hyperlink>
        </w:p>
        <w:p w:rsidR="005B4598" w:rsidRDefault="00376BF0">
          <w:pPr>
            <w:pStyle w:val="TOC1"/>
            <w:rPr>
              <w:rFonts w:asciiTheme="minorHAnsi" w:eastAsiaTheme="minorEastAsia" w:hAnsiTheme="minorHAnsi" w:cstheme="minorBidi"/>
              <w:sz w:val="22"/>
              <w:szCs w:val="22"/>
            </w:rPr>
          </w:pPr>
          <w:hyperlink w:anchor="_Toc509589648" w:history="1">
            <w:r w:rsidR="005B4598" w:rsidRPr="004460E0">
              <w:rPr>
                <w:rStyle w:val="Hyperlink"/>
              </w:rPr>
              <w:t>ORDER</w:t>
            </w:r>
            <w:r w:rsidR="006630EA">
              <w:rPr>
                <w:rStyle w:val="Hyperlink"/>
              </w:rPr>
              <w:tab/>
            </w:r>
            <w:r w:rsidR="005B4598">
              <w:rPr>
                <w:webHidden/>
              </w:rPr>
              <w:tab/>
            </w:r>
            <w:r w:rsidR="005B4598">
              <w:rPr>
                <w:webHidden/>
              </w:rPr>
              <w:fldChar w:fldCharType="begin"/>
            </w:r>
            <w:r w:rsidR="005B4598">
              <w:rPr>
                <w:webHidden/>
              </w:rPr>
              <w:instrText xml:space="preserve"> PAGEREF _Toc509589648 \h </w:instrText>
            </w:r>
            <w:r w:rsidR="005B4598">
              <w:rPr>
                <w:webHidden/>
              </w:rPr>
            </w:r>
            <w:r w:rsidR="005B4598">
              <w:rPr>
                <w:webHidden/>
              </w:rPr>
              <w:fldChar w:fldCharType="separate"/>
            </w:r>
            <w:r>
              <w:rPr>
                <w:webHidden/>
              </w:rPr>
              <w:t>54</w:t>
            </w:r>
            <w:r w:rsidR="005B4598">
              <w:rPr>
                <w:webHidden/>
              </w:rPr>
              <w:fldChar w:fldCharType="end"/>
            </w:r>
          </w:hyperlink>
        </w:p>
        <w:p w:rsidR="00732D5A" w:rsidRDefault="00732D5A">
          <w:r>
            <w:rPr>
              <w:b/>
              <w:bCs/>
              <w:noProof/>
            </w:rPr>
            <w:fldChar w:fldCharType="end"/>
          </w:r>
        </w:p>
      </w:sdtContent>
    </w:sdt>
    <w:p w:rsidR="005016EB" w:rsidRDefault="005016EB"/>
    <w:p w:rsidR="008373FE" w:rsidRDefault="008373FE">
      <w:pPr>
        <w:sectPr w:rsidR="008373FE" w:rsidSect="0010374D">
          <w:headerReference w:type="default" r:id="rId11"/>
          <w:footerReference w:type="default" r:id="rId12"/>
          <w:headerReference w:type="first" r:id="rId13"/>
          <w:footerReference w:type="first" r:id="rId14"/>
          <w:pgSz w:w="12240" w:h="15840" w:code="1"/>
          <w:pgMar w:top="1708" w:right="1440" w:bottom="1440" w:left="1440" w:header="720" w:footer="720" w:gutter="0"/>
          <w:pgNumType w:fmt="lowerRoman" w:start="1"/>
          <w:cols w:space="720"/>
          <w:titlePg/>
          <w:docGrid w:linePitch="354"/>
        </w:sectPr>
      </w:pPr>
    </w:p>
    <w:p w:rsidR="00F31AF9" w:rsidRPr="00F31AF9" w:rsidRDefault="00F31AF9" w:rsidP="00F31AF9">
      <w:pPr>
        <w:jc w:val="center"/>
        <w:rPr>
          <w:rFonts w:ascii="Helvetica" w:hAnsi="Helvetica"/>
          <w:b/>
          <w:kern w:val="28"/>
          <w:szCs w:val="26"/>
        </w:rPr>
      </w:pPr>
      <w:r w:rsidRPr="00F31AF9">
        <w:rPr>
          <w:rFonts w:ascii="Helvetica" w:hAnsi="Helvetica"/>
          <w:b/>
          <w:kern w:val="28"/>
          <w:szCs w:val="26"/>
        </w:rPr>
        <w:lastRenderedPageBreak/>
        <w:t>DECISION GRANTING INTERVENOR COMPENSATION</w:t>
      </w:r>
    </w:p>
    <w:p w:rsidR="00F31AF9" w:rsidRPr="00F31AF9" w:rsidRDefault="00F31AF9" w:rsidP="00F31AF9">
      <w:pPr>
        <w:jc w:val="center"/>
        <w:rPr>
          <w:rFonts w:ascii="Helvetica" w:hAnsi="Helvetica"/>
          <w:b/>
          <w:kern w:val="28"/>
          <w:szCs w:val="26"/>
        </w:rPr>
      </w:pPr>
      <w:r w:rsidRPr="00F31AF9">
        <w:rPr>
          <w:rFonts w:ascii="Helvetica" w:hAnsi="Helvetica"/>
          <w:b/>
          <w:kern w:val="28"/>
          <w:szCs w:val="26"/>
        </w:rPr>
        <w:t xml:space="preserve">TO </w:t>
      </w:r>
      <w:r w:rsidR="004A498E">
        <w:rPr>
          <w:rFonts w:ascii="Helvetica" w:hAnsi="Helvetica"/>
          <w:b/>
          <w:kern w:val="28"/>
          <w:szCs w:val="26"/>
        </w:rPr>
        <w:t>SCOTT J. RAFFERTY</w:t>
      </w:r>
      <w:r w:rsidRPr="00F31AF9">
        <w:rPr>
          <w:rFonts w:ascii="Helvetica" w:hAnsi="Helvetica"/>
          <w:b/>
          <w:kern w:val="28"/>
          <w:szCs w:val="26"/>
        </w:rPr>
        <w:t xml:space="preserve"> FOR SUBSTANTIAL CONTRIBUTION</w:t>
      </w:r>
    </w:p>
    <w:p w:rsidR="00134E7B" w:rsidRDefault="00F31AF9" w:rsidP="00F31AF9">
      <w:pPr>
        <w:jc w:val="center"/>
      </w:pPr>
      <w:r w:rsidRPr="00F31AF9">
        <w:rPr>
          <w:rFonts w:ascii="Helvetica" w:hAnsi="Helvetica"/>
          <w:b/>
          <w:kern w:val="28"/>
          <w:szCs w:val="26"/>
        </w:rPr>
        <w:t>TO DECISION</w:t>
      </w:r>
      <w:r w:rsidR="004A498E">
        <w:rPr>
          <w:rFonts w:ascii="Helvetica" w:hAnsi="Helvetica"/>
          <w:b/>
          <w:kern w:val="28"/>
          <w:szCs w:val="26"/>
        </w:rPr>
        <w:t xml:space="preserve"> 17-05-013</w:t>
      </w:r>
    </w:p>
    <w:p w:rsidR="007E72FD" w:rsidRDefault="007E72FD" w:rsidP="007E72FD">
      <w:pPr>
        <w:pStyle w:val="Heading1"/>
        <w:numPr>
          <w:ilvl w:val="0"/>
          <w:numId w:val="0"/>
        </w:numPr>
        <w:ind w:left="720" w:hanging="720"/>
      </w:pPr>
      <w:bookmarkStart w:id="2" w:name="_Toc509589554"/>
      <w:r>
        <w:t>Summary</w:t>
      </w:r>
      <w:bookmarkEnd w:id="2"/>
    </w:p>
    <w:p w:rsidR="007E72FD" w:rsidRDefault="00F31AF9" w:rsidP="00422D31">
      <w:pPr>
        <w:pStyle w:val="standard"/>
      </w:pPr>
      <w:r w:rsidRPr="00C81E27">
        <w:t xml:space="preserve">This decision awards </w:t>
      </w:r>
      <w:r w:rsidR="004A498E" w:rsidRPr="00C81E27">
        <w:t>Scott J. Rafferty</w:t>
      </w:r>
      <w:r w:rsidR="003A1A89" w:rsidRPr="00C81E27">
        <w:t xml:space="preserve"> $</w:t>
      </w:r>
      <w:r w:rsidR="007C6731" w:rsidRPr="007C6731">
        <w:t>33,855</w:t>
      </w:r>
      <w:r w:rsidR="007C6731">
        <w:t xml:space="preserve"> </w:t>
      </w:r>
      <w:r w:rsidRPr="00C81E27">
        <w:t xml:space="preserve">for substantial contributions to Decision </w:t>
      </w:r>
      <w:r w:rsidR="00830682" w:rsidRPr="00C81E27">
        <w:t>17-05-013</w:t>
      </w:r>
      <w:r w:rsidR="00766893" w:rsidRPr="00C81E27">
        <w:t xml:space="preserve"> regarding two contested issues in this proceeding</w:t>
      </w:r>
      <w:r w:rsidR="00830682" w:rsidRPr="00C81E27">
        <w:t>.</w:t>
      </w:r>
      <w:r w:rsidR="003A1A89" w:rsidRPr="00C81E27">
        <w:t xml:space="preserve"> </w:t>
      </w:r>
      <w:r w:rsidR="00830682" w:rsidRPr="00C81E27">
        <w:t xml:space="preserve"> </w:t>
      </w:r>
      <w:r w:rsidRPr="00C81E27">
        <w:t>This represents a decrease of $</w:t>
      </w:r>
      <w:r w:rsidR="007C6731" w:rsidRPr="00C81E27">
        <w:t>5</w:t>
      </w:r>
      <w:r w:rsidR="007C6731">
        <w:t>58</w:t>
      </w:r>
      <w:r w:rsidR="00FA0E5C" w:rsidRPr="00C81E27">
        <w:t>,</w:t>
      </w:r>
      <w:r w:rsidR="007C6731">
        <w:t>140</w:t>
      </w:r>
      <w:r w:rsidR="007C6731" w:rsidRPr="00C81E27">
        <w:t xml:space="preserve"> </w:t>
      </w:r>
      <w:r w:rsidRPr="00C81E27">
        <w:t xml:space="preserve">or </w:t>
      </w:r>
      <w:r w:rsidR="007C6731" w:rsidRPr="00C81E27">
        <w:t>9</w:t>
      </w:r>
      <w:r w:rsidR="007C6731">
        <w:t>4</w:t>
      </w:r>
      <w:r w:rsidR="00FA0E5C" w:rsidRPr="00C81E27">
        <w:t>.3</w:t>
      </w:r>
      <w:r w:rsidRPr="00C81E27">
        <w:t>% from the amount requested</w:t>
      </w:r>
      <w:r w:rsidR="00FA0E5C" w:rsidRPr="00C81E27">
        <w:t>,</w:t>
      </w:r>
      <w:r w:rsidRPr="00C81E27">
        <w:t xml:space="preserve"> due to </w:t>
      </w:r>
      <w:r w:rsidR="00830682" w:rsidRPr="00C81E27">
        <w:t xml:space="preserve">disallowances for </w:t>
      </w:r>
      <w:r w:rsidR="00766893" w:rsidRPr="00C81E27">
        <w:t>other claimed contributions</w:t>
      </w:r>
      <w:r w:rsidR="00830682" w:rsidRPr="00C81E27">
        <w:t xml:space="preserve"> that the Commission </w:t>
      </w:r>
      <w:r w:rsidR="00766893" w:rsidRPr="00C81E27">
        <w:t>finds</w:t>
      </w:r>
      <w:r w:rsidR="00830682" w:rsidRPr="00C81E27">
        <w:t xml:space="preserve"> did not make a substantial contribution to the </w:t>
      </w:r>
      <w:r w:rsidR="00422D31">
        <w:t>D</w:t>
      </w:r>
      <w:r w:rsidR="00830682" w:rsidRPr="00C81E27">
        <w:t>ecision</w:t>
      </w:r>
      <w:r w:rsidRPr="00C81E27">
        <w:t>.</w:t>
      </w:r>
      <w:r w:rsidR="00F007C8">
        <w:t xml:space="preserve"> </w:t>
      </w:r>
      <w:r w:rsidRPr="00C81E27">
        <w:t xml:space="preserve"> </w:t>
      </w:r>
      <w:r w:rsidRPr="008D3485">
        <w:t xml:space="preserve">This proceeding </w:t>
      </w:r>
      <w:r w:rsidR="008D3485">
        <w:t>remains open</w:t>
      </w:r>
      <w:r w:rsidRPr="008D3485">
        <w:t>.</w:t>
      </w:r>
      <w:r w:rsidRPr="00F31AF9">
        <w:t xml:space="preserve"> </w:t>
      </w:r>
    </w:p>
    <w:p w:rsidR="007E72FD" w:rsidRDefault="007E72FD" w:rsidP="007E72FD">
      <w:pPr>
        <w:pStyle w:val="Heading1"/>
      </w:pPr>
      <w:bookmarkStart w:id="3" w:name="_Toc509589555"/>
      <w:r>
        <w:t>Background</w:t>
      </w:r>
      <w:bookmarkEnd w:id="3"/>
    </w:p>
    <w:p w:rsidR="00442915" w:rsidRDefault="00FF3074" w:rsidP="00FF3074">
      <w:pPr>
        <w:pStyle w:val="standard"/>
      </w:pPr>
      <w:r>
        <w:t xml:space="preserve">In </w:t>
      </w:r>
      <w:r w:rsidRPr="00F31AF9">
        <w:t xml:space="preserve">Decision </w:t>
      </w:r>
      <w:r>
        <w:t xml:space="preserve">(D.) </w:t>
      </w:r>
      <w:r w:rsidRPr="00830682">
        <w:t>17-05-013</w:t>
      </w:r>
      <w:r>
        <w:t xml:space="preserve"> the Commission addressed a comprehensive settlement agreement in Pacific Gas and Electric Company’s (PG&amp;E) </w:t>
      </w:r>
      <w:r w:rsidR="00A473B6">
        <w:t xml:space="preserve">2017 </w:t>
      </w:r>
      <w:r>
        <w:t xml:space="preserve">test year General Rate Case (GRC).  The Commission approved the settlement agreement with two modifications, resolved two contested issues, and directed PG&amp;E to take a number of other actions.  </w:t>
      </w:r>
      <w:r w:rsidR="00A473B6">
        <w:t xml:space="preserve">The decision </w:t>
      </w:r>
      <w:r>
        <w:t>authorized GRC revenue requirement increases of $88 million for 2017, $444 million for 2018 and $361 million for 2019.</w:t>
      </w:r>
    </w:p>
    <w:p w:rsidR="00C24F36" w:rsidRDefault="00C24F36" w:rsidP="00FF3074">
      <w:pPr>
        <w:pStyle w:val="standard"/>
      </w:pPr>
      <w:r>
        <w:t xml:space="preserve">Scott J. Rafferty seeks </w:t>
      </w:r>
      <w:r w:rsidR="00E62D54">
        <w:t>$</w:t>
      </w:r>
      <w:r w:rsidR="00E62D54" w:rsidRPr="00E62D54">
        <w:t>591,995</w:t>
      </w:r>
      <w:r w:rsidR="00E62D54">
        <w:t xml:space="preserve"> in </w:t>
      </w:r>
      <w:r>
        <w:t>compensation for substanti</w:t>
      </w:r>
      <w:r w:rsidR="00E62D54">
        <w:t>al contributions to D.17-05-013.</w:t>
      </w:r>
      <w:r w:rsidR="00766893">
        <w:rPr>
          <w:rStyle w:val="FootnoteReference"/>
        </w:rPr>
        <w:footnoteReference w:id="2"/>
      </w:r>
    </w:p>
    <w:p w:rsidR="00B30FF9" w:rsidRDefault="00931F0F" w:rsidP="00931F0F">
      <w:pPr>
        <w:pStyle w:val="Heading1"/>
      </w:pPr>
      <w:bookmarkStart w:id="4" w:name="_Toc509589556"/>
      <w:r w:rsidRPr="00931F0F">
        <w:lastRenderedPageBreak/>
        <w:t>Requirements for Awards of Compensation</w:t>
      </w:r>
      <w:bookmarkEnd w:id="4"/>
    </w:p>
    <w:p w:rsidR="00766893" w:rsidRDefault="00766893" w:rsidP="00F31AF9">
      <w:pPr>
        <w:pStyle w:val="standard"/>
      </w:pPr>
      <w:r>
        <w:t xml:space="preserve">Because this decision makes substantial reductions to the claimed amount, this section of the decision provides a </w:t>
      </w:r>
      <w:r w:rsidR="00F346AD">
        <w:t xml:space="preserve">detailed </w:t>
      </w:r>
      <w:r>
        <w:t>review of the intent of the Commission’s intervenor compensation program.</w:t>
      </w:r>
    </w:p>
    <w:p w:rsidR="00F31AF9" w:rsidRPr="00F31AF9" w:rsidRDefault="00F31AF9" w:rsidP="00F31AF9">
      <w:pPr>
        <w:pStyle w:val="standard"/>
      </w:pPr>
      <w:r w:rsidRPr="00F31AF9">
        <w:t>The intervenor compensation program, which is set forth in Pub. Util. Code §§ 1801-1812,</w:t>
      </w:r>
      <w:r w:rsidRPr="00F31AF9">
        <w:rPr>
          <w:vertAlign w:val="superscript"/>
        </w:rPr>
        <w:footnoteReference w:id="3"/>
      </w:r>
      <w:r w:rsidRPr="00F31AF9">
        <w:t xml:space="preserve"> requires California jurisdictional utilities to pay the reasonable costs of an intervenor’s participation if that party makes a </w:t>
      </w:r>
      <w:r w:rsidR="00F467E3">
        <w:t>“</w:t>
      </w:r>
      <w:r w:rsidRPr="00F31AF9">
        <w:t>substantial contribution</w:t>
      </w:r>
      <w:r w:rsidR="00F467E3">
        <w:t>”</w:t>
      </w:r>
      <w:r w:rsidRPr="00F31AF9">
        <w:t xml:space="preserve"> to the Commission’s proceedings.  The statute provides that the utility may adjust its rates to collect the amount awarded from its ratepayers.</w:t>
      </w:r>
    </w:p>
    <w:p w:rsidR="00F31AF9" w:rsidRPr="00F31AF9" w:rsidRDefault="00F31AF9" w:rsidP="00F31AF9">
      <w:pPr>
        <w:pStyle w:val="standard"/>
      </w:pPr>
      <w:r w:rsidRPr="00F31AF9">
        <w:t>All of the following procedures and criteria must be satisfied for an intervenor to obtain a compensation award:</w:t>
      </w:r>
    </w:p>
    <w:p w:rsidR="00F31AF9" w:rsidRPr="00422D31" w:rsidRDefault="00F31AF9" w:rsidP="00E8478A">
      <w:pPr>
        <w:pStyle w:val="standard"/>
        <w:numPr>
          <w:ilvl w:val="0"/>
          <w:numId w:val="8"/>
        </w:numPr>
        <w:spacing w:after="120" w:line="240" w:lineRule="auto"/>
        <w:ind w:left="1080" w:right="1440" w:hanging="331"/>
      </w:pPr>
      <w:r w:rsidRPr="00F31AF9">
        <w:t xml:space="preserve">The intervenor must satisfy certain procedural requirements including the filing of a sufficient notice of intent (NOI) to claim compensation within 30 days of the prehearing conference (PHC), pursuant to </w:t>
      </w:r>
      <w:r w:rsidRPr="00422D31">
        <w:t xml:space="preserve">Rule 17.1 of the Commission’s Rules of Practice and Procedure (Rules), or at another appropriate time that we specify.  (§ 1804(a).) </w:t>
      </w:r>
    </w:p>
    <w:p w:rsidR="00F31AF9" w:rsidRPr="00F31AF9" w:rsidRDefault="00F31AF9" w:rsidP="00E8478A">
      <w:pPr>
        <w:pStyle w:val="standard"/>
        <w:numPr>
          <w:ilvl w:val="0"/>
          <w:numId w:val="8"/>
        </w:numPr>
        <w:spacing w:after="120" w:line="240" w:lineRule="auto"/>
        <w:ind w:left="1080" w:right="1440" w:hanging="331"/>
      </w:pPr>
      <w:r w:rsidRPr="00F31AF9">
        <w:t>The intervenor must be a customer or a participant representing consumers, customers, or subscribers of a utility subject to our jurisdiction.  (§ 1802(b).)</w:t>
      </w:r>
    </w:p>
    <w:p w:rsidR="00F31AF9" w:rsidRPr="00F31AF9" w:rsidRDefault="00F31AF9" w:rsidP="00E8478A">
      <w:pPr>
        <w:pStyle w:val="standard"/>
        <w:numPr>
          <w:ilvl w:val="0"/>
          <w:numId w:val="8"/>
        </w:numPr>
        <w:spacing w:after="120" w:line="240" w:lineRule="auto"/>
        <w:ind w:left="1080" w:right="1440" w:hanging="331"/>
      </w:pPr>
      <w:r w:rsidRPr="00F31AF9">
        <w:t>To seek a compensation award, the intervenor must file and serve a request for a compensation award within 60 days of our final order or decision in a hearing or proceeding.  (§ 1804(c).)</w:t>
      </w:r>
    </w:p>
    <w:p w:rsidR="00F31AF9" w:rsidRPr="00F31AF9" w:rsidRDefault="00F31AF9" w:rsidP="00E8478A">
      <w:pPr>
        <w:pStyle w:val="standard"/>
        <w:numPr>
          <w:ilvl w:val="0"/>
          <w:numId w:val="8"/>
        </w:numPr>
        <w:spacing w:after="120" w:line="240" w:lineRule="auto"/>
        <w:ind w:left="1080" w:right="1440" w:hanging="331"/>
      </w:pPr>
      <w:r w:rsidRPr="00F31AF9">
        <w:t>The intervenor must demonstrate “significant financial hardship.”  (§§ 1802(g) and 1804(b)(1).)</w:t>
      </w:r>
    </w:p>
    <w:p w:rsidR="00DC30E8" w:rsidRDefault="00F31AF9" w:rsidP="00E8478A">
      <w:pPr>
        <w:pStyle w:val="standard"/>
        <w:numPr>
          <w:ilvl w:val="0"/>
          <w:numId w:val="8"/>
        </w:numPr>
        <w:spacing w:after="120" w:line="240" w:lineRule="auto"/>
        <w:ind w:left="1080" w:right="1440" w:hanging="331"/>
      </w:pPr>
      <w:r w:rsidRPr="00F31AF9">
        <w:lastRenderedPageBreak/>
        <w:t>The intervenor’s presentation must have made a “substantial contribution” to the proceeding, through the adoption, in whole or in part, of the intervenor’s contention or recommendations by a Commission order or decision</w:t>
      </w:r>
      <w:bookmarkStart w:id="5" w:name="OLE_LINK3"/>
      <w:bookmarkStart w:id="6" w:name="OLE_LINK4"/>
      <w:r w:rsidRPr="00F31AF9">
        <w:t xml:space="preserve"> or as otherwise found by the Commission. </w:t>
      </w:r>
      <w:bookmarkEnd w:id="5"/>
      <w:bookmarkEnd w:id="6"/>
      <w:r w:rsidRPr="00F31AF9">
        <w:t xml:space="preserve"> (§§ 1802(i) and 1803(a).) </w:t>
      </w:r>
    </w:p>
    <w:p w:rsidR="00F31AF9" w:rsidRPr="00F31AF9" w:rsidRDefault="00F31AF9" w:rsidP="00E8478A">
      <w:pPr>
        <w:pStyle w:val="standard"/>
        <w:numPr>
          <w:ilvl w:val="0"/>
          <w:numId w:val="8"/>
        </w:numPr>
        <w:spacing w:after="240" w:line="240" w:lineRule="auto"/>
        <w:ind w:left="1080" w:right="1440" w:hanging="331"/>
      </w:pPr>
      <w:r w:rsidRPr="00F31AF9">
        <w:t xml:space="preserve">The claimed fees and costs must be reasonable (§ 1801), necessary for and related to the substantial contribution (D.98-04-059), comparable to the market rates paid to others with comparable training and experience (§ 1806), and productive (D.98-04-059). </w:t>
      </w:r>
    </w:p>
    <w:p w:rsidR="00F31AF9" w:rsidRPr="00F31AF9" w:rsidRDefault="00F31AF9" w:rsidP="00F31AF9">
      <w:pPr>
        <w:pStyle w:val="standard"/>
      </w:pPr>
      <w:r w:rsidRPr="00F31AF9">
        <w:t>In the discussion below, the procedural issues in Items 1-</w:t>
      </w:r>
      <w:r w:rsidR="00605001">
        <w:t>3</w:t>
      </w:r>
      <w:r w:rsidR="00605001" w:rsidRPr="00F31AF9">
        <w:t xml:space="preserve"> </w:t>
      </w:r>
      <w:r w:rsidRPr="00F31AF9">
        <w:t xml:space="preserve">above are combined and a separate discussion of Items </w:t>
      </w:r>
      <w:r w:rsidR="00605001">
        <w:t>4</w:t>
      </w:r>
      <w:r w:rsidRPr="00F31AF9">
        <w:t>-6 follows.</w:t>
      </w:r>
    </w:p>
    <w:p w:rsidR="00910DC4" w:rsidRPr="00910DC4" w:rsidRDefault="00910DC4" w:rsidP="00910DC4">
      <w:pPr>
        <w:pStyle w:val="Heading2"/>
      </w:pPr>
      <w:bookmarkStart w:id="7" w:name="_Toc509589557"/>
      <w:r w:rsidRPr="00910DC4">
        <w:t>Preliminary Procedural Issues</w:t>
      </w:r>
      <w:bookmarkEnd w:id="7"/>
    </w:p>
    <w:p w:rsidR="00605001" w:rsidRDefault="00910DC4" w:rsidP="00605001">
      <w:pPr>
        <w:pStyle w:val="standard"/>
      </w:pPr>
      <w:r w:rsidRPr="00910DC4">
        <w:t>Under § 1804(a)(1) and Rule 17.1(a)(1), a customer who intends to seek an award of intervenor compensation must file an NOI before certain dates.</w:t>
      </w:r>
      <w:r w:rsidR="00EF5C84">
        <w:t xml:space="preserve">  In this proceeding, Rafferty filed an NOI in his capacity as the Executive Director of CAUSE</w:t>
      </w:r>
      <w:r w:rsidR="00605001">
        <w:t xml:space="preserve"> on November 30, 2015</w:t>
      </w:r>
      <w:r w:rsidR="00EF5C84">
        <w:t>, seeking eligibility for CAUSE as a Category 3 customer</w:t>
      </w:r>
      <w:r w:rsidR="00605001">
        <w:t xml:space="preserve"> (2015 NOI)</w:t>
      </w:r>
      <w:r w:rsidR="00EF5C84">
        <w:t xml:space="preserve">.  </w:t>
      </w:r>
      <w:r w:rsidR="00605001">
        <w:t xml:space="preserve">On July 25, 2016 the assigned Administrative Law Judge (ALJ) issued a ruling rejecting the 2015 NOI and providing additional guidance in the event that CAUSE decided to file an amended NOI.  </w:t>
      </w:r>
      <w:r w:rsidR="00605001" w:rsidRPr="00605001">
        <w:t>On August 10, 2016 CAUSE filed an amended NOI</w:t>
      </w:r>
      <w:r w:rsidR="00605001">
        <w:t xml:space="preserve"> (</w:t>
      </w:r>
      <w:r w:rsidR="00605001" w:rsidRPr="00605001">
        <w:t xml:space="preserve">2016 </w:t>
      </w:r>
      <w:r w:rsidR="00812F45">
        <w:t>A</w:t>
      </w:r>
      <w:r w:rsidR="00605001" w:rsidRPr="00605001">
        <w:t>mended NOI</w:t>
      </w:r>
      <w:r w:rsidR="00605001">
        <w:t xml:space="preserve">).  On February 2, 2017 the assigned ALJ issued a ruling rejecting the 2016 </w:t>
      </w:r>
      <w:r w:rsidR="00812F45">
        <w:t>A</w:t>
      </w:r>
      <w:r w:rsidR="00605001">
        <w:t xml:space="preserve">mended NOI, and providing additional guidance in the event that CAUSE decided to file another amended NOI.  On April 5, 2017 CAUSE filed </w:t>
      </w:r>
      <w:r w:rsidR="00812F45">
        <w:t>its second</w:t>
      </w:r>
      <w:r w:rsidR="00605001">
        <w:t xml:space="preserve"> amended NOI (</w:t>
      </w:r>
      <w:r w:rsidR="00605001" w:rsidRPr="00605001">
        <w:t>201</w:t>
      </w:r>
      <w:r w:rsidR="00605001">
        <w:t>7</w:t>
      </w:r>
      <w:r w:rsidR="00605001" w:rsidRPr="00605001">
        <w:t xml:space="preserve"> </w:t>
      </w:r>
      <w:r w:rsidR="00812F45">
        <w:t>A</w:t>
      </w:r>
      <w:r w:rsidR="00605001" w:rsidRPr="00605001">
        <w:t>mended NOI</w:t>
      </w:r>
      <w:r w:rsidR="00605001">
        <w:t xml:space="preserve">).  </w:t>
      </w:r>
    </w:p>
    <w:p w:rsidR="00910DC4" w:rsidRPr="00910DC4" w:rsidRDefault="00EF5C84" w:rsidP="00812F45">
      <w:pPr>
        <w:pStyle w:val="standard"/>
      </w:pPr>
      <w:r>
        <w:t xml:space="preserve">The </w:t>
      </w:r>
      <w:r w:rsidR="00812F45" w:rsidRPr="00605001">
        <w:t>201</w:t>
      </w:r>
      <w:r w:rsidR="00812F45">
        <w:t>7</w:t>
      </w:r>
      <w:r w:rsidR="00812F45" w:rsidRPr="00605001">
        <w:t xml:space="preserve"> </w:t>
      </w:r>
      <w:r w:rsidR="00812F45">
        <w:t>A</w:t>
      </w:r>
      <w:r w:rsidR="00812F45" w:rsidRPr="00605001">
        <w:t>mended NOI</w:t>
      </w:r>
      <w:r w:rsidR="00812F45">
        <w:t xml:space="preserve">, as well as </w:t>
      </w:r>
      <w:r>
        <w:t xml:space="preserve"> the </w:t>
      </w:r>
      <w:r w:rsidR="00812F45">
        <w:t xml:space="preserve">2015 </w:t>
      </w:r>
      <w:r>
        <w:t>CAUSE motion for party status</w:t>
      </w:r>
      <w:r w:rsidR="00812F45">
        <w:t>,</w:t>
      </w:r>
      <w:r>
        <w:t xml:space="preserve"> included the statement that</w:t>
      </w:r>
      <w:r w:rsidR="00812F45">
        <w:t xml:space="preserve"> “if CAUSE is not granted Category 3 status for any reason, CAUSE requests that Category 1 or 2 status be granted to CAUSE </w:t>
      </w:r>
      <w:r w:rsidR="00812F45">
        <w:lastRenderedPageBreak/>
        <w:t>or its president”, Scott J. Rafferty</w:t>
      </w:r>
      <w:r>
        <w:t>.</w:t>
      </w:r>
      <w:r w:rsidR="00812F45">
        <w:rPr>
          <w:rStyle w:val="FootnoteReference"/>
        </w:rPr>
        <w:footnoteReference w:id="4"/>
      </w:r>
      <w:r>
        <w:t xml:space="preserve">  </w:t>
      </w:r>
      <w:r w:rsidRPr="00EF5C84">
        <w:t xml:space="preserve">On May 10, 2017 the assigned ALJ </w:t>
      </w:r>
      <w:r w:rsidR="00C65F18">
        <w:t xml:space="preserve">issued </w:t>
      </w:r>
      <w:r>
        <w:t>a ruling addressing</w:t>
      </w:r>
      <w:r w:rsidRPr="00EF5C84">
        <w:t xml:space="preserve"> the </w:t>
      </w:r>
      <w:r w:rsidR="00C65F18" w:rsidRPr="00605001">
        <w:t>201</w:t>
      </w:r>
      <w:r w:rsidR="00C65F18">
        <w:t>7</w:t>
      </w:r>
      <w:r w:rsidR="00C65F18" w:rsidRPr="00605001">
        <w:t xml:space="preserve"> </w:t>
      </w:r>
      <w:r w:rsidR="00C65F18">
        <w:t>A</w:t>
      </w:r>
      <w:r w:rsidR="00C65F18" w:rsidRPr="00605001">
        <w:t>mended NOI</w:t>
      </w:r>
      <w:r w:rsidR="00C65F18" w:rsidRPr="00EF5C84" w:rsidDel="00C65F18">
        <w:t xml:space="preserve"> </w:t>
      </w:r>
      <w:r w:rsidRPr="00EF5C84">
        <w:t>and found CAUSE ineligible to claim intervenor compensation, but ruled that Scott J. Rafferty is preliminarily determined to be eligible for intervenor compensation</w:t>
      </w:r>
      <w:r w:rsidR="003D3971">
        <w:t xml:space="preserve"> as a Category 1 customer</w:t>
      </w:r>
      <w:r w:rsidRPr="00EF5C84">
        <w:t xml:space="preserve"> in this proceeding.  </w:t>
      </w:r>
      <w:r>
        <w:t xml:space="preserve">Rafferty requested </w:t>
      </w:r>
      <w:r w:rsidR="003D3971">
        <w:t>the Commission’s f</w:t>
      </w:r>
      <w:r>
        <w:t xml:space="preserve">inding on financial hardship </w:t>
      </w:r>
      <w:r w:rsidR="003D3971">
        <w:t xml:space="preserve">be </w:t>
      </w:r>
      <w:r w:rsidR="00C65F18">
        <w:t>deferr</w:t>
      </w:r>
      <w:r w:rsidR="003D3971">
        <w:t>ed</w:t>
      </w:r>
      <w:r w:rsidR="00C65F18">
        <w:t xml:space="preserve"> </w:t>
      </w:r>
      <w:r>
        <w:t>to the decision on his compensation claim, so that matter is addressed below.</w:t>
      </w:r>
    </w:p>
    <w:p w:rsidR="00910DC4" w:rsidRPr="00910DC4" w:rsidRDefault="00910DC4" w:rsidP="00EF5C84">
      <w:pPr>
        <w:pStyle w:val="standard"/>
      </w:pPr>
      <w:r w:rsidRPr="00910DC4">
        <w:t xml:space="preserve">Regarding the timeliness of the request for compensation, </w:t>
      </w:r>
      <w:r w:rsidR="00EF5C84">
        <w:t>Rafferty</w:t>
      </w:r>
      <w:r w:rsidRPr="00910DC4">
        <w:t xml:space="preserve"> filed </w:t>
      </w:r>
      <w:r w:rsidR="00C43884">
        <w:t>his</w:t>
      </w:r>
      <w:r w:rsidRPr="00910DC4">
        <w:t xml:space="preserve"> request for compensation on </w:t>
      </w:r>
      <w:r w:rsidR="00C43884" w:rsidRPr="00C43884">
        <w:t>July 17, 2017</w:t>
      </w:r>
      <w:r w:rsidRPr="00910DC4">
        <w:t>, within 60 days of D.</w:t>
      </w:r>
      <w:r w:rsidR="00C43884">
        <w:t xml:space="preserve">17-05-013 being issued.  </w:t>
      </w:r>
      <w:r w:rsidRPr="00910DC4">
        <w:t xml:space="preserve">No party opposed the request.  In view of the above, we find that </w:t>
      </w:r>
      <w:r w:rsidR="00C43884">
        <w:t>Rafferty</w:t>
      </w:r>
      <w:r w:rsidRPr="00910DC4">
        <w:t xml:space="preserve"> has satisfied the procedural requirements necessary to make </w:t>
      </w:r>
      <w:r w:rsidR="00C43884">
        <w:t>his</w:t>
      </w:r>
      <w:r w:rsidRPr="00910DC4">
        <w:t xml:space="preserve"> request for compensation in this proceeding.</w:t>
      </w:r>
    </w:p>
    <w:p w:rsidR="00910DC4" w:rsidRPr="00910DC4" w:rsidRDefault="00910DC4" w:rsidP="00910DC4">
      <w:pPr>
        <w:pStyle w:val="Heading2"/>
      </w:pPr>
      <w:bookmarkStart w:id="8" w:name="_Toc509589558"/>
      <w:r w:rsidRPr="00910DC4">
        <w:t>Financial Hardship</w:t>
      </w:r>
      <w:bookmarkEnd w:id="8"/>
      <w:r w:rsidRPr="00910DC4">
        <w:t xml:space="preserve"> </w:t>
      </w:r>
    </w:p>
    <w:p w:rsidR="00910DC4" w:rsidRDefault="005119C5" w:rsidP="00910DC4">
      <w:pPr>
        <w:pStyle w:val="standard"/>
      </w:pPr>
      <w:r>
        <w:t>Section</w:t>
      </w:r>
      <w:r w:rsidR="007C0BE4" w:rsidRPr="007C0BE4">
        <w:t xml:space="preserve"> 1804(a)(2)(B) requires a </w:t>
      </w:r>
      <w:r w:rsidR="007C0BE4">
        <w:t>c</w:t>
      </w:r>
      <w:r w:rsidR="007C0BE4" w:rsidRPr="007C0BE4">
        <w:t>ustomer or eligible local government entity to include a showing of “significant financial hardship” in either its NOI or Claim</w:t>
      </w:r>
      <w:r w:rsidR="007C0BE4">
        <w:t xml:space="preserve">. </w:t>
      </w:r>
      <w:r w:rsidR="007C0BE4" w:rsidRPr="007C0BE4">
        <w:t xml:space="preserve"> </w:t>
      </w:r>
      <w:r>
        <w:t>Section</w:t>
      </w:r>
      <w:r w:rsidR="007C0BE4" w:rsidRPr="007C0BE4">
        <w:t xml:space="preserve"> 1802(h) defines two standards for significant financial hardship that depend on customer category:</w:t>
      </w:r>
      <w:r w:rsidR="004025B5">
        <w:t xml:space="preserve">  </w:t>
      </w:r>
      <w:r w:rsidR="007C0BE4" w:rsidRPr="007C0BE4">
        <w:t>the “Undue Hardship Test” and the “Comparison Test.”</w:t>
      </w:r>
      <w:r w:rsidR="007C0BE4">
        <w:t xml:space="preserve">  </w:t>
      </w:r>
      <w:r w:rsidR="007C0BE4" w:rsidRPr="007C0BE4">
        <w:t xml:space="preserve">The Undue Hardship Test applies to Category 1 </w:t>
      </w:r>
      <w:r w:rsidR="007C0BE4">
        <w:t>customers such as Rafferty</w:t>
      </w:r>
      <w:r w:rsidR="007C0BE4" w:rsidRPr="00422D31">
        <w:t>.</w:t>
      </w:r>
      <w:r>
        <w:t xml:space="preserve"> </w:t>
      </w:r>
      <w:r w:rsidR="007C0BE4" w:rsidRPr="00422D31">
        <w:t>(</w:t>
      </w:r>
      <w:r w:rsidR="007C0BE4" w:rsidRPr="005119C5">
        <w:rPr>
          <w:i/>
        </w:rPr>
        <w:t>See</w:t>
      </w:r>
      <w:r w:rsidR="007C0BE4" w:rsidRPr="00422D31">
        <w:t xml:space="preserve"> D.98-04-059).  Under this standard the customer must certify that he or she cannot afford to pay the costs of effective participation in the proceeding without undue hardship, and submit supporting financial information demonstrating the undue hardship.  In general, the customer must disclose </w:t>
      </w:r>
      <w:r w:rsidR="006E14CC">
        <w:t xml:space="preserve">to the Commission </w:t>
      </w:r>
      <w:r w:rsidR="007C0BE4" w:rsidRPr="00422D31">
        <w:t xml:space="preserve">his or her gross and net monthly income, monthly </w:t>
      </w:r>
      <w:r w:rsidR="007C0BE4" w:rsidRPr="00422D31">
        <w:lastRenderedPageBreak/>
        <w:t xml:space="preserve">expenses, cash and assets, including equity in real estate, and any other relevant financial information. </w:t>
      </w:r>
      <w:r>
        <w:t xml:space="preserve"> (</w:t>
      </w:r>
      <w:r w:rsidR="007C0BE4" w:rsidRPr="005119C5">
        <w:rPr>
          <w:i/>
        </w:rPr>
        <w:t>See</w:t>
      </w:r>
      <w:r w:rsidR="007C0BE4" w:rsidRPr="00422D31">
        <w:t xml:space="preserve"> D.98-04-059.</w:t>
      </w:r>
      <w:r w:rsidR="00A06841" w:rsidRPr="00422D31">
        <w:rPr>
          <w:rStyle w:val="FootnoteReference"/>
        </w:rPr>
        <w:footnoteReference w:id="5"/>
      </w:r>
      <w:r>
        <w:t>)</w:t>
      </w:r>
      <w:r w:rsidR="007C0BE4" w:rsidRPr="00422D31">
        <w:t xml:space="preserve">  </w:t>
      </w:r>
      <w:r w:rsidR="00870918" w:rsidRPr="00422D31">
        <w:t xml:space="preserve">The customer may </w:t>
      </w:r>
      <w:r w:rsidR="007C0BE4" w:rsidRPr="00422D31">
        <w:t xml:space="preserve">request </w:t>
      </w:r>
      <w:r w:rsidR="00870918" w:rsidRPr="00422D31">
        <w:t xml:space="preserve">that </w:t>
      </w:r>
      <w:r w:rsidR="007C0BE4" w:rsidRPr="00422D31">
        <w:t xml:space="preserve">the </w:t>
      </w:r>
      <w:r w:rsidR="00870918" w:rsidRPr="00422D31">
        <w:t xml:space="preserve">Commission </w:t>
      </w:r>
      <w:r w:rsidR="007C0BE4" w:rsidRPr="00422D31">
        <w:t xml:space="preserve">treat this information as confidential by filing a motion to file confidential information under seal. </w:t>
      </w:r>
      <w:r w:rsidR="004025B5">
        <w:t xml:space="preserve"> </w:t>
      </w:r>
      <w:r w:rsidR="007C0BE4" w:rsidRPr="00422D31">
        <w:t>(</w:t>
      </w:r>
      <w:r w:rsidR="007C0BE4" w:rsidRPr="007C70C1">
        <w:rPr>
          <w:i/>
        </w:rPr>
        <w:t>See</w:t>
      </w:r>
      <w:r w:rsidR="007C0BE4" w:rsidRPr="00422D31">
        <w:t xml:space="preserve"> Rule 11.4 and 1.13(b)(2)).</w:t>
      </w:r>
      <w:r w:rsidR="003D3971">
        <w:t xml:space="preserve">  </w:t>
      </w:r>
      <w:r w:rsidR="00870918">
        <w:t>The customer</w:t>
      </w:r>
      <w:r w:rsidR="007C0BE4" w:rsidRPr="00870918">
        <w:t xml:space="preserve"> must explain how the provided financial information demonstrates undue hardship.</w:t>
      </w:r>
      <w:r w:rsidR="00870918">
        <w:rPr>
          <w:rStyle w:val="FootnoteReference"/>
        </w:rPr>
        <w:footnoteReference w:id="6"/>
      </w:r>
      <w:r w:rsidR="006E14CC">
        <w:t xml:space="preserve">  The </w:t>
      </w:r>
      <w:r w:rsidR="00910DC4" w:rsidRPr="00C81E27">
        <w:t xml:space="preserve">finding </w:t>
      </w:r>
      <w:r w:rsidR="006E14CC">
        <w:t xml:space="preserve">on financial hardship </w:t>
      </w:r>
      <w:r w:rsidR="00910DC4" w:rsidRPr="00C81E27">
        <w:t>is normally made in the ALJ’s preliminary ruling as to whether the customer will be eligible for compensation</w:t>
      </w:r>
      <w:r w:rsidR="00C43884" w:rsidRPr="00C81E27">
        <w:t>, but the intervenor may also request that the finding be deferred to the Commission’s decision on the claim for compensation, as Rafferty has done here</w:t>
      </w:r>
      <w:r w:rsidR="00910DC4" w:rsidRPr="00C81E27">
        <w:t>.  (</w:t>
      </w:r>
      <w:r>
        <w:t>Section</w:t>
      </w:r>
      <w:r w:rsidR="00910DC4" w:rsidRPr="00C81E27">
        <w:t xml:space="preserve"> 1804(b).)</w:t>
      </w:r>
      <w:r w:rsidR="006E14CC">
        <w:t xml:space="preserve">  </w:t>
      </w:r>
      <w:r w:rsidR="00630693">
        <w:t xml:space="preserve">Rafferty included with his compensation claim a motion to file under seal his showing of financial hardship.  That motion is granted. </w:t>
      </w:r>
    </w:p>
    <w:p w:rsidR="00FC3196" w:rsidRDefault="00FC3196" w:rsidP="000A4C38">
      <w:pPr>
        <w:pStyle w:val="standard"/>
      </w:pPr>
      <w:r>
        <w:t xml:space="preserve">In his showing, </w:t>
      </w:r>
      <w:r w:rsidR="000A4C38">
        <w:t xml:space="preserve">Rafferty </w:t>
      </w:r>
      <w:r w:rsidR="00EC27C9">
        <w:t xml:space="preserve">provided a declaration stating that based on his estimate of the cost of effective participation as compared to his income, expenses and assets, he did not have the resources to pay for the costs of effective participation in this proceeding.  Rafferty supported this declaration </w:t>
      </w:r>
      <w:r w:rsidR="000A4C38">
        <w:t xml:space="preserve">by filing </w:t>
      </w:r>
      <w:r w:rsidR="00EC27C9">
        <w:t>confidential information about</w:t>
      </w:r>
      <w:r w:rsidR="000A4C38">
        <w:t xml:space="preserve"> his annual income, annual expenses, cash, and other assets.</w:t>
      </w:r>
      <w:r w:rsidR="00630693">
        <w:t xml:space="preserve">  </w:t>
      </w:r>
    </w:p>
    <w:p w:rsidR="000A4C38" w:rsidRPr="00910DC4" w:rsidRDefault="00EC27C9" w:rsidP="000A4C38">
      <w:pPr>
        <w:pStyle w:val="standard"/>
      </w:pPr>
      <w:r>
        <w:t>Based on this information</w:t>
      </w:r>
      <w:r w:rsidR="00630693">
        <w:t xml:space="preserve">, we </w:t>
      </w:r>
      <w:r w:rsidR="00FC3196">
        <w:t xml:space="preserve">find that Rafferty </w:t>
      </w:r>
      <w:r w:rsidR="00FC3196" w:rsidRPr="00FC3196">
        <w:t>has demonstrated significant financial hardship</w:t>
      </w:r>
      <w:r w:rsidR="00630693">
        <w:t xml:space="preserve">.  However, as we routinely emphasize in all intervenor compensation matters, </w:t>
      </w:r>
      <w:r w:rsidR="00FC3196" w:rsidRPr="00FC3196">
        <w:t xml:space="preserve">a finding of significant financial hardship in no </w:t>
      </w:r>
      <w:r w:rsidR="00FC3196" w:rsidRPr="00FC3196">
        <w:lastRenderedPageBreak/>
        <w:t>way ensures compensation</w:t>
      </w:r>
      <w:r w:rsidR="00630693">
        <w:t>.</w:t>
      </w:r>
      <w:r w:rsidR="0031347F">
        <w:rPr>
          <w:rStyle w:val="FootnoteReference"/>
        </w:rPr>
        <w:footnoteReference w:id="7"/>
      </w:r>
      <w:r w:rsidR="00630693">
        <w:t xml:space="preserve">  Th</w:t>
      </w:r>
      <w:r w:rsidR="00FC3196">
        <w:t>e level of compensation</w:t>
      </w:r>
      <w:r w:rsidR="00630693">
        <w:t xml:space="preserve"> depends on our findings regarding Rafferty’s claims of substantial contribution to D.17-05-013.  We take up that review in the </w:t>
      </w:r>
      <w:r w:rsidR="003C2E4A">
        <w:t xml:space="preserve">next </w:t>
      </w:r>
      <w:r w:rsidR="00630693">
        <w:t>section.</w:t>
      </w:r>
    </w:p>
    <w:p w:rsidR="00931F0F" w:rsidRPr="00931F0F" w:rsidRDefault="00931F0F" w:rsidP="00931F0F">
      <w:pPr>
        <w:pStyle w:val="Heading1"/>
      </w:pPr>
      <w:bookmarkStart w:id="9" w:name="_Toc509589559"/>
      <w:r w:rsidRPr="00931F0F">
        <w:t>Substantial Contribution</w:t>
      </w:r>
      <w:bookmarkEnd w:id="9"/>
      <w:r w:rsidRPr="00931F0F">
        <w:t xml:space="preserve"> </w:t>
      </w:r>
    </w:p>
    <w:p w:rsidR="00D54921" w:rsidRDefault="00925C00" w:rsidP="00931F0F">
      <w:pPr>
        <w:pStyle w:val="standard"/>
      </w:pPr>
      <w:r w:rsidRPr="00925C00">
        <w:t xml:space="preserve">The intervenor compensation statute defines “substantial contribution” as </w:t>
      </w:r>
      <w:r w:rsidR="00D54921">
        <w:t>follows:</w:t>
      </w:r>
      <w:r w:rsidR="003C2E4A">
        <w:rPr>
          <w:rStyle w:val="FootnoteReference"/>
        </w:rPr>
        <w:footnoteReference w:id="8"/>
      </w:r>
    </w:p>
    <w:p w:rsidR="00576543" w:rsidRDefault="00D54921" w:rsidP="009F4CF2">
      <w:pPr>
        <w:pStyle w:val="standard"/>
        <w:spacing w:after="120" w:line="240" w:lineRule="auto"/>
        <w:ind w:left="720" w:right="1440" w:firstLine="0"/>
      </w:pPr>
      <w:r w:rsidRPr="00D54921">
        <w:t xml:space="preserve">“Substantial contribution” means that, in the judgment of the commission, the customer’s presentation has substantially assisted the commission in the making of its order or decision because the order or decision has </w:t>
      </w:r>
      <w:r w:rsidRPr="00F346AD">
        <w:rPr>
          <w:b/>
          <w:u w:val="single"/>
        </w:rPr>
        <w:t>adopted in whole or in part</w:t>
      </w:r>
      <w:r w:rsidRPr="00D54921">
        <w:t xml:space="preserve"> one or more </w:t>
      </w:r>
      <w:r w:rsidRPr="00F346AD">
        <w:rPr>
          <w:b/>
          <w:u w:val="single"/>
        </w:rPr>
        <w:t>factua</w:t>
      </w:r>
      <w:r w:rsidRPr="00D54921">
        <w:t xml:space="preserve">l contentions, </w:t>
      </w:r>
      <w:r w:rsidRPr="00F346AD">
        <w:rPr>
          <w:b/>
          <w:u w:val="single"/>
        </w:rPr>
        <w:t>legal</w:t>
      </w:r>
      <w:r w:rsidRPr="00D54921">
        <w:t xml:space="preserve"> contentions, or </w:t>
      </w:r>
      <w:r w:rsidRPr="00F346AD">
        <w:rPr>
          <w:b/>
          <w:u w:val="single"/>
        </w:rPr>
        <w:t>specific</w:t>
      </w:r>
      <w:r w:rsidRPr="00D54921">
        <w:t xml:space="preserve"> policy or procedural recommendations presented by the customer. </w:t>
      </w:r>
    </w:p>
    <w:p w:rsidR="00925C00" w:rsidRDefault="00D54921" w:rsidP="009F4CF2">
      <w:pPr>
        <w:pStyle w:val="standard"/>
        <w:spacing w:after="240" w:line="240" w:lineRule="auto"/>
        <w:ind w:left="720" w:right="1440" w:firstLine="0"/>
      </w:pPr>
      <w:r w:rsidRPr="00D54921">
        <w:t>Where the customer’s participation has resulted in a substantial contribution, even if the decision adopts that customer’s contention or recommendations only in part, the commission may award the customer compensation for all reasonable advocate’s fees, reasonable expert fees, and other reasonable costs incurred by the customer in preparing or presenting that contention or recommendation.</w:t>
      </w:r>
      <w:r w:rsidR="00576543">
        <w:t xml:space="preserve">  </w:t>
      </w:r>
      <w:r w:rsidR="00925C00" w:rsidRPr="00925C00">
        <w:t xml:space="preserve">  </w:t>
      </w:r>
    </w:p>
    <w:p w:rsidR="00931F0F" w:rsidRPr="00931F0F" w:rsidRDefault="00F346AD" w:rsidP="00F346AD">
      <w:pPr>
        <w:pStyle w:val="standard"/>
      </w:pPr>
      <w:r>
        <w:t>To comply with</w:t>
      </w:r>
      <w:r w:rsidR="00931F0F" w:rsidRPr="00931F0F">
        <w:t xml:space="preserve"> </w:t>
      </w:r>
      <w:r>
        <w:t xml:space="preserve">the intervenor compensation statutes, </w:t>
      </w:r>
      <w:r w:rsidR="00931F0F" w:rsidRPr="00931F0F">
        <w:t>we look at several things</w:t>
      </w:r>
      <w:r w:rsidRPr="00F346AD">
        <w:t xml:space="preserve"> </w:t>
      </w:r>
      <w:r>
        <w:t>when</w:t>
      </w:r>
      <w:r w:rsidRPr="00931F0F">
        <w:t xml:space="preserve"> evaluating whether a customer made a substantial contribution to a proceeding</w:t>
      </w:r>
      <w:r w:rsidR="00931F0F" w:rsidRPr="00931F0F">
        <w:t xml:space="preserve">.  First, </w:t>
      </w:r>
      <w:r w:rsidR="00BE369B">
        <w:t xml:space="preserve">as directed by </w:t>
      </w:r>
      <w:r w:rsidR="00BE369B" w:rsidRPr="00925C00">
        <w:t>§ 1802(</w:t>
      </w:r>
      <w:r w:rsidR="00BE369B">
        <w:t>j</w:t>
      </w:r>
      <w:r w:rsidR="00BE369B" w:rsidRPr="00925C00">
        <w:t>)</w:t>
      </w:r>
      <w:r w:rsidR="00BE369B">
        <w:t xml:space="preserve"> </w:t>
      </w:r>
      <w:r w:rsidR="00931F0F" w:rsidRPr="00931F0F">
        <w:t xml:space="preserve">we look at whether the Commission </w:t>
      </w:r>
      <w:r w:rsidR="00931F0F" w:rsidRPr="00576543">
        <w:rPr>
          <w:u w:val="single"/>
        </w:rPr>
        <w:t>adopted</w:t>
      </w:r>
      <w:r w:rsidR="00931F0F" w:rsidRPr="00931F0F">
        <w:t xml:space="preserve"> one or more of the factual or legal contentions, or </w:t>
      </w:r>
      <w:r w:rsidR="00931F0F" w:rsidRPr="00A32020">
        <w:rPr>
          <w:u w:val="single"/>
        </w:rPr>
        <w:t>specific</w:t>
      </w:r>
      <w:r w:rsidR="00931F0F" w:rsidRPr="00931F0F">
        <w:t xml:space="preserve"> policy or procedural recommendations put forward by the customer. </w:t>
      </w:r>
      <w:r>
        <w:t xml:space="preserve"> </w:t>
      </w:r>
      <w:r w:rsidR="00931F0F" w:rsidRPr="00931F0F">
        <w:t xml:space="preserve">Second, if the customer’s contentions or recommendations paralleled those of another party, </w:t>
      </w:r>
      <w:r w:rsidR="00931F0F" w:rsidRPr="00931F0F">
        <w:lastRenderedPageBreak/>
        <w:t>we look at whether the customer’s participation unnecessarily duplicated or materially supplemented, complemented, or contributed to the presentation of the other party.</w:t>
      </w:r>
      <w:r w:rsidR="007752CB">
        <w:rPr>
          <w:rStyle w:val="FootnoteReference"/>
        </w:rPr>
        <w:footnoteReference w:id="9"/>
      </w:r>
      <w:r w:rsidR="00931F0F" w:rsidRPr="00931F0F">
        <w:t xml:space="preserve">  </w:t>
      </w:r>
    </w:p>
    <w:p w:rsidR="00931F0F" w:rsidRDefault="00A531EA" w:rsidP="00A531EA">
      <w:pPr>
        <w:pStyle w:val="standard"/>
      </w:pPr>
      <w:r>
        <w:t>The Commission described how it a</w:t>
      </w:r>
      <w:r w:rsidR="00931F0F" w:rsidRPr="00931F0F">
        <w:t>ssess</w:t>
      </w:r>
      <w:r>
        <w:t xml:space="preserve">es </w:t>
      </w:r>
      <w:r w:rsidR="00F346AD">
        <w:t>whether the customer meets these</w:t>
      </w:r>
      <w:r w:rsidR="00931F0F" w:rsidRPr="00931F0F">
        <w:t xml:space="preserve"> standard</w:t>
      </w:r>
      <w:r w:rsidR="00F346AD">
        <w:t>s</w:t>
      </w:r>
      <w:r>
        <w:t xml:space="preserve"> in </w:t>
      </w:r>
      <w:r>
        <w:rPr>
          <w:szCs w:val="24"/>
        </w:rPr>
        <w:t>D.98-04-059</w:t>
      </w:r>
      <w:r w:rsidR="00931F0F" w:rsidRPr="00931F0F">
        <w:t xml:space="preserve">, </w:t>
      </w:r>
      <w:r>
        <w:t>its decision in its Rulemaking and Investigation of the Commission's Intervenor Compensation Program.</w:t>
      </w:r>
      <w:r w:rsidR="00F346AD">
        <w:rPr>
          <w:rStyle w:val="FootnoteReference"/>
        </w:rPr>
        <w:footnoteReference w:id="10"/>
      </w:r>
      <w:r>
        <w:t xml:space="preserve">  T</w:t>
      </w:r>
      <w:r w:rsidR="00931F0F" w:rsidRPr="00931F0F">
        <w:t xml:space="preserve">he Commission typically reviews the record, composed in part of pleadings of the customer and, in litigated matters, the hearing transcripts, and compares it to the findings, conclusions, and orders in the decision to which the customer asserts </w:t>
      </w:r>
      <w:r>
        <w:t xml:space="preserve">he or she </w:t>
      </w:r>
      <w:r w:rsidR="00931F0F" w:rsidRPr="00931F0F">
        <w:t>contributed.</w:t>
      </w:r>
      <w:r w:rsidRPr="00931F0F">
        <w:rPr>
          <w:vertAlign w:val="superscript"/>
        </w:rPr>
        <w:footnoteReference w:id="11"/>
      </w:r>
      <w:r w:rsidR="00931F0F" w:rsidRPr="00931F0F">
        <w:t xml:space="preserve">  </w:t>
      </w:r>
      <w:r w:rsidRPr="00931F0F">
        <w:t>As described in § 1802(</w:t>
      </w:r>
      <w:r>
        <w:t>j</w:t>
      </w:r>
      <w:r w:rsidRPr="00931F0F">
        <w:t>)</w:t>
      </w:r>
      <w:r>
        <w:t>, i</w:t>
      </w:r>
      <w:r w:rsidR="00931F0F" w:rsidRPr="00931F0F">
        <w:t>t is then a matter of judgment as to whether the customer’s presentation substantially assisted the Commission.</w:t>
      </w:r>
    </w:p>
    <w:p w:rsidR="00A531EA" w:rsidRDefault="00A531EA" w:rsidP="00A531EA">
      <w:pPr>
        <w:pStyle w:val="standard"/>
      </w:pPr>
      <w:r>
        <w:t xml:space="preserve">Finally, </w:t>
      </w:r>
      <w:r w:rsidR="00AF5EAB">
        <w:t xml:space="preserve">the Commission explains in </w:t>
      </w:r>
      <w:r w:rsidR="00AF5EAB" w:rsidRPr="00AF5EAB">
        <w:t>D.98-04-059</w:t>
      </w:r>
      <w:r w:rsidR="00AF5EAB">
        <w:t xml:space="preserve"> how the intervenor compensation</w:t>
      </w:r>
      <w:r w:rsidR="00F346AD">
        <w:t xml:space="preserve"> program</w:t>
      </w:r>
      <w:r w:rsidR="00AF5EAB">
        <w:t>, as structured, meets the intent of the Legislature:</w:t>
      </w:r>
      <w:r w:rsidR="00AF5EAB">
        <w:rPr>
          <w:rStyle w:val="FootnoteReference"/>
        </w:rPr>
        <w:footnoteReference w:id="12"/>
      </w:r>
    </w:p>
    <w:p w:rsidR="00AF5EAB" w:rsidRDefault="00A531EA" w:rsidP="009F4CF2">
      <w:pPr>
        <w:pStyle w:val="standard"/>
        <w:spacing w:after="120" w:line="240" w:lineRule="auto"/>
        <w:ind w:left="720" w:right="1440" w:firstLine="0"/>
      </w:pPr>
      <w:r w:rsidRPr="00A531EA">
        <w:t>When it codified the intervenor compensation program, the Legislature struck a balance between competing</w:t>
      </w:r>
      <w:r>
        <w:t xml:space="preserve"> </w:t>
      </w:r>
      <w:r w:rsidRPr="00A531EA">
        <w:t>goals:</w:t>
      </w:r>
      <w:r w:rsidR="00AF5EAB">
        <w:t xml:space="preserve"> </w:t>
      </w:r>
      <w:r w:rsidRPr="00A531EA">
        <w:t xml:space="preserve"> to encourage the effective and efficient participation of all groups that have a stake in the public utility regulation process while avoiding unproductive or unnecessary participation that duplicates the participation of</w:t>
      </w:r>
      <w:r>
        <w:t xml:space="preserve"> </w:t>
      </w:r>
      <w:r w:rsidRPr="00A531EA">
        <w:t>others.</w:t>
      </w:r>
      <w:r w:rsidR="00AF5EAB">
        <w:t xml:space="preserve"> </w:t>
      </w:r>
      <w:r w:rsidRPr="00A531EA">
        <w:t xml:space="preserve"> </w:t>
      </w:r>
    </w:p>
    <w:p w:rsidR="00A531EA" w:rsidRPr="00931F0F" w:rsidRDefault="00A531EA" w:rsidP="009F4CF2">
      <w:pPr>
        <w:pStyle w:val="standard"/>
        <w:spacing w:after="240" w:line="240" w:lineRule="auto"/>
        <w:ind w:left="720" w:right="1440" w:firstLine="0"/>
      </w:pPr>
      <w:r w:rsidRPr="00A531EA">
        <w:t>Three tools affect this balance: eligibility, based on financial hardship, and substantial contribution, which,</w:t>
      </w:r>
      <w:r w:rsidR="00AF5EAB">
        <w:t xml:space="preserve"> </w:t>
      </w:r>
      <w:r w:rsidRPr="00A531EA">
        <w:t xml:space="preserve">when applied together, ensure that compensated intervention </w:t>
      </w:r>
      <w:r w:rsidRPr="00F346AD">
        <w:rPr>
          <w:b/>
          <w:u w:val="single"/>
        </w:rPr>
        <w:t>provides value to the ratepayers who fund it</w:t>
      </w:r>
      <w:r w:rsidRPr="00A531EA">
        <w:t>.</w:t>
      </w:r>
    </w:p>
    <w:p w:rsidR="006533A1" w:rsidRDefault="00931F0F" w:rsidP="00931F0F">
      <w:pPr>
        <w:pStyle w:val="standard"/>
      </w:pPr>
      <w:r w:rsidRPr="00931F0F">
        <w:lastRenderedPageBreak/>
        <w:t xml:space="preserve">With this guidance in mind, we turn to </w:t>
      </w:r>
      <w:r w:rsidR="00A32020">
        <w:t xml:space="preserve">Rafferty’s claimed </w:t>
      </w:r>
      <w:r w:rsidRPr="00931F0F">
        <w:t>contributions</w:t>
      </w:r>
      <w:r w:rsidR="002B2B71">
        <w:t xml:space="preserve"> </w:t>
      </w:r>
      <w:r w:rsidRPr="00931F0F">
        <w:t xml:space="preserve">to </w:t>
      </w:r>
      <w:r w:rsidR="00A32020">
        <w:t>D.17-05-013</w:t>
      </w:r>
      <w:r w:rsidRPr="00931F0F">
        <w:t>.</w:t>
      </w:r>
    </w:p>
    <w:p w:rsidR="003A067A" w:rsidRDefault="003A067A" w:rsidP="00931F0F">
      <w:pPr>
        <w:pStyle w:val="standard"/>
      </w:pPr>
      <w:r>
        <w:t>Rafferty asserts substantial contribution on ten matters</w:t>
      </w:r>
      <w:r w:rsidR="00AC3B8E">
        <w:t xml:space="preserve"> related to </w:t>
      </w:r>
      <w:r w:rsidR="009F4CF2">
        <w:br/>
      </w:r>
      <w:r w:rsidR="00AC3B8E">
        <w:t>D.17-05-013</w:t>
      </w:r>
      <w:r>
        <w:t>:</w:t>
      </w:r>
      <w:r w:rsidR="003E2E17">
        <w:rPr>
          <w:rStyle w:val="FootnoteReference"/>
        </w:rPr>
        <w:footnoteReference w:id="13"/>
      </w:r>
    </w:p>
    <w:p w:rsidR="00AC3B8E" w:rsidRDefault="00AC3B8E" w:rsidP="007C70C1">
      <w:pPr>
        <w:pStyle w:val="standard"/>
        <w:numPr>
          <w:ilvl w:val="0"/>
          <w:numId w:val="10"/>
        </w:numPr>
        <w:spacing w:line="240" w:lineRule="auto"/>
        <w:ind w:left="1296" w:right="1440" w:hanging="576"/>
      </w:pPr>
      <w:r>
        <w:t>Safety</w:t>
      </w:r>
      <w:r w:rsidR="009F4CF2">
        <w:t>;</w:t>
      </w:r>
    </w:p>
    <w:p w:rsidR="00AC3B8E" w:rsidRDefault="00AC3B8E" w:rsidP="007C70C1">
      <w:pPr>
        <w:pStyle w:val="standard"/>
        <w:numPr>
          <w:ilvl w:val="0"/>
          <w:numId w:val="10"/>
        </w:numPr>
        <w:spacing w:line="240" w:lineRule="auto"/>
        <w:ind w:left="1296" w:right="1440" w:hanging="576"/>
      </w:pPr>
      <w:r>
        <w:t>Settlement</w:t>
      </w:r>
      <w:r w:rsidR="009F4CF2">
        <w:t>;</w:t>
      </w:r>
    </w:p>
    <w:p w:rsidR="00AC3B8E" w:rsidRDefault="00AC3B8E" w:rsidP="007C70C1">
      <w:pPr>
        <w:pStyle w:val="standard"/>
        <w:numPr>
          <w:ilvl w:val="0"/>
          <w:numId w:val="10"/>
        </w:numPr>
        <w:spacing w:line="240" w:lineRule="auto"/>
        <w:ind w:left="1296" w:right="1440" w:hanging="576"/>
      </w:pPr>
      <w:r>
        <w:t>Compensation Metrics</w:t>
      </w:r>
      <w:r w:rsidR="009F4CF2">
        <w:t>;</w:t>
      </w:r>
    </w:p>
    <w:p w:rsidR="00AC3B8E" w:rsidRDefault="00AC3B8E" w:rsidP="007C70C1">
      <w:pPr>
        <w:pStyle w:val="standard"/>
        <w:numPr>
          <w:ilvl w:val="0"/>
          <w:numId w:val="10"/>
        </w:numPr>
        <w:spacing w:line="240" w:lineRule="auto"/>
        <w:ind w:left="1296" w:right="1440" w:hanging="576"/>
      </w:pPr>
      <w:r>
        <w:t>Rate Case Cycle</w:t>
      </w:r>
      <w:r w:rsidR="009F4CF2">
        <w:t>;</w:t>
      </w:r>
    </w:p>
    <w:p w:rsidR="00AC3B8E" w:rsidRDefault="00AC3B8E" w:rsidP="007C70C1">
      <w:pPr>
        <w:pStyle w:val="standard"/>
        <w:numPr>
          <w:ilvl w:val="0"/>
          <w:numId w:val="10"/>
        </w:numPr>
        <w:spacing w:line="240" w:lineRule="auto"/>
        <w:ind w:left="1296" w:right="1440" w:hanging="576"/>
      </w:pPr>
      <w:r>
        <w:t>Gas Leak Maintenance</w:t>
      </w:r>
      <w:r w:rsidR="009F4CF2">
        <w:t>;</w:t>
      </w:r>
    </w:p>
    <w:p w:rsidR="00AC3B8E" w:rsidRDefault="00AC3B8E" w:rsidP="007C70C1">
      <w:pPr>
        <w:pStyle w:val="standard"/>
        <w:numPr>
          <w:ilvl w:val="0"/>
          <w:numId w:val="10"/>
        </w:numPr>
        <w:spacing w:line="240" w:lineRule="auto"/>
        <w:ind w:left="1296" w:right="1440" w:hanging="576"/>
      </w:pPr>
      <w:r>
        <w:t>Monitor Costs</w:t>
      </w:r>
      <w:r w:rsidR="009F4CF2">
        <w:t>;</w:t>
      </w:r>
    </w:p>
    <w:p w:rsidR="00AC3B8E" w:rsidRPr="00AC3B8E" w:rsidRDefault="00AC3B8E" w:rsidP="007C70C1">
      <w:pPr>
        <w:pStyle w:val="ListParagraph"/>
        <w:numPr>
          <w:ilvl w:val="0"/>
          <w:numId w:val="10"/>
        </w:numPr>
        <w:ind w:left="1296" w:right="1440" w:hanging="576"/>
        <w:contextualSpacing w:val="0"/>
      </w:pPr>
      <w:r w:rsidRPr="00AC3B8E">
        <w:t>Possible Remedy If Post- Settlement Cost Reductions Were Not Reflected In Application</w:t>
      </w:r>
      <w:r w:rsidR="009F4CF2">
        <w:t>;</w:t>
      </w:r>
    </w:p>
    <w:p w:rsidR="00AC3B8E" w:rsidRPr="00AC3B8E" w:rsidRDefault="00AC3B8E" w:rsidP="007C70C1">
      <w:pPr>
        <w:pStyle w:val="ListParagraph"/>
        <w:numPr>
          <w:ilvl w:val="0"/>
          <w:numId w:val="10"/>
        </w:numPr>
        <w:ind w:left="1296" w:right="1440" w:hanging="576"/>
        <w:contextualSpacing w:val="0"/>
      </w:pPr>
      <w:r w:rsidRPr="00AC3B8E">
        <w:t>Standard for Evaluating Settlements</w:t>
      </w:r>
      <w:r w:rsidR="009F4CF2">
        <w:t>;</w:t>
      </w:r>
    </w:p>
    <w:p w:rsidR="00AC3B8E" w:rsidRPr="00AC3B8E" w:rsidRDefault="00AC3B8E" w:rsidP="007C70C1">
      <w:pPr>
        <w:pStyle w:val="ListParagraph"/>
        <w:numPr>
          <w:ilvl w:val="0"/>
          <w:numId w:val="10"/>
        </w:numPr>
        <w:ind w:left="1296" w:right="1440" w:hanging="576"/>
        <w:contextualSpacing w:val="0"/>
      </w:pPr>
      <w:r w:rsidRPr="00AC3B8E">
        <w:t>Catalyst for Acceptance of Modifications</w:t>
      </w:r>
      <w:r w:rsidR="009F4CF2">
        <w:t>; and</w:t>
      </w:r>
    </w:p>
    <w:p w:rsidR="00AC3B8E" w:rsidRPr="00AC3B8E" w:rsidRDefault="00AC3B8E" w:rsidP="007C70C1">
      <w:pPr>
        <w:pStyle w:val="ListParagraph"/>
        <w:numPr>
          <w:ilvl w:val="0"/>
          <w:numId w:val="10"/>
        </w:numPr>
        <w:spacing w:after="240"/>
        <w:ind w:left="1296" w:right="1440" w:hanging="756"/>
        <w:contextualSpacing w:val="0"/>
      </w:pPr>
      <w:r w:rsidRPr="00AC3B8E">
        <w:t>Undergrounding</w:t>
      </w:r>
    </w:p>
    <w:p w:rsidR="00AC3B8E" w:rsidRDefault="00AC3B8E" w:rsidP="00AC3B8E">
      <w:pPr>
        <w:pStyle w:val="standard"/>
        <w:ind w:firstLine="0"/>
      </w:pPr>
      <w:r>
        <w:t>As discussed in detail below, with the exception of (4) Rate Case Cycle</w:t>
      </w:r>
      <w:r w:rsidR="006905F0">
        <w:t xml:space="preserve">, </w:t>
      </w:r>
      <w:r>
        <w:t xml:space="preserve">(5) Gas Leak Maintenance, </w:t>
      </w:r>
      <w:r w:rsidR="006905F0">
        <w:t xml:space="preserve">and (7) </w:t>
      </w:r>
      <w:r w:rsidR="006905F0" w:rsidRPr="00AC3B8E">
        <w:t>Post-Settlement Cost Reductions</w:t>
      </w:r>
      <w:r w:rsidR="006905F0">
        <w:t>,</w:t>
      </w:r>
      <w:r w:rsidR="006905F0" w:rsidRPr="00AC3B8E">
        <w:t xml:space="preserve"> </w:t>
      </w:r>
      <w:r>
        <w:t xml:space="preserve">this decision finds that Rafferty made no substantial contribution to D.17-05-013, as that term is defined by </w:t>
      </w:r>
      <w:r w:rsidRPr="00AC3B8E">
        <w:t xml:space="preserve">§ 1802(j).  </w:t>
      </w:r>
    </w:p>
    <w:p w:rsidR="006533A1" w:rsidRDefault="006533A1" w:rsidP="006533A1">
      <w:pPr>
        <w:pStyle w:val="Heading2"/>
      </w:pPr>
      <w:bookmarkStart w:id="10" w:name="_Toc509589560"/>
      <w:r w:rsidRPr="00A64C2E">
        <w:t>Safety</w:t>
      </w:r>
      <w:bookmarkEnd w:id="10"/>
    </w:p>
    <w:p w:rsidR="008335E7" w:rsidRDefault="008335E7" w:rsidP="008335E7">
      <w:pPr>
        <w:pStyle w:val="standard"/>
      </w:pPr>
      <w:r>
        <w:t>T</w:t>
      </w:r>
      <w:r w:rsidRPr="008335E7">
        <w:t>he scop</w:t>
      </w:r>
      <w:r>
        <w:t xml:space="preserve">ing memo for </w:t>
      </w:r>
      <w:r w:rsidRPr="008335E7">
        <w:t xml:space="preserve">this proceeding </w:t>
      </w:r>
      <w:r>
        <w:t>stated that the Commission would address</w:t>
      </w:r>
      <w:r w:rsidRPr="008335E7">
        <w:t xml:space="preserve"> the question of whether PG&amp;E’s proposed risk management, safety culture, governance and policies, and investments will result in the safe and reliable operation of its facilities and services.  </w:t>
      </w:r>
      <w:r>
        <w:t xml:space="preserve">The scope also included </w:t>
      </w:r>
      <w:r w:rsidRPr="008335E7">
        <w:t>document</w:t>
      </w:r>
      <w:r>
        <w:t>ation</w:t>
      </w:r>
      <w:r w:rsidRPr="008335E7">
        <w:t xml:space="preserve"> and review </w:t>
      </w:r>
      <w:r>
        <w:t xml:space="preserve">of </w:t>
      </w:r>
      <w:r w:rsidRPr="008335E7">
        <w:t xml:space="preserve">how PG&amp;E finances safety efforts, particularly </w:t>
      </w:r>
      <w:r w:rsidRPr="008335E7">
        <w:lastRenderedPageBreak/>
        <w:t>how the Commission evaluates compensation of PG&amp;E’s executive leadersh</w:t>
      </w:r>
      <w:r>
        <w:t>ip around questions of safety</w:t>
      </w:r>
      <w:r w:rsidRPr="008335E7">
        <w:t>.</w:t>
      </w:r>
    </w:p>
    <w:p w:rsidR="00AC3B8E" w:rsidRPr="008335E7" w:rsidRDefault="00AC3B8E" w:rsidP="008335E7">
      <w:pPr>
        <w:pStyle w:val="standard"/>
      </w:pPr>
      <w:r w:rsidRPr="004950AE">
        <w:t xml:space="preserve">In his </w:t>
      </w:r>
      <w:r w:rsidR="004950AE" w:rsidRPr="004950AE">
        <w:t xml:space="preserve">November 30, 2015 </w:t>
      </w:r>
      <w:r w:rsidRPr="004950AE">
        <w:t xml:space="preserve">Motion for Party Status </w:t>
      </w:r>
      <w:r w:rsidRPr="003B13B8">
        <w:t>and his NOI</w:t>
      </w:r>
      <w:r w:rsidR="00456FDB" w:rsidRPr="003B13B8">
        <w:t xml:space="preserve"> (filed as CAUSE)</w:t>
      </w:r>
      <w:r w:rsidRPr="003B13B8">
        <w:t xml:space="preserve">, Rafferty states </w:t>
      </w:r>
      <w:r w:rsidR="004950AE" w:rsidRPr="003B13B8">
        <w:t xml:space="preserve">“CAUSE is being created </w:t>
      </w:r>
      <w:r w:rsidR="00456FDB" w:rsidRPr="003B13B8">
        <w:t>in response</w:t>
      </w:r>
      <w:r w:rsidR="004950AE">
        <w:t xml:space="preserve"> to President Picker’s suggestion that the Commission may expand the role of safety intervenors in relevant proceedings, as part of a larger process </w:t>
      </w:r>
      <w:r w:rsidR="00456FDB">
        <w:t>to ensure</w:t>
      </w:r>
      <w:r w:rsidR="004950AE">
        <w:t xml:space="preserve"> that regulated utilities have the strongest safety systems, driving toward zero safety </w:t>
      </w:r>
      <w:r w:rsidR="00456FDB">
        <w:t>incidents to</w:t>
      </w:r>
      <w:r w:rsidR="004950AE">
        <w:t xml:space="preserve"> the exten</w:t>
      </w:r>
      <w:r w:rsidR="00456FDB">
        <w:t>t</w:t>
      </w:r>
      <w:r w:rsidR="004950AE">
        <w:t xml:space="preserve"> consistent with just and reasonable </w:t>
      </w:r>
      <w:r w:rsidR="00456FDB">
        <w:t>rates</w:t>
      </w:r>
      <w:r w:rsidR="006905F0">
        <w:t>.</w:t>
      </w:r>
      <w:r w:rsidR="00456FDB">
        <w:t>”</w:t>
      </w:r>
      <w:r w:rsidR="00F86191">
        <w:t xml:space="preserve">  Because Rafferty self-identifies as a safety-focused intervenor, it is important evaluate </w:t>
      </w:r>
      <w:r w:rsidR="007C5ACF">
        <w:t xml:space="preserve">his </w:t>
      </w:r>
      <w:r w:rsidR="00F86191">
        <w:t xml:space="preserve">claims of substantial contribution </w:t>
      </w:r>
      <w:r w:rsidR="007C5ACF">
        <w:t xml:space="preserve">with </w:t>
      </w:r>
      <w:r w:rsidR="00F86191">
        <w:t>reference to the safety issues identified in the scoping memo.</w:t>
      </w:r>
    </w:p>
    <w:p w:rsidR="006533A1" w:rsidRDefault="006533A1" w:rsidP="009F4CF2">
      <w:pPr>
        <w:pStyle w:val="Heading3"/>
        <w:tabs>
          <w:tab w:val="clear" w:pos="1620"/>
        </w:tabs>
        <w:ind w:left="2430" w:hanging="990"/>
      </w:pPr>
      <w:bookmarkStart w:id="11" w:name="_Toc509589561"/>
      <w:r>
        <w:t>Intervenor’s Claimed Contribution</w:t>
      </w:r>
      <w:bookmarkEnd w:id="11"/>
    </w:p>
    <w:p w:rsidR="006533A1" w:rsidRDefault="006533A1" w:rsidP="006533A1">
      <w:pPr>
        <w:pStyle w:val="standard"/>
      </w:pPr>
      <w:r>
        <w:t>Rafferty</w:t>
      </w:r>
      <w:r w:rsidRPr="00A64C2E">
        <w:t xml:space="preserve"> </w:t>
      </w:r>
      <w:r>
        <w:t>asserts that he</w:t>
      </w:r>
      <w:r w:rsidRPr="00A64C2E">
        <w:t xml:space="preserve"> provided extensive testimony and advocacy in support of the use of international standards and broader involvement of line employees in achieving continuous improvement in safety conditions, </w:t>
      </w:r>
      <w:r w:rsidRPr="00B43660">
        <w:rPr>
          <w:u w:val="single"/>
        </w:rPr>
        <w:t>which the settlement included</w:t>
      </w:r>
      <w:r w:rsidRPr="00A64C2E">
        <w:t>.</w:t>
      </w:r>
      <w:r>
        <w:rPr>
          <w:rStyle w:val="FootnoteReference"/>
        </w:rPr>
        <w:footnoteReference w:id="14"/>
      </w:r>
    </w:p>
    <w:p w:rsidR="006533A1" w:rsidRDefault="006533A1" w:rsidP="009F4CF2">
      <w:pPr>
        <w:pStyle w:val="Heading3"/>
        <w:tabs>
          <w:tab w:val="clear" w:pos="1620"/>
          <w:tab w:val="left" w:pos="2340"/>
        </w:tabs>
        <w:ind w:left="2340"/>
      </w:pPr>
      <w:bookmarkStart w:id="12" w:name="_Toc509589562"/>
      <w:r>
        <w:t>Specific References to Intervenor’s Claimed Contribution</w:t>
      </w:r>
      <w:bookmarkEnd w:id="12"/>
    </w:p>
    <w:p w:rsidR="006533A1" w:rsidRPr="001615CB" w:rsidRDefault="006533A1" w:rsidP="006533A1">
      <w:pPr>
        <w:pStyle w:val="standard"/>
      </w:pPr>
      <w:r>
        <w:t>Rafferty provides the following references to support his claims of substantial contribution to D.17-05-013 on safety matters.</w:t>
      </w:r>
    </w:p>
    <w:p w:rsidR="006533A1" w:rsidRDefault="006533A1" w:rsidP="00E8478A">
      <w:pPr>
        <w:pStyle w:val="standard"/>
        <w:numPr>
          <w:ilvl w:val="0"/>
          <w:numId w:val="9"/>
        </w:numPr>
        <w:spacing w:after="120" w:line="240" w:lineRule="auto"/>
        <w:ind w:right="1440"/>
      </w:pPr>
      <w:r>
        <w:t xml:space="preserve">D.17-05-013 at 41 (summarizing Settling Parties’ litigation positions): </w:t>
      </w:r>
      <w:r w:rsidR="009F4CF2">
        <w:t xml:space="preserve"> </w:t>
      </w:r>
      <w:r>
        <w:t>CAUSE provided recommendations concerning the implementation of international standards and broader involvement of field employees in assessing safety conditions.</w:t>
      </w:r>
    </w:p>
    <w:p w:rsidR="00D91040" w:rsidRDefault="00D91040" w:rsidP="00E8478A">
      <w:pPr>
        <w:pStyle w:val="standard"/>
        <w:numPr>
          <w:ilvl w:val="0"/>
          <w:numId w:val="9"/>
        </w:numPr>
        <w:spacing w:after="120" w:line="240" w:lineRule="auto"/>
      </w:pPr>
      <w:r w:rsidRPr="00D91040">
        <w:lastRenderedPageBreak/>
        <w:t xml:space="preserve">Integrated Planning Process (Section 3.2.8.8) </w:t>
      </w:r>
    </w:p>
    <w:p w:rsidR="006533A1" w:rsidRDefault="006533A1" w:rsidP="00E8478A">
      <w:pPr>
        <w:pStyle w:val="standard"/>
        <w:numPr>
          <w:ilvl w:val="1"/>
          <w:numId w:val="9"/>
        </w:numPr>
        <w:spacing w:after="120" w:line="240" w:lineRule="auto"/>
        <w:ind w:left="1440" w:right="1440"/>
      </w:pPr>
      <w:r w:rsidRPr="001615CB">
        <w:t xml:space="preserve">D.17-05-013 at </w:t>
      </w:r>
      <w:r>
        <w:t>193</w:t>
      </w:r>
      <w:r w:rsidR="001048B2">
        <w:t xml:space="preserve"> (summarizing CAUSE testimony and quoting from the Settlement Motion)</w:t>
      </w:r>
      <w:r>
        <w:t xml:space="preserve">:   </w:t>
      </w:r>
    </w:p>
    <w:p w:rsidR="006533A1" w:rsidRDefault="006533A1" w:rsidP="009F4CF2">
      <w:pPr>
        <w:pStyle w:val="standard"/>
        <w:spacing w:after="120" w:line="240" w:lineRule="auto"/>
        <w:ind w:left="1440" w:right="1440" w:firstLine="0"/>
      </w:pPr>
      <w:r>
        <w:t>CAUSE submitted testimony regarding safety and identification and mitigation of hazards, recommending that PG&amp;E engage in an ongoing examination of its safety practices to achieve continuous improvement.</w:t>
      </w:r>
    </w:p>
    <w:p w:rsidR="006533A1" w:rsidRDefault="006533A1" w:rsidP="009F4CF2">
      <w:pPr>
        <w:pStyle w:val="standard"/>
        <w:spacing w:after="120" w:line="240" w:lineRule="auto"/>
        <w:ind w:left="1440" w:right="1440" w:firstLine="0"/>
      </w:pPr>
      <w:r>
        <w:t>Section 3.2.8.8 of the Settlement Agreement requires PG&amp;E to attempt to improve its ability to identify specific actions or specific locations that require remediation on an urgent basis, and to attempt to develop measurements to evaluate and compare the cost- effectiveness of specific initiatives to mitigate risk.</w:t>
      </w:r>
    </w:p>
    <w:p w:rsidR="00346F5D" w:rsidRDefault="00346F5D" w:rsidP="00E8478A">
      <w:pPr>
        <w:pStyle w:val="standard"/>
        <w:numPr>
          <w:ilvl w:val="0"/>
          <w:numId w:val="9"/>
        </w:numPr>
        <w:spacing w:after="120" w:line="240" w:lineRule="auto"/>
      </w:pPr>
      <w:r w:rsidRPr="00346F5D">
        <w:t>Disclosure of Safety Metrics (Section 3.2.8.9</w:t>
      </w:r>
    </w:p>
    <w:p w:rsidR="006533A1" w:rsidRDefault="006533A1" w:rsidP="009F4CF2">
      <w:pPr>
        <w:pStyle w:val="standard"/>
        <w:spacing w:after="120" w:line="240" w:lineRule="auto"/>
        <w:ind w:left="1440" w:right="1440" w:firstLine="0"/>
      </w:pPr>
      <w:r>
        <w:t xml:space="preserve">PG&amp;E presented testimony regarding its measurement and benchmarking of performance in relation to various safety metrics. During the settlement process, CAUSE and other Settling Parties agreed that PG&amp;E should disclose its performance under various safety metrics.  Specifically, Section 3.2.8.9 requires that PG&amp;E shall provide to Settling Parties on request monthly data, if available, for each LOB </w:t>
      </w:r>
      <w:r w:rsidR="006905F0">
        <w:t xml:space="preserve">[Line of Business] </w:t>
      </w:r>
      <w:r>
        <w:t>showing the following safety metrics:…</w:t>
      </w:r>
    </w:p>
    <w:p w:rsidR="00346F5D" w:rsidRDefault="00346F5D" w:rsidP="00E8478A">
      <w:pPr>
        <w:pStyle w:val="standard"/>
        <w:numPr>
          <w:ilvl w:val="0"/>
          <w:numId w:val="9"/>
        </w:numPr>
        <w:spacing w:after="120" w:line="240" w:lineRule="auto"/>
      </w:pPr>
      <w:r w:rsidRPr="00346F5D">
        <w:t xml:space="preserve">Safety Standards and Benchmarking (Section 3.2.8.10) </w:t>
      </w:r>
    </w:p>
    <w:p w:rsidR="006533A1" w:rsidRDefault="006533A1" w:rsidP="00E8478A">
      <w:pPr>
        <w:pStyle w:val="standard"/>
        <w:numPr>
          <w:ilvl w:val="1"/>
          <w:numId w:val="9"/>
        </w:numPr>
        <w:spacing w:after="120" w:line="240" w:lineRule="auto"/>
        <w:ind w:left="1440"/>
      </w:pPr>
      <w:r w:rsidRPr="001615CB">
        <w:t xml:space="preserve">D.17-05-013 at </w:t>
      </w:r>
      <w:r>
        <w:t>194</w:t>
      </w:r>
      <w:r w:rsidR="001048B2">
        <w:t xml:space="preserve"> (summarizing CAUSE’s testimony)</w:t>
      </w:r>
      <w:r>
        <w:t xml:space="preserve">: </w:t>
      </w:r>
    </w:p>
    <w:p w:rsidR="006533A1" w:rsidRDefault="006533A1" w:rsidP="009F4CF2">
      <w:pPr>
        <w:pStyle w:val="standard"/>
        <w:spacing w:after="120" w:line="240" w:lineRule="auto"/>
        <w:ind w:left="1440" w:right="1350" w:firstLine="0"/>
      </w:pPr>
      <w:r>
        <w:t>CAUSE presented testimony proposing that the Commission rely on international standards to supervise the development of management systems that will require utilities to develop, maintain and document compliance with regulatory mandates.</w:t>
      </w:r>
    </w:p>
    <w:p w:rsidR="006533A1" w:rsidRDefault="006533A1" w:rsidP="009F4CF2">
      <w:pPr>
        <w:pStyle w:val="Heading3"/>
        <w:tabs>
          <w:tab w:val="clear" w:pos="1620"/>
          <w:tab w:val="left" w:pos="2340"/>
        </w:tabs>
        <w:ind w:left="2340"/>
      </w:pPr>
      <w:bookmarkStart w:id="13" w:name="_Toc509589563"/>
      <w:r>
        <w:t>Discussion</w:t>
      </w:r>
      <w:bookmarkEnd w:id="13"/>
    </w:p>
    <w:p w:rsidR="00426564" w:rsidRDefault="00401FFE" w:rsidP="006533A1">
      <w:pPr>
        <w:pStyle w:val="standard"/>
      </w:pPr>
      <w:r>
        <w:t>As noted above, in order to evaluate claims of substantial contribution, t</w:t>
      </w:r>
      <w:r w:rsidRPr="00401FFE">
        <w:t xml:space="preserve">he Commission typically </w:t>
      </w:r>
      <w:r>
        <w:t>“</w:t>
      </w:r>
      <w:r w:rsidRPr="00401FFE">
        <w:t xml:space="preserve">reviews the record, composed in part of pleadings of the customer and, in litigated matters, the hearing transcripts, and compares it to the </w:t>
      </w:r>
      <w:r w:rsidRPr="00401FFE">
        <w:lastRenderedPageBreak/>
        <w:t>findings, conclusions, and orders in the decision to which the customer asserts he or she contributed</w:t>
      </w:r>
      <w:r>
        <w:t xml:space="preserve">.”  </w:t>
      </w:r>
      <w:r w:rsidR="00684FD0">
        <w:t>The Commission has made clear that its reason for conducting this review is to “</w:t>
      </w:r>
      <w:r w:rsidR="00684FD0" w:rsidRPr="00A531EA">
        <w:t>ensure that compensated intervention provides value to the ratepayers who fund it</w:t>
      </w:r>
      <w:r w:rsidR="009F4CF2">
        <w:t>.</w:t>
      </w:r>
      <w:r w:rsidR="00684FD0">
        <w:t xml:space="preserve">”  </w:t>
      </w:r>
    </w:p>
    <w:p w:rsidR="00426564" w:rsidRDefault="00684FD0" w:rsidP="006533A1">
      <w:pPr>
        <w:pStyle w:val="standard"/>
      </w:pPr>
      <w:r>
        <w:t>To establish the overall context for our review of Rafferty’s claim, w</w:t>
      </w:r>
      <w:r w:rsidR="00401FFE">
        <w:t xml:space="preserve">e </w:t>
      </w:r>
      <w:r>
        <w:t xml:space="preserve">begin by noting </w:t>
      </w:r>
      <w:r w:rsidR="00426564">
        <w:t xml:space="preserve">that in large GRCs such as this one, we have consistently placed the burden of proof on the applicant utility.  As such, in this proceeding PG&amp;E had </w:t>
      </w:r>
      <w:r w:rsidR="00426564" w:rsidRPr="00426564">
        <w:t xml:space="preserve">the burden of proving that it </w:t>
      </w:r>
      <w:r w:rsidR="007C5ACF">
        <w:t>should be granted</w:t>
      </w:r>
      <w:r w:rsidR="00426564" w:rsidRPr="00426564">
        <w:t xml:space="preserve"> the relief sought in </w:t>
      </w:r>
      <w:r w:rsidR="00426564">
        <w:t>its application</w:t>
      </w:r>
      <w:r w:rsidR="00426564" w:rsidRPr="00426564">
        <w:t>, and of affirmatively establishing the reaso</w:t>
      </w:r>
      <w:r w:rsidR="00426564">
        <w:t xml:space="preserve">nableness of all aspects of that </w:t>
      </w:r>
      <w:r w:rsidR="00426564" w:rsidRPr="00426564">
        <w:t>application.</w:t>
      </w:r>
      <w:r w:rsidR="00426564">
        <w:t xml:space="preserve">  </w:t>
      </w:r>
      <w:r w:rsidR="007C5ACF">
        <w:t>However, t</w:t>
      </w:r>
      <w:r w:rsidR="00426564">
        <w:t>he counterpoint to this requirement is the burden of producing evidence; the Commission places that burden on intervenors in the proceeding:</w:t>
      </w:r>
      <w:r w:rsidR="00E24E4B">
        <w:rPr>
          <w:rStyle w:val="FootnoteReference"/>
        </w:rPr>
        <w:footnoteReference w:id="15"/>
      </w:r>
    </w:p>
    <w:p w:rsidR="00426564" w:rsidRDefault="00426564" w:rsidP="009F4CF2">
      <w:pPr>
        <w:pStyle w:val="standard"/>
        <w:spacing w:after="240" w:line="240" w:lineRule="auto"/>
        <w:ind w:left="720" w:right="1440" w:firstLine="0"/>
      </w:pPr>
      <w:r>
        <w:rPr>
          <w:rFonts w:ascii="TimesNewRomanPSMT" w:hAnsi="TimesNewRomanPSMT" w:cs="TimesNewRomanPSMT"/>
          <w:sz w:val="24"/>
          <w:szCs w:val="24"/>
        </w:rPr>
        <w:t>[</w:t>
      </w:r>
      <w:r w:rsidRPr="00426564">
        <w:t>W]here other parties propose a result different from that asserted by the utility, they have</w:t>
      </w:r>
      <w:r>
        <w:t xml:space="preserve"> </w:t>
      </w:r>
      <w:r w:rsidRPr="00426564">
        <w:t>the burden of going forward to produce evidence, distinct from the ultimate burden of</w:t>
      </w:r>
      <w:r>
        <w:t xml:space="preserve"> </w:t>
      </w:r>
      <w:r w:rsidRPr="00426564">
        <w:t xml:space="preserve">proof. </w:t>
      </w:r>
      <w:r w:rsidR="009F4CF2">
        <w:t xml:space="preserve"> </w:t>
      </w:r>
      <w:r w:rsidRPr="00426564">
        <w:t>The burden of going forward to produce evidence relates to raising a reasonable</w:t>
      </w:r>
      <w:r>
        <w:t xml:space="preserve"> </w:t>
      </w:r>
      <w:r w:rsidRPr="00426564">
        <w:t>doubt as to the utility’s position and presenting evidence explaining the counterpoint</w:t>
      </w:r>
      <w:r>
        <w:t xml:space="preserve"> </w:t>
      </w:r>
      <w:r w:rsidRPr="00426564">
        <w:t>position</w:t>
      </w:r>
      <w:r w:rsidRPr="003B13B8">
        <w:t xml:space="preserve">. </w:t>
      </w:r>
    </w:p>
    <w:p w:rsidR="00401FFE" w:rsidRDefault="00426564" w:rsidP="006533A1">
      <w:pPr>
        <w:pStyle w:val="standard"/>
      </w:pPr>
      <w:r>
        <w:t>W</w:t>
      </w:r>
      <w:r w:rsidR="00684FD0">
        <w:t xml:space="preserve">e </w:t>
      </w:r>
      <w:r w:rsidR="00401FFE">
        <w:t xml:space="preserve">have reviewed </w:t>
      </w:r>
      <w:r>
        <w:t>Rafferty’s</w:t>
      </w:r>
      <w:r w:rsidR="00401FFE">
        <w:t xml:space="preserve"> written testimony (Exhibit CAUSE-1</w:t>
      </w:r>
      <w:r w:rsidR="00684FD0">
        <w:t>, served April 29, 2016</w:t>
      </w:r>
      <w:r w:rsidR="00401FFE">
        <w:t xml:space="preserve">) and we </w:t>
      </w:r>
      <w:r w:rsidR="00684FD0">
        <w:t>find</w:t>
      </w:r>
      <w:r w:rsidR="00401FFE">
        <w:t xml:space="preserve"> that it does not </w:t>
      </w:r>
      <w:r>
        <w:t xml:space="preserve">meet this burden of production, and for that reason does not </w:t>
      </w:r>
      <w:r w:rsidR="00401FFE">
        <w:t xml:space="preserve">provide </w:t>
      </w:r>
      <w:r w:rsidR="00135655">
        <w:t>sufficient</w:t>
      </w:r>
      <w:r w:rsidR="00401FFE">
        <w:t xml:space="preserve"> foundation for Rafferty’s request for compensation</w:t>
      </w:r>
      <w:r w:rsidR="00F86191">
        <w:t xml:space="preserve"> in this proceeding</w:t>
      </w:r>
      <w:r w:rsidR="00401FFE">
        <w:t>.</w:t>
      </w:r>
      <w:r w:rsidR="00E54712">
        <w:t xml:space="preserve">  The testimony consists of 11 pages of text and a 23</w:t>
      </w:r>
      <w:r w:rsidR="009F4CF2">
        <w:t>-</w:t>
      </w:r>
      <w:r w:rsidR="00E54712">
        <w:t>page PowerPoint attachment.</w:t>
      </w:r>
      <w:r w:rsidR="0057375E">
        <w:rPr>
          <w:rStyle w:val="FootnoteReference"/>
        </w:rPr>
        <w:footnoteReference w:id="16"/>
      </w:r>
      <w:r w:rsidR="00E54712">
        <w:t xml:space="preserve">  </w:t>
      </w:r>
      <w:r w:rsidR="00F86191">
        <w:t xml:space="preserve">Although </w:t>
      </w:r>
      <w:r>
        <w:t>Rafferty does “</w:t>
      </w:r>
      <w:r w:rsidRPr="00426564">
        <w:t>propose a result different from that asserted by the utility</w:t>
      </w:r>
      <w:r>
        <w:t xml:space="preserve">” his testimony neither </w:t>
      </w:r>
      <w:r w:rsidRPr="00F86191">
        <w:t xml:space="preserve">produces </w:t>
      </w:r>
      <w:r w:rsidR="00F86191">
        <w:lastRenderedPageBreak/>
        <w:t>“</w:t>
      </w:r>
      <w:r w:rsidRPr="00F86191">
        <w:rPr>
          <w:u w:val="single"/>
        </w:rPr>
        <w:t>evidence</w:t>
      </w:r>
      <w:r w:rsidRPr="00F86191">
        <w:t xml:space="preserve"> raising a reasonable doubt as to the utility’s position</w:t>
      </w:r>
      <w:r w:rsidR="00F86191" w:rsidRPr="00F86191">
        <w:t>”</w:t>
      </w:r>
      <w:r w:rsidRPr="00F86191">
        <w:t xml:space="preserve"> nor presents </w:t>
      </w:r>
      <w:r w:rsidR="00F86191" w:rsidRPr="00F86191">
        <w:t>“</w:t>
      </w:r>
      <w:r w:rsidRPr="00F86191">
        <w:rPr>
          <w:u w:val="single"/>
        </w:rPr>
        <w:t>evidence</w:t>
      </w:r>
      <w:r w:rsidRPr="00F86191">
        <w:t xml:space="preserve"> explaining the counterpoint position</w:t>
      </w:r>
      <w:r w:rsidR="0054120A">
        <w:t>.</w:t>
      </w:r>
      <w:r w:rsidR="00F86191" w:rsidRPr="00F86191">
        <w:t>”</w:t>
      </w:r>
      <w:r w:rsidRPr="00F86191">
        <w:t xml:space="preserve">  </w:t>
      </w:r>
      <w:r w:rsidR="00F86191">
        <w:t xml:space="preserve">Exhibit CAUSE-1 </w:t>
      </w:r>
      <w:r w:rsidR="00E54712">
        <w:t>contains no citations to PG&amp;E’s testimony, and therefore is of no value to the Commission for the purpose of evaluating and reaching decisions on PG&amp;E’s safety showing.</w:t>
      </w:r>
      <w:r w:rsidR="00E54712">
        <w:rPr>
          <w:rStyle w:val="FootnoteReference"/>
        </w:rPr>
        <w:footnoteReference w:id="17"/>
      </w:r>
      <w:r w:rsidR="00BB43B4">
        <w:t xml:space="preserve">  The testimony states that “</w:t>
      </w:r>
      <w:r w:rsidR="00BB43B4" w:rsidRPr="00BB43B4">
        <w:t xml:space="preserve">CAUSE will advocate for a specific </w:t>
      </w:r>
      <w:r w:rsidR="00BB43B4">
        <w:t>form of collaboration known as ‘</w:t>
      </w:r>
      <w:r w:rsidR="00BB43B4" w:rsidRPr="00BB43B4">
        <w:t>bubble-up</w:t>
      </w:r>
      <w:r w:rsidR="00BB43B4">
        <w:t>’</w:t>
      </w:r>
      <w:r w:rsidR="00BB43B4" w:rsidRPr="00BB43B4">
        <w:t>”</w:t>
      </w:r>
      <w:r w:rsidR="00BB43B4">
        <w:t xml:space="preserve"> and “</w:t>
      </w:r>
      <w:r w:rsidR="00BB43B4" w:rsidRPr="00BB43B4">
        <w:t>CAUSE proposes that the Commission rely on international standards to supervise the development of management systems t</w:t>
      </w:r>
      <w:r w:rsidR="00BB43B4">
        <w:t xml:space="preserve">hat will require utilities to </w:t>
      </w:r>
      <w:r w:rsidR="00BB43B4" w:rsidRPr="00BB43B4">
        <w:t>develop, maintain, and document compliance with regulatory mandates</w:t>
      </w:r>
      <w:r w:rsidR="0054120A">
        <w:t>.</w:t>
      </w:r>
      <w:r w:rsidR="00BB43B4">
        <w:t>”</w:t>
      </w:r>
      <w:r w:rsidR="00BB43B4">
        <w:rPr>
          <w:rStyle w:val="FootnoteReference"/>
        </w:rPr>
        <w:footnoteReference w:id="18"/>
      </w:r>
      <w:r w:rsidR="00BB43B4">
        <w:t xml:space="preserve">  As shown below, the Commission did not adopt either recommendation in D.17-05-013, either in whole or in part.</w:t>
      </w:r>
    </w:p>
    <w:p w:rsidR="006533A1" w:rsidRDefault="00BB43B4" w:rsidP="006533A1">
      <w:pPr>
        <w:pStyle w:val="standard"/>
      </w:pPr>
      <w:r>
        <w:t xml:space="preserve">Our finding is verified by our examination of Rafferty’s </w:t>
      </w:r>
      <w:r w:rsidRPr="00BB43B4">
        <w:t>claim for contribution</w:t>
      </w:r>
      <w:r>
        <w:t>:</w:t>
      </w:r>
      <w:r w:rsidRPr="00BB43B4">
        <w:t xml:space="preserve"> </w:t>
      </w:r>
      <w:r>
        <w:t xml:space="preserve"> </w:t>
      </w:r>
      <w:r w:rsidR="006533A1" w:rsidRPr="00CE3C98">
        <w:t xml:space="preserve">Rafferty’s </w:t>
      </w:r>
      <w:r>
        <w:t xml:space="preserve">specific references to </w:t>
      </w:r>
      <w:r w:rsidR="006533A1" w:rsidRPr="00CE3C98">
        <w:t>claimed contribution</w:t>
      </w:r>
      <w:r>
        <w:t>s (summarized above)</w:t>
      </w:r>
      <w:r w:rsidR="006533A1" w:rsidRPr="00CE3C98">
        <w:t xml:space="preserve"> do not cite anything in D.17-03-0</w:t>
      </w:r>
      <w:r w:rsidR="006533A1">
        <w:t>1</w:t>
      </w:r>
      <w:r w:rsidR="006533A1" w:rsidRPr="00CE3C98">
        <w:t xml:space="preserve">3 that confirms that Rafferty made a “substantial contribution” to the Commission’s final decision </w:t>
      </w:r>
      <w:r w:rsidR="007C5ACF">
        <w:t>o</w:t>
      </w:r>
      <w:r w:rsidR="006533A1" w:rsidRPr="00CE3C98">
        <w:t xml:space="preserve">n any safety matter. </w:t>
      </w:r>
    </w:p>
    <w:p w:rsidR="006533A1" w:rsidRPr="00CE3C98" w:rsidRDefault="006533A1" w:rsidP="006533A1">
      <w:pPr>
        <w:pStyle w:val="standard"/>
      </w:pPr>
      <w:r>
        <w:t>First, t</w:t>
      </w:r>
      <w:r w:rsidRPr="00CE3C98">
        <w:t>he reference to D.17-03-0</w:t>
      </w:r>
      <w:r>
        <w:t>1</w:t>
      </w:r>
      <w:r w:rsidRPr="00CE3C98">
        <w:t xml:space="preserve">3 at </w:t>
      </w:r>
      <w:r>
        <w:t xml:space="preserve">page </w:t>
      </w:r>
      <w:r w:rsidRPr="00CE3C98">
        <w:t>41 cite</w:t>
      </w:r>
      <w:r>
        <w:t>s</w:t>
      </w:r>
      <w:r w:rsidRPr="00CE3C98">
        <w:t xml:space="preserve"> text</w:t>
      </w:r>
      <w:r>
        <w:t xml:space="preserve"> that only summarizes Settling Parties’ litigation positions; this is</w:t>
      </w:r>
      <w:r w:rsidRPr="00CE3C98">
        <w:t xml:space="preserve"> not evidence of substantial contribution.</w:t>
      </w:r>
    </w:p>
    <w:p w:rsidR="006533A1" w:rsidRDefault="006533A1" w:rsidP="006533A1">
      <w:pPr>
        <w:pStyle w:val="standard"/>
      </w:pPr>
      <w:r>
        <w:t xml:space="preserve">Second, Rafferty describes his testimony “regarding safety and identification and mitigation of hazards, recommending that PG&amp;E engage in an ongoing examination of its safety practices to achieve continuous improvement” </w:t>
      </w:r>
      <w:r>
        <w:lastRenderedPageBreak/>
        <w:t xml:space="preserve">and links this to Section 3.2.8.8 of the Settlement Agreement, which states, in </w:t>
      </w:r>
      <w:r w:rsidR="005B4662">
        <w:t>relevant</w:t>
      </w:r>
      <w:r>
        <w:t xml:space="preserve"> part</w:t>
      </w:r>
      <w:r w:rsidR="004C3020">
        <w:t>, the following (emphasis added):</w:t>
      </w:r>
      <w:r>
        <w:t xml:space="preserve"> </w:t>
      </w:r>
    </w:p>
    <w:p w:rsidR="006533A1" w:rsidRDefault="006533A1" w:rsidP="009F4CF2">
      <w:pPr>
        <w:pStyle w:val="standard"/>
        <w:spacing w:after="120" w:line="240" w:lineRule="auto"/>
        <w:ind w:left="720" w:right="1440" w:firstLine="0"/>
      </w:pPr>
      <w:r w:rsidRPr="00CE3C98">
        <w:t xml:space="preserve">PG&amp;E will </w:t>
      </w:r>
      <w:r w:rsidRPr="00CE3C98">
        <w:rPr>
          <w:u w:val="single"/>
        </w:rPr>
        <w:t>attempt</w:t>
      </w:r>
      <w:r w:rsidRPr="00CE3C98">
        <w:t xml:space="preserve"> to improve its ability to identify specific actions or specific locations that require remediation on an urgent basis.  This includes methods to increase the frequency and/or reliability of input from front line employees and customers.  PG&amp;E also agrees to </w:t>
      </w:r>
      <w:r w:rsidRPr="008B3941">
        <w:rPr>
          <w:u w:val="single"/>
        </w:rPr>
        <w:t>attempt</w:t>
      </w:r>
      <w:r w:rsidRPr="00CE3C98">
        <w:t xml:space="preserve"> to develop measurements to evaluate and compare the cost-effectiveness of specif</w:t>
      </w:r>
      <w:r>
        <w:t>ic initiatives to mitigate risk (emphasis added).</w:t>
      </w:r>
    </w:p>
    <w:p w:rsidR="006D3BDA" w:rsidRDefault="006533A1" w:rsidP="006533A1">
      <w:pPr>
        <w:pStyle w:val="standard"/>
      </w:pPr>
      <w:r>
        <w:t xml:space="preserve"> </w:t>
      </w:r>
      <w:r w:rsidRPr="00CE3C98">
        <w:t xml:space="preserve">Section 3.2.8.8 of the Settlement does not verify substantial contribution by Rafferty.  It states only that PG&amp;E will </w:t>
      </w:r>
      <w:r w:rsidRPr="008B3941">
        <w:rPr>
          <w:u w:val="single"/>
        </w:rPr>
        <w:t>attempt</w:t>
      </w:r>
      <w:r w:rsidRPr="00CE3C98">
        <w:t xml:space="preserve"> to improve its ability to identify specific actions or specific locations that require remediation on an urgent basis, and will </w:t>
      </w:r>
      <w:r w:rsidRPr="008B3941">
        <w:rPr>
          <w:u w:val="single"/>
        </w:rPr>
        <w:t>attempt</w:t>
      </w:r>
      <w:r w:rsidRPr="00CE3C98">
        <w:t xml:space="preserve"> to develop measurements to evaluate and compare the </w:t>
      </w:r>
      <w:r w:rsidR="00733722">
        <w:br/>
      </w:r>
      <w:r w:rsidRPr="00CE3C98">
        <w:t>cost-effectiveness of specific initiatives to mitigate risk.</w:t>
      </w:r>
      <w:r>
        <w:t xml:space="preserve">  </w:t>
      </w:r>
      <w:r w:rsidR="006D3BDA">
        <w:t>Rafferty makes two specific recommendations in Exhibit CAUSE-1:</w:t>
      </w:r>
    </w:p>
    <w:p w:rsidR="006D3BDA" w:rsidRDefault="006D3BDA" w:rsidP="00E8478A">
      <w:pPr>
        <w:pStyle w:val="standard"/>
        <w:numPr>
          <w:ilvl w:val="0"/>
          <w:numId w:val="9"/>
        </w:numPr>
        <w:spacing w:after="120" w:line="240" w:lineRule="auto"/>
        <w:ind w:right="1440"/>
      </w:pPr>
      <w:r w:rsidRPr="006D3BDA">
        <w:t>CAUSE proposes that the Commission rely on international standards to supervise the development of management systems that will require utilities to develop, maintain, and document compliance with regulatory mandates.</w:t>
      </w:r>
    </w:p>
    <w:p w:rsidR="006D3BDA" w:rsidRDefault="006D3BDA" w:rsidP="00E8478A">
      <w:pPr>
        <w:pStyle w:val="standard"/>
        <w:numPr>
          <w:ilvl w:val="0"/>
          <w:numId w:val="9"/>
        </w:numPr>
        <w:spacing w:after="240" w:line="240" w:lineRule="auto"/>
        <w:ind w:right="1440"/>
      </w:pPr>
      <w:r w:rsidRPr="006D3BDA">
        <w:t>CAUSE advocates that Bubble-up be adopted by utilities throughout California.</w:t>
      </w:r>
    </w:p>
    <w:p w:rsidR="006533A1" w:rsidRPr="00CE3C98" w:rsidRDefault="006D3BDA" w:rsidP="006533A1">
      <w:pPr>
        <w:pStyle w:val="standard"/>
      </w:pPr>
      <w:r>
        <w:t xml:space="preserve">There is no language in D.17-05-013 that either wholly or partially adopts either recommendation.  </w:t>
      </w:r>
      <w:r w:rsidR="0054120A">
        <w:t>Section</w:t>
      </w:r>
      <w:r w:rsidR="006533A1" w:rsidRPr="005979B3">
        <w:t xml:space="preserve"> 180</w:t>
      </w:r>
      <w:r w:rsidR="006533A1">
        <w:t>4</w:t>
      </w:r>
      <w:r w:rsidR="006533A1" w:rsidRPr="005979B3">
        <w:t>(</w:t>
      </w:r>
      <w:r w:rsidR="006533A1">
        <w:t>e) requires that “if the Commission determines that a substantial contribution has been made, it must describe it, and determine the amount of compensation to be paid.”</w:t>
      </w:r>
      <w:r w:rsidR="00401FFE">
        <w:t xml:space="preserve">  We cannot </w:t>
      </w:r>
      <w:r w:rsidR="006533A1">
        <w:t xml:space="preserve">“describe” a substantial contribution by Rafferty to Section </w:t>
      </w:r>
      <w:r w:rsidR="006533A1" w:rsidRPr="00AE6CAB">
        <w:t>3.2.8.8 of the Settlement</w:t>
      </w:r>
      <w:r>
        <w:t xml:space="preserve"> because the plain language of Section 3.2.2.8 reflects neither of Rafferty’s recommendations.  Therefore, </w:t>
      </w:r>
      <w:r w:rsidR="006533A1">
        <w:t xml:space="preserve">we cannot </w:t>
      </w:r>
      <w:r w:rsidR="00401FFE">
        <w:t>find</w:t>
      </w:r>
      <w:r w:rsidR="006533A1">
        <w:t xml:space="preserve"> that a substantial contribution </w:t>
      </w:r>
      <w:r>
        <w:t xml:space="preserve">to Section </w:t>
      </w:r>
      <w:r w:rsidRPr="00AE6CAB">
        <w:t>3.2.8.8 of the Settlement</w:t>
      </w:r>
      <w:r>
        <w:t xml:space="preserve"> </w:t>
      </w:r>
      <w:r w:rsidR="006533A1">
        <w:t xml:space="preserve">has been made as claimed by Rafferty.  </w:t>
      </w:r>
    </w:p>
    <w:p w:rsidR="006533A1" w:rsidRDefault="006533A1" w:rsidP="006533A1">
      <w:pPr>
        <w:pStyle w:val="standard"/>
      </w:pPr>
      <w:r>
        <w:lastRenderedPageBreak/>
        <w:t xml:space="preserve">Third, </w:t>
      </w:r>
      <w:r w:rsidRPr="00CE3C98">
        <w:t xml:space="preserve">Section 3.2.8.9 of the Settlement </w:t>
      </w:r>
      <w:r>
        <w:t>Agreement states</w:t>
      </w:r>
      <w:r w:rsidRPr="003F6C49">
        <w:t xml:space="preserve"> that PG&amp;E shall provide </w:t>
      </w:r>
      <w:r>
        <w:t>a list of</w:t>
      </w:r>
      <w:r w:rsidRPr="003F6C49">
        <w:t xml:space="preserve"> safety metrics for each line of business to Settling</w:t>
      </w:r>
      <w:r>
        <w:t xml:space="preserve"> Parties:  “a</w:t>
      </w:r>
      <w:r w:rsidRPr="003F6C49">
        <w:t>nnually for the prior calendar year</w:t>
      </w:r>
      <w:r w:rsidR="0054120A">
        <w:t>,</w:t>
      </w:r>
      <w:r>
        <w:t>”</w:t>
      </w:r>
      <w:r w:rsidR="0054120A">
        <w:t xml:space="preserve"> …</w:t>
      </w:r>
      <w:r>
        <w:t xml:space="preserve"> “</w:t>
      </w:r>
      <w:r w:rsidRPr="003F6C49">
        <w:t>on request</w:t>
      </w:r>
      <w:r w:rsidR="0054120A">
        <w:t>,</w:t>
      </w:r>
      <w:r>
        <w:t>”</w:t>
      </w:r>
      <w:r w:rsidR="0054120A">
        <w:t xml:space="preserve"> … </w:t>
      </w:r>
      <w:r w:rsidRPr="003F6C49">
        <w:t>monthly data, if available</w:t>
      </w:r>
      <w:r>
        <w:t xml:space="preserve">.  </w:t>
      </w:r>
      <w:r w:rsidR="001048B2">
        <w:t xml:space="preserve">In our judgement, </w:t>
      </w:r>
      <w:r>
        <w:t>an agreement by PG&amp;E to provide data to parties (not to the Commission)</w:t>
      </w:r>
      <w:r w:rsidR="006D3BDA">
        <w:t>,</w:t>
      </w:r>
      <w:r>
        <w:t xml:space="preserve"> for </w:t>
      </w:r>
      <w:r w:rsidR="006D3BDA">
        <w:t>an unspecified purpose,</w:t>
      </w:r>
      <w:r>
        <w:t xml:space="preserve"> does not constitute a </w:t>
      </w:r>
      <w:r w:rsidRPr="003F6C49">
        <w:t>“</w:t>
      </w:r>
      <w:r>
        <w:t>s</w:t>
      </w:r>
      <w:r w:rsidRPr="003F6C49">
        <w:t xml:space="preserve">ubstantial contribution” </w:t>
      </w:r>
      <w:r w:rsidR="008B7117">
        <w:t xml:space="preserve">to D.17-05-013 </w:t>
      </w:r>
      <w:r>
        <w:t xml:space="preserve">as </w:t>
      </w:r>
      <w:r w:rsidR="0054120A">
        <w:t xml:space="preserve">that term is </w:t>
      </w:r>
      <w:r>
        <w:t xml:space="preserve">defined in </w:t>
      </w:r>
      <w:r w:rsidR="0054120A">
        <w:br/>
        <w:t>Section</w:t>
      </w:r>
      <w:r w:rsidRPr="005979B3">
        <w:t xml:space="preserve"> 180</w:t>
      </w:r>
      <w:r>
        <w:t xml:space="preserve">2 </w:t>
      </w:r>
      <w:r w:rsidRPr="005979B3">
        <w:t>(</w:t>
      </w:r>
      <w:r>
        <w:t>j)</w:t>
      </w:r>
      <w:r w:rsidR="001048B2">
        <w:t>.</w:t>
      </w:r>
      <w:r w:rsidR="008B7117">
        <w:t xml:space="preserve">  Approval of a comprehensive settlement that includes a provision that PG&amp;E shall provide certain information to the Settling Parties cannot be interpreted as a statement by the Commission that it either wholly or partially adopt</w:t>
      </w:r>
      <w:r w:rsidR="006D3BDA">
        <w:t>s Rafferty’s recommendation, such that a</w:t>
      </w:r>
      <w:r w:rsidR="008B7117">
        <w:t xml:space="preserve"> substantial contribution has been made to D.17-05-01</w:t>
      </w:r>
      <w:r w:rsidR="002E0356">
        <w:t>3</w:t>
      </w:r>
      <w:r w:rsidR="006D3BDA">
        <w:t>.</w:t>
      </w:r>
    </w:p>
    <w:p w:rsidR="006533A1" w:rsidRDefault="006533A1" w:rsidP="006533A1">
      <w:pPr>
        <w:pStyle w:val="standard"/>
      </w:pPr>
      <w:r>
        <w:t xml:space="preserve">Fourth and finally, regarding </w:t>
      </w:r>
      <w:r w:rsidRPr="00CE3C98">
        <w:t xml:space="preserve">Section 3.2.8.10 of the Settlement </w:t>
      </w:r>
      <w:r>
        <w:t xml:space="preserve">Agreement, </w:t>
      </w:r>
      <w:r w:rsidRPr="00CE3C98">
        <w:t xml:space="preserve">while Rafferty describes his testimony accurately, </w:t>
      </w:r>
      <w:r>
        <w:t>his assertion</w:t>
      </w:r>
      <w:r w:rsidRPr="00CE3C98">
        <w:t xml:space="preserve"> that the settlement included “the use of </w:t>
      </w:r>
      <w:r w:rsidRPr="000D4A53">
        <w:rPr>
          <w:u w:val="single"/>
        </w:rPr>
        <w:t>international</w:t>
      </w:r>
      <w:r w:rsidRPr="00CE3C98">
        <w:t xml:space="preserve"> standards and broader involvement of line employees in achieving continuous improvement in safety conditions”</w:t>
      </w:r>
      <w:r w:rsidR="000D4A53">
        <w:t xml:space="preserve"> (emphasis added)</w:t>
      </w:r>
      <w:r w:rsidRPr="00CE3C98">
        <w:t xml:space="preserve"> </w:t>
      </w:r>
      <w:r>
        <w:t>is</w:t>
      </w:r>
      <w:r w:rsidRPr="00CE3C98">
        <w:t xml:space="preserve"> not </w:t>
      </w:r>
      <w:r>
        <w:t xml:space="preserve">accurate.  The import of </w:t>
      </w:r>
      <w:r w:rsidRPr="00144896">
        <w:t>Section 3.2.8.10</w:t>
      </w:r>
      <w:r>
        <w:t xml:space="preserve"> is best captured </w:t>
      </w:r>
      <w:r w:rsidR="003525B2">
        <w:t>by the description of that Section in</w:t>
      </w:r>
      <w:r>
        <w:t xml:space="preserve"> the </w:t>
      </w:r>
      <w:r w:rsidR="003525B2">
        <w:t xml:space="preserve">accompanying </w:t>
      </w:r>
      <w:r>
        <w:t>Joint Motion:</w:t>
      </w:r>
      <w:r>
        <w:rPr>
          <w:rStyle w:val="FootnoteReference"/>
        </w:rPr>
        <w:footnoteReference w:id="19"/>
      </w:r>
    </w:p>
    <w:p w:rsidR="006533A1" w:rsidRDefault="006533A1" w:rsidP="00733722">
      <w:pPr>
        <w:pStyle w:val="standard"/>
        <w:spacing w:after="120" w:line="240" w:lineRule="auto"/>
        <w:ind w:left="720" w:right="1440" w:firstLine="0"/>
      </w:pPr>
      <w:r w:rsidRPr="00905D13">
        <w:t xml:space="preserve">CAUSE presented testimony proposing that the Commission rely on international standards to supervise the development of management systems that will require utilities to develop, maintain and document compliance with regulatory mandates.  </w:t>
      </w:r>
    </w:p>
    <w:p w:rsidR="006533A1" w:rsidRPr="00905D13" w:rsidRDefault="006533A1" w:rsidP="00733722">
      <w:pPr>
        <w:pStyle w:val="standard"/>
        <w:spacing w:after="120" w:line="240" w:lineRule="auto"/>
        <w:ind w:left="720" w:right="1440" w:firstLine="0"/>
      </w:pPr>
      <w:r w:rsidRPr="00905D13">
        <w:t xml:space="preserve">In rebuttal, PG&amp;E stated that it follows many recognized standards, but that PG&amp;E must balance the cost of certification against its benefits.  </w:t>
      </w:r>
    </w:p>
    <w:p w:rsidR="006533A1" w:rsidRDefault="006533A1" w:rsidP="00733722">
      <w:pPr>
        <w:pStyle w:val="standard"/>
        <w:spacing w:after="120" w:line="240" w:lineRule="auto"/>
        <w:ind w:left="720" w:right="1440" w:firstLine="0"/>
      </w:pPr>
      <w:r w:rsidRPr="00905D13">
        <w:lastRenderedPageBreak/>
        <w:t xml:space="preserve">Section 3.2.8.10 requires that </w:t>
      </w:r>
      <w:r w:rsidRPr="001048B2">
        <w:rPr>
          <w:u w:val="single"/>
        </w:rPr>
        <w:t>where possible</w:t>
      </w:r>
      <w:r w:rsidRPr="00905D13">
        <w:t xml:space="preserve">, PG&amp;E will </w:t>
      </w:r>
      <w:r w:rsidRPr="001048B2">
        <w:rPr>
          <w:u w:val="single"/>
        </w:rPr>
        <w:t>consider</w:t>
      </w:r>
      <w:r w:rsidRPr="00905D13">
        <w:t xml:space="preserve"> using </w:t>
      </w:r>
      <w:r w:rsidRPr="001048B2">
        <w:rPr>
          <w:u w:val="single"/>
        </w:rPr>
        <w:t>voluntary</w:t>
      </w:r>
      <w:r w:rsidRPr="00905D13">
        <w:t xml:space="preserve"> consensus standards when developing management systems or processes to improve safety, security, cybersecurity, facility inspections, and asset management.  </w:t>
      </w:r>
    </w:p>
    <w:p w:rsidR="006533A1" w:rsidRDefault="006533A1" w:rsidP="00733722">
      <w:pPr>
        <w:pStyle w:val="standard"/>
        <w:spacing w:after="240" w:line="240" w:lineRule="auto"/>
        <w:ind w:left="720" w:right="1440" w:firstLine="0"/>
      </w:pPr>
      <w:r w:rsidRPr="001048B2">
        <w:rPr>
          <w:u w:val="single"/>
        </w:rPr>
        <w:t>In its next GRC</w:t>
      </w:r>
      <w:r w:rsidRPr="00905D13">
        <w:t>, PG&amp;E shall disclose management system standards and other safety standards that it uses, and, until such time, PG&amp;E shall provide various information to Settling Parties.</w:t>
      </w:r>
    </w:p>
    <w:p w:rsidR="006533A1" w:rsidRDefault="006533A1" w:rsidP="006533A1">
      <w:pPr>
        <w:pStyle w:val="standard"/>
      </w:pPr>
      <w:r>
        <w:t xml:space="preserve">There is no indication in this text, nor in </w:t>
      </w:r>
      <w:r w:rsidRPr="00537ABD">
        <w:t>Section 3.2.8.10</w:t>
      </w:r>
      <w:r>
        <w:t xml:space="preserve"> of the Settlement Agreement, that would support a conclusion that in </w:t>
      </w:r>
      <w:r w:rsidRPr="00CE3C98">
        <w:t>D.17-03-0</w:t>
      </w:r>
      <w:r>
        <w:t>1</w:t>
      </w:r>
      <w:r w:rsidRPr="00CE3C98">
        <w:t xml:space="preserve">3 </w:t>
      </w:r>
      <w:r>
        <w:t xml:space="preserve">the Commission </w:t>
      </w:r>
      <w:r w:rsidR="001048B2">
        <w:t>adopted</w:t>
      </w:r>
      <w:r>
        <w:t xml:space="preserve"> </w:t>
      </w:r>
      <w:r w:rsidR="001048B2">
        <w:t>Rafferty’s recommendation that</w:t>
      </w:r>
      <w:r>
        <w:t xml:space="preserve"> </w:t>
      </w:r>
      <w:r w:rsidR="001048B2">
        <w:t>“</w:t>
      </w:r>
      <w:r w:rsidR="001048B2" w:rsidRPr="00346F5D">
        <w:rPr>
          <w:u w:val="single"/>
        </w:rPr>
        <w:t>the Commission</w:t>
      </w:r>
      <w:r w:rsidR="001048B2" w:rsidRPr="001048B2">
        <w:t xml:space="preserve"> rely on international standards to supervise the development of management systems</w:t>
      </w:r>
      <w:r w:rsidR="0054120A">
        <w:t>.</w:t>
      </w:r>
      <w:r w:rsidRPr="00537ABD">
        <w:t>”</w:t>
      </w:r>
      <w:r w:rsidR="001048B2">
        <w:t xml:space="preserve">  </w:t>
      </w:r>
      <w:r w:rsidR="00346F5D">
        <w:t xml:space="preserve">The Commission neither </w:t>
      </w:r>
      <w:r w:rsidR="001048B2">
        <w:t>whol</w:t>
      </w:r>
      <w:r w:rsidR="00346F5D">
        <w:t xml:space="preserve">ly nor partially </w:t>
      </w:r>
      <w:r w:rsidR="001048B2">
        <w:t>adopt</w:t>
      </w:r>
      <w:r w:rsidR="00346F5D">
        <w:t xml:space="preserve">ed this </w:t>
      </w:r>
      <w:r w:rsidR="008B7117">
        <w:t>recommendation and thus, we find no substantial contribution here.</w:t>
      </w:r>
    </w:p>
    <w:p w:rsidR="00931F0F" w:rsidRPr="00931F0F" w:rsidRDefault="008B7117" w:rsidP="00931F0F">
      <w:pPr>
        <w:pStyle w:val="standard"/>
        <w:rPr>
          <w:b/>
        </w:rPr>
      </w:pPr>
      <w:r w:rsidRPr="00135655">
        <w:t xml:space="preserve">In summary, we find that Rafferty made no substantial contribution </w:t>
      </w:r>
      <w:r w:rsidR="0057375E" w:rsidRPr="00135655">
        <w:t xml:space="preserve">to D.17-05-013 </w:t>
      </w:r>
      <w:r w:rsidRPr="00135655">
        <w:t>on safety issues.</w:t>
      </w:r>
      <w:r w:rsidR="0047712A" w:rsidRPr="00135655">
        <w:t xml:space="preserve"> </w:t>
      </w:r>
      <w:r w:rsidRPr="00135655">
        <w:t xml:space="preserve"> </w:t>
      </w:r>
      <w:r w:rsidR="007C5ACF" w:rsidRPr="00135655">
        <w:t>We reach this finding even though Rafferty stated at the outset of this proceeding that “CAUSE is being created in response to President Picker’s suggestion that the Commission may expand the role of safety intervenors in relevant proceedings, as part of a larger process to ensure that regulated utilities have the strongest safety systems, driving toward zero safety incidents to the extent consistent with just and reasonable rates.”  The Commission’s intention to support robust intervention on safety issues remains unchanged, but that intervention must be shown by the intervenor seeking compensation to have provided value to the ratepayers who fund it.  As shown above, e</w:t>
      </w:r>
      <w:r w:rsidR="0047712A" w:rsidRPr="00135655">
        <w:t xml:space="preserve">xamination of </w:t>
      </w:r>
      <w:r w:rsidR="007C5ACF" w:rsidRPr="00135655">
        <w:t xml:space="preserve">D.17-05-013 and its </w:t>
      </w:r>
      <w:r w:rsidR="0047712A" w:rsidRPr="00135655">
        <w:t>findings, conclusions, and ordering paragraphs fails to disclose any instance where Rafferty “</w:t>
      </w:r>
      <w:r w:rsidR="000D4A53" w:rsidRPr="00135655">
        <w:t xml:space="preserve">substantially </w:t>
      </w:r>
      <w:r w:rsidR="0047712A" w:rsidRPr="00135655">
        <w:t>assisted” the Commission</w:t>
      </w:r>
      <w:r w:rsidR="000D4A53" w:rsidRPr="00135655">
        <w:t xml:space="preserve"> in the making of its order or decision</w:t>
      </w:r>
      <w:r w:rsidR="0047712A" w:rsidRPr="00135655">
        <w:t xml:space="preserve">, as defined in statute.  </w:t>
      </w:r>
      <w:r w:rsidR="00D97EA5" w:rsidRPr="00135655">
        <w:lastRenderedPageBreak/>
        <w:t xml:space="preserve">Because no </w:t>
      </w:r>
      <w:r w:rsidR="0047712A" w:rsidRPr="00135655">
        <w:t>substantial contribution</w:t>
      </w:r>
      <w:r w:rsidR="00D97EA5" w:rsidRPr="00135655">
        <w:t xml:space="preserve"> has been demonstrated</w:t>
      </w:r>
      <w:r w:rsidR="0047712A" w:rsidRPr="00135655">
        <w:t xml:space="preserve">, Rafferty’s claim for intervenor compensation on safety issues must be denied.  </w:t>
      </w:r>
      <w:r w:rsidR="006533A1" w:rsidRPr="00135655">
        <w:t>Rafferty claims 509 hours for safety-related activities (45% of total hours claimed</w:t>
      </w:r>
      <w:r w:rsidR="000C1A23" w:rsidRPr="00135655">
        <w:t xml:space="preserve">, equaling </w:t>
      </w:r>
      <w:r w:rsidR="008335E7" w:rsidRPr="00135655">
        <w:t>approximately</w:t>
      </w:r>
      <w:r w:rsidR="000C1A23" w:rsidRPr="00135655">
        <w:t xml:space="preserve"> $250,000 in compensation</w:t>
      </w:r>
      <w:r w:rsidR="007D099A" w:rsidRPr="00135655">
        <w:t xml:space="preserve"> at Rafferty’s requested hourly rate</w:t>
      </w:r>
      <w:r w:rsidR="006533A1" w:rsidRPr="00135655">
        <w:t xml:space="preserve">).  Therefore, the 509 hours claimed by Rafferty for substantial contribution </w:t>
      </w:r>
      <w:r w:rsidR="0047712A" w:rsidRPr="00135655">
        <w:t xml:space="preserve">to D.17-05-013 </w:t>
      </w:r>
      <w:r w:rsidR="006533A1" w:rsidRPr="00135655">
        <w:t xml:space="preserve">on safety issues </w:t>
      </w:r>
      <w:r w:rsidR="007D099A" w:rsidRPr="00135655">
        <w:t>are</w:t>
      </w:r>
      <w:r w:rsidR="006533A1" w:rsidRPr="00135655">
        <w:t xml:space="preserve"> disallowed.</w:t>
      </w:r>
      <w:r w:rsidR="000C1A23">
        <w:t xml:space="preserve"> </w:t>
      </w:r>
      <w:r w:rsidR="00931F0F" w:rsidRPr="00931F0F">
        <w:rPr>
          <w:b/>
        </w:rPr>
        <w:t xml:space="preserve"> </w:t>
      </w:r>
    </w:p>
    <w:p w:rsidR="00A64C2E" w:rsidRPr="00A64C2E" w:rsidRDefault="002B2B71" w:rsidP="00A64C2E">
      <w:pPr>
        <w:pStyle w:val="Heading2"/>
      </w:pPr>
      <w:bookmarkStart w:id="14" w:name="_Toc509589564"/>
      <w:r>
        <w:t>Settlement</w:t>
      </w:r>
      <w:bookmarkEnd w:id="14"/>
    </w:p>
    <w:p w:rsidR="00A64C2E" w:rsidRDefault="00A64C2E" w:rsidP="00733722">
      <w:pPr>
        <w:pStyle w:val="Heading3"/>
        <w:tabs>
          <w:tab w:val="clear" w:pos="1620"/>
        </w:tabs>
        <w:ind w:left="2340"/>
      </w:pPr>
      <w:bookmarkStart w:id="15" w:name="_Toc509589565"/>
      <w:r>
        <w:t>Intervenor’s Claimed Contribution</w:t>
      </w:r>
      <w:bookmarkEnd w:id="15"/>
    </w:p>
    <w:p w:rsidR="00346F5D" w:rsidRDefault="00346F5D" w:rsidP="00A64C2E">
      <w:pPr>
        <w:pStyle w:val="standard"/>
      </w:pPr>
      <w:r>
        <w:t>As noted above, in D.17-05-013</w:t>
      </w:r>
      <w:r w:rsidR="00DC48BC">
        <w:t xml:space="preserve"> the Commission</w:t>
      </w:r>
      <w:r>
        <w:t xml:space="preserve"> approved nearly all of </w:t>
      </w:r>
      <w:r w:rsidR="00DC48BC">
        <w:t xml:space="preserve">the Settlement Agreement in this proceeding.  The settlement was signed by every party that submitted written testimony in this proceeding, including Rafferty. </w:t>
      </w:r>
      <w:r>
        <w:t xml:space="preserve"> </w:t>
      </w:r>
    </w:p>
    <w:p w:rsidR="00A64C2E" w:rsidRDefault="004634CB" w:rsidP="00A64C2E">
      <w:pPr>
        <w:pStyle w:val="standard"/>
      </w:pPr>
      <w:r>
        <w:t>Rafferty</w:t>
      </w:r>
      <w:r w:rsidR="00A64C2E" w:rsidRPr="00A64C2E">
        <w:t xml:space="preserve"> </w:t>
      </w:r>
      <w:r w:rsidR="00A64C2E">
        <w:t xml:space="preserve">asserts that he </w:t>
      </w:r>
      <w:r w:rsidR="00A64C2E" w:rsidRPr="00A64C2E">
        <w:t>contributed to the negotiation, examination, and acceptance of the terms of the settlement, as it was originally proposed</w:t>
      </w:r>
      <w:r w:rsidR="00A64C2E">
        <w:t xml:space="preserve">, </w:t>
      </w:r>
      <w:r w:rsidR="00A64C2E" w:rsidRPr="00A64C2E">
        <w:t>includ</w:t>
      </w:r>
      <w:r w:rsidR="00A64C2E">
        <w:t>ing</w:t>
      </w:r>
      <w:r w:rsidR="00A64C2E" w:rsidRPr="00A64C2E">
        <w:t xml:space="preserve"> an extensive review of the economic reasonableness of the proposed rate increase, as well as participation in a series of individual meetings and calls, as well as conference meetings and calls. </w:t>
      </w:r>
      <w:r w:rsidR="00CA5058">
        <w:t xml:space="preserve"> Rafferty states that “d</w:t>
      </w:r>
      <w:r w:rsidR="00A64C2E" w:rsidRPr="00A64C2E">
        <w:t>ue to the settlement privilege, no details are provided as to the content of these calls and meetings</w:t>
      </w:r>
      <w:r w:rsidR="00CA5058">
        <w:t>”</w:t>
      </w:r>
      <w:r w:rsidR="00A64C2E">
        <w:t>.</w:t>
      </w:r>
    </w:p>
    <w:p w:rsidR="00A64C2E" w:rsidRDefault="00A64C2E" w:rsidP="00733722">
      <w:pPr>
        <w:pStyle w:val="Heading3"/>
        <w:tabs>
          <w:tab w:val="clear" w:pos="1620"/>
          <w:tab w:val="left" w:pos="2340"/>
        </w:tabs>
        <w:ind w:left="2340"/>
      </w:pPr>
      <w:bookmarkStart w:id="16" w:name="_Toc509589566"/>
      <w:r>
        <w:t xml:space="preserve">Specific References to Intervenor’s </w:t>
      </w:r>
      <w:r w:rsidR="00733722">
        <w:br/>
      </w:r>
      <w:r>
        <w:t>Claimed Contribution</w:t>
      </w:r>
      <w:bookmarkEnd w:id="16"/>
    </w:p>
    <w:p w:rsidR="00A64C2E" w:rsidRDefault="00A64C2E" w:rsidP="00A64C2E">
      <w:pPr>
        <w:pStyle w:val="standard"/>
      </w:pPr>
      <w:r>
        <w:t>Rafferty provides the following references to support his claims of substantial contribution to the settlement [process]</w:t>
      </w:r>
      <w:r w:rsidR="00BE00EB">
        <w:t>:</w:t>
      </w:r>
    </w:p>
    <w:p w:rsidR="00A64C2E" w:rsidRDefault="00A64C2E" w:rsidP="00E8478A">
      <w:pPr>
        <w:pStyle w:val="standard"/>
        <w:numPr>
          <w:ilvl w:val="0"/>
          <w:numId w:val="9"/>
        </w:numPr>
        <w:spacing w:after="120" w:line="240" w:lineRule="auto"/>
        <w:ind w:right="1440"/>
      </w:pPr>
      <w:r>
        <w:t>D</w:t>
      </w:r>
      <w:r w:rsidR="00B43660">
        <w:t>.</w:t>
      </w:r>
      <w:r>
        <w:t>17-05-013</w:t>
      </w:r>
      <w:r w:rsidR="00E47F27">
        <w:t xml:space="preserve"> at 12</w:t>
      </w:r>
      <w:r>
        <w:t xml:space="preserve">: </w:t>
      </w:r>
      <w:r w:rsidR="00E47F27">
        <w:t xml:space="preserve"> “…</w:t>
      </w:r>
      <w:r>
        <w:t xml:space="preserve">on April 29, 2016, the following intervenors served testimony:  … CAUSE…”. </w:t>
      </w:r>
    </w:p>
    <w:p w:rsidR="00A64C2E" w:rsidRDefault="00B43660" w:rsidP="00E8478A">
      <w:pPr>
        <w:pStyle w:val="standard"/>
        <w:numPr>
          <w:ilvl w:val="0"/>
          <w:numId w:val="9"/>
        </w:numPr>
        <w:spacing w:after="120" w:line="240" w:lineRule="auto"/>
        <w:ind w:right="1440"/>
      </w:pPr>
      <w:r>
        <w:t xml:space="preserve">D.17-05-013 </w:t>
      </w:r>
      <w:r w:rsidR="00E47F27">
        <w:t xml:space="preserve"> at 13-14:  “</w:t>
      </w:r>
      <w:r w:rsidR="00A64C2E">
        <w:t>The Settling Parties are:</w:t>
      </w:r>
      <w:r w:rsidR="00BC5F08">
        <w:br/>
      </w:r>
      <w:r w:rsidR="00E47F27">
        <w:t>… CAUSE…”.</w:t>
      </w:r>
    </w:p>
    <w:p w:rsidR="00E47F27" w:rsidRPr="004634CB" w:rsidRDefault="00B43660" w:rsidP="00E8478A">
      <w:pPr>
        <w:pStyle w:val="standard"/>
        <w:numPr>
          <w:ilvl w:val="0"/>
          <w:numId w:val="9"/>
        </w:numPr>
        <w:spacing w:after="120" w:line="240" w:lineRule="auto"/>
        <w:ind w:right="1440"/>
      </w:pPr>
      <w:r w:rsidRPr="004634CB">
        <w:t xml:space="preserve">D.17-05-013 </w:t>
      </w:r>
      <w:r w:rsidR="00E47F27" w:rsidRPr="004634CB">
        <w:t xml:space="preserve">at 14-15:  </w:t>
      </w:r>
      <w:r w:rsidR="00A64C2E" w:rsidRPr="004634CB">
        <w:t xml:space="preserve">On August 18, 2016 the following parties filed comments on the Settlement Agreement: PG&amp;E, CUE and EDF (jointly on the second contested </w:t>
      </w:r>
      <w:r w:rsidR="00A64C2E" w:rsidRPr="004634CB">
        <w:lastRenderedPageBreak/>
        <w:t xml:space="preserve">issue); ORA and PG&amp;E (jointly on the first contested issue); CFC; and A4NR. On August 25, 2016 the following parties filed reply comments on the Settlement Agreement: </w:t>
      </w:r>
      <w:r w:rsidR="00BC5F08">
        <w:t xml:space="preserve"> </w:t>
      </w:r>
      <w:r w:rsidR="00A64C2E" w:rsidRPr="004634CB">
        <w:t xml:space="preserve">PG&amp;E, CUE and EDF (jointly); ORA and PG&amp;E (jointly </w:t>
      </w:r>
      <w:r w:rsidR="00BC5F08">
        <w:br/>
      </w:r>
      <w:r w:rsidR="00A64C2E" w:rsidRPr="004634CB">
        <w:t xml:space="preserve">on the first contested issue); and CFC. Pages 14-15. </w:t>
      </w:r>
    </w:p>
    <w:p w:rsidR="00A64C2E" w:rsidRDefault="00B43660" w:rsidP="00E8478A">
      <w:pPr>
        <w:pStyle w:val="standard"/>
        <w:numPr>
          <w:ilvl w:val="0"/>
          <w:numId w:val="9"/>
        </w:numPr>
        <w:spacing w:after="120" w:line="240" w:lineRule="auto"/>
        <w:ind w:right="1440"/>
      </w:pPr>
      <w:r>
        <w:t xml:space="preserve">D.17-05-013 </w:t>
      </w:r>
      <w:r w:rsidR="00E47F27">
        <w:t>at 36-37:  “</w:t>
      </w:r>
      <w:r w:rsidR="00A64C2E">
        <w:t>The Settling Parties explain that they represent a variety of interests other than those of PG&amp;E. … CAUSE represents the interests of consumers with a focus</w:t>
      </w:r>
      <w:r w:rsidR="00E47F27">
        <w:t xml:space="preserve"> on utility safety.”</w:t>
      </w:r>
    </w:p>
    <w:p w:rsidR="00A64C2E" w:rsidRDefault="00A64C2E" w:rsidP="00BC5F08">
      <w:pPr>
        <w:pStyle w:val="Heading3"/>
        <w:tabs>
          <w:tab w:val="clear" w:pos="1620"/>
        </w:tabs>
        <w:ind w:left="2340"/>
      </w:pPr>
      <w:bookmarkStart w:id="17" w:name="_Toc509589567"/>
      <w:r>
        <w:t>Discussion</w:t>
      </w:r>
      <w:bookmarkEnd w:id="17"/>
    </w:p>
    <w:p w:rsidR="005A6EC5" w:rsidRDefault="005B1EC5" w:rsidP="00D355E1">
      <w:pPr>
        <w:pStyle w:val="standard"/>
      </w:pPr>
      <w:r>
        <w:t xml:space="preserve">There is no disagreement </w:t>
      </w:r>
      <w:r w:rsidR="00A64C2E">
        <w:t>that Rafferty (as CAUSE) was a settling party</w:t>
      </w:r>
      <w:r>
        <w:t xml:space="preserve">.  However, the Commission has clearly stated that it does not believe that </w:t>
      </w:r>
      <w:r w:rsidR="00FB7597">
        <w:t xml:space="preserve">a party’s </w:t>
      </w:r>
      <w:r>
        <w:t xml:space="preserve">participation in an “alternative to litigation process” (such as the settlement in the instant </w:t>
      </w:r>
      <w:r w:rsidRPr="00FB7597">
        <w:t>proceeding</w:t>
      </w:r>
      <w:r w:rsidR="00FB7597">
        <w:t>)</w:t>
      </w:r>
      <w:r w:rsidRPr="00FB7597">
        <w:t>, “in and of itself, is sufficient participation to bring value to ratepayers, warranting compensation</w:t>
      </w:r>
      <w:r w:rsidR="004620FF">
        <w:t>.</w:t>
      </w:r>
      <w:r w:rsidRPr="00FB7597">
        <w:t>”</w:t>
      </w:r>
      <w:r w:rsidRPr="00FB7597">
        <w:rPr>
          <w:rStyle w:val="FootnoteReference"/>
        </w:rPr>
        <w:footnoteReference w:id="20"/>
      </w:r>
      <w:r>
        <w:t xml:space="preserve">  </w:t>
      </w:r>
      <w:r w:rsidR="00FB7597">
        <w:t>None of the four references provided by Rafferty and listed above demonstrate contribution to the settlement.</w:t>
      </w:r>
      <w:r w:rsidR="007D099A">
        <w:t xml:space="preserve">  </w:t>
      </w:r>
      <w:r w:rsidR="00FB7597">
        <w:t>Examination of the opinion, findings, conclusions, and ordering paragraphs of D.17-05-013 fails to disclose any instance where Rafferty “</w:t>
      </w:r>
      <w:r w:rsidR="00FB7597" w:rsidRPr="000D4A53">
        <w:t xml:space="preserve">substantially </w:t>
      </w:r>
      <w:r w:rsidR="00FB7597">
        <w:t xml:space="preserve">assisted” the Commission </w:t>
      </w:r>
      <w:r w:rsidR="00FB7597" w:rsidRPr="00D54921">
        <w:t>in the making of its order or decision</w:t>
      </w:r>
      <w:r w:rsidR="007D099A">
        <w:t xml:space="preserve"> regarding the settlement</w:t>
      </w:r>
      <w:r w:rsidR="00FB7597">
        <w:t>, as defined in the statute.</w:t>
      </w:r>
      <w:r w:rsidR="00D1600F">
        <w:t xml:space="preserve"> </w:t>
      </w:r>
      <w:r w:rsidR="00FB7597">
        <w:t xml:space="preserve"> </w:t>
      </w:r>
      <w:r w:rsidR="007D099A">
        <w:t xml:space="preserve">In this decision, we </w:t>
      </w:r>
      <w:r w:rsidR="00D1600F">
        <w:t>have already found</w:t>
      </w:r>
      <w:r w:rsidR="007D099A">
        <w:t xml:space="preserve"> that Rafferty made no substantial contribution on safety issues, </w:t>
      </w:r>
      <w:r w:rsidR="007D099A" w:rsidRPr="00BC5F08">
        <w:rPr>
          <w:i/>
        </w:rPr>
        <w:t>i.e</w:t>
      </w:r>
      <w:r w:rsidR="007D099A">
        <w:t xml:space="preserve">., the testimony that served as the basis for Rafferty’s participation in the settlement discussions.  Because we find no substantial contribution by Rafferty on that core substantive issue, we also find that Rafferty made no substantial contribution to the settlement.  </w:t>
      </w:r>
      <w:r w:rsidR="00FB7597">
        <w:t xml:space="preserve">In the absence of a substantial contribution, Rafferty’s claim for intervenor compensation </w:t>
      </w:r>
      <w:r w:rsidR="007D099A">
        <w:t xml:space="preserve">related to the settlement in this </w:t>
      </w:r>
      <w:r w:rsidR="007D099A">
        <w:lastRenderedPageBreak/>
        <w:t>proceeding</w:t>
      </w:r>
      <w:r w:rsidR="00FB7597">
        <w:t xml:space="preserve"> must be denied.</w:t>
      </w:r>
      <w:r w:rsidR="007D099A">
        <w:t xml:space="preserve">  </w:t>
      </w:r>
      <w:r>
        <w:t xml:space="preserve">Rafferty </w:t>
      </w:r>
      <w:r w:rsidR="00A64C2E">
        <w:t>claims 419 hours for settlement-related activities (37% of total hours claimed</w:t>
      </w:r>
      <w:r w:rsidR="007D099A">
        <w:t>, over $200,000 in compensation at Rafferty’s requested hourly rate</w:t>
      </w:r>
      <w:r w:rsidR="00A64C2E">
        <w:t>).</w:t>
      </w:r>
      <w:r>
        <w:t xml:space="preserve">  </w:t>
      </w:r>
      <w:r w:rsidR="007D099A" w:rsidRPr="007D099A">
        <w:t xml:space="preserve">Therefore, the </w:t>
      </w:r>
      <w:r w:rsidR="007D099A">
        <w:t>419</w:t>
      </w:r>
      <w:r w:rsidR="007D099A" w:rsidRPr="007D099A">
        <w:t xml:space="preserve"> hours claimed by Rafferty for substantial contribution to D.17-05-013 </w:t>
      </w:r>
      <w:r w:rsidR="007D099A">
        <w:t>regarding the settlement in this proceeding</w:t>
      </w:r>
      <w:r w:rsidR="00D355E1">
        <w:t xml:space="preserve"> are disallowed.</w:t>
      </w:r>
    </w:p>
    <w:p w:rsidR="00A64C2E" w:rsidRPr="00A64C2E" w:rsidRDefault="002B2B71" w:rsidP="00CA68E1">
      <w:pPr>
        <w:pStyle w:val="Heading2"/>
      </w:pPr>
      <w:bookmarkStart w:id="18" w:name="_Toc509589568"/>
      <w:r w:rsidRPr="001F3D91">
        <w:t>Compensation Metrics</w:t>
      </w:r>
      <w:bookmarkEnd w:id="18"/>
    </w:p>
    <w:p w:rsidR="00A64C2E" w:rsidRDefault="00A64C2E" w:rsidP="00E8478A">
      <w:pPr>
        <w:pStyle w:val="Heading3"/>
        <w:numPr>
          <w:ilvl w:val="2"/>
          <w:numId w:val="4"/>
        </w:numPr>
        <w:tabs>
          <w:tab w:val="clear" w:pos="1620"/>
        </w:tabs>
        <w:ind w:left="2340" w:hanging="900"/>
      </w:pPr>
      <w:bookmarkStart w:id="19" w:name="_Toc509589569"/>
      <w:r>
        <w:t>Intervenor’s Claimed Contribution</w:t>
      </w:r>
      <w:bookmarkEnd w:id="19"/>
    </w:p>
    <w:p w:rsidR="001F3D91" w:rsidRDefault="004634CB" w:rsidP="00CA68E1">
      <w:pPr>
        <w:pStyle w:val="standard"/>
      </w:pPr>
      <w:r>
        <w:t>Rafferty</w:t>
      </w:r>
      <w:r w:rsidR="00B7522C" w:rsidRPr="00A64C2E">
        <w:t xml:space="preserve"> </w:t>
      </w:r>
      <w:r w:rsidR="00B7522C">
        <w:t>asserts that he</w:t>
      </w:r>
      <w:r w:rsidR="00A64C2E" w:rsidRPr="00A64C2E">
        <w:t xml:space="preserve"> </w:t>
      </w:r>
      <w:r w:rsidR="001F3D91">
        <w:t>avoided duplication with NAAC/NDC’s advocacy for linking executive compensation to safety performance, but contributed to the discussion and resolution of this issue in the course of the settlement.</w:t>
      </w:r>
      <w:r w:rsidR="00FA0EEC">
        <w:t xml:space="preserve">  </w:t>
      </w:r>
      <w:r w:rsidR="001F3D91">
        <w:t xml:space="preserve">CAUSE </w:t>
      </w:r>
      <w:r w:rsidR="00FA0EEC">
        <w:t>asserts that he</w:t>
      </w:r>
      <w:r w:rsidR="00FA0EEC" w:rsidRPr="00A64C2E">
        <w:t xml:space="preserve"> </w:t>
      </w:r>
      <w:r w:rsidR="001F3D91">
        <w:t>also supported this effort by promoting specific safety metrics.</w:t>
      </w:r>
    </w:p>
    <w:p w:rsidR="00FA229F" w:rsidRDefault="00FA0EEC" w:rsidP="00CA68E1">
      <w:pPr>
        <w:pStyle w:val="standard"/>
      </w:pPr>
      <w:r>
        <w:t>Rafferty also asserts that “w</w:t>
      </w:r>
      <w:r w:rsidR="001F3D91">
        <w:t xml:space="preserve">hile the majority of </w:t>
      </w:r>
      <w:r>
        <w:t>[my]</w:t>
      </w:r>
      <w:r w:rsidR="001F3D91">
        <w:t xml:space="preserve"> specific contributions to the settlement are privileged, PGE-43 does reflect an agreed statement on the future evaluation of how metrics are used in setting executive compensation that is s</w:t>
      </w:r>
      <w:r>
        <w:t>pecifically attributed to CAUSE</w:t>
      </w:r>
      <w:r w:rsidR="004620FF">
        <w:t>.</w:t>
      </w:r>
      <w:r>
        <w:t>”</w:t>
      </w:r>
    </w:p>
    <w:p w:rsidR="00A64C2E" w:rsidRDefault="00A64C2E" w:rsidP="00E8478A">
      <w:pPr>
        <w:pStyle w:val="Heading3"/>
        <w:numPr>
          <w:ilvl w:val="2"/>
          <w:numId w:val="4"/>
        </w:numPr>
        <w:tabs>
          <w:tab w:val="clear" w:pos="1620"/>
        </w:tabs>
        <w:ind w:left="2340" w:hanging="900"/>
      </w:pPr>
      <w:bookmarkStart w:id="20" w:name="_Toc509589570"/>
      <w:r>
        <w:t xml:space="preserve">Specific References to Intervenor’s </w:t>
      </w:r>
      <w:r w:rsidR="00BC5F08">
        <w:br/>
      </w:r>
      <w:r>
        <w:t>Claimed Contribution</w:t>
      </w:r>
      <w:bookmarkEnd w:id="20"/>
    </w:p>
    <w:p w:rsidR="00FA0EEC" w:rsidRPr="00FA0EEC" w:rsidRDefault="00FA0EEC" w:rsidP="00CA68E1">
      <w:pPr>
        <w:pStyle w:val="standard"/>
      </w:pPr>
      <w:r>
        <w:t>Rafferty provides the following references to support his claims of substantial contribution to D.17-05-013 on “compensation metrics”.</w:t>
      </w:r>
    </w:p>
    <w:p w:rsidR="00FA0EEC" w:rsidRDefault="001F3D91" w:rsidP="00E8478A">
      <w:pPr>
        <w:pStyle w:val="standard"/>
        <w:numPr>
          <w:ilvl w:val="0"/>
          <w:numId w:val="9"/>
        </w:numPr>
        <w:spacing w:after="120" w:line="240" w:lineRule="auto"/>
        <w:ind w:right="1440"/>
      </w:pPr>
      <w:r>
        <w:t xml:space="preserve">Rafferty Direct Testimony at 12, 35; </w:t>
      </w:r>
    </w:p>
    <w:p w:rsidR="00FA0EEC" w:rsidRDefault="001F3D91" w:rsidP="00E8478A">
      <w:pPr>
        <w:pStyle w:val="standard"/>
        <w:numPr>
          <w:ilvl w:val="0"/>
          <w:numId w:val="9"/>
        </w:numPr>
        <w:spacing w:after="120" w:line="240" w:lineRule="auto"/>
        <w:ind w:right="1440"/>
      </w:pPr>
      <w:r>
        <w:t xml:space="preserve">PG&amp;E-43, n. 3 (agreed conditions regarding future evaluation of metrics) </w:t>
      </w:r>
    </w:p>
    <w:p w:rsidR="001F3D91" w:rsidRDefault="001F3D91" w:rsidP="00E8478A">
      <w:pPr>
        <w:pStyle w:val="standard"/>
        <w:numPr>
          <w:ilvl w:val="0"/>
          <w:numId w:val="9"/>
        </w:numPr>
        <w:spacing w:after="120" w:line="240" w:lineRule="auto"/>
        <w:ind w:right="1440"/>
      </w:pPr>
      <w:r>
        <w:t>PG&amp;E-40 (addendum to settlement on executive compensation) [NDC also responsible for this contribution]</w:t>
      </w:r>
    </w:p>
    <w:p w:rsidR="001F3D91" w:rsidRDefault="00FA0EEC" w:rsidP="00E8478A">
      <w:pPr>
        <w:pStyle w:val="standard"/>
        <w:numPr>
          <w:ilvl w:val="0"/>
          <w:numId w:val="9"/>
        </w:numPr>
        <w:spacing w:after="120" w:line="240" w:lineRule="auto"/>
        <w:ind w:right="1440"/>
      </w:pPr>
      <w:r w:rsidRPr="00FA0EEC">
        <w:t xml:space="preserve">D.17-05-013 </w:t>
      </w:r>
      <w:r w:rsidR="001F3D91">
        <w:t>at 30-31</w:t>
      </w:r>
      <w:r>
        <w:t xml:space="preserve">:  </w:t>
      </w:r>
    </w:p>
    <w:p w:rsidR="00FA0EEC" w:rsidRDefault="001F3D91" w:rsidP="00BC5F08">
      <w:pPr>
        <w:pStyle w:val="standard"/>
        <w:spacing w:after="120" w:line="240" w:lineRule="auto"/>
        <w:ind w:left="1080" w:right="1440" w:firstLine="0"/>
      </w:pPr>
      <w:r>
        <w:t xml:space="preserve">For this reason, the intent of the Scoping Memo has been addressed by further developing the record at the August </w:t>
      </w:r>
      <w:r>
        <w:lastRenderedPageBreak/>
        <w:t>30, 2016 Settlement Workshop and through several additional exhib</w:t>
      </w:r>
      <w:r w:rsidR="00FA0EEC">
        <w:t>its prepared and filed by PG&amp;E.</w:t>
      </w:r>
    </w:p>
    <w:p w:rsidR="001F3D91" w:rsidRDefault="001F3D91" w:rsidP="00BC5F08">
      <w:pPr>
        <w:pStyle w:val="standard"/>
        <w:spacing w:after="120" w:line="240" w:lineRule="auto"/>
        <w:ind w:left="1080" w:right="1440" w:firstLine="0"/>
      </w:pPr>
      <w:r>
        <w:t>As we highlight below, the Commission notes the cooperation of PG&amp;E and the other Settling Parties in making this record, beginning with their presentations and discussions at the Settlement Workshop, and continuing with the collaborative preparation and review of late-filed exhibits.</w:t>
      </w:r>
    </w:p>
    <w:p w:rsidR="001F3D91" w:rsidRDefault="001F3D91" w:rsidP="00E8478A">
      <w:pPr>
        <w:pStyle w:val="standard"/>
        <w:numPr>
          <w:ilvl w:val="0"/>
          <w:numId w:val="9"/>
        </w:numPr>
        <w:spacing w:after="120" w:line="240" w:lineRule="auto"/>
      </w:pPr>
      <w:r>
        <w:t>4.2.6.2. Compensation (Section 3.2.6.2)</w:t>
      </w:r>
    </w:p>
    <w:p w:rsidR="001F3D91" w:rsidRDefault="001F3D91" w:rsidP="00BC5F08">
      <w:pPr>
        <w:pStyle w:val="standard"/>
        <w:spacing w:after="120" w:line="240" w:lineRule="auto"/>
        <w:ind w:left="1080" w:right="1440" w:firstLine="0"/>
      </w:pPr>
      <w:r>
        <w:t xml:space="preserve">In its testimony, NDC offered a number of comments with respect to PG&amp;E’s executive compensation. </w:t>
      </w:r>
      <w:r w:rsidR="00BC5F08">
        <w:t xml:space="preserve"> </w:t>
      </w:r>
      <w:r>
        <w:t>Among those, NDC noted that while PG&amp;E’s current incentive structure appears to emphasize safety, including safety metrics totaling 50 % of the STIP,…</w:t>
      </w:r>
    </w:p>
    <w:p w:rsidR="00FA0EEC" w:rsidRDefault="00FA0EEC" w:rsidP="00E8478A">
      <w:pPr>
        <w:pStyle w:val="standard"/>
        <w:numPr>
          <w:ilvl w:val="0"/>
          <w:numId w:val="9"/>
        </w:numPr>
        <w:spacing w:after="120" w:line="240" w:lineRule="auto"/>
      </w:pPr>
      <w:r>
        <w:t xml:space="preserve">Section </w:t>
      </w:r>
      <w:r w:rsidR="001F3D91">
        <w:t>3.2.8.9</w:t>
      </w:r>
      <w:r>
        <w:t xml:space="preserve"> of the Settlement Agreement:</w:t>
      </w:r>
    </w:p>
    <w:p w:rsidR="00A64C2E" w:rsidRDefault="001F3D91" w:rsidP="00BC5F08">
      <w:pPr>
        <w:pStyle w:val="standard"/>
        <w:spacing w:after="120" w:line="240" w:lineRule="auto"/>
        <w:ind w:left="1080" w:right="1440" w:firstLine="0"/>
      </w:pPr>
      <w:r>
        <w:t xml:space="preserve">CAUSE and other Settling Parties agreed that PG&amp;E should disclose its performance under various </w:t>
      </w:r>
      <w:r w:rsidR="00CA68E1">
        <w:t>safety metrics</w:t>
      </w:r>
      <w:r>
        <w:t>.</w:t>
      </w:r>
    </w:p>
    <w:p w:rsidR="00A64C2E" w:rsidRDefault="00A64C2E" w:rsidP="00E8478A">
      <w:pPr>
        <w:pStyle w:val="Heading3"/>
        <w:numPr>
          <w:ilvl w:val="2"/>
          <w:numId w:val="4"/>
        </w:numPr>
        <w:tabs>
          <w:tab w:val="clear" w:pos="1620"/>
        </w:tabs>
        <w:ind w:left="2340" w:hanging="900"/>
      </w:pPr>
      <w:bookmarkStart w:id="21" w:name="_Toc509589571"/>
      <w:r>
        <w:t>Discussion</w:t>
      </w:r>
      <w:bookmarkEnd w:id="21"/>
    </w:p>
    <w:p w:rsidR="00CA0B97" w:rsidRDefault="00CA0B97" w:rsidP="00CA68E1">
      <w:pPr>
        <w:pStyle w:val="standard"/>
      </w:pPr>
      <w:r>
        <w:t xml:space="preserve">The references to Rafferty’s claimed contribution are </w:t>
      </w:r>
      <w:r w:rsidR="00CA68E1">
        <w:t>not</w:t>
      </w:r>
      <w:r>
        <w:t xml:space="preserve"> supportive of Rafferty’s claim of a substantial contribution to D.17-05-013 on “</w:t>
      </w:r>
      <w:r w:rsidRPr="00CA0B97">
        <w:t>compensation metrics</w:t>
      </w:r>
      <w:r w:rsidR="004620FF">
        <w:t>.</w:t>
      </w:r>
      <w:r>
        <w:t>”</w:t>
      </w:r>
    </w:p>
    <w:p w:rsidR="00CA0B97" w:rsidRDefault="00CA0B97" w:rsidP="00CA68E1">
      <w:pPr>
        <w:pStyle w:val="standard"/>
      </w:pPr>
      <w:r w:rsidRPr="00A35686">
        <w:t>First,</w:t>
      </w:r>
      <w:r w:rsidR="00592733" w:rsidRPr="00A35686">
        <w:t xml:space="preserve"> </w:t>
      </w:r>
      <w:r w:rsidR="00CA68E1" w:rsidRPr="00A35686">
        <w:t xml:space="preserve">although </w:t>
      </w:r>
      <w:r w:rsidRPr="00A35686">
        <w:t>Rafferty</w:t>
      </w:r>
      <w:r w:rsidR="00592733" w:rsidRPr="00A35686">
        <w:t>’s</w:t>
      </w:r>
      <w:r w:rsidRPr="00A35686">
        <w:t xml:space="preserve"> </w:t>
      </w:r>
      <w:r w:rsidR="00CA68E1" w:rsidRPr="00A35686">
        <w:t xml:space="preserve">cited </w:t>
      </w:r>
      <w:r w:rsidR="00592733" w:rsidRPr="00A35686">
        <w:t xml:space="preserve">direct testimony does reference using </w:t>
      </w:r>
      <w:r w:rsidR="00BC5F08">
        <w:br/>
      </w:r>
      <w:r w:rsidR="00592733" w:rsidRPr="00A35686">
        <w:t xml:space="preserve">data and metrics to tie executive compensation to safety performance </w:t>
      </w:r>
      <w:r w:rsidR="004025B5">
        <w:br/>
      </w:r>
      <w:r w:rsidR="00592733" w:rsidRPr="00A35686">
        <w:t xml:space="preserve">(Exhibit CAUSE-1 </w:t>
      </w:r>
      <w:r w:rsidRPr="00A35686">
        <w:t>at 12, 35</w:t>
      </w:r>
      <w:r w:rsidR="00CA68E1" w:rsidRPr="00A35686">
        <w:t>),</w:t>
      </w:r>
      <w:r w:rsidR="00CA68E1">
        <w:t xml:space="preserve"> the Commission did not  adopt any recomme</w:t>
      </w:r>
      <w:r w:rsidR="00A35686">
        <w:t>ndation made in Exhibit CAUSE-1:</w:t>
      </w:r>
    </w:p>
    <w:p w:rsidR="00A35686" w:rsidRDefault="00A35686" w:rsidP="00CA68E1">
      <w:pPr>
        <w:pStyle w:val="standard"/>
      </w:pPr>
      <w:r>
        <w:t>Page 12:</w:t>
      </w:r>
    </w:p>
    <w:p w:rsidR="00CA68E1" w:rsidRDefault="00A35686" w:rsidP="00BC5F08">
      <w:pPr>
        <w:pStyle w:val="standard"/>
        <w:spacing w:after="120" w:line="240" w:lineRule="auto"/>
        <w:ind w:left="720" w:right="1440" w:firstLine="0"/>
      </w:pPr>
      <w:r w:rsidRPr="00A35686">
        <w:t xml:space="preserve">Bubble-up will provide consistent data on the quality of implementation and on the substantive precursors of risk. </w:t>
      </w:r>
      <w:r>
        <w:t xml:space="preserve"> </w:t>
      </w:r>
      <w:r w:rsidRPr="00A35686">
        <w:t>This is a more effective means to tie executive compensation to safety performance.</w:t>
      </w:r>
    </w:p>
    <w:p w:rsidR="00A35686" w:rsidRDefault="00A35686" w:rsidP="00BC5F08">
      <w:pPr>
        <w:pStyle w:val="standard"/>
        <w:spacing w:after="120" w:line="240" w:lineRule="auto"/>
        <w:ind w:left="720" w:right="1440" w:firstLine="0"/>
      </w:pPr>
      <w:r>
        <w:t>Page 35 (</w:t>
      </w:r>
      <w:r w:rsidRPr="00BC5F08">
        <w:rPr>
          <w:i/>
        </w:rPr>
        <w:t>i.e</w:t>
      </w:r>
      <w:r>
        <w:t>., page 15 of PowerPoint attachment):</w:t>
      </w:r>
    </w:p>
    <w:p w:rsidR="00A35686" w:rsidRDefault="00A35686" w:rsidP="00BC5F08">
      <w:pPr>
        <w:pStyle w:val="standard"/>
        <w:spacing w:after="120" w:line="240" w:lineRule="auto"/>
        <w:ind w:left="720" w:right="1440" w:firstLine="0"/>
      </w:pPr>
      <w:r>
        <w:lastRenderedPageBreak/>
        <w:t>Title:  Bubble up could provide a basis to implement executive accountability.</w:t>
      </w:r>
    </w:p>
    <w:p w:rsidR="00A35686" w:rsidRDefault="00A35686" w:rsidP="00BC5F08">
      <w:pPr>
        <w:pStyle w:val="standard"/>
        <w:spacing w:after="120" w:line="240" w:lineRule="auto"/>
        <w:ind w:left="720" w:right="1440" w:firstLine="0"/>
      </w:pPr>
      <w:r>
        <w:t xml:space="preserve">Third bullet:  But the bubble-up paper trail provides </w:t>
      </w:r>
      <w:r w:rsidRPr="00A35686">
        <w:rPr>
          <w:u w:val="single"/>
        </w:rPr>
        <w:t>regular metrics</w:t>
      </w:r>
      <w:r>
        <w:t xml:space="preserve"> to measure senior management’s risk management record – even if no disaster occurs.  Salaries, bonus, and deferred compensation should reflect safety performance, as measured by bubble-up results.</w:t>
      </w:r>
    </w:p>
    <w:p w:rsidR="007F210E" w:rsidRDefault="00A35686" w:rsidP="00A35686">
      <w:pPr>
        <w:pStyle w:val="standard"/>
        <w:ind w:firstLine="0"/>
      </w:pPr>
      <w:r>
        <w:t xml:space="preserve">In D.17-05-013, the Commission did not adopt Rafferty’s recommended </w:t>
      </w:r>
      <w:r w:rsidRPr="00A35686">
        <w:t>“Bubble up”</w:t>
      </w:r>
      <w:r>
        <w:t xml:space="preserve"> approach to collaborative regulation, so Rafferty’s citations to the sections of his testimony quoted above do not support his claim of a substantial contribution to the decision.</w:t>
      </w:r>
    </w:p>
    <w:p w:rsidR="00592733" w:rsidRDefault="00592733" w:rsidP="00CA68E1">
      <w:pPr>
        <w:pStyle w:val="standard"/>
      </w:pPr>
      <w:r>
        <w:t xml:space="preserve">Second, </w:t>
      </w:r>
      <w:r w:rsidR="00110360">
        <w:t>and contrary to Rafferty’s claim</w:t>
      </w:r>
      <w:r>
        <w:t xml:space="preserve">, </w:t>
      </w:r>
      <w:r w:rsidR="00110360">
        <w:t xml:space="preserve">his reference to </w:t>
      </w:r>
      <w:r>
        <w:t xml:space="preserve">footnote 3 in Exhibit </w:t>
      </w:r>
      <w:r w:rsidR="00CA0B97">
        <w:t>PG&amp;E-43</w:t>
      </w:r>
      <w:r>
        <w:t xml:space="preserve"> is not indicative of a </w:t>
      </w:r>
      <w:r w:rsidR="008A36B4">
        <w:t>substantial</w:t>
      </w:r>
      <w:r>
        <w:t xml:space="preserve"> contribution</w:t>
      </w:r>
      <w:r w:rsidR="00A35686">
        <w:t xml:space="preserve"> to D.17-05-013</w:t>
      </w:r>
      <w:r>
        <w:t>.</w:t>
      </w:r>
      <w:r w:rsidR="007809A9">
        <w:t xml:space="preserve">  Exhibit PG&amp;E-43 is a late-filed exhibit entitled “Late Filed Exhibit on Executive Compensation and Safety</w:t>
      </w:r>
      <w:r w:rsidR="004620FF">
        <w:t>.</w:t>
      </w:r>
      <w:r w:rsidR="007809A9">
        <w:t>”</w:t>
      </w:r>
      <w:r>
        <w:t xml:space="preserve">  Footnote 3 </w:t>
      </w:r>
      <w:r w:rsidR="007809A9">
        <w:t>is a reference to PG&amp;E’s description of the parties and Commission staff that provided comments on the draft exhibit “that have been reflected in this final version</w:t>
      </w:r>
      <w:r w:rsidR="004620FF">
        <w:t>.</w:t>
      </w:r>
      <w:r w:rsidR="007809A9">
        <w:t xml:space="preserve">”  Footnote 3 indicates that is was included by PG&amp;E at the request of CAUSE and </w:t>
      </w:r>
      <w:r>
        <w:t>includes the statement that “CAUSE observes that Exhibits A, C and D [of the Exhibit] disclose elements of discretion, subjectivity, and limits on data quality that were not apparent in earlier testimony” but does not indicate what those elements might be.  The Commission did not rely on this statement</w:t>
      </w:r>
      <w:r w:rsidR="00A00D3B">
        <w:t xml:space="preserve"> or the recommendations in footnote 3 in</w:t>
      </w:r>
      <w:r>
        <w:t xml:space="preserve"> D.17-05-013.</w:t>
      </w:r>
    </w:p>
    <w:p w:rsidR="00CA0B97" w:rsidRDefault="0033592D" w:rsidP="009F0B36">
      <w:pPr>
        <w:pStyle w:val="standard"/>
      </w:pPr>
      <w:r>
        <w:t xml:space="preserve">Third, </w:t>
      </w:r>
      <w:r w:rsidR="00110360">
        <w:t xml:space="preserve">and contrary to Rafferty’s claim, </w:t>
      </w:r>
      <w:r>
        <w:t xml:space="preserve">regarding </w:t>
      </w:r>
      <w:r w:rsidR="00110360">
        <w:t>his</w:t>
      </w:r>
      <w:r>
        <w:t xml:space="preserve"> reference to </w:t>
      </w:r>
      <w:r w:rsidR="000E7857">
        <w:br/>
      </w:r>
      <w:r w:rsidR="00110360">
        <w:t xml:space="preserve">Exhibit </w:t>
      </w:r>
      <w:r w:rsidR="00CA0B97">
        <w:t>PG&amp;E-40</w:t>
      </w:r>
      <w:r w:rsidR="00110360">
        <w:t xml:space="preserve">, that Exhibit is a document distributed by PG&amp;E at the </w:t>
      </w:r>
      <w:r w:rsidR="000E7857">
        <w:br/>
      </w:r>
      <w:r w:rsidR="00110360">
        <w:t>August 30, 2016</w:t>
      </w:r>
      <w:r w:rsidR="00110360" w:rsidRPr="00110360">
        <w:t xml:space="preserve"> workshop to review the Settlement Agreement</w:t>
      </w:r>
      <w:r w:rsidR="00110360">
        <w:t>.  It is not an “</w:t>
      </w:r>
      <w:r w:rsidR="00CA0B97">
        <w:t>addendum to settl</w:t>
      </w:r>
      <w:r w:rsidR="00110360">
        <w:t xml:space="preserve">ement on executive compensation” and there is no indication in the record in this proceeding that either Rafferty or </w:t>
      </w:r>
      <w:r w:rsidR="00CA0B97">
        <w:t xml:space="preserve">NDC </w:t>
      </w:r>
      <w:r w:rsidR="00110360">
        <w:t>were “</w:t>
      </w:r>
      <w:r w:rsidR="00CA0B97">
        <w:t>re</w:t>
      </w:r>
      <w:r w:rsidR="00110360">
        <w:t xml:space="preserve">sponsible </w:t>
      </w:r>
      <w:r w:rsidR="00110360">
        <w:lastRenderedPageBreak/>
        <w:t>for this contribution</w:t>
      </w:r>
      <w:r w:rsidR="004620FF">
        <w:t>.</w:t>
      </w:r>
      <w:r w:rsidR="00110360">
        <w:t>”</w:t>
      </w:r>
      <w:r w:rsidR="007809A9">
        <w:t xml:space="preserve">  Exhibit PG&amp;E-40 is entitled </w:t>
      </w:r>
      <w:r w:rsidR="009F0B36">
        <w:t>“Pacific Gas and Electric Company Executive Compensation”</w:t>
      </w:r>
      <w:r w:rsidR="000E7857">
        <w:t xml:space="preserve"> </w:t>
      </w:r>
      <w:r w:rsidR="009F0B36">
        <w:t xml:space="preserve">and was authored by PG&amp;E’s </w:t>
      </w:r>
      <w:r w:rsidR="007809A9" w:rsidRPr="007809A9">
        <w:t>Senior Vice President Human Resources</w:t>
      </w:r>
      <w:r w:rsidR="009F0B36">
        <w:t>.</w:t>
      </w:r>
    </w:p>
    <w:p w:rsidR="00FD7A2C" w:rsidRDefault="009D7194" w:rsidP="00CA68E1">
      <w:pPr>
        <w:pStyle w:val="standard"/>
      </w:pPr>
      <w:r w:rsidRPr="00574AEA">
        <w:t xml:space="preserve">Fourth, </w:t>
      </w:r>
      <w:r w:rsidR="00CA0B97" w:rsidRPr="00574AEA">
        <w:t xml:space="preserve">D.17-05-013 </w:t>
      </w:r>
      <w:r w:rsidRPr="00574AEA">
        <w:t xml:space="preserve">does discuss the proceeding record regarding safety, and the linkage between safety and executive compensation, and </w:t>
      </w:r>
      <w:r w:rsidR="00FD7A2C" w:rsidRPr="00574AEA">
        <w:t>describes how t</w:t>
      </w:r>
      <w:r w:rsidR="00CA0B97" w:rsidRPr="00574AEA">
        <w:t xml:space="preserve">he intent of the Scoping Memo has been addressed by further developing the record </w:t>
      </w:r>
      <w:r w:rsidR="00FD7A2C" w:rsidRPr="00574AEA">
        <w:t>via the</w:t>
      </w:r>
      <w:r w:rsidR="00CA0B97" w:rsidRPr="00574AEA">
        <w:t xml:space="preserve"> Settlement Workshop</w:t>
      </w:r>
      <w:r w:rsidR="00FD7A2C" w:rsidRPr="00574AEA">
        <w:t>, the ad</w:t>
      </w:r>
      <w:r w:rsidR="00CA0B97" w:rsidRPr="00574AEA">
        <w:t>ditional exhib</w:t>
      </w:r>
      <w:r w:rsidR="00FD7A2C" w:rsidRPr="00574AEA">
        <w:t>its prepared and filed by PG&amp;E, and the cooperation of PG&amp;E and the other Settling Parties in making this record.</w:t>
      </w:r>
    </w:p>
    <w:p w:rsidR="00CA0B97" w:rsidRDefault="00FD7A2C" w:rsidP="00CA68E1">
      <w:pPr>
        <w:pStyle w:val="standard"/>
      </w:pPr>
      <w:r>
        <w:t xml:space="preserve">Fifth, and contrary to Rafferty’s claim, </w:t>
      </w:r>
      <w:r w:rsidR="00CA0B97">
        <w:t>Section 3.2.6.2</w:t>
      </w:r>
      <w:r>
        <w:t xml:space="preserve"> of the Settlement Agreement does not reference CAUSE.  The Joint Motion states “</w:t>
      </w:r>
      <w:r w:rsidRPr="00FD7A2C">
        <w:t>Section 3.2.6.2 of the Agreement addresses NDC and PG&amp;E’s comments on executive compensatio</w:t>
      </w:r>
      <w:r>
        <w:t>n</w:t>
      </w:r>
      <w:r w:rsidR="004620FF">
        <w:t>.</w:t>
      </w:r>
      <w:r>
        <w:t>”</w:t>
      </w:r>
    </w:p>
    <w:p w:rsidR="00CA0B97" w:rsidRDefault="00FD7A2C" w:rsidP="00CA68E1">
      <w:pPr>
        <w:pStyle w:val="standard"/>
      </w:pPr>
      <w:r>
        <w:t xml:space="preserve">Sixth, and contrary to Rafferty’s claim, </w:t>
      </w:r>
      <w:r w:rsidR="0009156A">
        <w:t>we</w:t>
      </w:r>
      <w:r>
        <w:t xml:space="preserve"> addressed </w:t>
      </w:r>
      <w:r w:rsidR="00CA0B97">
        <w:t>Section 3.2.8.9</w:t>
      </w:r>
      <w:r>
        <w:t xml:space="preserve"> of the Settlement Agreement </w:t>
      </w:r>
      <w:r w:rsidR="0009156A">
        <w:t>earlier in this decision</w:t>
      </w:r>
      <w:r>
        <w:t xml:space="preserve"> and found that an</w:t>
      </w:r>
      <w:r w:rsidRPr="00FD7A2C">
        <w:t xml:space="preserve"> agreement by PG&amp;E to provide data to parties (not to the Commission), </w:t>
      </w:r>
      <w:r w:rsidR="00574AEA">
        <w:t>for an unspecified purpose,</w:t>
      </w:r>
      <w:r w:rsidRPr="00FD7A2C">
        <w:t xml:space="preserve"> does not constitute a “substantial contribution”</w:t>
      </w:r>
      <w:r w:rsidR="0009156A">
        <w:t xml:space="preserve"> to D.17-05-013.</w:t>
      </w:r>
      <w:r w:rsidRPr="00FD7A2C">
        <w:t xml:space="preserve"> </w:t>
      </w:r>
      <w:r>
        <w:t xml:space="preserve"> </w:t>
      </w:r>
    </w:p>
    <w:p w:rsidR="00FA229F" w:rsidRPr="00C81E27" w:rsidRDefault="00FA229F" w:rsidP="003B13B8">
      <w:pPr>
        <w:pStyle w:val="standard"/>
      </w:pPr>
      <w:r w:rsidRPr="00C81E27">
        <w:t xml:space="preserve">The timesheets submitted with </w:t>
      </w:r>
      <w:r w:rsidR="004740A5" w:rsidRPr="00C81E27">
        <w:t>Rafferty’s</w:t>
      </w:r>
      <w:r w:rsidRPr="00C81E27">
        <w:t xml:space="preserve"> compensation request identify</w:t>
      </w:r>
      <w:r w:rsidR="00976655" w:rsidRPr="00C81E27">
        <w:t xml:space="preserve"> </w:t>
      </w:r>
      <w:r w:rsidRPr="00C81E27">
        <w:t>the following activities</w:t>
      </w:r>
      <w:r w:rsidR="008B03DD" w:rsidRPr="00C81E27">
        <w:t xml:space="preserve"> within </w:t>
      </w:r>
      <w:r w:rsidR="0015237C" w:rsidRPr="00C81E27">
        <w:t xml:space="preserve">Rafferty’s overall </w:t>
      </w:r>
      <w:r w:rsidR="008B03DD" w:rsidRPr="00C81E27">
        <w:t>category of “safety”</w:t>
      </w:r>
      <w:r w:rsidRPr="00C81E27">
        <w:t>:</w:t>
      </w:r>
    </w:p>
    <w:p w:rsidR="00FA229F" w:rsidRPr="00C81E27" w:rsidRDefault="00976655" w:rsidP="00E8478A">
      <w:pPr>
        <w:pStyle w:val="standard"/>
        <w:numPr>
          <w:ilvl w:val="0"/>
          <w:numId w:val="9"/>
        </w:numPr>
        <w:spacing w:after="120" w:line="240" w:lineRule="auto"/>
        <w:ind w:right="1530"/>
      </w:pPr>
      <w:r w:rsidRPr="00C81E27">
        <w:t xml:space="preserve">27-Sep-16:  </w:t>
      </w:r>
      <w:r w:rsidR="00FA229F" w:rsidRPr="00C81E27">
        <w:t>review of PGE-8, PGE-27, TURN-9, PGE-40, PGE-6- ch 16; [LEG 4] testimony, propose revisions to PGE-43 to reflect need for evaluation of the safety metrics used in executive compensation, avoid prejudice to future proceedings; pri</w:t>
      </w:r>
      <w:r w:rsidR="0068642E" w:rsidRPr="00C81E27">
        <w:t>vileged settlement discussions (7 hours)</w:t>
      </w:r>
    </w:p>
    <w:p w:rsidR="00A64C2E" w:rsidRPr="00C81E27" w:rsidRDefault="00976655" w:rsidP="00E8478A">
      <w:pPr>
        <w:pStyle w:val="standard"/>
        <w:numPr>
          <w:ilvl w:val="0"/>
          <w:numId w:val="9"/>
        </w:numPr>
        <w:spacing w:after="120" w:line="240" w:lineRule="auto"/>
        <w:ind w:right="1530"/>
      </w:pPr>
      <w:r w:rsidRPr="00C81E27">
        <w:t xml:space="preserve">28-Sep-16:  </w:t>
      </w:r>
      <w:r w:rsidR="00FA229F" w:rsidRPr="00C81E27">
        <w:t>extensive email to PG&amp;E and further discussions proposing revisions to PG&amp;E-43 re executive compensation</w:t>
      </w:r>
      <w:r w:rsidR="0068642E" w:rsidRPr="00C81E27">
        <w:t xml:space="preserve"> (7.5 hours).</w:t>
      </w:r>
    </w:p>
    <w:p w:rsidR="00A64C2E" w:rsidRDefault="00C5243D" w:rsidP="003B13B8">
      <w:pPr>
        <w:pStyle w:val="standard"/>
      </w:pPr>
      <w:r w:rsidRPr="00C81E27">
        <w:lastRenderedPageBreak/>
        <w:t xml:space="preserve">We find that Rafferty should be compensated for the 14.5 hours spent reviewing and discussing the document that PG&amp;E produced as Exhibit </w:t>
      </w:r>
      <w:r w:rsidR="000E7857">
        <w:br/>
      </w:r>
      <w:r w:rsidRPr="00C81E27">
        <w:t>PG&amp;E-43.</w:t>
      </w:r>
    </w:p>
    <w:p w:rsidR="00A64C2E" w:rsidRDefault="002B2B71" w:rsidP="001D51CC">
      <w:pPr>
        <w:pStyle w:val="Heading2"/>
      </w:pPr>
      <w:bookmarkStart w:id="22" w:name="_Toc509589572"/>
      <w:r w:rsidRPr="001D51CC">
        <w:t>Rate Case Cycle</w:t>
      </w:r>
      <w:r w:rsidR="00D172FF">
        <w:t xml:space="preserve"> (Third Post-Test Year)</w:t>
      </w:r>
      <w:bookmarkEnd w:id="22"/>
    </w:p>
    <w:p w:rsidR="00D172FF" w:rsidRPr="00D172FF" w:rsidRDefault="00D172FF" w:rsidP="00D172FF">
      <w:pPr>
        <w:pStyle w:val="standard"/>
      </w:pPr>
      <w:r w:rsidRPr="00D172FF">
        <w:t xml:space="preserve">Settling Parties were unable to </w:t>
      </w:r>
      <w:r>
        <w:t>reach</w:t>
      </w:r>
      <w:r w:rsidRPr="00D172FF">
        <w:t xml:space="preserve"> consensus</w:t>
      </w:r>
      <w:r>
        <w:t xml:space="preserve"> on</w:t>
      </w:r>
      <w:r w:rsidRPr="00D172FF">
        <w:t xml:space="preserve"> two contested issues </w:t>
      </w:r>
      <w:r>
        <w:t>in this proceeding</w:t>
      </w:r>
      <w:r w:rsidR="004F7FD7">
        <w:t>.  One of these issues was whether the Commission should approve a third post-test year for PG&amp;E, as proposed by ORA.</w:t>
      </w:r>
      <w:r>
        <w:t xml:space="preserve">  </w:t>
      </w:r>
      <w:r w:rsidRPr="00D172FF">
        <w:t>Settling Parties present</w:t>
      </w:r>
      <w:r>
        <w:t>ed</w:t>
      </w:r>
      <w:r w:rsidRPr="00D172FF">
        <w:t xml:space="preserve"> their respective positions on the contested issues through opening and reply comments on the </w:t>
      </w:r>
      <w:r>
        <w:t>joint motion to adopt the settlement</w:t>
      </w:r>
      <w:r w:rsidRPr="00D172FF">
        <w:t xml:space="preserve">.  </w:t>
      </w:r>
    </w:p>
    <w:p w:rsidR="00A64C2E" w:rsidRDefault="00A64C2E" w:rsidP="00E8478A">
      <w:pPr>
        <w:pStyle w:val="Heading3"/>
        <w:numPr>
          <w:ilvl w:val="2"/>
          <w:numId w:val="4"/>
        </w:numPr>
        <w:tabs>
          <w:tab w:val="clear" w:pos="1620"/>
        </w:tabs>
        <w:ind w:left="2340" w:hanging="900"/>
      </w:pPr>
      <w:bookmarkStart w:id="23" w:name="_Toc509589573"/>
      <w:r>
        <w:t>Intervenor’s Claimed Contribution</w:t>
      </w:r>
      <w:bookmarkEnd w:id="23"/>
    </w:p>
    <w:p w:rsidR="001D51CC" w:rsidRDefault="00D172FF" w:rsidP="001D51CC">
      <w:pPr>
        <w:pStyle w:val="standard"/>
      </w:pPr>
      <w:r>
        <w:t>Rafferty</w:t>
      </w:r>
      <w:r w:rsidR="00B7522C" w:rsidRPr="00A64C2E">
        <w:t xml:space="preserve"> </w:t>
      </w:r>
      <w:r w:rsidR="00B7522C">
        <w:t xml:space="preserve">asserts that </w:t>
      </w:r>
      <w:r>
        <w:t xml:space="preserve">in collaboration </w:t>
      </w:r>
      <w:r w:rsidR="001155A6">
        <w:t>w</w:t>
      </w:r>
      <w:r w:rsidR="001D51CC">
        <w:t xml:space="preserve">ith TURN, CAUSE successfully argued against a third post-test year. </w:t>
      </w:r>
    </w:p>
    <w:p w:rsidR="00A64C2E" w:rsidRDefault="005C2253" w:rsidP="001D51CC">
      <w:pPr>
        <w:pStyle w:val="standard"/>
      </w:pPr>
      <w:r>
        <w:t>Rafferty also states</w:t>
      </w:r>
      <w:r w:rsidR="00D172FF">
        <w:t xml:space="preserve"> “</w:t>
      </w:r>
      <w:r w:rsidR="001155A6">
        <w:t>a</w:t>
      </w:r>
      <w:r w:rsidR="001D51CC">
        <w:t xml:space="preserve">s CAUSE discussed at the workshop, the formulation of the </w:t>
      </w:r>
      <w:r w:rsidR="001155A6">
        <w:t>‘</w:t>
      </w:r>
      <w:r w:rsidR="001D51CC">
        <w:t>Z- factor</w:t>
      </w:r>
      <w:r w:rsidR="001155A6">
        <w:t>’</w:t>
      </w:r>
      <w:r w:rsidR="001D51CC">
        <w:t xml:space="preserve"> allowing recovery of certain exogenous changes during post-test years is consistent with liability rules that promote safety.</w:t>
      </w:r>
      <w:r w:rsidR="00D172FF">
        <w:t xml:space="preserve"> </w:t>
      </w:r>
      <w:r w:rsidR="001D51CC">
        <w:t xml:space="preserve"> More specific explanations of CAUSE’s contributions are subject to the settlement privilege and will be made available on request of the Commission with the consent of the settling parties</w:t>
      </w:r>
      <w:r w:rsidR="001155A6">
        <w:t>.</w:t>
      </w:r>
      <w:r w:rsidR="00D172FF">
        <w:t>”</w:t>
      </w:r>
      <w:r w:rsidR="004620FF">
        <w:rPr>
          <w:rStyle w:val="FootnoteReference"/>
        </w:rPr>
        <w:footnoteReference w:id="21"/>
      </w:r>
      <w:r w:rsidR="00A64C2E" w:rsidRPr="00A64C2E">
        <w:t xml:space="preserve"> </w:t>
      </w:r>
    </w:p>
    <w:p w:rsidR="00A64C2E" w:rsidRDefault="00A64C2E" w:rsidP="00E8478A">
      <w:pPr>
        <w:pStyle w:val="Heading3"/>
        <w:numPr>
          <w:ilvl w:val="2"/>
          <w:numId w:val="4"/>
        </w:numPr>
        <w:tabs>
          <w:tab w:val="clear" w:pos="1620"/>
        </w:tabs>
        <w:ind w:left="2340" w:hanging="900"/>
      </w:pPr>
      <w:bookmarkStart w:id="24" w:name="_Toc509589574"/>
      <w:r>
        <w:t xml:space="preserve">Specific References to Intervenor’s </w:t>
      </w:r>
      <w:r w:rsidR="00C80C4D">
        <w:br/>
      </w:r>
      <w:r>
        <w:t>Claimed Contribution</w:t>
      </w:r>
      <w:bookmarkEnd w:id="24"/>
    </w:p>
    <w:p w:rsidR="001155A6" w:rsidRPr="001615CB" w:rsidRDefault="001155A6" w:rsidP="001155A6">
      <w:pPr>
        <w:pStyle w:val="standard"/>
      </w:pPr>
      <w:r>
        <w:t xml:space="preserve">Rafferty provides the following references to support his claims of substantial contribution to D.17-05-013 regarding the </w:t>
      </w:r>
      <w:r w:rsidR="00751E18" w:rsidRPr="00D172FF">
        <w:t>third post-test year</w:t>
      </w:r>
      <w:r w:rsidR="00751E18">
        <w:t>:</w:t>
      </w:r>
    </w:p>
    <w:p w:rsidR="001D51CC" w:rsidRDefault="001D51CC" w:rsidP="00E8478A">
      <w:pPr>
        <w:pStyle w:val="standard"/>
        <w:numPr>
          <w:ilvl w:val="0"/>
          <w:numId w:val="9"/>
        </w:numPr>
        <w:spacing w:after="120" w:line="240" w:lineRule="auto"/>
      </w:pPr>
      <w:r>
        <w:lastRenderedPageBreak/>
        <w:t>TURN/CAUSE joint comments August 18, 2016 at 2-10.</w:t>
      </w:r>
      <w:r w:rsidR="005C2253">
        <w:rPr>
          <w:rStyle w:val="FootnoteReference"/>
        </w:rPr>
        <w:footnoteReference w:id="22"/>
      </w:r>
    </w:p>
    <w:p w:rsidR="001D51CC" w:rsidRDefault="00091CB8" w:rsidP="00E8478A">
      <w:pPr>
        <w:pStyle w:val="standard"/>
        <w:numPr>
          <w:ilvl w:val="0"/>
          <w:numId w:val="9"/>
        </w:numPr>
        <w:spacing w:after="120" w:line="240" w:lineRule="auto"/>
      </w:pPr>
      <w:r>
        <w:t>D.17-05-013 at 52:</w:t>
      </w:r>
    </w:p>
    <w:p w:rsidR="001D51CC" w:rsidRDefault="001D51CC" w:rsidP="00C80C4D">
      <w:pPr>
        <w:pStyle w:val="standard"/>
        <w:spacing w:after="120" w:line="240" w:lineRule="auto"/>
        <w:ind w:left="1080" w:right="1440" w:firstLine="0"/>
      </w:pPr>
      <w:r>
        <w:t>In its testimony, ORA proposed a third attrition year in 2020, so that this proceeding would result in a four-year (2017-2020) rate case cycle. In the Joint Motion, Settling Parties report that the parties were unable to gain consensus on whether the term of PG&amp;E’s next GRC should be three or four years.</w:t>
      </w:r>
    </w:p>
    <w:p w:rsidR="00091CB8" w:rsidRDefault="001D51CC" w:rsidP="00C80C4D">
      <w:pPr>
        <w:pStyle w:val="standard"/>
        <w:spacing w:after="120" w:line="240" w:lineRule="auto"/>
        <w:ind w:left="1080" w:right="1440" w:firstLine="0"/>
      </w:pPr>
      <w:r>
        <w:t xml:space="preserve">TURN, A4NR, CAUSE and CFC recommend that the term of PG&amp;E’s next GRC be three years - the test year and two post-test years. </w:t>
      </w:r>
    </w:p>
    <w:p w:rsidR="001D51CC" w:rsidRDefault="001D51CC" w:rsidP="00C80C4D">
      <w:pPr>
        <w:pStyle w:val="standard"/>
        <w:spacing w:after="120" w:line="240" w:lineRule="auto"/>
        <w:ind w:left="1080" w:right="1440" w:firstLine="0"/>
      </w:pPr>
      <w:r>
        <w:t>PG&amp;E and ORA recommend that the term of PG&amp;E’s next GRC be four years - the test year and three post-test years.</w:t>
      </w:r>
    </w:p>
    <w:p w:rsidR="00091CB8" w:rsidRDefault="00091CB8" w:rsidP="00E8478A">
      <w:pPr>
        <w:pStyle w:val="standard"/>
        <w:numPr>
          <w:ilvl w:val="0"/>
          <w:numId w:val="9"/>
        </w:numPr>
        <w:spacing w:after="120" w:line="240" w:lineRule="auto"/>
      </w:pPr>
      <w:r>
        <w:t>D.17-05-013 at 197:</w:t>
      </w:r>
    </w:p>
    <w:p w:rsidR="004B1435" w:rsidRDefault="001D51CC" w:rsidP="00C80C4D">
      <w:pPr>
        <w:pStyle w:val="standard"/>
        <w:spacing w:after="120" w:line="240" w:lineRule="auto"/>
        <w:ind w:left="1080" w:right="1440" w:firstLine="0"/>
      </w:pPr>
      <w:r>
        <w:t xml:space="preserve">The parties were unable to gain consensus on whether the term of this GRC should be three or four years. PG&amp;E and ORA recommend that the term of this GRC be four years: the 2017 test year and three post-test years, 2018-2020. </w:t>
      </w:r>
      <w:r w:rsidR="0015237C">
        <w:t xml:space="preserve"> </w:t>
      </w:r>
      <w:r>
        <w:t xml:space="preserve">TURN, A4NR, CAUSE and CFC recommend that the term this GRC remain at three years - the 2017 test year and two post-test years, 2018-2019. </w:t>
      </w:r>
      <w:r w:rsidR="0015237C">
        <w:t xml:space="preserve"> </w:t>
      </w:r>
      <w:r>
        <w:t>We find that it would be premature to resolve this matter in this decision.</w:t>
      </w:r>
    </w:p>
    <w:p w:rsidR="004B1435" w:rsidRDefault="004B1435" w:rsidP="00E8478A">
      <w:pPr>
        <w:pStyle w:val="standard"/>
        <w:numPr>
          <w:ilvl w:val="0"/>
          <w:numId w:val="9"/>
        </w:numPr>
        <w:spacing w:after="120" w:line="240" w:lineRule="auto"/>
      </w:pPr>
      <w:r>
        <w:t>D.17-05-013 at 52:</w:t>
      </w:r>
    </w:p>
    <w:p w:rsidR="00A64C2E" w:rsidRDefault="001D51CC" w:rsidP="00C80C4D">
      <w:pPr>
        <w:pStyle w:val="standard"/>
        <w:spacing w:after="120" w:line="240" w:lineRule="auto"/>
        <w:ind w:left="1080" w:right="1440" w:firstLine="0"/>
      </w:pPr>
      <w:r>
        <w:t xml:space="preserve">In past attrition mechanisms, we have included a provision identified as a Z-factor, to cover certain unforeseen exogenous events that may occur between test years. </w:t>
      </w:r>
      <w:r w:rsidR="00C80C4D">
        <w:t xml:space="preserve"> </w:t>
      </w:r>
      <w:r>
        <w:t>The Z-factor is a mechanism designed to prevent both windfall profits and large financial losses as a result of changes in costs outside of utility control.</w:t>
      </w:r>
    </w:p>
    <w:p w:rsidR="00A64C2E" w:rsidRDefault="00A64C2E" w:rsidP="00E8478A">
      <w:pPr>
        <w:pStyle w:val="Heading3"/>
        <w:numPr>
          <w:ilvl w:val="2"/>
          <w:numId w:val="4"/>
        </w:numPr>
        <w:tabs>
          <w:tab w:val="clear" w:pos="1620"/>
        </w:tabs>
        <w:ind w:left="2340" w:hanging="900"/>
      </w:pPr>
      <w:bookmarkStart w:id="25" w:name="_Toc509589575"/>
      <w:r>
        <w:lastRenderedPageBreak/>
        <w:t>Discussion</w:t>
      </w:r>
      <w:bookmarkEnd w:id="25"/>
    </w:p>
    <w:p w:rsidR="0015237C" w:rsidRDefault="0015237C" w:rsidP="0015237C">
      <w:pPr>
        <w:pStyle w:val="standard"/>
      </w:pPr>
      <w:r w:rsidRPr="0015237C">
        <w:t xml:space="preserve">The references to Rafferty’s claimed contribution are </w:t>
      </w:r>
      <w:r>
        <w:t xml:space="preserve">partially </w:t>
      </w:r>
      <w:r w:rsidRPr="0015237C">
        <w:t xml:space="preserve">supportive of Rafferty’s claim of a substantial contribution to the D.17-05-013 on </w:t>
      </w:r>
      <w:r w:rsidR="00127C43">
        <w:t>the rate case cycle.</w:t>
      </w:r>
      <w:r>
        <w:t xml:space="preserve">  </w:t>
      </w:r>
      <w:r w:rsidR="00983030">
        <w:t>The jointly filed comments with TURN did oppose the third test-year, and the Commission did decline to adopt a third test-year, though not for the reasons offered by TURN and CAUSE</w:t>
      </w:r>
      <w:r w:rsidR="00E36AB6">
        <w:t>.</w:t>
      </w:r>
      <w:r w:rsidR="00983030">
        <w:rPr>
          <w:rStyle w:val="FootnoteReference"/>
        </w:rPr>
        <w:footnoteReference w:id="23"/>
      </w:r>
      <w:r w:rsidR="00E36AB6">
        <w:t xml:space="preserve">  </w:t>
      </w:r>
      <w:r w:rsidR="00CE0040">
        <w:t xml:space="preserve">Contrary to Rafferty’s claim, the discussion of the Z-factor in </w:t>
      </w:r>
      <w:r w:rsidR="00CE0040" w:rsidRPr="0015237C">
        <w:t xml:space="preserve">D.17-05-013 </w:t>
      </w:r>
      <w:r w:rsidR="00CE0040">
        <w:t>makes no reference to his statements at</w:t>
      </w:r>
      <w:r w:rsidR="0055222A">
        <w:t xml:space="preserve"> the post-settlement workshop.</w:t>
      </w:r>
    </w:p>
    <w:p w:rsidR="00A64C2E" w:rsidRDefault="0015237C" w:rsidP="004F7FD7">
      <w:pPr>
        <w:pStyle w:val="standard"/>
      </w:pPr>
      <w:r w:rsidRPr="00FA229F">
        <w:t xml:space="preserve">The timesheets submitted with </w:t>
      </w:r>
      <w:r w:rsidR="006470BE">
        <w:t>Rafferty’s</w:t>
      </w:r>
      <w:r w:rsidRPr="00FA229F">
        <w:t xml:space="preserve"> compensation request identify</w:t>
      </w:r>
      <w:r>
        <w:t xml:space="preserve"> </w:t>
      </w:r>
      <w:r w:rsidR="00910EDD" w:rsidRPr="000C61A2">
        <w:t>31</w:t>
      </w:r>
      <w:r w:rsidRPr="000C61A2">
        <w:t>.75 hours spent on the analysis of third post-test year for comments on</w:t>
      </w:r>
      <w:r w:rsidRPr="0015237C">
        <w:t xml:space="preserve"> settlement</w:t>
      </w:r>
      <w:r w:rsidR="00910EDD">
        <w:t>, although some of those hours are mixed with other activities</w:t>
      </w:r>
      <w:r>
        <w:t xml:space="preserve"> </w:t>
      </w:r>
      <w:r w:rsidR="00C80C4D">
        <w:br/>
      </w:r>
      <w:r>
        <w:t xml:space="preserve">(August 15-18, 2016).  </w:t>
      </w:r>
      <w:r w:rsidRPr="0015237C">
        <w:t>We find that Rafferty should be compensated for the</w:t>
      </w:r>
      <w:r>
        <w:t>se hours.</w:t>
      </w:r>
    </w:p>
    <w:p w:rsidR="00A64C2E" w:rsidRDefault="002B2B71" w:rsidP="001D51CC">
      <w:pPr>
        <w:pStyle w:val="Heading2"/>
      </w:pPr>
      <w:bookmarkStart w:id="26" w:name="_Toc509589576"/>
      <w:r w:rsidRPr="001D51CC">
        <w:t>Gas Leak Maintenance</w:t>
      </w:r>
      <w:bookmarkEnd w:id="26"/>
    </w:p>
    <w:p w:rsidR="004F7FD7" w:rsidRPr="004F7FD7" w:rsidRDefault="004025B5" w:rsidP="004F7FD7">
      <w:pPr>
        <w:pStyle w:val="standard"/>
      </w:pPr>
      <w:r>
        <w:t>T</w:t>
      </w:r>
      <w:r w:rsidR="004F7FD7">
        <w:t>o establish a new balancing account to record</w:t>
      </w:r>
      <w:r w:rsidR="00B93390">
        <w:t xml:space="preserve"> </w:t>
      </w:r>
      <w:r w:rsidR="004F7FD7">
        <w:t>costs to comply with gas leak management requirements that may emerge from</w:t>
      </w:r>
      <w:r w:rsidR="00B93390">
        <w:t xml:space="preserve"> </w:t>
      </w:r>
      <w:r w:rsidR="004F7FD7">
        <w:t>Commission Rulemaking R.15-01-008.</w:t>
      </w:r>
      <w:r w:rsidR="00C80C4D">
        <w:t xml:space="preserve">  </w:t>
      </w:r>
      <w:r w:rsidR="004F7FD7" w:rsidRPr="00D172FF">
        <w:t xml:space="preserve">Settling Parties </w:t>
      </w:r>
      <w:r w:rsidR="00B93390">
        <w:t xml:space="preserve">again </w:t>
      </w:r>
      <w:r w:rsidR="004F7FD7" w:rsidRPr="00D172FF">
        <w:t>present</w:t>
      </w:r>
      <w:r w:rsidR="004F7FD7">
        <w:t>ed</w:t>
      </w:r>
      <w:r w:rsidR="004F7FD7" w:rsidRPr="00D172FF">
        <w:t xml:space="preserve"> the</w:t>
      </w:r>
      <w:r w:rsidR="00B93390">
        <w:t>ir respective positions on this contested issue</w:t>
      </w:r>
      <w:r w:rsidR="004F7FD7" w:rsidRPr="00D172FF">
        <w:t xml:space="preserve"> through opening and reply comments on the </w:t>
      </w:r>
      <w:r w:rsidR="004F7FD7">
        <w:t>joint motion to adopt the settlement</w:t>
      </w:r>
      <w:r w:rsidR="004F7FD7" w:rsidRPr="00D172FF">
        <w:t>.</w:t>
      </w:r>
    </w:p>
    <w:p w:rsidR="00A64C2E" w:rsidRDefault="00A64C2E" w:rsidP="00E8478A">
      <w:pPr>
        <w:pStyle w:val="Heading3"/>
        <w:numPr>
          <w:ilvl w:val="2"/>
          <w:numId w:val="4"/>
        </w:numPr>
        <w:tabs>
          <w:tab w:val="clear" w:pos="1620"/>
        </w:tabs>
        <w:ind w:left="2340" w:hanging="900"/>
      </w:pPr>
      <w:bookmarkStart w:id="27" w:name="_Toc509589577"/>
      <w:r>
        <w:t>Intervenor’s Claimed Contribution</w:t>
      </w:r>
      <w:bookmarkEnd w:id="27"/>
    </w:p>
    <w:p w:rsidR="00A64C2E" w:rsidRDefault="00B93390" w:rsidP="00A64C2E">
      <w:pPr>
        <w:pStyle w:val="standard"/>
      </w:pPr>
      <w:r>
        <w:t>Rafferty</w:t>
      </w:r>
      <w:r w:rsidR="00B7522C" w:rsidRPr="00A64C2E">
        <w:t xml:space="preserve"> </w:t>
      </w:r>
      <w:r w:rsidR="00B7522C">
        <w:t>asserts that</w:t>
      </w:r>
      <w:r w:rsidR="001D51CC">
        <w:t xml:space="preserve"> w</w:t>
      </w:r>
      <w:r w:rsidR="001D51CC" w:rsidRPr="001D51CC">
        <w:t>ith TURN, CAUSE successfully argued that the PG&amp;E’s proposal for a gas leak management account should be denied without prejudice.</w:t>
      </w:r>
    </w:p>
    <w:p w:rsidR="00A64C2E" w:rsidRDefault="00A64C2E" w:rsidP="00E8478A">
      <w:pPr>
        <w:pStyle w:val="Heading3"/>
        <w:numPr>
          <w:ilvl w:val="2"/>
          <w:numId w:val="4"/>
        </w:numPr>
        <w:tabs>
          <w:tab w:val="clear" w:pos="1620"/>
        </w:tabs>
        <w:ind w:left="2340" w:hanging="900"/>
      </w:pPr>
      <w:bookmarkStart w:id="28" w:name="_Toc509589578"/>
      <w:r>
        <w:lastRenderedPageBreak/>
        <w:t>Specific References to Intervenor’s Claimed Contribution</w:t>
      </w:r>
      <w:bookmarkEnd w:id="28"/>
    </w:p>
    <w:p w:rsidR="002D0CF7" w:rsidRPr="002D0CF7" w:rsidRDefault="002D0CF7" w:rsidP="002D0CF7">
      <w:pPr>
        <w:pStyle w:val="standard"/>
      </w:pPr>
      <w:r>
        <w:t>Rafferty provides the following references to support his claims of substantial contribution to D.17-05-013 regarding the “gas leak management” contested issue:</w:t>
      </w:r>
    </w:p>
    <w:p w:rsidR="001549D3" w:rsidRDefault="001549D3" w:rsidP="00E8478A">
      <w:pPr>
        <w:pStyle w:val="standard"/>
        <w:numPr>
          <w:ilvl w:val="0"/>
          <w:numId w:val="9"/>
        </w:numPr>
        <w:spacing w:after="120" w:line="240" w:lineRule="auto"/>
      </w:pPr>
      <w:r>
        <w:t xml:space="preserve">D.17-05-013 at </w:t>
      </w:r>
      <w:r w:rsidR="004170B7">
        <w:t>198-199</w:t>
      </w:r>
      <w:r w:rsidR="004620FF">
        <w:t>.</w:t>
      </w:r>
    </w:p>
    <w:p w:rsidR="004170B7" w:rsidRDefault="004170B7" w:rsidP="00E8478A">
      <w:pPr>
        <w:pStyle w:val="standard"/>
        <w:numPr>
          <w:ilvl w:val="0"/>
          <w:numId w:val="9"/>
        </w:numPr>
        <w:spacing w:after="120" w:line="240" w:lineRule="auto"/>
        <w:ind w:right="1440"/>
      </w:pPr>
      <w:r>
        <w:t>TURN/CAUSE joint comments August 18, 2016 at 10-18.</w:t>
      </w:r>
    </w:p>
    <w:p w:rsidR="004170B7" w:rsidRDefault="00B57A91" w:rsidP="00E8478A">
      <w:pPr>
        <w:pStyle w:val="standard"/>
        <w:numPr>
          <w:ilvl w:val="0"/>
          <w:numId w:val="9"/>
        </w:numPr>
        <w:spacing w:after="120" w:line="240" w:lineRule="auto"/>
        <w:ind w:right="1440"/>
      </w:pPr>
      <w:r>
        <w:t>4.3.2. Gas Leak Management (Section 4.2 of the Settlement Agreement [contested issue])</w:t>
      </w:r>
      <w:r w:rsidR="00B2038D">
        <w:t>:</w:t>
      </w:r>
      <w:r>
        <w:rPr>
          <w:rStyle w:val="FootnoteReference"/>
        </w:rPr>
        <w:footnoteReference w:id="24"/>
      </w:r>
    </w:p>
    <w:p w:rsidR="004170B7" w:rsidRDefault="004170B7" w:rsidP="00C80C4D">
      <w:pPr>
        <w:pStyle w:val="standard"/>
        <w:spacing w:after="120" w:line="240" w:lineRule="auto"/>
        <w:ind w:left="1080" w:right="1440" w:firstLine="0"/>
      </w:pPr>
      <w:r>
        <w:t>The parties were unable to reach consensus on whether PG&amp;E should be authorized in this GRC decision to establish a new balancing account to record costs to comply with gas leak management requirements that may emerge from Commission Rulemaking R.15-01-008.</w:t>
      </w:r>
    </w:p>
    <w:p w:rsidR="00A64C2E" w:rsidRDefault="004170B7" w:rsidP="00C80C4D">
      <w:pPr>
        <w:pStyle w:val="standard"/>
        <w:spacing w:after="120" w:line="240" w:lineRule="auto"/>
        <w:ind w:left="1080" w:right="1440" w:firstLine="0"/>
      </w:pPr>
      <w:r>
        <w:t xml:space="preserve">CUE, EDF and PG&amp;E recommend that such a balancing account be established in this proceeding. </w:t>
      </w:r>
      <w:r w:rsidR="00C80C4D">
        <w:t xml:space="preserve"> </w:t>
      </w:r>
      <w:r>
        <w:t>TURN, CAUSE and CFC oppose the recommendation.</w:t>
      </w:r>
    </w:p>
    <w:p w:rsidR="00A64C2E" w:rsidRDefault="00A64C2E" w:rsidP="00E8478A">
      <w:pPr>
        <w:pStyle w:val="Heading3"/>
        <w:numPr>
          <w:ilvl w:val="2"/>
          <w:numId w:val="4"/>
        </w:numPr>
        <w:tabs>
          <w:tab w:val="clear" w:pos="1620"/>
        </w:tabs>
        <w:ind w:left="2340" w:hanging="900"/>
      </w:pPr>
      <w:bookmarkStart w:id="29" w:name="_Toc509589579"/>
      <w:r>
        <w:t>Discussion</w:t>
      </w:r>
      <w:bookmarkEnd w:id="29"/>
    </w:p>
    <w:p w:rsidR="00530BF8" w:rsidRDefault="001549D3" w:rsidP="001549D3">
      <w:pPr>
        <w:pStyle w:val="standard"/>
      </w:pPr>
      <w:r w:rsidRPr="0015237C">
        <w:t>The references to Rafferty’s claimed contribution are</w:t>
      </w:r>
      <w:r>
        <w:t xml:space="preserve"> </w:t>
      </w:r>
      <w:r w:rsidRPr="0015237C">
        <w:t xml:space="preserve">supportive of Rafferty’s claim of a substantial contribution to the D.17-05-013 on </w:t>
      </w:r>
      <w:r>
        <w:t xml:space="preserve">the </w:t>
      </w:r>
      <w:r w:rsidR="00D8521B">
        <w:t>gas leak management contested issue</w:t>
      </w:r>
      <w:r>
        <w:t xml:space="preserve">.  </w:t>
      </w:r>
      <w:r w:rsidR="00530BF8">
        <w:t>The jointly filed comments with TURN did oppose authorization of the new balancing account, and the Commission did decline to authorize the account, though not for the reasons offered by TURN and CAUSE.</w:t>
      </w:r>
      <w:r w:rsidR="00530BF8">
        <w:rPr>
          <w:rStyle w:val="FootnoteReference"/>
        </w:rPr>
        <w:footnoteReference w:id="25"/>
      </w:r>
    </w:p>
    <w:p w:rsidR="00A64C2E" w:rsidRDefault="00354437" w:rsidP="002D0CF7">
      <w:pPr>
        <w:pStyle w:val="standard"/>
      </w:pPr>
      <w:r w:rsidRPr="000C61A2">
        <w:lastRenderedPageBreak/>
        <w:t xml:space="preserve">The timesheets submitted with Rafferty’s compensation request identify </w:t>
      </w:r>
      <w:r w:rsidR="00C80C4D">
        <w:br/>
      </w:r>
      <w:r w:rsidR="008E7E04" w:rsidRPr="000C61A2">
        <w:t>10</w:t>
      </w:r>
      <w:r w:rsidRPr="000C61A2">
        <w:t xml:space="preserve"> hours spent on the analysis of </w:t>
      </w:r>
      <w:r w:rsidR="008E7E04" w:rsidRPr="000C61A2">
        <w:t xml:space="preserve">gas leak management </w:t>
      </w:r>
      <w:r w:rsidRPr="000C61A2">
        <w:t xml:space="preserve">(August </w:t>
      </w:r>
      <w:r w:rsidR="008E7E04" w:rsidRPr="000C61A2">
        <w:t>17 and 26</w:t>
      </w:r>
      <w:r w:rsidRPr="000C61A2">
        <w:t>, 2016).</w:t>
      </w:r>
      <w:r>
        <w:t xml:space="preserve">  </w:t>
      </w:r>
      <w:r w:rsidR="001549D3" w:rsidRPr="0015237C">
        <w:t>We find that Rafferty should be compensated for the</w:t>
      </w:r>
      <w:r w:rsidR="001549D3">
        <w:t>se hours.</w:t>
      </w:r>
    </w:p>
    <w:p w:rsidR="00A64C2E" w:rsidRDefault="002B2B71" w:rsidP="004170B7">
      <w:pPr>
        <w:pStyle w:val="Heading2"/>
      </w:pPr>
      <w:bookmarkStart w:id="30" w:name="_Toc509589580"/>
      <w:r w:rsidRPr="004170B7">
        <w:t>Monitor Costs</w:t>
      </w:r>
      <w:bookmarkEnd w:id="30"/>
    </w:p>
    <w:p w:rsidR="00F07E29" w:rsidRPr="00F07E29" w:rsidRDefault="00F07E29" w:rsidP="00F07E29">
      <w:pPr>
        <w:spacing w:line="360" w:lineRule="auto"/>
        <w:ind w:firstLine="720"/>
      </w:pPr>
      <w:r>
        <w:t xml:space="preserve">The proposed decision </w:t>
      </w:r>
      <w:r w:rsidR="0021768C">
        <w:t xml:space="preserve">(PD) </w:t>
      </w:r>
      <w:r>
        <w:t>and the alternate proposed decision</w:t>
      </w:r>
      <w:r w:rsidR="0021768C">
        <w:t xml:space="preserve"> (APD)</w:t>
      </w:r>
      <w:r>
        <w:t xml:space="preserve"> in this proceeding noted PG&amp;E’s conviction in August 2016 </w:t>
      </w:r>
      <w:r w:rsidRPr="007349EB">
        <w:t>on five counts of violations of pipeline integrity management regulations of the Natural Gas Pipeline Safety Act and one count of obstructing a federal agency proceeding</w:t>
      </w:r>
      <w:r>
        <w:t>.</w:t>
      </w:r>
      <w:r w:rsidRPr="007349EB">
        <w:t xml:space="preserve"> </w:t>
      </w:r>
      <w:r w:rsidR="00C80C4D">
        <w:t xml:space="preserve"> </w:t>
      </w:r>
      <w:r>
        <w:t xml:space="preserve">Among other things, </w:t>
      </w:r>
      <w:r w:rsidRPr="007349EB">
        <w:t>PG&amp;E</w:t>
      </w:r>
      <w:r>
        <w:t xml:space="preserve">’s sentence included </w:t>
      </w:r>
      <w:r w:rsidRPr="007349EB">
        <w:t>oversight by a third</w:t>
      </w:r>
      <w:r>
        <w:noBreakHyphen/>
      </w:r>
      <w:r w:rsidRPr="007349EB">
        <w:t>party monitor.</w:t>
      </w:r>
      <w:r>
        <w:t xml:space="preserve">  The PD and the APD stated that “t</w:t>
      </w:r>
      <w:r w:rsidRPr="00F07E29">
        <w:t>he Commission should determine whether or not PG&amp;E intends to seek recovery in rates for the costs that it will incur in connection with the monitorship imposed by the court.  Therefore, PG&amp;E shall include in its comments on this proposed decision a statement that explains its proposed ratemaking treatment for the costs that it will incur in connection with the monitorship imposed by the court.</w:t>
      </w:r>
      <w:r>
        <w:t>”</w:t>
      </w:r>
      <w:r w:rsidR="0021768C">
        <w:rPr>
          <w:rStyle w:val="FootnoteReference"/>
        </w:rPr>
        <w:footnoteReference w:id="26"/>
      </w:r>
      <w:r>
        <w:t xml:space="preserve">  PG&amp;E submitted the requested information in its opening comments on the PD, filed and served on </w:t>
      </w:r>
      <w:r w:rsidRPr="00F07E29">
        <w:t>March 20, 2017</w:t>
      </w:r>
      <w:r>
        <w:t>.  In D.17-05-013 the Commission discussed PG&amp;E’s response and declin</w:t>
      </w:r>
      <w:r w:rsidR="00751156">
        <w:t xml:space="preserve">ed </w:t>
      </w:r>
      <w:r>
        <w:t xml:space="preserve">PG&amp;E’s request </w:t>
      </w:r>
      <w:r w:rsidR="00751156">
        <w:t>to</w:t>
      </w:r>
      <w:r>
        <w:t xml:space="preserve"> adopt its suggested ratemaking treatment for these costs</w:t>
      </w:r>
      <w:r w:rsidR="00751156">
        <w:t>, stating “o</w:t>
      </w:r>
      <w:r>
        <w:t>ur purpose in seeking this information was to clarify and document PG&amp;E’s intentions in this matter, and we appreciate PG&amp;E’s response. We will review PG&amp;E’s actions in subsequent proceedings.</w:t>
      </w:r>
      <w:r w:rsidR="00751156">
        <w:t>”</w:t>
      </w:r>
      <w:r w:rsidR="00751156">
        <w:rPr>
          <w:rStyle w:val="FootnoteReference"/>
        </w:rPr>
        <w:footnoteReference w:id="27"/>
      </w:r>
    </w:p>
    <w:p w:rsidR="00A64C2E" w:rsidRDefault="00A64C2E" w:rsidP="00E8478A">
      <w:pPr>
        <w:pStyle w:val="Heading3"/>
        <w:numPr>
          <w:ilvl w:val="2"/>
          <w:numId w:val="4"/>
        </w:numPr>
        <w:tabs>
          <w:tab w:val="clear" w:pos="1620"/>
        </w:tabs>
        <w:ind w:left="2340" w:hanging="900"/>
      </w:pPr>
      <w:bookmarkStart w:id="31" w:name="_Toc509589581"/>
      <w:r>
        <w:lastRenderedPageBreak/>
        <w:t>Intervenor’s Claimed Contribution</w:t>
      </w:r>
      <w:bookmarkEnd w:id="31"/>
    </w:p>
    <w:p w:rsidR="004170B7" w:rsidRDefault="00EA2521" w:rsidP="004170B7">
      <w:pPr>
        <w:pStyle w:val="standard"/>
      </w:pPr>
      <w:r>
        <w:t>In his claim, Rafferty</w:t>
      </w:r>
      <w:r w:rsidR="00B7522C" w:rsidRPr="00A64C2E">
        <w:t xml:space="preserve"> </w:t>
      </w:r>
      <w:r w:rsidR="00D201E6">
        <w:t>notes</w:t>
      </w:r>
      <w:r w:rsidR="00B7522C">
        <w:t xml:space="preserve"> that </w:t>
      </w:r>
      <w:r w:rsidR="00D201E6">
        <w:t>t</w:t>
      </w:r>
      <w:r w:rsidR="004170B7">
        <w:t xml:space="preserve">he proposed decision solicited comments from PG&amp;E regarding the costs of the federal monitor required by the criminal sentencing order issued by Judge Henderson on Jan. 9, 2017 (after the settlement).  </w:t>
      </w:r>
      <w:r>
        <w:t xml:space="preserve">Rafferty states that </w:t>
      </w:r>
      <w:r w:rsidR="004170B7">
        <w:t>CAUSE argued that the costs imposed by the monitorship should be borne by shareholders, but that this liability should be limited by a principle of proximate cause (since to some extent all ga</w:t>
      </w:r>
      <w:r>
        <w:t>s activities will be affected), and observes that no</w:t>
      </w:r>
      <w:r w:rsidR="004170B7">
        <w:t xml:space="preserve"> other intervenor took a position, but this appears to be congruent with the position taken by PG&amp;E.</w:t>
      </w:r>
    </w:p>
    <w:p w:rsidR="004170B7" w:rsidRDefault="00EA2521" w:rsidP="004170B7">
      <w:pPr>
        <w:pStyle w:val="standard"/>
      </w:pPr>
      <w:r>
        <w:t>Rafferty argues that g</w:t>
      </w:r>
      <w:r w:rsidR="004170B7">
        <w:t>iven the absence of comments from other parties, the conceptual agreement between CAUSE and PG&amp;E as to the appropriate limits of shareholder responsibility should be viewed as a “substantial contribution” in that it likely reflects the ratemaking treatment that PG&amp;E will seek.</w:t>
      </w:r>
    </w:p>
    <w:p w:rsidR="00A64C2E" w:rsidRDefault="00EA2521" w:rsidP="004170B7">
      <w:pPr>
        <w:pStyle w:val="standard"/>
      </w:pPr>
      <w:r>
        <w:t>Rafferty further states that a</w:t>
      </w:r>
      <w:r w:rsidR="004170B7">
        <w:t>fter considerable analysis from the potentially adverse point of view of promoting safety, CAUSE agrees with PG&amp;E that such limits are justified.</w:t>
      </w:r>
    </w:p>
    <w:p w:rsidR="00A64C2E" w:rsidRDefault="00A64C2E" w:rsidP="00E8478A">
      <w:pPr>
        <w:pStyle w:val="Heading3"/>
        <w:numPr>
          <w:ilvl w:val="2"/>
          <w:numId w:val="4"/>
        </w:numPr>
        <w:tabs>
          <w:tab w:val="clear" w:pos="1620"/>
        </w:tabs>
        <w:ind w:left="2430" w:hanging="990"/>
      </w:pPr>
      <w:bookmarkStart w:id="32" w:name="_Toc509589582"/>
      <w:r>
        <w:t xml:space="preserve">Specific References to Intervenor’s </w:t>
      </w:r>
      <w:r w:rsidR="009A7021">
        <w:br/>
      </w:r>
      <w:r>
        <w:t>Claimed Contribution</w:t>
      </w:r>
      <w:bookmarkEnd w:id="32"/>
    </w:p>
    <w:p w:rsidR="002D0CF7" w:rsidRPr="002D0CF7" w:rsidRDefault="002D0CF7" w:rsidP="002D0CF7">
      <w:pPr>
        <w:pStyle w:val="standard"/>
      </w:pPr>
      <w:r>
        <w:t>Rafferty provides the following references to support his claims of substantial contribution to D.17-05-013 regarding the costs of the federal monitor:</w:t>
      </w:r>
    </w:p>
    <w:p w:rsidR="002D0CF7" w:rsidRDefault="001B3CD0" w:rsidP="009A7021">
      <w:pPr>
        <w:pStyle w:val="standard"/>
        <w:spacing w:after="120" w:line="240" w:lineRule="auto"/>
        <w:ind w:left="720" w:right="1440" w:firstLine="0"/>
      </w:pPr>
      <w:r>
        <w:t xml:space="preserve">Compare PG&amp;E Opening Comments on PD at 13: </w:t>
      </w:r>
    </w:p>
    <w:p w:rsidR="001B3CD0" w:rsidRPr="00EA2521" w:rsidRDefault="001B3CD0" w:rsidP="009A7021">
      <w:pPr>
        <w:pStyle w:val="standard"/>
        <w:spacing w:after="120" w:line="240" w:lineRule="auto"/>
        <w:ind w:left="720" w:right="1440" w:firstLine="0"/>
      </w:pPr>
      <w:r w:rsidRPr="00EA2521">
        <w:t xml:space="preserve">“PG&amp;E’s shareholders will cover the direct costs of the monitorship. </w:t>
      </w:r>
      <w:r w:rsidR="009A7021">
        <w:t xml:space="preserve"> </w:t>
      </w:r>
      <w:r w:rsidRPr="00EA2521">
        <w:t>This shall include all amounts paid to the monitor or persons hired by the monitor pursuant to the monitor’s authority…</w:t>
      </w:r>
    </w:p>
    <w:p w:rsidR="001B3CD0" w:rsidRPr="00EA2521" w:rsidRDefault="001B3CD0" w:rsidP="009A7021">
      <w:pPr>
        <w:pStyle w:val="standard"/>
        <w:spacing w:after="120" w:line="240" w:lineRule="auto"/>
        <w:ind w:left="720" w:right="1440" w:firstLine="0"/>
      </w:pPr>
      <w:r w:rsidRPr="00EA2521">
        <w:t xml:space="preserve">PG&amp;E’s shareholders will also cover the expenses of the group being formed at PG&amp;E that will be dedicated to assist with the work of the monitor and address the monitor’s needs…. Please note that the activities of the monitor will likely impact, </w:t>
      </w:r>
      <w:r w:rsidRPr="00EA2521">
        <w:lastRenderedPageBreak/>
        <w:t>to varying degrees, the work of scores of employees across the organization.</w:t>
      </w:r>
      <w:r w:rsidR="009A7021">
        <w:t xml:space="preserve"> </w:t>
      </w:r>
      <w:r w:rsidRPr="00EA2521">
        <w:t xml:space="preserve"> (For example, consider these very comments on the topic.)</w:t>
      </w:r>
    </w:p>
    <w:p w:rsidR="001B3CD0" w:rsidRPr="00EA2521" w:rsidRDefault="001B3CD0" w:rsidP="009A7021">
      <w:pPr>
        <w:pStyle w:val="standard"/>
        <w:spacing w:after="120" w:line="240" w:lineRule="auto"/>
        <w:ind w:left="720" w:right="1440" w:firstLine="0"/>
      </w:pPr>
      <w:r w:rsidRPr="00EA2521">
        <w:t xml:space="preserve">PG&amp;E does not expect the work of those impacted by the activities of the monitor in the course of their regular jobs (such as the author of these comments) to be covered by shareholders. </w:t>
      </w:r>
      <w:r w:rsidR="009A7021">
        <w:t xml:space="preserve"> </w:t>
      </w:r>
      <w:r w:rsidRPr="00EA2521">
        <w:t>Further, it is also possible that the monitor may recommend operational changes or improvements that affect future costs.</w:t>
      </w:r>
    </w:p>
    <w:p w:rsidR="001B3CD0" w:rsidRDefault="001B3CD0" w:rsidP="009A7021">
      <w:pPr>
        <w:pStyle w:val="standard"/>
        <w:spacing w:after="120" w:line="240" w:lineRule="auto"/>
        <w:ind w:left="720" w:right="1440" w:firstLine="0"/>
      </w:pPr>
      <w:r w:rsidRPr="00EA2521">
        <w:t xml:space="preserve">PG&amp;E expects that such costs would be evaluated as would other similar costs in future ratemaking proceedings. </w:t>
      </w:r>
    </w:p>
    <w:p w:rsidR="009A7021" w:rsidRPr="00EA2521" w:rsidRDefault="009A7021" w:rsidP="009A7021">
      <w:pPr>
        <w:pStyle w:val="standard"/>
        <w:spacing w:after="120" w:line="240" w:lineRule="auto"/>
        <w:ind w:left="720" w:right="1440" w:firstLine="0"/>
      </w:pPr>
    </w:p>
    <w:p w:rsidR="001B3CD0" w:rsidRPr="00EA2521" w:rsidRDefault="001B3CD0" w:rsidP="009A7021">
      <w:pPr>
        <w:pStyle w:val="standard"/>
        <w:spacing w:after="120" w:line="240" w:lineRule="auto"/>
        <w:ind w:left="720" w:right="1440" w:firstLine="0"/>
      </w:pPr>
      <w:r w:rsidRPr="00EA2521">
        <w:t xml:space="preserve">With </w:t>
      </w:r>
    </w:p>
    <w:p w:rsidR="002D0CF7" w:rsidRPr="00EA2521" w:rsidRDefault="001B3CD0" w:rsidP="009A7021">
      <w:pPr>
        <w:pStyle w:val="standard"/>
        <w:spacing w:after="120" w:line="240" w:lineRule="auto"/>
        <w:ind w:left="720" w:right="1440" w:firstLine="0"/>
      </w:pPr>
      <w:r w:rsidRPr="00EA2521">
        <w:t xml:space="preserve">CAUSE Opening Comments on PD at 10-11: </w:t>
      </w:r>
    </w:p>
    <w:p w:rsidR="002D0CF7" w:rsidRDefault="001B3CD0" w:rsidP="009A7021">
      <w:pPr>
        <w:pStyle w:val="standard"/>
        <w:spacing w:after="120" w:line="240" w:lineRule="auto"/>
        <w:ind w:left="720" w:right="1440" w:firstLine="0"/>
      </w:pPr>
      <w:r w:rsidRPr="00EA2521">
        <w:t>There should be a rebuttable presumption that costs proximately caused by requirements imposed by the federal monitor will not be recovered in rates. … PG&amp;E may argue that the probation so transforms the company that every cost will increase due to the probation, so this presumption is limited to those costs identifiably and proximately caused by compliance with a s</w:t>
      </w:r>
      <w:r w:rsidR="002D0CF7" w:rsidRPr="00EA2521">
        <w:t>pecific mandate of the Monitor</w:t>
      </w:r>
      <w:r w:rsidR="0021768C">
        <w:t>.</w:t>
      </w:r>
      <w:r w:rsidR="002D0CF7" w:rsidRPr="00EA2521">
        <w:t>”</w:t>
      </w:r>
    </w:p>
    <w:p w:rsidR="001B3CD0" w:rsidRDefault="001B3CD0" w:rsidP="002D0CF7">
      <w:pPr>
        <w:pStyle w:val="standard"/>
        <w:spacing w:after="120" w:line="240" w:lineRule="auto"/>
        <w:ind w:left="720" w:right="720" w:firstLine="0"/>
      </w:pPr>
      <w:r>
        <w:t>(Proposed Decis</w:t>
      </w:r>
      <w:r w:rsidR="002D0CF7">
        <w:t>ion at 4.1.11.1 at 133; D17-05-013</w:t>
      </w:r>
      <w:r w:rsidR="00EA2521">
        <w:t xml:space="preserve"> </w:t>
      </w:r>
      <w:r>
        <w:t>at 131:</w:t>
      </w:r>
    </w:p>
    <w:p w:rsidR="00A64C2E" w:rsidRDefault="001B3CD0" w:rsidP="009A7021">
      <w:pPr>
        <w:pStyle w:val="standard"/>
        <w:spacing w:after="120" w:line="240" w:lineRule="auto"/>
        <w:ind w:left="720" w:right="1440" w:firstLine="0"/>
      </w:pPr>
      <w:r>
        <w:t>The Commission should determine whether or not PG&amp;E intends to seek recovery in rates for the costs that it will incur in connection with the monitorship imposed by the court</w:t>
      </w:r>
      <w:r w:rsidR="002D0CF7">
        <w:t>.</w:t>
      </w:r>
      <w:r>
        <w:t xml:space="preserve"> </w:t>
      </w:r>
      <w:r w:rsidR="002D0CF7">
        <w:t xml:space="preserve"> </w:t>
      </w:r>
      <w:r>
        <w:t>Therefore, PG&amp;E shall include in its comments on this proposed decision a statement that explains its proposed ratemaking treatment for the costs that it will incur in connection with the monitorship imposed by the court. Conclusion 17.</w:t>
      </w:r>
    </w:p>
    <w:p w:rsidR="00A64C2E" w:rsidRDefault="00A64C2E" w:rsidP="00E8478A">
      <w:pPr>
        <w:pStyle w:val="Heading3"/>
        <w:numPr>
          <w:ilvl w:val="2"/>
          <w:numId w:val="4"/>
        </w:numPr>
        <w:tabs>
          <w:tab w:val="clear" w:pos="1620"/>
        </w:tabs>
        <w:ind w:left="2340" w:hanging="900"/>
      </w:pPr>
      <w:bookmarkStart w:id="33" w:name="_Toc509589583"/>
      <w:r>
        <w:t>Discussion</w:t>
      </w:r>
      <w:bookmarkEnd w:id="33"/>
    </w:p>
    <w:p w:rsidR="00A64C2E" w:rsidRDefault="00C53CD3" w:rsidP="00C53CD3">
      <w:pPr>
        <w:pStyle w:val="standard"/>
      </w:pPr>
      <w:r>
        <w:t xml:space="preserve">We deny Rafferty any compensation for substantial contribution to </w:t>
      </w:r>
      <w:r w:rsidR="009A7021">
        <w:br/>
      </w:r>
      <w:r>
        <w:t xml:space="preserve">D.17-05-031 regarding the costs of the federal monitor.  The Commission did not </w:t>
      </w:r>
      <w:r w:rsidR="00721A40">
        <w:t>request input from</w:t>
      </w:r>
      <w:r>
        <w:t xml:space="preserve"> other parties </w:t>
      </w:r>
      <w:r w:rsidR="00721A40">
        <w:t>on</w:t>
      </w:r>
      <w:r>
        <w:t xml:space="preserve"> this matter, and Rafferty’s comments were </w:t>
      </w:r>
      <w:r>
        <w:lastRenderedPageBreak/>
        <w:t>filed on the same day as PG&amp;E’s comments:  since Rafferty did not address PG&amp;E’s response, we can find no contribution to the Commission’s final decision on this matter.</w:t>
      </w:r>
    </w:p>
    <w:p w:rsidR="00A64C2E" w:rsidRDefault="002B2B71" w:rsidP="001B3CD0">
      <w:pPr>
        <w:pStyle w:val="Heading2"/>
      </w:pPr>
      <w:bookmarkStart w:id="34" w:name="_Toc509589584"/>
      <w:r w:rsidRPr="001B3CD0">
        <w:t>Possible Remedy If Post- Settlement Cost Reductions</w:t>
      </w:r>
      <w:r w:rsidR="009A7021">
        <w:t xml:space="preserve"> </w:t>
      </w:r>
      <w:r w:rsidR="009A7021">
        <w:br/>
      </w:r>
      <w:r w:rsidRPr="001B3CD0">
        <w:t>Were Not Reflected In Application</w:t>
      </w:r>
      <w:bookmarkEnd w:id="34"/>
    </w:p>
    <w:p w:rsidR="00721A40" w:rsidRPr="00721A40" w:rsidRDefault="0067748A" w:rsidP="00721A40">
      <w:pPr>
        <w:pStyle w:val="standard"/>
      </w:pPr>
      <w:r>
        <w:t xml:space="preserve">Decision 17-05-013 </w:t>
      </w:r>
      <w:r w:rsidRPr="0067748A">
        <w:t>require</w:t>
      </w:r>
      <w:r>
        <w:t>d</w:t>
      </w:r>
      <w:r w:rsidRPr="0067748A">
        <w:t xml:space="preserve"> PG&amp;E to submit proof that </w:t>
      </w:r>
      <w:r>
        <w:t xml:space="preserve">it would not be </w:t>
      </w:r>
      <w:r w:rsidRPr="0067748A">
        <w:t>collecting in rates any funds rendered unnecessary by $300 million in spending reductions that it announced</w:t>
      </w:r>
      <w:r>
        <w:t>—outside of the context of its GRC application—</w:t>
      </w:r>
      <w:r w:rsidRPr="0067748A">
        <w:t>on January 11, 2017</w:t>
      </w:r>
      <w:r>
        <w:t>.</w:t>
      </w:r>
    </w:p>
    <w:p w:rsidR="00A64C2E" w:rsidRDefault="00A64C2E" w:rsidP="00E8478A">
      <w:pPr>
        <w:pStyle w:val="Heading3"/>
        <w:numPr>
          <w:ilvl w:val="2"/>
          <w:numId w:val="4"/>
        </w:numPr>
        <w:tabs>
          <w:tab w:val="clear" w:pos="1620"/>
        </w:tabs>
        <w:ind w:left="2340" w:hanging="900"/>
      </w:pPr>
      <w:bookmarkStart w:id="35" w:name="_Toc509589585"/>
      <w:r>
        <w:t>Intervenor’s Claimed Contribution</w:t>
      </w:r>
      <w:bookmarkEnd w:id="35"/>
    </w:p>
    <w:p w:rsidR="00AE06CB" w:rsidRDefault="00413FB6" w:rsidP="001B3CD0">
      <w:pPr>
        <w:pStyle w:val="standard"/>
      </w:pPr>
      <w:r>
        <w:t>In his compensation claim, Rafferty</w:t>
      </w:r>
      <w:r w:rsidR="00B7522C" w:rsidRPr="00A64C2E">
        <w:t xml:space="preserve"> </w:t>
      </w:r>
      <w:r>
        <w:t>noted</w:t>
      </w:r>
      <w:r w:rsidR="00B7522C">
        <w:t xml:space="preserve"> that </w:t>
      </w:r>
      <w:r w:rsidR="00AE06CB">
        <w:t>t</w:t>
      </w:r>
      <w:r w:rsidR="001B3CD0">
        <w:t xml:space="preserve">he proposed decision raised another issue outside of the settlement: </w:t>
      </w:r>
      <w:r w:rsidR="009A7021">
        <w:t xml:space="preserve"> </w:t>
      </w:r>
      <w:r w:rsidR="001B3CD0">
        <w:t xml:space="preserve">PG&amp;E’s decision to cut </w:t>
      </w:r>
      <w:r w:rsidR="009A7021">
        <w:br/>
      </w:r>
      <w:r w:rsidR="001B3CD0">
        <w:t>$300 million in expenses after the settlement was ag</w:t>
      </w:r>
      <w:r w:rsidR="00AE06CB">
        <w:t>reed but before it is approved.</w:t>
      </w:r>
    </w:p>
    <w:p w:rsidR="00A64C2E" w:rsidRDefault="00413FB6" w:rsidP="001B3CD0">
      <w:pPr>
        <w:pStyle w:val="standard"/>
      </w:pPr>
      <w:r>
        <w:t>Rafferty states that “a</w:t>
      </w:r>
      <w:r w:rsidR="001B3CD0">
        <w:t xml:space="preserve">gain, CAUSE </w:t>
      </w:r>
      <w:r w:rsidR="00AE06CB">
        <w:t>believes</w:t>
      </w:r>
      <w:r w:rsidR="001B3CD0">
        <w:t xml:space="preserve"> it was the only intervenor to comment. </w:t>
      </w:r>
      <w:r w:rsidR="00AE06CB">
        <w:t xml:space="preserve"> </w:t>
      </w:r>
      <w:r w:rsidR="001B3CD0">
        <w:t>Although the final decision did not alter the discussion of this issue or cite any of the partie</w:t>
      </w:r>
      <w:r w:rsidR="00AE06CB">
        <w:t>s’ comments, it did strengthen C</w:t>
      </w:r>
      <w:r w:rsidR="001B3CD0">
        <w:t xml:space="preserve">onclusion of </w:t>
      </w:r>
      <w:r w:rsidR="00AE06CB">
        <w:t>L</w:t>
      </w:r>
      <w:r w:rsidR="001B3CD0">
        <w:t>aw 15, consistent with CAUSE’s recommendation, by committing the Commission to take remedial action if necessary.</w:t>
      </w:r>
      <w:r>
        <w:t>”</w:t>
      </w:r>
    </w:p>
    <w:p w:rsidR="00A64C2E" w:rsidRDefault="00A64C2E" w:rsidP="00E8478A">
      <w:pPr>
        <w:pStyle w:val="Heading3"/>
        <w:numPr>
          <w:ilvl w:val="2"/>
          <w:numId w:val="4"/>
        </w:numPr>
        <w:tabs>
          <w:tab w:val="clear" w:pos="1620"/>
        </w:tabs>
        <w:ind w:left="2340" w:hanging="900"/>
      </w:pPr>
      <w:bookmarkStart w:id="36" w:name="_Toc509589586"/>
      <w:r>
        <w:t xml:space="preserve">Specific References to Intervenor’s </w:t>
      </w:r>
      <w:r w:rsidR="009A7021">
        <w:br/>
      </w:r>
      <w:r>
        <w:t>Claimed Contribution</w:t>
      </w:r>
      <w:bookmarkEnd w:id="36"/>
    </w:p>
    <w:p w:rsidR="00C3736E" w:rsidRPr="002D0CF7" w:rsidRDefault="00C3736E" w:rsidP="00C3736E">
      <w:pPr>
        <w:pStyle w:val="standard"/>
      </w:pPr>
      <w:r>
        <w:t xml:space="preserve">Rafferty provides the following references to support his claims of substantial contribution to D.17-05-013 regarding the </w:t>
      </w:r>
      <w:r w:rsidRPr="00C3736E">
        <w:t xml:space="preserve">possible remedy if </w:t>
      </w:r>
      <w:r w:rsidR="009A7021">
        <w:br/>
      </w:r>
      <w:r w:rsidRPr="00C3736E">
        <w:t xml:space="preserve">post- settlement cost reductions were not reflected </w:t>
      </w:r>
      <w:r w:rsidRPr="00413FB6">
        <w:t>in application</w:t>
      </w:r>
      <w:r>
        <w:t>:</w:t>
      </w:r>
    </w:p>
    <w:p w:rsidR="00C3736E" w:rsidRDefault="00C3736E" w:rsidP="00E8478A">
      <w:pPr>
        <w:pStyle w:val="standard"/>
        <w:numPr>
          <w:ilvl w:val="0"/>
          <w:numId w:val="9"/>
        </w:numPr>
        <w:spacing w:after="120" w:line="240" w:lineRule="auto"/>
      </w:pPr>
      <w:r>
        <w:t xml:space="preserve">CAUSE Opening Comments on the PD at 13: </w:t>
      </w:r>
    </w:p>
    <w:p w:rsidR="00C3736E" w:rsidRDefault="00C3736E" w:rsidP="009A7021">
      <w:pPr>
        <w:pStyle w:val="standard"/>
        <w:spacing w:after="120" w:line="240" w:lineRule="auto"/>
        <w:ind w:left="1080" w:right="1440" w:firstLine="0"/>
      </w:pPr>
      <w:r>
        <w:lastRenderedPageBreak/>
        <w:t xml:space="preserve">The proposed revenue requirement should be reduced to any extent that it includes any of the $300 million in cost savings that PG&amp;E subsequently announced. </w:t>
      </w:r>
    </w:p>
    <w:p w:rsidR="00C3736E" w:rsidRDefault="00C3736E" w:rsidP="009A7021">
      <w:pPr>
        <w:pStyle w:val="standard"/>
        <w:spacing w:after="120" w:line="240" w:lineRule="auto"/>
        <w:ind w:left="1080" w:right="1440" w:firstLine="0"/>
      </w:pPr>
      <w:r>
        <w:t>CAUSE expects to reply to any explanation that PG&amp;E offers in its comments regarding the relationship between the reported costs, on the basis of which TURN and ORA negotiated the overall revenue requirement and the savings announced to the press on January 11, 2017</w:t>
      </w:r>
      <w:r w:rsidRPr="00413FB6">
        <w:t>.</w:t>
      </w:r>
      <w:r w:rsidR="00413FB6" w:rsidRPr="00413FB6">
        <w:t xml:space="preserve">  </w:t>
      </w:r>
      <w:r w:rsidRPr="009A7021">
        <w:rPr>
          <w:i/>
        </w:rPr>
        <w:t xml:space="preserve">See </w:t>
      </w:r>
      <w:r w:rsidRPr="00413FB6">
        <w:t xml:space="preserve">discussion PD at 126, ff.; </w:t>
      </w:r>
      <w:r w:rsidR="00413FB6" w:rsidRPr="00413FB6">
        <w:t xml:space="preserve"> </w:t>
      </w:r>
      <w:r w:rsidRPr="00413FB6">
        <w:t>Ordering Clauses 4-6 at 221-222.</w:t>
      </w:r>
      <w:r w:rsidR="006D13F7">
        <w:rPr>
          <w:rStyle w:val="FootnoteReference"/>
        </w:rPr>
        <w:footnoteReference w:id="28"/>
      </w:r>
    </w:p>
    <w:p w:rsidR="00C3736E" w:rsidRDefault="00C3736E" w:rsidP="00E8478A">
      <w:pPr>
        <w:pStyle w:val="standard"/>
        <w:numPr>
          <w:ilvl w:val="0"/>
          <w:numId w:val="9"/>
        </w:numPr>
        <w:spacing w:after="120" w:line="240" w:lineRule="auto"/>
      </w:pPr>
      <w:r>
        <w:t>D.17-05-013, Ordering Clause 15, at 245: 15.</w:t>
      </w:r>
    </w:p>
    <w:p w:rsidR="00A64C2E" w:rsidRDefault="00C3736E" w:rsidP="009A7021">
      <w:pPr>
        <w:pStyle w:val="standard"/>
        <w:spacing w:after="120" w:line="240" w:lineRule="auto"/>
        <w:ind w:left="1080" w:right="1440" w:firstLine="0"/>
      </w:pPr>
      <w:r>
        <w:t>PG&amp;E should demonstrate to the Commission that it will not collect in rates any funds rendered unnecessary by the $300 million in spending reductions that it announced on January 11, 2017 and the Commission should require PG&amp;E to take remedial action if it fails to do so.</w:t>
      </w:r>
    </w:p>
    <w:p w:rsidR="00A64C2E" w:rsidRDefault="00A64C2E" w:rsidP="00E8478A">
      <w:pPr>
        <w:pStyle w:val="Heading3"/>
        <w:numPr>
          <w:ilvl w:val="2"/>
          <w:numId w:val="4"/>
        </w:numPr>
        <w:tabs>
          <w:tab w:val="clear" w:pos="1620"/>
        </w:tabs>
        <w:ind w:left="2340" w:hanging="900"/>
      </w:pPr>
      <w:bookmarkStart w:id="37" w:name="_Toc509589587"/>
      <w:r>
        <w:t>Discussion</w:t>
      </w:r>
      <w:bookmarkEnd w:id="37"/>
    </w:p>
    <w:p w:rsidR="00A64C2E" w:rsidRDefault="00AE362E" w:rsidP="005F0B65">
      <w:pPr>
        <w:pStyle w:val="standard"/>
      </w:pPr>
      <w:r w:rsidRPr="000C61A2">
        <w:t xml:space="preserve">The timesheets submitted with Rafferty’s compensation request identify a total of 10.5 hours spent preparing “separate opening comments” on the PD (March 17 and 18, 2017).  We find that Rafferty should be compensated for </w:t>
      </w:r>
      <w:r w:rsidR="005F0B65" w:rsidRPr="000C61A2">
        <w:t>one-quarter of these</w:t>
      </w:r>
      <w:r w:rsidRPr="000C61A2">
        <w:t xml:space="preserve"> hours</w:t>
      </w:r>
      <w:r w:rsidR="005F0B65" w:rsidRPr="000C61A2">
        <w:t xml:space="preserve"> for the portion of the comments that addressed PG&amp;E’s $300 million spending reduction</w:t>
      </w:r>
      <w:r w:rsidRPr="000C61A2">
        <w:t>.</w:t>
      </w:r>
      <w:r w:rsidR="000C61A2" w:rsidRPr="000C61A2">
        <w:t xml:space="preserve">  We round that value to 2.5 hours.</w:t>
      </w:r>
    </w:p>
    <w:p w:rsidR="001B3CD0" w:rsidRDefault="002B2B71" w:rsidP="001B3CD0">
      <w:pPr>
        <w:pStyle w:val="Heading2"/>
      </w:pPr>
      <w:bookmarkStart w:id="38" w:name="_Toc509589588"/>
      <w:r w:rsidRPr="001B3CD0">
        <w:t xml:space="preserve">Standard </w:t>
      </w:r>
      <w:r w:rsidR="00411FC8" w:rsidRPr="001B3CD0">
        <w:t>for</w:t>
      </w:r>
      <w:r w:rsidRPr="001B3CD0">
        <w:t xml:space="preserve"> Evaluating Settlements</w:t>
      </w:r>
      <w:bookmarkEnd w:id="38"/>
    </w:p>
    <w:p w:rsidR="00CD32DA" w:rsidRDefault="00CD32DA" w:rsidP="00CD32DA">
      <w:pPr>
        <w:pStyle w:val="standard"/>
      </w:pPr>
      <w:r>
        <w:t>The PD of the ALJ in this proceeding was mailed for public comment on February 27, 2017.  The PD approved the comprehensive Settlement Agreement in the proceeding, with several modifications of provisions of the Settlement Agreement found to be either not reasonable in light of the whole record, not consistent with law, or not in the public interest.</w:t>
      </w:r>
      <w:r w:rsidR="00BB217E">
        <w:t xml:space="preserve"> </w:t>
      </w:r>
      <w:r>
        <w:t xml:space="preserve"> The PD also resolved two </w:t>
      </w:r>
      <w:r>
        <w:lastRenderedPageBreak/>
        <w:t xml:space="preserve">contested issues.  On </w:t>
      </w:r>
      <w:r w:rsidRPr="00CD32DA">
        <w:t>March 20, 2017</w:t>
      </w:r>
      <w:r>
        <w:t xml:space="preserve"> CAUSE (Rafferty), the Alliance for Nuclear Responsibility, and the remaining settling parties each filed comments addressing </w:t>
      </w:r>
      <w:r w:rsidRPr="00CD32DA">
        <w:t xml:space="preserve">the </w:t>
      </w:r>
      <w:r>
        <w:t xml:space="preserve">Commission’s </w:t>
      </w:r>
      <w:r w:rsidRPr="00CD32DA">
        <w:t>standard for evaluating settlements</w:t>
      </w:r>
      <w:r>
        <w:t>.</w:t>
      </w:r>
    </w:p>
    <w:p w:rsidR="001B3CD0" w:rsidRDefault="001B3CD0" w:rsidP="00E8478A">
      <w:pPr>
        <w:pStyle w:val="Heading3"/>
        <w:numPr>
          <w:ilvl w:val="2"/>
          <w:numId w:val="4"/>
        </w:numPr>
        <w:tabs>
          <w:tab w:val="clear" w:pos="1620"/>
        </w:tabs>
        <w:ind w:left="2340" w:hanging="900"/>
      </w:pPr>
      <w:bookmarkStart w:id="39" w:name="_Toc509589589"/>
      <w:r>
        <w:t>Intervenor’s Claimed Contribution</w:t>
      </w:r>
      <w:bookmarkEnd w:id="39"/>
    </w:p>
    <w:p w:rsidR="001B3CD0" w:rsidRDefault="0092762D" w:rsidP="001B3CD0">
      <w:pPr>
        <w:pStyle w:val="standard"/>
      </w:pPr>
      <w:r>
        <w:t>Rafferty</w:t>
      </w:r>
      <w:r w:rsidR="001B3CD0" w:rsidRPr="00A64C2E">
        <w:t xml:space="preserve"> </w:t>
      </w:r>
      <w:r w:rsidR="001B3CD0">
        <w:t>asserts that</w:t>
      </w:r>
      <w:r w:rsidR="00FE1A20">
        <w:t xml:space="preserve"> he</w:t>
      </w:r>
      <w:r w:rsidR="001B3CD0">
        <w:t xml:space="preserve"> participated in the research and drafting of the joint comments on the PD with regard to the standard for considering settlements and proposing modifications</w:t>
      </w:r>
      <w:r w:rsidR="00FE1A20">
        <w:t>, but that “t</w:t>
      </w:r>
      <w:r w:rsidR="001B3CD0">
        <w:t>he settlement privilege precludes disclosure of the substance of these contributions</w:t>
      </w:r>
      <w:r w:rsidR="00067DDB">
        <w:t>.</w:t>
      </w:r>
      <w:r w:rsidR="00FE1A20">
        <w:t>”</w:t>
      </w:r>
      <w:r w:rsidR="00BB217E">
        <w:t xml:space="preserve"> </w:t>
      </w:r>
      <w:r w:rsidR="001B3CD0">
        <w:t xml:space="preserve"> </w:t>
      </w:r>
      <w:r>
        <w:t>Rafferty</w:t>
      </w:r>
      <w:r w:rsidRPr="00A64C2E">
        <w:t xml:space="preserve"> </w:t>
      </w:r>
      <w:r w:rsidR="00FE1A20">
        <w:t>further asserts that “u</w:t>
      </w:r>
      <w:r w:rsidR="001B3CD0">
        <w:t>ltimately, CAUSE filed separately and was the only party to support the authority of the Commission to modify a proposed settlement in order to make it</w:t>
      </w:r>
      <w:r w:rsidR="00FE1A20">
        <w:t xml:space="preserve"> conform to the public interest</w:t>
      </w:r>
      <w:r w:rsidR="00067DDB">
        <w:t>.</w:t>
      </w:r>
      <w:r w:rsidR="00FE1A20">
        <w:t>”</w:t>
      </w:r>
    </w:p>
    <w:p w:rsidR="001B3CD0" w:rsidRPr="002D6C37" w:rsidRDefault="0092762D" w:rsidP="001B3CD0">
      <w:pPr>
        <w:pStyle w:val="standard"/>
      </w:pPr>
      <w:r w:rsidRPr="002D6C37">
        <w:t>Rafferty states that “</w:t>
      </w:r>
      <w:r w:rsidR="001B3CD0" w:rsidRPr="002D6C37">
        <w:t>CAUSE has carefully adjusted the hours to exclude any time spent arguing that the utility should be made whole for the costs of any modification in order “to preserve the fundamental bargain,” which the decision (at 223) criticized. In the context of certain settlement processes, it is possible to calculate a revenue adjustment to meet the costs faced by a utility to fulfill a modification in a manner that does not unduly prejudice the legitimate expectations of other parties.</w:t>
      </w:r>
      <w:r w:rsidR="002D6C37" w:rsidRPr="002D6C37">
        <w:t>”</w:t>
      </w:r>
    </w:p>
    <w:p w:rsidR="001B3CD0" w:rsidRPr="002D6C37" w:rsidRDefault="001B3CD0" w:rsidP="001B3CD0">
      <w:pPr>
        <w:pStyle w:val="standard"/>
      </w:pPr>
      <w:r w:rsidRPr="002D6C37">
        <w:t>This argument was mooted by PG&amp;E’s acceptance of the modification.</w:t>
      </w:r>
    </w:p>
    <w:p w:rsidR="001B3CD0" w:rsidRDefault="001B3CD0" w:rsidP="00E8478A">
      <w:pPr>
        <w:pStyle w:val="Heading3"/>
        <w:numPr>
          <w:ilvl w:val="2"/>
          <w:numId w:val="4"/>
        </w:numPr>
        <w:tabs>
          <w:tab w:val="clear" w:pos="1620"/>
        </w:tabs>
        <w:ind w:left="2340" w:hanging="900"/>
      </w:pPr>
      <w:bookmarkStart w:id="40" w:name="_Toc509589590"/>
      <w:r>
        <w:t xml:space="preserve">Specific References to Intervenor’s </w:t>
      </w:r>
      <w:r w:rsidR="00BB217E">
        <w:br/>
      </w:r>
      <w:r>
        <w:t>Claimed Contribution</w:t>
      </w:r>
      <w:bookmarkEnd w:id="40"/>
    </w:p>
    <w:p w:rsidR="007657F9" w:rsidRDefault="00FE1A20" w:rsidP="00E8478A">
      <w:pPr>
        <w:pStyle w:val="standard"/>
        <w:numPr>
          <w:ilvl w:val="0"/>
          <w:numId w:val="9"/>
        </w:numPr>
        <w:spacing w:after="120" w:line="240" w:lineRule="auto"/>
      </w:pPr>
      <w:r>
        <w:t>D.17-05-013 at 217</w:t>
      </w:r>
    </w:p>
    <w:p w:rsidR="007657F9" w:rsidRDefault="007657F9" w:rsidP="00BB217E">
      <w:pPr>
        <w:pStyle w:val="standard"/>
        <w:spacing w:after="120" w:line="240" w:lineRule="auto"/>
        <w:ind w:left="1080" w:right="1440" w:firstLine="0"/>
      </w:pPr>
      <w:r>
        <w:t>CAUSE states that the Commission should clarify the standards that it will use to evaluate settlements, especially those reached prior to a full evidentiary hearing, to articulate more clearly when modifications are appropriate.</w:t>
      </w:r>
    </w:p>
    <w:p w:rsidR="00FE1A20" w:rsidRDefault="00FE1A20" w:rsidP="00E8478A">
      <w:pPr>
        <w:pStyle w:val="standard"/>
        <w:numPr>
          <w:ilvl w:val="0"/>
          <w:numId w:val="9"/>
        </w:numPr>
        <w:spacing w:after="120" w:line="240" w:lineRule="auto"/>
      </w:pPr>
      <w:r>
        <w:t>D.17-05-013 at 220-223</w:t>
      </w:r>
    </w:p>
    <w:p w:rsidR="007657F9" w:rsidRDefault="007657F9" w:rsidP="00BB217E">
      <w:pPr>
        <w:pStyle w:val="standard"/>
        <w:spacing w:after="120" w:line="240" w:lineRule="auto"/>
        <w:ind w:left="1080" w:right="1440" w:firstLine="0"/>
      </w:pPr>
      <w:r>
        <w:lastRenderedPageBreak/>
        <w:t>[The entire discussion (at 220-223) of the standard proposed by the joint parties and by A4NR implicitly adopts the most essential position of CAUSE, that the Commission can evaluate an individual provision for conformity with the public interest and propose modifications without regard to the benefits of the settlement as a whole. Furthermore, the discussion avoids citing precedents advocated by the settling parties but criticized by CAUSE, such as those comparing the standard with review of federal class action settlements]</w:t>
      </w:r>
    </w:p>
    <w:p w:rsidR="007657F9" w:rsidRDefault="00FE1A20" w:rsidP="00E8478A">
      <w:pPr>
        <w:pStyle w:val="standard"/>
        <w:numPr>
          <w:ilvl w:val="0"/>
          <w:numId w:val="9"/>
        </w:numPr>
        <w:spacing w:after="120" w:line="240" w:lineRule="auto"/>
      </w:pPr>
      <w:r>
        <w:t>D.17-05-013 at 223-224</w:t>
      </w:r>
    </w:p>
    <w:p w:rsidR="001B3CD0" w:rsidRDefault="007657F9" w:rsidP="00BB217E">
      <w:pPr>
        <w:pStyle w:val="standard"/>
        <w:spacing w:after="120" w:line="240" w:lineRule="auto"/>
        <w:ind w:left="1080" w:right="1440" w:firstLine="0"/>
      </w:pPr>
      <w:r>
        <w:t xml:space="preserve">In comments on the PD, CAUSE agrees with the other settling parties that the Commission should not evaluate reasonableness issue by issue. </w:t>
      </w:r>
      <w:r w:rsidR="00BB217E">
        <w:t xml:space="preserve"> </w:t>
      </w:r>
      <w:r>
        <w:t>However, CAUSE also argues that the Commission should modify any single provision that, as proposed, contravenes the public interest, interest, “ideally doing so with any adjustments necessary to preserve the fundamental bargain that the parties sought.”</w:t>
      </w:r>
      <w:r w:rsidR="00067DDB">
        <w:t>[citing CAUSE Opening Comments at 5]</w:t>
      </w:r>
    </w:p>
    <w:p w:rsidR="001B3CD0" w:rsidRDefault="001B3CD0" w:rsidP="00E8478A">
      <w:pPr>
        <w:pStyle w:val="Heading3"/>
        <w:numPr>
          <w:ilvl w:val="2"/>
          <w:numId w:val="4"/>
        </w:numPr>
        <w:tabs>
          <w:tab w:val="clear" w:pos="1620"/>
        </w:tabs>
        <w:ind w:left="2340" w:hanging="900"/>
      </w:pPr>
      <w:bookmarkStart w:id="41" w:name="_Toc509589591"/>
      <w:r>
        <w:t>Discussion</w:t>
      </w:r>
      <w:bookmarkEnd w:id="41"/>
    </w:p>
    <w:p w:rsidR="00CD32DA" w:rsidRDefault="00CD32DA" w:rsidP="006124D1">
      <w:pPr>
        <w:pStyle w:val="standard"/>
      </w:pPr>
      <w:r>
        <w:t xml:space="preserve">Rafferty’s citations to D.17-05-013 are incomplete and omit the portions of the decision that state that Rafferty’s comments on the PD are not convincing.  First, at the beginning of the section discussing parties’ comments regarding </w:t>
      </w:r>
      <w:r w:rsidR="00DF4439">
        <w:t xml:space="preserve">the Commission’s standard for review of settlements </w:t>
      </w:r>
      <w:r>
        <w:t xml:space="preserve">the Commission states </w:t>
      </w:r>
      <w:r w:rsidR="00DF4439">
        <w:t>“as explained below, the comments and reply comments on the Commission’s standard for review of settlements offer no compelling reasons to change [the PD or] the APD</w:t>
      </w:r>
      <w:r w:rsidR="0050407B">
        <w:t>.</w:t>
      </w:r>
      <w:r w:rsidR="00DF4439">
        <w:t>”</w:t>
      </w:r>
      <w:r w:rsidR="00DF4439">
        <w:rPr>
          <w:rStyle w:val="FootnoteReference"/>
        </w:rPr>
        <w:footnoteReference w:id="29"/>
      </w:r>
      <w:r w:rsidR="006124D1">
        <w:t xml:space="preserve">  Second, in a later discussion of CAUSE’s specific comments, the Commission states “w</w:t>
      </w:r>
      <w:r w:rsidR="006124D1" w:rsidRPr="006124D1">
        <w:t>e have explained above why we di</w:t>
      </w:r>
      <w:r w:rsidR="006124D1">
        <w:t>sagree with CAUSE’s first point” and “we find CAUSE’s suggestion in this regard [</w:t>
      </w:r>
      <w:r w:rsidR="002B6DDB">
        <w:t xml:space="preserve">supporting </w:t>
      </w:r>
      <w:r w:rsidR="006124D1">
        <w:lastRenderedPageBreak/>
        <w:t>modification of single provisions</w:t>
      </w:r>
      <w:r w:rsidR="002B6DDB">
        <w:t xml:space="preserve"> of a settlement</w:t>
      </w:r>
      <w:r w:rsidR="006124D1">
        <w:t xml:space="preserve">, as the PD and the APD have done, but in a manner that preserves the </w:t>
      </w:r>
      <w:r w:rsidR="002B6DDB">
        <w:t>‘</w:t>
      </w:r>
      <w:r w:rsidR="006124D1">
        <w:t>fundamental bargain</w:t>
      </w:r>
      <w:r w:rsidR="002B6DDB">
        <w:t>’</w:t>
      </w:r>
      <w:r w:rsidR="006124D1">
        <w:t xml:space="preserve"> of the settlement] impractical and inconsistent with our Rules</w:t>
      </w:r>
      <w:r w:rsidR="0050407B">
        <w:t>.</w:t>
      </w:r>
      <w:r w:rsidR="006124D1">
        <w:t>”</w:t>
      </w:r>
      <w:r w:rsidR="006124D1">
        <w:rPr>
          <w:rStyle w:val="FootnoteReference"/>
        </w:rPr>
        <w:footnoteReference w:id="30"/>
      </w:r>
    </w:p>
    <w:p w:rsidR="00FA66DF" w:rsidRPr="00CD32DA" w:rsidRDefault="00FA66DF" w:rsidP="006124D1">
      <w:pPr>
        <w:pStyle w:val="standard"/>
      </w:pPr>
      <w:r>
        <w:t xml:space="preserve">We find that the Commission did not adopt Rafferty’s recommendations regarding </w:t>
      </w:r>
      <w:r w:rsidRPr="00FA66DF">
        <w:t>the Commission’s standard for evaluating settlements</w:t>
      </w:r>
      <w:r>
        <w:t xml:space="preserve"> in D.17-05-013, either in whole or in part.  </w:t>
      </w:r>
      <w:r w:rsidRPr="00FA66DF">
        <w:t xml:space="preserve">In the absence of a substantial contribution, Rafferty’s claim for intervenor compensation on </w:t>
      </w:r>
      <w:r>
        <w:t>this matter</w:t>
      </w:r>
      <w:r w:rsidRPr="00FA66DF">
        <w:t xml:space="preserve"> must be denied.  </w:t>
      </w:r>
    </w:p>
    <w:p w:rsidR="001B3CD0" w:rsidRDefault="002B2B71" w:rsidP="007657F9">
      <w:pPr>
        <w:pStyle w:val="Heading2"/>
      </w:pPr>
      <w:bookmarkStart w:id="42" w:name="_Toc509589592"/>
      <w:r w:rsidRPr="007657F9">
        <w:t xml:space="preserve">Catalyst for Acceptance </w:t>
      </w:r>
      <w:r w:rsidR="00060366" w:rsidRPr="007657F9">
        <w:t>of</w:t>
      </w:r>
      <w:r w:rsidRPr="007657F9">
        <w:t xml:space="preserve"> Modifications</w:t>
      </w:r>
      <w:bookmarkEnd w:id="42"/>
    </w:p>
    <w:p w:rsidR="00060366" w:rsidRPr="00060366" w:rsidRDefault="00060366" w:rsidP="008312C2">
      <w:pPr>
        <w:pStyle w:val="standard"/>
      </w:pPr>
      <w:r>
        <w:t xml:space="preserve">The PD and APD, as well as D.17-05-013, </w:t>
      </w:r>
      <w:r w:rsidR="008312C2">
        <w:t xml:space="preserve">included an order that Settling Parties shall have 15 days from the date of  the final decision to file and serve  a “Notice To Accept PG&amp;E’s Adopted Test Year 2017 Revenue Requirement,” or to file a “Motion Requesting Other Relief.”  In comments filed on the APD, Settling Parties </w:t>
      </w:r>
      <w:r w:rsidR="00754D95">
        <w:t xml:space="preserve">suggested </w:t>
      </w:r>
      <w:r w:rsidR="008312C2">
        <w:t>that</w:t>
      </w:r>
      <w:r w:rsidR="00754D95">
        <w:t xml:space="preserve"> the Commission adopt several “</w:t>
      </w:r>
      <w:r w:rsidR="00754D95" w:rsidRPr="00754D95">
        <w:t>alternative provisions</w:t>
      </w:r>
      <w:r w:rsidR="00754D95">
        <w:t>”</w:t>
      </w:r>
      <w:r w:rsidR="00754D95" w:rsidRPr="00754D95">
        <w:t xml:space="preserve"> that address the </w:t>
      </w:r>
      <w:r w:rsidR="00754D95">
        <w:t>certain</w:t>
      </w:r>
      <w:r w:rsidR="00754D95" w:rsidRPr="00754D95">
        <w:t xml:space="preserve"> concerns raised in the APD</w:t>
      </w:r>
      <w:r w:rsidR="00754D95">
        <w:t xml:space="preserve"> and stated that “</w:t>
      </w:r>
      <w:r w:rsidR="00754D95" w:rsidRPr="00754D95">
        <w:t xml:space="preserve">if the proposed alternative provisions in these Opening Comments are adopted, the Settling Parties hereby represent that there would be no need for the </w:t>
      </w:r>
      <w:r w:rsidR="00754D95">
        <w:t>‘</w:t>
      </w:r>
      <w:r w:rsidR="00754D95" w:rsidRPr="00754D95">
        <w:t>Notice of Acceptance</w:t>
      </w:r>
      <w:r w:rsidR="00754D95">
        <w:t>’</w:t>
      </w:r>
      <w:r w:rsidR="00754D95" w:rsidRPr="00754D95">
        <w:t xml:space="preserve"> or </w:t>
      </w:r>
      <w:r w:rsidR="00754D95">
        <w:t>‘</w:t>
      </w:r>
      <w:r w:rsidR="00754D95" w:rsidRPr="00754D95">
        <w:t>Motion for Other Relief</w:t>
      </w:r>
      <w:r w:rsidR="00754D95">
        <w:t xml:space="preserve">’ required in the APD.  </w:t>
      </w:r>
      <w:r w:rsidR="000E0C81">
        <w:t xml:space="preserve">In </w:t>
      </w:r>
      <w:r w:rsidR="00754D95">
        <w:t>D.17-05-013</w:t>
      </w:r>
      <w:r w:rsidR="000E0C81">
        <w:t xml:space="preserve"> the Commission adopted one of the two suggestions.  The Settling Parties filed and served the required </w:t>
      </w:r>
      <w:r w:rsidR="000E0C81" w:rsidRPr="000E0C81">
        <w:t>“Notice to Accept Alternative Terms to the August 3, 2016 Settlement Agreement”</w:t>
      </w:r>
      <w:r w:rsidR="000E0C81">
        <w:t xml:space="preserve"> on </w:t>
      </w:r>
      <w:r w:rsidR="000E0C81" w:rsidRPr="000E0C81">
        <w:t>May 26, 2017</w:t>
      </w:r>
      <w:r w:rsidR="000E0C81">
        <w:t>.</w:t>
      </w:r>
    </w:p>
    <w:p w:rsidR="001B3CD0" w:rsidRDefault="001B3CD0" w:rsidP="00E8478A">
      <w:pPr>
        <w:pStyle w:val="Heading3"/>
        <w:numPr>
          <w:ilvl w:val="2"/>
          <w:numId w:val="4"/>
        </w:numPr>
        <w:tabs>
          <w:tab w:val="clear" w:pos="1620"/>
        </w:tabs>
        <w:ind w:left="2340" w:hanging="900"/>
      </w:pPr>
      <w:bookmarkStart w:id="43" w:name="_Toc509589593"/>
      <w:r>
        <w:t>Intervenor’s Claimed Contribution</w:t>
      </w:r>
      <w:bookmarkEnd w:id="43"/>
    </w:p>
    <w:p w:rsidR="0021768C" w:rsidRDefault="00442B9F">
      <w:pPr>
        <w:pStyle w:val="standard"/>
      </w:pPr>
      <w:r>
        <w:t>Rafferty</w:t>
      </w:r>
      <w:r w:rsidR="001B3CD0" w:rsidRPr="00A64C2E">
        <w:t xml:space="preserve"> </w:t>
      </w:r>
      <w:r w:rsidR="001B3CD0">
        <w:t>asserts that he</w:t>
      </w:r>
      <w:r w:rsidR="001B3CD0" w:rsidRPr="00A64C2E">
        <w:t xml:space="preserve"> </w:t>
      </w:r>
      <w:r w:rsidR="007657F9">
        <w:t xml:space="preserve">indicated that </w:t>
      </w:r>
      <w:r w:rsidR="00B86008">
        <w:t>he</w:t>
      </w:r>
      <w:r w:rsidR="007657F9">
        <w:t xml:space="preserve"> would accept the proposed modifications in the proposed</w:t>
      </w:r>
      <w:r w:rsidR="00987628">
        <w:t xml:space="preserve"> </w:t>
      </w:r>
      <w:r w:rsidR="007657F9">
        <w:t>decision PD as an alternative to the settlement</w:t>
      </w:r>
      <w:r w:rsidR="00067DDB">
        <w:t>:</w:t>
      </w:r>
      <w:r w:rsidR="007657F9">
        <w:t xml:space="preserve"> </w:t>
      </w:r>
    </w:p>
    <w:p w:rsidR="007657F9" w:rsidRDefault="007657F9" w:rsidP="007C70C1">
      <w:pPr>
        <w:pStyle w:val="standard"/>
        <w:spacing w:after="240" w:line="240" w:lineRule="auto"/>
        <w:ind w:left="720" w:right="720" w:firstLine="0"/>
      </w:pPr>
      <w:r>
        <w:lastRenderedPageBreak/>
        <w:t xml:space="preserve"> Although this was strongly criticized by PG&amp;E initially (as noted in the decision), CAUSE did not abrogate the settlement.  It simply indicated that it would accept the modifications in the alter</w:t>
      </w:r>
      <w:r w:rsidR="002E1F8A">
        <w:t>n</w:t>
      </w:r>
      <w:r>
        <w:t>ative without seeking additional relief.</w:t>
      </w:r>
    </w:p>
    <w:p w:rsidR="007657F9" w:rsidRPr="000E0C81" w:rsidRDefault="007657F9" w:rsidP="007C70C1">
      <w:pPr>
        <w:pStyle w:val="standard"/>
        <w:spacing w:after="240" w:line="240" w:lineRule="auto"/>
        <w:ind w:left="720" w:right="720" w:firstLine="0"/>
      </w:pPr>
      <w:r>
        <w:t>This is precisely what PG&amp;E and other settling parties did after the alternative proposed decision (APD</w:t>
      </w:r>
      <w:r w:rsidRPr="000E0C81">
        <w:t xml:space="preserve">). </w:t>
      </w:r>
      <w:r w:rsidR="0009474E">
        <w:t xml:space="preserve"> </w:t>
      </w:r>
      <w:r w:rsidRPr="000E0C81">
        <w:t xml:space="preserve">CAUSE’s position had a catalytic effect, which is a basis for inclusion in </w:t>
      </w:r>
      <w:r w:rsidRPr="006670FF">
        <w:t>its IC claim</w:t>
      </w:r>
      <w:r w:rsidRPr="000E0C81">
        <w:t>.</w:t>
      </w:r>
    </w:p>
    <w:p w:rsidR="001B3CD0" w:rsidRDefault="007657F9" w:rsidP="007C70C1">
      <w:pPr>
        <w:pStyle w:val="standard"/>
        <w:spacing w:after="240" w:line="240" w:lineRule="auto"/>
        <w:ind w:left="720" w:right="720" w:firstLine="0"/>
      </w:pPr>
      <w:r w:rsidRPr="000E0C81">
        <w:t>CAUSE also participated very actively in the preparation of the joint comments on the APD, which it adopted in its entirety</w:t>
      </w:r>
      <w:r w:rsidR="001B3CD0" w:rsidRPr="000E0C81">
        <w:t>.</w:t>
      </w:r>
    </w:p>
    <w:p w:rsidR="001B3CD0" w:rsidRDefault="001B3CD0" w:rsidP="00E8478A">
      <w:pPr>
        <w:pStyle w:val="Heading3"/>
        <w:numPr>
          <w:ilvl w:val="2"/>
          <w:numId w:val="4"/>
        </w:numPr>
        <w:tabs>
          <w:tab w:val="clear" w:pos="1620"/>
        </w:tabs>
        <w:ind w:left="2340" w:hanging="900"/>
      </w:pPr>
      <w:bookmarkStart w:id="44" w:name="_Toc509589594"/>
      <w:r>
        <w:t>Specific References to Intervenor’s Claimed Contribution</w:t>
      </w:r>
      <w:bookmarkEnd w:id="44"/>
    </w:p>
    <w:p w:rsidR="00C62D41" w:rsidRDefault="00C62D41" w:rsidP="00E8478A">
      <w:pPr>
        <w:pStyle w:val="standard"/>
        <w:numPr>
          <w:ilvl w:val="0"/>
          <w:numId w:val="9"/>
        </w:numPr>
        <w:spacing w:after="120" w:line="240" w:lineRule="auto"/>
      </w:pPr>
      <w:r>
        <w:t>Joint Parties’ Opening Comments on the APD at 2:</w:t>
      </w:r>
    </w:p>
    <w:p w:rsidR="00D76D41" w:rsidRDefault="00C62D41" w:rsidP="0009474E">
      <w:pPr>
        <w:pStyle w:val="standard"/>
        <w:spacing w:after="120" w:line="240" w:lineRule="auto"/>
        <w:ind w:left="1080" w:right="1440" w:firstLine="0"/>
      </w:pPr>
      <w:r>
        <w:t>While the Settling Parties still support the original provisions set forth in the Settlement Agreement, these Opening Comments provide an alternative approach recommended by the Settling Parties to address the considerations raised in the APD concerning th</w:t>
      </w:r>
      <w:r w:rsidR="00D76D41">
        <w:t>ese three topics.</w:t>
      </w:r>
    </w:p>
    <w:p w:rsidR="001B3CD0" w:rsidRDefault="00C62D41" w:rsidP="0009474E">
      <w:pPr>
        <w:pStyle w:val="standard"/>
        <w:spacing w:after="120" w:line="240" w:lineRule="auto"/>
        <w:ind w:left="1080" w:right="1440" w:firstLine="0"/>
      </w:pPr>
      <w:r>
        <w:t>In these Opening Comments, the Settling Parties have taken the time afforded by the issuance of the APD to agree upon alternative provisions that address the specific concerns raised in the APD.</w:t>
      </w:r>
    </w:p>
    <w:p w:rsidR="001B3CD0" w:rsidRDefault="001B3CD0" w:rsidP="00E8478A">
      <w:pPr>
        <w:pStyle w:val="Heading3"/>
        <w:numPr>
          <w:ilvl w:val="2"/>
          <w:numId w:val="4"/>
        </w:numPr>
        <w:tabs>
          <w:tab w:val="clear" w:pos="1620"/>
        </w:tabs>
        <w:ind w:left="2340" w:hanging="900"/>
      </w:pPr>
      <w:bookmarkStart w:id="45" w:name="_Toc509589595"/>
      <w:r>
        <w:t>Discussion</w:t>
      </w:r>
      <w:bookmarkEnd w:id="45"/>
    </w:p>
    <w:p w:rsidR="001B3CD0" w:rsidRDefault="000E0C81" w:rsidP="002E1F8A">
      <w:pPr>
        <w:pStyle w:val="standard"/>
      </w:pPr>
      <w:r>
        <w:t>We do not find that the fact that Settling Parties file</w:t>
      </w:r>
      <w:r w:rsidR="006670FF">
        <w:t>d</w:t>
      </w:r>
      <w:r>
        <w:t xml:space="preserve"> a Notice to Accept </w:t>
      </w:r>
      <w:r w:rsidR="00FF1B88">
        <w:t xml:space="preserve">as directed by D.17-05-013 </w:t>
      </w:r>
      <w:r>
        <w:t>supports Rafferty’s assertion that his position in comments on the PD “</w:t>
      </w:r>
      <w:r w:rsidRPr="000E0C81">
        <w:t>had a catalytic effect</w:t>
      </w:r>
      <w:r>
        <w:t xml:space="preserve">” that led to </w:t>
      </w:r>
      <w:r w:rsidR="00FF1B88">
        <w:t>that action.</w:t>
      </w:r>
      <w:r>
        <w:t xml:space="preserve">  </w:t>
      </w:r>
      <w:r w:rsidR="00FF1B88">
        <w:t xml:space="preserve">Rafferty offers no proof to support his assertion.  </w:t>
      </w:r>
      <w:r w:rsidRPr="000E0C81">
        <w:t>In the absence of a substantial contribution</w:t>
      </w:r>
      <w:r w:rsidR="005D2EC4">
        <w:t xml:space="preserve"> here</w:t>
      </w:r>
      <w:r w:rsidRPr="000E0C81">
        <w:t xml:space="preserve">, Rafferty’s claim for intervenor compensation </w:t>
      </w:r>
      <w:r w:rsidR="005D2EC4">
        <w:t>on this item must be denied.</w:t>
      </w:r>
    </w:p>
    <w:p w:rsidR="001B3CD0" w:rsidRDefault="002B2B71" w:rsidP="00241C10">
      <w:pPr>
        <w:pStyle w:val="Heading2"/>
      </w:pPr>
      <w:bookmarkStart w:id="46" w:name="_Toc509589596"/>
      <w:r w:rsidRPr="00241C10">
        <w:lastRenderedPageBreak/>
        <w:t>Undergrounding</w:t>
      </w:r>
      <w:bookmarkEnd w:id="46"/>
    </w:p>
    <w:p w:rsidR="009B743B" w:rsidRPr="009B743B" w:rsidRDefault="009B743B">
      <w:pPr>
        <w:pStyle w:val="standard"/>
      </w:pPr>
      <w:r>
        <w:t xml:space="preserve">In D.17-05-013 the Commission determined that </w:t>
      </w:r>
      <w:r w:rsidRPr="009B743B">
        <w:t xml:space="preserve">PG&amp;E should establish a Rule 20A balancing account that tracks the annual capital and expense costs for Rule 20A undergrounding projects, on a forecast and recorded basis, so that overcollected balances in the account remain available for future Rule 20A projects.  </w:t>
      </w:r>
    </w:p>
    <w:p w:rsidR="001B3CD0" w:rsidRDefault="001B3CD0" w:rsidP="00E8478A">
      <w:pPr>
        <w:pStyle w:val="Heading3"/>
        <w:numPr>
          <w:ilvl w:val="2"/>
          <w:numId w:val="4"/>
        </w:numPr>
        <w:tabs>
          <w:tab w:val="clear" w:pos="1620"/>
        </w:tabs>
        <w:ind w:left="2340" w:hanging="900"/>
      </w:pPr>
      <w:bookmarkStart w:id="47" w:name="_Toc509589597"/>
      <w:r>
        <w:t>Intervenor’s Claimed Contribution</w:t>
      </w:r>
      <w:bookmarkEnd w:id="47"/>
    </w:p>
    <w:p w:rsidR="00C62D41" w:rsidRDefault="009B743B" w:rsidP="00C62D41">
      <w:pPr>
        <w:pStyle w:val="standard"/>
      </w:pPr>
      <w:r>
        <w:t xml:space="preserve">Rafferty </w:t>
      </w:r>
      <w:r w:rsidR="00181249">
        <w:t xml:space="preserve">devotes several pages of his claim to describing his claimed contributions on this issue.  Rafferty </w:t>
      </w:r>
      <w:r w:rsidR="001B3CD0">
        <w:t xml:space="preserve">asserts that </w:t>
      </w:r>
      <w:r>
        <w:t>CAUSE</w:t>
      </w:r>
      <w:r w:rsidR="00181249">
        <w:t xml:space="preserve">’s comments on the APD </w:t>
      </w:r>
      <w:r w:rsidR="001B3CD0" w:rsidRPr="00A64C2E">
        <w:t xml:space="preserve"> </w:t>
      </w:r>
      <w:r w:rsidR="00C62D41">
        <w:t xml:space="preserve">provided extensive input into the safety benefits that </w:t>
      </w:r>
      <w:r w:rsidR="00181249">
        <w:t xml:space="preserve">the audit </w:t>
      </w:r>
      <w:r w:rsidR="00C62D41">
        <w:t xml:space="preserve">could realize with appropriate siting decisions. </w:t>
      </w:r>
      <w:r w:rsidR="0009474E">
        <w:t xml:space="preserve"> </w:t>
      </w:r>
      <w:r>
        <w:t>Rafferty</w:t>
      </w:r>
      <w:r w:rsidR="00C62D41">
        <w:t xml:space="preserve"> seeks recognition that </w:t>
      </w:r>
      <w:r>
        <w:t>his</w:t>
      </w:r>
      <w:r w:rsidR="00C62D41">
        <w:t xml:space="preserve"> </w:t>
      </w:r>
      <w:r>
        <w:t>“</w:t>
      </w:r>
      <w:r w:rsidR="00C62D41">
        <w:t>extensive analysis of Rule 20A enables the impending audit to consider safety impacts, which should be acknowledged as a substantial contribution.</w:t>
      </w:r>
      <w:r>
        <w:t>”</w:t>
      </w:r>
      <w:r w:rsidR="00181249">
        <w:t xml:space="preserve">  Rafferty states that his analysis including the following:</w:t>
      </w:r>
    </w:p>
    <w:p w:rsidR="008E74BA" w:rsidRPr="007C70C1" w:rsidRDefault="00181249" w:rsidP="007C70C1">
      <w:pPr>
        <w:pStyle w:val="standard"/>
        <w:numPr>
          <w:ilvl w:val="0"/>
          <w:numId w:val="12"/>
        </w:numPr>
        <w:spacing w:after="120" w:line="240" w:lineRule="auto"/>
        <w:ind w:left="1080" w:right="720"/>
      </w:pPr>
      <w:r w:rsidRPr="007C70C1">
        <w:t>CAUSE filed almost 15 pages of comments analyzing the precedents of this Commission and the municipal ordinances and actions that they require.</w:t>
      </w:r>
      <w:r w:rsidR="00592645" w:rsidRPr="007C70C1">
        <w:t xml:space="preserve">  </w:t>
      </w:r>
      <w:r w:rsidRPr="007C70C1">
        <w:t xml:space="preserve">These are matters of law, not required to be entered into the evidentiary record.  </w:t>
      </w:r>
    </w:p>
    <w:p w:rsidR="008E74BA" w:rsidRPr="007C70C1" w:rsidRDefault="00181249" w:rsidP="007C70C1">
      <w:pPr>
        <w:pStyle w:val="standard"/>
        <w:numPr>
          <w:ilvl w:val="0"/>
          <w:numId w:val="12"/>
        </w:numPr>
        <w:spacing w:after="120" w:line="240" w:lineRule="auto"/>
        <w:ind w:left="1080" w:right="720"/>
      </w:pPr>
      <w:r w:rsidRPr="007C70C1">
        <w:t xml:space="preserve">CAUSE cautioned against undue disregard for prior decisions about prioritization based on safety and coordination with road projects, which would constitute legal error.  </w:t>
      </w:r>
    </w:p>
    <w:p w:rsidR="00987628" w:rsidRDefault="00181249" w:rsidP="007C70C1">
      <w:pPr>
        <w:pStyle w:val="standard"/>
        <w:numPr>
          <w:ilvl w:val="0"/>
          <w:numId w:val="12"/>
        </w:numPr>
        <w:spacing w:after="120" w:line="240" w:lineRule="auto"/>
        <w:ind w:left="1080" w:right="720"/>
      </w:pPr>
      <w:r w:rsidRPr="007C70C1">
        <w:t>Given SB 512, CAUSE also demonstrated that it would be legal error not to consider safety in any decision addressing Rule 20A.</w:t>
      </w:r>
    </w:p>
    <w:p w:rsidR="00592645" w:rsidRPr="007C70C1" w:rsidRDefault="00592645" w:rsidP="007C70C1">
      <w:pPr>
        <w:pStyle w:val="standard"/>
        <w:numPr>
          <w:ilvl w:val="0"/>
          <w:numId w:val="12"/>
        </w:numPr>
        <w:spacing w:after="120" w:line="240" w:lineRule="auto"/>
        <w:ind w:left="1080" w:right="720"/>
      </w:pPr>
    </w:p>
    <w:p w:rsidR="008E74BA" w:rsidRPr="007C70C1" w:rsidRDefault="00C62D41" w:rsidP="007C70C1">
      <w:pPr>
        <w:pStyle w:val="standard"/>
        <w:numPr>
          <w:ilvl w:val="0"/>
          <w:numId w:val="12"/>
        </w:numPr>
        <w:spacing w:after="120" w:line="240" w:lineRule="auto"/>
        <w:ind w:left="1080" w:right="720"/>
      </w:pPr>
      <w:r w:rsidRPr="00592645">
        <w:t xml:space="preserve">Recognizing that a small number of background references were factual in nature, CAUSE provided three pages of explanation as to why a waiver under Rule 1.2 was appropriate to allow the Commission to take notice. </w:t>
      </w:r>
      <w:r w:rsidR="0009474E" w:rsidRPr="00592645">
        <w:t xml:space="preserve"> </w:t>
      </w:r>
    </w:p>
    <w:p w:rsidR="001B3CD0" w:rsidRDefault="001B3CD0" w:rsidP="00E8478A">
      <w:pPr>
        <w:pStyle w:val="Heading3"/>
        <w:numPr>
          <w:ilvl w:val="2"/>
          <w:numId w:val="4"/>
        </w:numPr>
        <w:tabs>
          <w:tab w:val="clear" w:pos="1620"/>
        </w:tabs>
        <w:ind w:left="2340" w:hanging="900"/>
      </w:pPr>
      <w:bookmarkStart w:id="48" w:name="_Toc509589598"/>
      <w:bookmarkStart w:id="49" w:name="_Toc509589599"/>
      <w:bookmarkStart w:id="50" w:name="_Toc509589603"/>
      <w:bookmarkStart w:id="51" w:name="_Toc509589604"/>
      <w:bookmarkEnd w:id="48"/>
      <w:bookmarkEnd w:id="49"/>
      <w:bookmarkEnd w:id="50"/>
      <w:r>
        <w:lastRenderedPageBreak/>
        <w:t>Specific References to Intervenor’s</w:t>
      </w:r>
      <w:r w:rsidR="0009474E">
        <w:t xml:space="preserve"> </w:t>
      </w:r>
      <w:r w:rsidR="0009474E">
        <w:br/>
      </w:r>
      <w:r>
        <w:t>Claimed Contribution</w:t>
      </w:r>
      <w:bookmarkEnd w:id="51"/>
    </w:p>
    <w:p w:rsidR="00ED7F39" w:rsidRDefault="00C62D41" w:rsidP="00E8478A">
      <w:pPr>
        <w:pStyle w:val="standard"/>
        <w:numPr>
          <w:ilvl w:val="0"/>
          <w:numId w:val="9"/>
        </w:numPr>
        <w:spacing w:after="120" w:line="240" w:lineRule="auto"/>
        <w:ind w:right="1440"/>
      </w:pPr>
      <w:r>
        <w:t xml:space="preserve">CAUSE’s Opening Comments on the APD at 18-21. </w:t>
      </w:r>
    </w:p>
    <w:p w:rsidR="00C62D41" w:rsidRDefault="00C62D41" w:rsidP="007C70C1">
      <w:pPr>
        <w:pStyle w:val="standard"/>
        <w:spacing w:after="120" w:line="240" w:lineRule="auto"/>
        <w:ind w:left="1080" w:right="1440" w:firstLine="0"/>
      </w:pPr>
      <w:r>
        <w:t xml:space="preserve">Request </w:t>
      </w:r>
      <w:r w:rsidR="0009474E">
        <w:t>f</w:t>
      </w:r>
      <w:r>
        <w:t xml:space="preserve">or Liberal Construction </w:t>
      </w:r>
      <w:r w:rsidR="0009474E">
        <w:t>o</w:t>
      </w:r>
      <w:r>
        <w:t xml:space="preserve">f Rules </w:t>
      </w:r>
      <w:r w:rsidR="0009474E">
        <w:t>o</w:t>
      </w:r>
      <w:r>
        <w:t xml:space="preserve">f Procedure </w:t>
      </w:r>
      <w:r w:rsidR="0009474E">
        <w:t>o</w:t>
      </w:r>
      <w:r>
        <w:t>r Deviation Therefrom [provided bases for taking notice of background facts regarding nature of danger from overhead conduit in certain areas]:</w:t>
      </w:r>
    </w:p>
    <w:p w:rsidR="00ED7F39" w:rsidRDefault="00592645" w:rsidP="00E8478A">
      <w:pPr>
        <w:pStyle w:val="standard"/>
        <w:numPr>
          <w:ilvl w:val="0"/>
          <w:numId w:val="9"/>
        </w:numPr>
        <w:spacing w:after="120" w:line="240" w:lineRule="auto"/>
        <w:ind w:right="1440"/>
      </w:pPr>
      <w:r>
        <w:t xml:space="preserve">CAUSE’s </w:t>
      </w:r>
      <w:r w:rsidR="00C62D41">
        <w:t xml:space="preserve">Opening Comments on the APD at 5-16. </w:t>
      </w:r>
    </w:p>
    <w:p w:rsidR="00C62D41" w:rsidRDefault="00C62D41" w:rsidP="007C70C1">
      <w:pPr>
        <w:pStyle w:val="standard"/>
        <w:spacing w:after="120" w:line="240" w:lineRule="auto"/>
        <w:ind w:left="1080" w:right="1440" w:firstLine="0"/>
      </w:pPr>
      <w:r>
        <w:t>Legal analysis of the issues raised by reform of Rule 20A</w:t>
      </w:r>
      <w:r w:rsidR="0009474E">
        <w:t>.</w:t>
      </w:r>
      <w:r>
        <w:t xml:space="preserve"> </w:t>
      </w:r>
    </w:p>
    <w:p w:rsidR="00ED7F39" w:rsidRDefault="00C62D41" w:rsidP="00E8478A">
      <w:pPr>
        <w:pStyle w:val="standard"/>
        <w:numPr>
          <w:ilvl w:val="0"/>
          <w:numId w:val="9"/>
        </w:numPr>
        <w:spacing w:after="120" w:line="240" w:lineRule="auto"/>
        <w:ind w:right="1440"/>
      </w:pPr>
      <w:r>
        <w:t>Excerpt from Table of Contents</w:t>
      </w:r>
      <w:r w:rsidR="00592645">
        <w:t xml:space="preserve"> of CAUSE’s Opening Comments</w:t>
      </w:r>
      <w:r>
        <w:t xml:space="preserve">: </w:t>
      </w:r>
    </w:p>
    <w:p w:rsidR="00241C10" w:rsidRDefault="00C62D41" w:rsidP="0009474E">
      <w:pPr>
        <w:pStyle w:val="standard"/>
        <w:spacing w:after="120" w:line="240" w:lineRule="auto"/>
        <w:ind w:left="1080" w:right="1440" w:firstLine="0"/>
      </w:pPr>
      <w:r>
        <w:t xml:space="preserve">Undergrounding has safety benefits, when it is economically feasible. [5] Given endemic overruns and delays, the work credit process simply does not work. </w:t>
      </w:r>
      <w:r w:rsidR="0009474E">
        <w:t xml:space="preserve"> </w:t>
      </w:r>
      <w:r w:rsidR="0009474E">
        <w:br/>
      </w:r>
      <w:r>
        <w:t xml:space="preserve">[11] Safety budgets should not be allocated among political entities. [14] </w:t>
      </w:r>
    </w:p>
    <w:p w:rsidR="00C55957" w:rsidRDefault="00903507" w:rsidP="007C70C1">
      <w:pPr>
        <w:pStyle w:val="standard"/>
        <w:numPr>
          <w:ilvl w:val="0"/>
          <w:numId w:val="9"/>
        </w:numPr>
        <w:spacing w:after="120" w:line="240" w:lineRule="auto"/>
        <w:ind w:right="1440" w:firstLine="0"/>
      </w:pPr>
      <w:r>
        <w:t>Proposed Decision:</w:t>
      </w:r>
      <w:r w:rsidR="006204FE">
        <w:t xml:space="preserve">  </w:t>
      </w:r>
      <w:r w:rsidR="00C55957">
        <w:t xml:space="preserve">Section 6.2, </w:t>
      </w:r>
      <w:r>
        <w:t xml:space="preserve">Comments on Rule 20A Issues in the APD. </w:t>
      </w:r>
    </w:p>
    <w:p w:rsidR="00C55957" w:rsidRPr="00C55957" w:rsidRDefault="00C55957" w:rsidP="007C70C1">
      <w:pPr>
        <w:pStyle w:val="standard"/>
        <w:spacing w:after="240" w:line="240" w:lineRule="auto"/>
        <w:ind w:left="720" w:right="720" w:firstLine="0"/>
      </w:pPr>
      <w:r w:rsidRPr="00C55957">
        <w:rPr>
          <w:b/>
        </w:rPr>
        <w:t>CAUSE includes extensive comments on Rule 20A matters that rely on material outside the evidentiary record in this proceeding.  As noted above, Rule 14.3 (c), requires that comments shall focus on factual, legal or technical errors in the proposed decision and in citing such errors shall make specific references to the record or applicable law.  Comments which fail to do so will be accorded no weight.  Much of CAUSE’s comments fail to make specific references to the record, and for this reason we accord them no weight</w:t>
      </w:r>
    </w:p>
    <w:p w:rsidR="001B3CD0" w:rsidRDefault="001B3CD0" w:rsidP="00E8478A">
      <w:pPr>
        <w:pStyle w:val="Heading3"/>
        <w:numPr>
          <w:ilvl w:val="2"/>
          <w:numId w:val="4"/>
        </w:numPr>
        <w:tabs>
          <w:tab w:val="clear" w:pos="1620"/>
        </w:tabs>
        <w:ind w:left="2340" w:hanging="900"/>
      </w:pPr>
      <w:bookmarkStart w:id="52" w:name="_Toc509589605"/>
      <w:bookmarkStart w:id="53" w:name="_Toc509589607"/>
      <w:bookmarkEnd w:id="52"/>
      <w:r>
        <w:t>Discussion</w:t>
      </w:r>
      <w:bookmarkEnd w:id="53"/>
    </w:p>
    <w:p w:rsidR="008E74BA" w:rsidRDefault="00C55957" w:rsidP="00BC06F1">
      <w:pPr>
        <w:pStyle w:val="standard"/>
      </w:pPr>
      <w:r>
        <w:t xml:space="preserve">None of the references cited above by Rafferty verify a substantial contribution on this issue.  </w:t>
      </w:r>
      <w:r w:rsidR="009B743B">
        <w:t xml:space="preserve">As Rafferty </w:t>
      </w:r>
      <w:r w:rsidR="008E74BA">
        <w:t>acknowledges in his claim</w:t>
      </w:r>
      <w:r>
        <w:t xml:space="preserve"> by quoting the </w:t>
      </w:r>
      <w:r>
        <w:lastRenderedPageBreak/>
        <w:t>text from the APD above</w:t>
      </w:r>
      <w:r w:rsidR="009B743B">
        <w:t xml:space="preserve">, the Commission stated in D.17-05-013 that </w:t>
      </w:r>
      <w:r w:rsidR="008E74BA">
        <w:t xml:space="preserve">it </w:t>
      </w:r>
      <w:r w:rsidR="009B743B" w:rsidRPr="009B743B">
        <w:t>accord</w:t>
      </w:r>
      <w:r w:rsidR="008E74BA">
        <w:t xml:space="preserve">ed CAUSE’s comments </w:t>
      </w:r>
      <w:r w:rsidR="009B743B" w:rsidRPr="009B743B">
        <w:t>no weight</w:t>
      </w:r>
      <w:r w:rsidR="009B743B">
        <w:t xml:space="preserve"> in reaching its decision on </w:t>
      </w:r>
      <w:r w:rsidR="008E74BA">
        <w:t>Rule 20A matters:</w:t>
      </w:r>
      <w:r w:rsidR="00757700">
        <w:rPr>
          <w:rStyle w:val="FootnoteReference"/>
        </w:rPr>
        <w:footnoteReference w:id="31"/>
      </w:r>
    </w:p>
    <w:p w:rsidR="009B743B" w:rsidRDefault="009B743B" w:rsidP="00BC06F1">
      <w:pPr>
        <w:pStyle w:val="standard"/>
      </w:pPr>
      <w:r>
        <w:t xml:space="preserve">In addition to this direct statement by the Commission that Rafferty made no </w:t>
      </w:r>
      <w:r w:rsidR="008E74BA">
        <w:t xml:space="preserve">substantial </w:t>
      </w:r>
      <w:r>
        <w:t>contribution on Rule 20A issues,</w:t>
      </w:r>
      <w:r w:rsidR="008E74BA">
        <w:t xml:space="preserve"> we note here that in</w:t>
      </w:r>
      <w:r>
        <w:t xml:space="preserve"> </w:t>
      </w:r>
      <w:r w:rsidR="007C2C7B">
        <w:t xml:space="preserve">D.17-05-013 </w:t>
      </w:r>
      <w:r w:rsidR="008E74BA">
        <w:t xml:space="preserve">we </w:t>
      </w:r>
      <w:r w:rsidR="007C2C7B">
        <w:t xml:space="preserve">determined </w:t>
      </w:r>
      <w:r w:rsidR="008E74BA">
        <w:t xml:space="preserve">that the audit was </w:t>
      </w:r>
      <w:r w:rsidR="007C2C7B">
        <w:t>necessary “</w:t>
      </w:r>
      <w:r w:rsidR="007C2C7B" w:rsidRPr="007C2C7B">
        <w:t>in order to ensure that PG&amp;E has fully accounted for annual Rule 20A budgeted amounts, and to ensure that localities will receive the full benefit of these funds</w:t>
      </w:r>
      <w:r w:rsidR="007C2C7B">
        <w:t>.”</w:t>
      </w:r>
      <w:r w:rsidR="007C2C7B">
        <w:rPr>
          <w:rStyle w:val="FootnoteReference"/>
        </w:rPr>
        <w:footnoteReference w:id="32"/>
      </w:r>
      <w:r w:rsidR="007C2C7B">
        <w:t xml:space="preserve">  The required audit is a </w:t>
      </w:r>
      <w:r w:rsidR="008E74BA">
        <w:t>financial</w:t>
      </w:r>
      <w:r w:rsidR="008E74BA" w:rsidDel="008E74BA">
        <w:t xml:space="preserve"> </w:t>
      </w:r>
      <w:r w:rsidR="008E74BA">
        <w:t xml:space="preserve">and program </w:t>
      </w:r>
      <w:r w:rsidR="007C2C7B">
        <w:t>audit</w:t>
      </w:r>
      <w:r w:rsidR="008E74BA">
        <w:t>, not an</w:t>
      </w:r>
      <w:r w:rsidR="007C2C7B">
        <w:t xml:space="preserve"> </w:t>
      </w:r>
      <w:r w:rsidR="00592645">
        <w:t>a</w:t>
      </w:r>
      <w:r w:rsidR="008E74BA">
        <w:t xml:space="preserve">udit of PG&amp;E’s safety practices.  </w:t>
      </w:r>
      <w:r w:rsidR="00592645">
        <w:t>For those reasons</w:t>
      </w:r>
      <w:r w:rsidR="008E74BA">
        <w:t xml:space="preserve">, </w:t>
      </w:r>
      <w:r w:rsidR="007C2C7B">
        <w:t xml:space="preserve">Rafferty’s attempts to introduce safety-related concepts into the audit </w:t>
      </w:r>
      <w:r w:rsidR="00592645">
        <w:t>matter decided in D.17-05-013 were rejected by the Commission, and do not merit compensation</w:t>
      </w:r>
      <w:r w:rsidR="007C2C7B">
        <w:t>.</w:t>
      </w:r>
      <w:r w:rsidR="007C2C7B">
        <w:rPr>
          <w:rStyle w:val="FootnoteReference"/>
        </w:rPr>
        <w:footnoteReference w:id="33"/>
      </w:r>
    </w:p>
    <w:p w:rsidR="009B743B" w:rsidRDefault="00CC18F1" w:rsidP="00BC06F1">
      <w:pPr>
        <w:pStyle w:val="standard"/>
      </w:pPr>
      <w:r w:rsidRPr="00CC18F1">
        <w:t>In the absence of a substantial contribution</w:t>
      </w:r>
      <w:r w:rsidR="00592645">
        <w:t xml:space="preserve"> on these matters</w:t>
      </w:r>
      <w:r w:rsidRPr="00CC18F1">
        <w:t xml:space="preserve">, Rafferty’s claim for intervenor compensation related to the </w:t>
      </w:r>
      <w:r>
        <w:t>Rule 20A issues</w:t>
      </w:r>
      <w:r w:rsidRPr="00CC18F1">
        <w:t xml:space="preserve"> in this proceeding </w:t>
      </w:r>
      <w:r w:rsidR="00592645">
        <w:t>is</w:t>
      </w:r>
      <w:r w:rsidRPr="00CC18F1">
        <w:t xml:space="preserve"> denied.  Rafferty claims </w:t>
      </w:r>
      <w:r>
        <w:t>34</w:t>
      </w:r>
      <w:r w:rsidRPr="00CC18F1">
        <w:t xml:space="preserve"> hours for </w:t>
      </w:r>
      <w:r>
        <w:t>Rule 20A-related activities</w:t>
      </w:r>
      <w:r w:rsidRPr="00CC18F1">
        <w:t xml:space="preserve">.  Therefore, the </w:t>
      </w:r>
      <w:r>
        <w:t>34</w:t>
      </w:r>
      <w:r w:rsidRPr="00CC18F1">
        <w:t xml:space="preserve"> hours claimed by Rafferty for substantial contribution to </w:t>
      </w:r>
      <w:r w:rsidR="00987628">
        <w:br/>
      </w:r>
      <w:r w:rsidRPr="00CC18F1">
        <w:t xml:space="preserve">D.17-05-013 regarding the </w:t>
      </w:r>
      <w:r>
        <w:t>Rule 20A issues</w:t>
      </w:r>
      <w:r w:rsidRPr="00CC18F1">
        <w:t xml:space="preserve"> in this proceeding are disallowed.</w:t>
      </w:r>
    </w:p>
    <w:p w:rsidR="00A87B12" w:rsidRPr="00A87B12" w:rsidRDefault="00A87B12" w:rsidP="00A87B12">
      <w:pPr>
        <w:pStyle w:val="Heading1"/>
      </w:pPr>
      <w:bookmarkStart w:id="54" w:name="_Toc509589608"/>
      <w:r w:rsidRPr="00A87B12">
        <w:t>Reasonableness of Requested Compensation</w:t>
      </w:r>
      <w:bookmarkEnd w:id="54"/>
      <w:r w:rsidRPr="00A87B12">
        <w:t xml:space="preserve"> </w:t>
      </w:r>
    </w:p>
    <w:p w:rsidR="001B19B8" w:rsidRDefault="00A36E34" w:rsidP="00A36E34">
      <w:pPr>
        <w:pStyle w:val="standard"/>
      </w:pPr>
      <w:r>
        <w:t xml:space="preserve">Rafferty </w:t>
      </w:r>
      <w:r w:rsidR="00A87B12" w:rsidRPr="00A87B12">
        <w:t xml:space="preserve">requests </w:t>
      </w:r>
      <w:r w:rsidR="003B13B8" w:rsidRPr="003B13B8">
        <w:t>$591,995</w:t>
      </w:r>
      <w:r w:rsidR="003B13B8">
        <w:t xml:space="preserve"> </w:t>
      </w:r>
      <w:r w:rsidR="00A87B12" w:rsidRPr="00A87B12">
        <w:t xml:space="preserve">for </w:t>
      </w:r>
      <w:r w:rsidR="00E40C6C">
        <w:t>his</w:t>
      </w:r>
      <w:r w:rsidR="00A87B12" w:rsidRPr="00A87B12">
        <w:t xml:space="preserve"> participatio</w:t>
      </w:r>
      <w:r w:rsidR="000C61A2">
        <w:t>n in this proceeding, as shown in the table below</w:t>
      </w:r>
      <w:r w:rsidR="00A87B12" w:rsidRPr="00A87B12">
        <w:t>:</w:t>
      </w:r>
    </w:p>
    <w:tbl>
      <w:tblPr>
        <w:tblW w:w="3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16"/>
        <w:gridCol w:w="1028"/>
        <w:gridCol w:w="1207"/>
        <w:gridCol w:w="1241"/>
        <w:gridCol w:w="1585"/>
      </w:tblGrid>
      <w:tr w:rsidR="00A36E34" w:rsidRPr="00A5175E" w:rsidTr="00E40C6C">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tcPr>
          <w:p w:rsidR="00A36E34" w:rsidRPr="00A5175E" w:rsidRDefault="00A36E34" w:rsidP="0070537A">
            <w:pPr>
              <w:keepNext/>
              <w:spacing w:before="60" w:after="60"/>
              <w:jc w:val="center"/>
              <w:rPr>
                <w:rFonts w:ascii="Times New Roman" w:hAnsi="Times New Roman"/>
                <w:b/>
                <w:sz w:val="24"/>
                <w:szCs w:val="24"/>
              </w:rPr>
            </w:pPr>
            <w:r w:rsidRPr="00A5175E">
              <w:rPr>
                <w:rFonts w:ascii="Times New Roman" w:hAnsi="Times New Roman"/>
                <w:b/>
                <w:sz w:val="24"/>
                <w:szCs w:val="24"/>
              </w:rPr>
              <w:lastRenderedPageBreak/>
              <w:t>ATTORNEY, EXPERT, AND ADVOCATE FEES</w:t>
            </w:r>
          </w:p>
        </w:tc>
      </w:tr>
      <w:tr w:rsidR="00447373" w:rsidRPr="00A5175E" w:rsidTr="00A5175E">
        <w:trPr>
          <w:jc w:val="center"/>
        </w:trPr>
        <w:tc>
          <w:tcPr>
            <w:tcW w:w="1333" w:type="pct"/>
            <w:tcBorders>
              <w:top w:val="single" w:sz="4" w:space="0" w:color="auto"/>
              <w:bottom w:val="single" w:sz="4" w:space="0" w:color="auto"/>
            </w:tcBorders>
            <w:shd w:val="clear" w:color="auto" w:fill="auto"/>
            <w:vAlign w:val="bottom"/>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Item</w:t>
            </w:r>
          </w:p>
        </w:tc>
        <w:tc>
          <w:tcPr>
            <w:tcW w:w="810" w:type="pct"/>
            <w:gridSpan w:val="2"/>
            <w:tcBorders>
              <w:top w:val="single" w:sz="4" w:space="0" w:color="auto"/>
              <w:bottom w:val="single" w:sz="4" w:space="0" w:color="auto"/>
            </w:tcBorders>
            <w:shd w:val="clear" w:color="auto" w:fill="auto"/>
            <w:vAlign w:val="bottom"/>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Year</w:t>
            </w:r>
          </w:p>
        </w:tc>
        <w:tc>
          <w:tcPr>
            <w:tcW w:w="855" w:type="pct"/>
            <w:tcBorders>
              <w:top w:val="single" w:sz="4" w:space="0" w:color="auto"/>
              <w:bottom w:val="single" w:sz="4" w:space="0" w:color="auto"/>
            </w:tcBorders>
            <w:shd w:val="clear" w:color="auto" w:fill="auto"/>
            <w:vAlign w:val="bottom"/>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Hours</w:t>
            </w:r>
          </w:p>
        </w:tc>
        <w:tc>
          <w:tcPr>
            <w:tcW w:w="879" w:type="pct"/>
            <w:tcBorders>
              <w:top w:val="single" w:sz="4" w:space="0" w:color="auto"/>
              <w:bottom w:val="single" w:sz="4" w:space="0" w:color="auto"/>
            </w:tcBorders>
            <w:shd w:val="clear" w:color="auto" w:fill="auto"/>
            <w:vAlign w:val="bottom"/>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Rate $</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Total $</w:t>
            </w:r>
          </w:p>
        </w:tc>
      </w:tr>
      <w:tr w:rsidR="00447373" w:rsidRPr="00A5175E" w:rsidTr="00A5175E">
        <w:trPr>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Scott J. Rafferty</w:t>
            </w:r>
          </w:p>
        </w:tc>
        <w:tc>
          <w:tcPr>
            <w:tcW w:w="81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2015</w:t>
            </w:r>
          </w:p>
        </w:tc>
        <w:tc>
          <w:tcPr>
            <w:tcW w:w="855"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ind w:right="145"/>
              <w:jc w:val="right"/>
              <w:rPr>
                <w:rFonts w:ascii="Times New Roman" w:hAnsi="Times New Roman"/>
                <w:color w:val="000000"/>
                <w:sz w:val="24"/>
                <w:szCs w:val="22"/>
              </w:rPr>
            </w:pPr>
            <w:r w:rsidRPr="00A5175E">
              <w:rPr>
                <w:rFonts w:ascii="Times New Roman" w:hAnsi="Times New Roman"/>
                <w:color w:val="000000"/>
                <w:sz w:val="24"/>
                <w:szCs w:val="22"/>
              </w:rPr>
              <w:t>143.5</w:t>
            </w:r>
          </w:p>
        </w:tc>
        <w:tc>
          <w:tcPr>
            <w:tcW w:w="879"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$490</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$70,315</w:t>
            </w:r>
          </w:p>
        </w:tc>
      </w:tr>
      <w:tr w:rsidR="00447373" w:rsidRPr="00A5175E" w:rsidTr="00A5175E">
        <w:trPr>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Scott J. Rafferty</w:t>
            </w:r>
          </w:p>
        </w:tc>
        <w:tc>
          <w:tcPr>
            <w:tcW w:w="81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2016</w:t>
            </w:r>
          </w:p>
        </w:tc>
        <w:tc>
          <w:tcPr>
            <w:tcW w:w="855"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ind w:right="145"/>
              <w:jc w:val="right"/>
              <w:rPr>
                <w:rFonts w:ascii="Times New Roman" w:hAnsi="Times New Roman"/>
                <w:color w:val="000000"/>
                <w:sz w:val="24"/>
                <w:szCs w:val="22"/>
              </w:rPr>
            </w:pPr>
            <w:r w:rsidRPr="00A5175E">
              <w:rPr>
                <w:rFonts w:ascii="Times New Roman" w:hAnsi="Times New Roman"/>
                <w:color w:val="000000"/>
                <w:sz w:val="24"/>
                <w:szCs w:val="22"/>
              </w:rPr>
              <w:t>568</w:t>
            </w:r>
          </w:p>
        </w:tc>
        <w:tc>
          <w:tcPr>
            <w:tcW w:w="879"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$495</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$281,160</w:t>
            </w:r>
          </w:p>
        </w:tc>
      </w:tr>
      <w:tr w:rsidR="00447373" w:rsidRPr="00A5175E" w:rsidTr="00A5175E">
        <w:trPr>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Scott J. Rafferty</w:t>
            </w:r>
          </w:p>
        </w:tc>
        <w:tc>
          <w:tcPr>
            <w:tcW w:w="81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2017</w:t>
            </w:r>
          </w:p>
        </w:tc>
        <w:tc>
          <w:tcPr>
            <w:tcW w:w="855"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ind w:right="145"/>
              <w:jc w:val="right"/>
              <w:rPr>
                <w:rFonts w:ascii="Times New Roman" w:hAnsi="Times New Roman"/>
                <w:color w:val="000000"/>
                <w:sz w:val="24"/>
                <w:szCs w:val="22"/>
              </w:rPr>
            </w:pPr>
            <w:r w:rsidRPr="00A5175E">
              <w:rPr>
                <w:rFonts w:ascii="Times New Roman" w:hAnsi="Times New Roman"/>
                <w:color w:val="000000"/>
                <w:sz w:val="24"/>
                <w:szCs w:val="22"/>
              </w:rPr>
              <w:t>421</w:t>
            </w:r>
          </w:p>
        </w:tc>
        <w:tc>
          <w:tcPr>
            <w:tcW w:w="879"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$495</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$208,395</w:t>
            </w:r>
          </w:p>
        </w:tc>
      </w:tr>
      <w:tr w:rsidR="00741A31" w:rsidRPr="00A5175E" w:rsidTr="000A1B06">
        <w:trPr>
          <w:jc w:val="center"/>
        </w:trPr>
        <w:tc>
          <w:tcPr>
            <w:tcW w:w="3877" w:type="pct"/>
            <w:gridSpan w:val="5"/>
            <w:tcBorders>
              <w:top w:val="single" w:sz="4" w:space="0" w:color="auto"/>
              <w:left w:val="single" w:sz="4" w:space="0" w:color="auto"/>
              <w:bottom w:val="single" w:sz="4" w:space="0" w:color="auto"/>
              <w:right w:val="single" w:sz="4" w:space="0" w:color="auto"/>
            </w:tcBorders>
            <w:shd w:val="clear" w:color="auto" w:fill="auto"/>
          </w:tcPr>
          <w:p w:rsidR="00741A31" w:rsidRPr="00741A31" w:rsidRDefault="00741A31" w:rsidP="0070537A">
            <w:pPr>
              <w:keepNext/>
              <w:spacing w:before="60" w:after="60"/>
              <w:jc w:val="right"/>
              <w:rPr>
                <w:rFonts w:ascii="Times New Roman" w:hAnsi="Times New Roman"/>
                <w:b/>
                <w:color w:val="000000"/>
                <w:sz w:val="24"/>
                <w:szCs w:val="22"/>
              </w:rPr>
            </w:pPr>
            <w:r w:rsidRPr="00741A31">
              <w:rPr>
                <w:rFonts w:ascii="Times New Roman" w:hAnsi="Times New Roman"/>
                <w:b/>
                <w:i/>
                <w:color w:val="000000"/>
                <w:sz w:val="24"/>
                <w:szCs w:val="24"/>
              </w:rPr>
              <w:t>Subtotal:</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741A31" w:rsidRPr="00741A31" w:rsidRDefault="00741A31" w:rsidP="0070537A">
            <w:pPr>
              <w:keepNext/>
              <w:spacing w:before="60" w:after="60"/>
              <w:jc w:val="center"/>
              <w:rPr>
                <w:rFonts w:ascii="Times New Roman" w:hAnsi="Times New Roman"/>
                <w:b/>
                <w:color w:val="000000"/>
                <w:sz w:val="24"/>
                <w:szCs w:val="22"/>
              </w:rPr>
            </w:pPr>
            <w:r w:rsidRPr="00741A31">
              <w:rPr>
                <w:rFonts w:ascii="Times New Roman" w:hAnsi="Times New Roman"/>
                <w:b/>
                <w:i/>
                <w:color w:val="000000"/>
                <w:sz w:val="24"/>
                <w:szCs w:val="24"/>
              </w:rPr>
              <w:t>$559,870</w:t>
            </w:r>
          </w:p>
        </w:tc>
      </w:tr>
      <w:tr w:rsidR="00A36E34" w:rsidRPr="00A5175E" w:rsidTr="00E40C6C">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tcPr>
          <w:p w:rsidR="00A36E34" w:rsidRPr="00A5175E" w:rsidRDefault="00A36E34" w:rsidP="0070537A">
            <w:pPr>
              <w:keepNext/>
              <w:spacing w:before="60" w:after="60"/>
              <w:jc w:val="center"/>
              <w:rPr>
                <w:rFonts w:ascii="Times New Roman" w:hAnsi="Times New Roman"/>
                <w:color w:val="000000"/>
                <w:sz w:val="24"/>
                <w:szCs w:val="24"/>
              </w:rPr>
            </w:pPr>
            <w:r w:rsidRPr="00A5175E">
              <w:rPr>
                <w:rFonts w:ascii="Times New Roman" w:hAnsi="Times New Roman"/>
                <w:b/>
                <w:color w:val="000000"/>
                <w:sz w:val="24"/>
                <w:szCs w:val="24"/>
              </w:rPr>
              <w:t>INTERVENOR COMPENSATION CLAIM PREPARATION</w:t>
            </w:r>
          </w:p>
        </w:tc>
      </w:tr>
      <w:tr w:rsidR="00447373" w:rsidRPr="00A5175E" w:rsidTr="00A5175E">
        <w:trPr>
          <w:jc w:val="center"/>
        </w:trPr>
        <w:tc>
          <w:tcPr>
            <w:tcW w:w="1415" w:type="pct"/>
            <w:gridSpan w:val="2"/>
            <w:tcBorders>
              <w:top w:val="single" w:sz="4" w:space="0" w:color="auto"/>
              <w:bottom w:val="single" w:sz="4" w:space="0" w:color="auto"/>
            </w:tcBorders>
            <w:shd w:val="clear" w:color="auto" w:fill="auto"/>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Item</w:t>
            </w:r>
          </w:p>
        </w:tc>
        <w:tc>
          <w:tcPr>
            <w:tcW w:w="728" w:type="pct"/>
            <w:tcBorders>
              <w:top w:val="single" w:sz="4" w:space="0" w:color="auto"/>
              <w:bottom w:val="single" w:sz="4" w:space="0" w:color="auto"/>
            </w:tcBorders>
            <w:shd w:val="clear" w:color="auto" w:fill="auto"/>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Year</w:t>
            </w:r>
          </w:p>
        </w:tc>
        <w:tc>
          <w:tcPr>
            <w:tcW w:w="855" w:type="pct"/>
            <w:tcBorders>
              <w:top w:val="single" w:sz="4" w:space="0" w:color="auto"/>
              <w:bottom w:val="single" w:sz="4" w:space="0" w:color="auto"/>
            </w:tcBorders>
            <w:shd w:val="clear" w:color="auto" w:fill="auto"/>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Hours</w:t>
            </w:r>
          </w:p>
        </w:tc>
        <w:tc>
          <w:tcPr>
            <w:tcW w:w="879" w:type="pct"/>
            <w:tcBorders>
              <w:top w:val="single" w:sz="4" w:space="0" w:color="auto"/>
              <w:bottom w:val="single" w:sz="4" w:space="0" w:color="auto"/>
            </w:tcBorders>
            <w:shd w:val="clear" w:color="auto" w:fill="auto"/>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 xml:space="preserve">Rate $ </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447373" w:rsidRPr="00741A31" w:rsidRDefault="00447373"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Total $</w:t>
            </w:r>
          </w:p>
        </w:tc>
      </w:tr>
      <w:tr w:rsidR="00447373" w:rsidRPr="00A5175E" w:rsidTr="00A5175E">
        <w:trPr>
          <w:jc w:val="center"/>
        </w:trPr>
        <w:tc>
          <w:tcPr>
            <w:tcW w:w="1415" w:type="pct"/>
            <w:gridSpan w:val="2"/>
            <w:tcBorders>
              <w:top w:val="single" w:sz="4" w:space="0" w:color="auto"/>
              <w:left w:val="single" w:sz="4" w:space="0" w:color="auto"/>
              <w:bottom w:val="single" w:sz="4" w:space="0" w:color="auto"/>
              <w:right w:val="single" w:sz="4" w:space="0" w:color="auto"/>
            </w:tcBorders>
            <w:shd w:val="clear" w:color="auto" w:fill="auto"/>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Scott J. Rafferty</w:t>
            </w: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2017</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128.5</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447373" w:rsidRPr="00A5175E" w:rsidRDefault="00B722C6"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w:t>
            </w:r>
            <w:r w:rsidR="00447373" w:rsidRPr="00A5175E">
              <w:rPr>
                <w:rFonts w:ascii="Times New Roman" w:hAnsi="Times New Roman"/>
                <w:color w:val="000000"/>
                <w:sz w:val="24"/>
                <w:szCs w:val="22"/>
              </w:rPr>
              <w:t>250</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447373" w:rsidRPr="00A5175E" w:rsidRDefault="00447373" w:rsidP="0070537A">
            <w:pPr>
              <w:keepNext/>
              <w:spacing w:before="60" w:after="60"/>
              <w:jc w:val="center"/>
              <w:rPr>
                <w:rFonts w:ascii="Times New Roman" w:hAnsi="Times New Roman"/>
                <w:color w:val="000000"/>
                <w:sz w:val="24"/>
                <w:szCs w:val="22"/>
              </w:rPr>
            </w:pPr>
            <w:r w:rsidRPr="00A5175E">
              <w:rPr>
                <w:rFonts w:ascii="Times New Roman" w:hAnsi="Times New Roman"/>
                <w:color w:val="000000"/>
                <w:sz w:val="24"/>
                <w:szCs w:val="22"/>
              </w:rPr>
              <w:t>$32,125</w:t>
            </w:r>
          </w:p>
        </w:tc>
      </w:tr>
      <w:tr w:rsidR="00741A31" w:rsidRPr="00A5175E" w:rsidTr="00741A31">
        <w:trPr>
          <w:jc w:val="center"/>
        </w:trPr>
        <w:tc>
          <w:tcPr>
            <w:tcW w:w="3877" w:type="pct"/>
            <w:gridSpan w:val="5"/>
            <w:tcBorders>
              <w:top w:val="single" w:sz="4" w:space="0" w:color="auto"/>
              <w:left w:val="single" w:sz="4" w:space="0" w:color="auto"/>
              <w:bottom w:val="single" w:sz="4" w:space="0" w:color="auto"/>
              <w:right w:val="single" w:sz="4" w:space="0" w:color="auto"/>
            </w:tcBorders>
            <w:shd w:val="clear" w:color="auto" w:fill="auto"/>
          </w:tcPr>
          <w:p w:rsidR="00741A31" w:rsidRPr="00741A31" w:rsidRDefault="00741A31" w:rsidP="0070537A">
            <w:pPr>
              <w:keepNext/>
              <w:spacing w:before="60" w:after="60"/>
              <w:jc w:val="right"/>
              <w:rPr>
                <w:rFonts w:ascii="Times New Roman" w:hAnsi="Times New Roman"/>
                <w:b/>
                <w:color w:val="000000"/>
                <w:sz w:val="24"/>
                <w:szCs w:val="22"/>
              </w:rPr>
            </w:pPr>
            <w:r w:rsidRPr="00741A31">
              <w:rPr>
                <w:rFonts w:ascii="Times New Roman" w:hAnsi="Times New Roman"/>
                <w:b/>
                <w:i/>
                <w:color w:val="000000"/>
                <w:sz w:val="24"/>
                <w:szCs w:val="24"/>
              </w:rPr>
              <w:t>Subtotal:</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741A31" w:rsidRPr="00741A31" w:rsidRDefault="00741A31" w:rsidP="0070537A">
            <w:pPr>
              <w:keepNext/>
              <w:spacing w:before="60" w:after="60"/>
              <w:jc w:val="center"/>
              <w:rPr>
                <w:rFonts w:ascii="Times New Roman" w:hAnsi="Times New Roman"/>
                <w:b/>
                <w:color w:val="000000"/>
                <w:sz w:val="24"/>
                <w:szCs w:val="22"/>
              </w:rPr>
            </w:pPr>
            <w:r w:rsidRPr="00741A31">
              <w:rPr>
                <w:rFonts w:ascii="Times New Roman" w:hAnsi="Times New Roman"/>
                <w:b/>
                <w:color w:val="000000"/>
                <w:sz w:val="24"/>
                <w:szCs w:val="22"/>
              </w:rPr>
              <w:t>$32,125</w:t>
            </w:r>
          </w:p>
        </w:tc>
      </w:tr>
      <w:tr w:rsidR="00741A31" w:rsidRPr="00A5175E" w:rsidTr="00741A31">
        <w:trPr>
          <w:jc w:val="center"/>
        </w:trPr>
        <w:tc>
          <w:tcPr>
            <w:tcW w:w="3877" w:type="pct"/>
            <w:gridSpan w:val="5"/>
            <w:tcBorders>
              <w:top w:val="single" w:sz="4" w:space="0" w:color="auto"/>
              <w:left w:val="single" w:sz="4" w:space="0" w:color="auto"/>
              <w:bottom w:val="single" w:sz="4" w:space="0" w:color="auto"/>
              <w:right w:val="single" w:sz="4" w:space="0" w:color="auto"/>
            </w:tcBorders>
            <w:shd w:val="clear" w:color="auto" w:fill="auto"/>
          </w:tcPr>
          <w:p w:rsidR="00741A31" w:rsidRPr="00741A31" w:rsidRDefault="00741A31" w:rsidP="0070537A">
            <w:pPr>
              <w:keepNext/>
              <w:spacing w:before="60" w:after="60"/>
              <w:jc w:val="right"/>
              <w:rPr>
                <w:rFonts w:ascii="Times New Roman" w:hAnsi="Times New Roman"/>
                <w:b/>
                <w:i/>
                <w:color w:val="000000"/>
                <w:sz w:val="24"/>
                <w:szCs w:val="24"/>
              </w:rPr>
            </w:pPr>
            <w:r w:rsidRPr="00741A31">
              <w:rPr>
                <w:rFonts w:ascii="Times New Roman" w:hAnsi="Times New Roman"/>
                <w:b/>
                <w:i/>
                <w:color w:val="000000"/>
                <w:sz w:val="24"/>
                <w:szCs w:val="24"/>
              </w:rPr>
              <w:t>TOTAL REQUEST:</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741A31" w:rsidRPr="00741A31" w:rsidRDefault="00741A31" w:rsidP="0070537A">
            <w:pPr>
              <w:keepNext/>
              <w:spacing w:before="60" w:after="60"/>
              <w:jc w:val="center"/>
              <w:rPr>
                <w:rFonts w:ascii="Times New Roman" w:hAnsi="Times New Roman"/>
                <w:b/>
                <w:color w:val="000000"/>
                <w:sz w:val="24"/>
                <w:szCs w:val="22"/>
              </w:rPr>
            </w:pPr>
            <w:r w:rsidRPr="00741A31">
              <w:rPr>
                <w:rFonts w:ascii="Times New Roman" w:hAnsi="Times New Roman"/>
                <w:b/>
                <w:i/>
                <w:color w:val="000000"/>
                <w:sz w:val="24"/>
                <w:szCs w:val="24"/>
              </w:rPr>
              <w:t>$591,995</w:t>
            </w:r>
          </w:p>
        </w:tc>
      </w:tr>
    </w:tbl>
    <w:p w:rsidR="000C61A2" w:rsidRDefault="000C61A2" w:rsidP="000C61A2">
      <w:pPr>
        <w:pStyle w:val="standard"/>
      </w:pPr>
    </w:p>
    <w:p w:rsidR="00A87B12" w:rsidRPr="00A87B12" w:rsidRDefault="00A87B12" w:rsidP="000C61A2">
      <w:pPr>
        <w:pStyle w:val="standard"/>
      </w:pPr>
      <w:r w:rsidRPr="00A87B12">
        <w:t xml:space="preserve">In general, the components of this request must constitute reasonable fees and costs of </w:t>
      </w:r>
      <w:r w:rsidR="00D963DB">
        <w:t>Rafferty</w:t>
      </w:r>
      <w:r w:rsidRPr="00A87B12">
        <w:t xml:space="preserve">’s preparation for and participation in </w:t>
      </w:r>
      <w:r w:rsidR="00D963DB">
        <w:t>this</w:t>
      </w:r>
      <w:r w:rsidRPr="00A87B12">
        <w:t xml:space="preserve"> proceeding that resulted in a substantial contribution.  The issues we consider to determine reasonableness are discussed below.</w:t>
      </w:r>
    </w:p>
    <w:p w:rsidR="00A87B12" w:rsidRPr="00A87B12" w:rsidRDefault="00A87B12" w:rsidP="007C70C1">
      <w:pPr>
        <w:pStyle w:val="Heading2"/>
        <w:keepNext w:val="0"/>
      </w:pPr>
      <w:bookmarkStart w:id="55" w:name="_Toc509589609"/>
      <w:r w:rsidRPr="00A87B12">
        <w:t>Hours and Costs Related to and Necessary</w:t>
      </w:r>
      <w:r w:rsidR="0009474E">
        <w:t xml:space="preserve"> </w:t>
      </w:r>
      <w:r w:rsidR="0009474E">
        <w:br/>
      </w:r>
      <w:r w:rsidRPr="00A87B12">
        <w:t>for Substantial Contribution</w:t>
      </w:r>
      <w:bookmarkEnd w:id="55"/>
    </w:p>
    <w:p w:rsidR="009B5969" w:rsidRDefault="009B5969" w:rsidP="00E02A7C">
      <w:pPr>
        <w:pStyle w:val="standard"/>
      </w:pPr>
      <w:r>
        <w:t>Regarding</w:t>
      </w:r>
      <w:r w:rsidR="00A87B12" w:rsidRPr="00A87B12">
        <w:t xml:space="preserve"> the hours claimed </w:t>
      </w:r>
      <w:r>
        <w:t>by</w:t>
      </w:r>
      <w:r w:rsidRPr="00A87B12">
        <w:t xml:space="preserve"> </w:t>
      </w:r>
      <w:r w:rsidR="00D963DB">
        <w:t>Rafferty</w:t>
      </w:r>
      <w:r>
        <w:t xml:space="preserve"> for</w:t>
      </w:r>
      <w:r w:rsidR="00D963DB" w:rsidRPr="00A87B12">
        <w:t xml:space="preserve"> </w:t>
      </w:r>
      <w:r>
        <w:t xml:space="preserve">work </w:t>
      </w:r>
      <w:r w:rsidR="00A87B12" w:rsidRPr="00A87B12">
        <w:t xml:space="preserve">that resulted in substantial contributions to </w:t>
      </w:r>
      <w:r>
        <w:t xml:space="preserve">D.17-05-013, we assess whether the claim is </w:t>
      </w:r>
      <w:r w:rsidR="00A87B12" w:rsidRPr="00A87B12">
        <w:t xml:space="preserve">reasonable by determining </w:t>
      </w:r>
      <w:r>
        <w:t>the</w:t>
      </w:r>
      <w:r w:rsidR="00A87B12" w:rsidRPr="00A87B12">
        <w:t xml:space="preserve"> degree </w:t>
      </w:r>
      <w:r>
        <w:t xml:space="preserve">to which </w:t>
      </w:r>
      <w:r w:rsidR="00A87B12" w:rsidRPr="00A87B12">
        <w:t>the hours and costs are related to the work performed</w:t>
      </w:r>
      <w:r>
        <w:t>,</w:t>
      </w:r>
      <w:r w:rsidR="00A87B12" w:rsidRPr="00A87B12">
        <w:t xml:space="preserve"> and </w:t>
      </w:r>
      <w:r>
        <w:t xml:space="preserve">therefore </w:t>
      </w:r>
      <w:r w:rsidR="00A87B12" w:rsidRPr="00A87B12">
        <w:t>necessary for the substantial contribution</w:t>
      </w:r>
      <w:r>
        <w:t>s we identified above</w:t>
      </w:r>
      <w:r w:rsidR="00A87B12" w:rsidRPr="00A87B12">
        <w:t>.</w:t>
      </w:r>
      <w:r w:rsidR="00D963DB">
        <w:t xml:space="preserve">  </w:t>
      </w:r>
      <w:r>
        <w:t>The manner in which Rafferty tracked and summarized his hours made this a difficult task, as we explain below.</w:t>
      </w:r>
    </w:p>
    <w:p w:rsidR="00E02A7C" w:rsidRDefault="00CD59A5" w:rsidP="00E02A7C">
      <w:pPr>
        <w:pStyle w:val="standard"/>
      </w:pPr>
      <w:r>
        <w:t xml:space="preserve">In his claim, </w:t>
      </w:r>
      <w:r w:rsidR="00D963DB">
        <w:t xml:space="preserve">Rafferty provides </w:t>
      </w:r>
      <w:r>
        <w:t>the</w:t>
      </w:r>
      <w:r w:rsidR="00E02A7C">
        <w:t xml:space="preserve"> </w:t>
      </w:r>
      <w:r w:rsidR="00D963DB">
        <w:t>breakdown of hours by task</w:t>
      </w:r>
      <w:r>
        <w:t xml:space="preserve"> shown</w:t>
      </w:r>
      <w:r w:rsidR="00E02A7C">
        <w:t xml:space="preserve"> in Table 1 on the following page</w:t>
      </w:r>
      <w:r w:rsidR="00D963DB">
        <w:t>:</w:t>
      </w:r>
    </w:p>
    <w:p w:rsidR="00E02A7C" w:rsidRDefault="00E02A7C">
      <w:r>
        <w:br w:type="page"/>
      </w:r>
    </w:p>
    <w:p w:rsidR="00A87B12" w:rsidRPr="00D57534" w:rsidRDefault="001E1D12" w:rsidP="007C70C1">
      <w:pPr>
        <w:pStyle w:val="standard"/>
        <w:keepNext/>
        <w:spacing w:line="240" w:lineRule="auto"/>
        <w:ind w:firstLine="0"/>
        <w:jc w:val="center"/>
        <w:rPr>
          <w:b/>
          <w:sz w:val="24"/>
        </w:rPr>
      </w:pPr>
      <w:r w:rsidRPr="00D57534">
        <w:rPr>
          <w:b/>
          <w:sz w:val="24"/>
        </w:rPr>
        <w:lastRenderedPageBreak/>
        <w:t>Table 1</w:t>
      </w:r>
    </w:p>
    <w:p w:rsidR="00673EC4" w:rsidRPr="00D57534" w:rsidRDefault="00673EC4" w:rsidP="007C70C1">
      <w:pPr>
        <w:pStyle w:val="standard"/>
        <w:keepNext/>
        <w:spacing w:after="120" w:line="240" w:lineRule="auto"/>
        <w:ind w:firstLine="0"/>
        <w:jc w:val="center"/>
        <w:rPr>
          <w:b/>
          <w:sz w:val="24"/>
        </w:rPr>
      </w:pPr>
      <w:r w:rsidRPr="00D57534">
        <w:rPr>
          <w:b/>
          <w:sz w:val="24"/>
        </w:rPr>
        <w:t>Allocation of Hours:  Rafferty Compensation Claim, page 18</w:t>
      </w:r>
    </w:p>
    <w:tbl>
      <w:tblPr>
        <w:tblStyle w:val="TableGrid"/>
        <w:tblW w:w="0" w:type="auto"/>
        <w:jc w:val="center"/>
        <w:tblLook w:val="04A0" w:firstRow="1" w:lastRow="0" w:firstColumn="1" w:lastColumn="0" w:noHBand="0" w:noVBand="1"/>
      </w:tblPr>
      <w:tblGrid>
        <w:gridCol w:w="1139"/>
        <w:gridCol w:w="1763"/>
        <w:gridCol w:w="981"/>
        <w:gridCol w:w="936"/>
      </w:tblGrid>
      <w:tr w:rsidR="00E9623C" w:rsidRPr="002959DF" w:rsidTr="002959DF">
        <w:trPr>
          <w:cantSplit/>
          <w:jc w:val="center"/>
        </w:trPr>
        <w:tc>
          <w:tcPr>
            <w:tcW w:w="1139" w:type="dxa"/>
          </w:tcPr>
          <w:p w:rsidR="00E9623C" w:rsidRPr="002959DF" w:rsidRDefault="00A94053" w:rsidP="0070537A">
            <w:pPr>
              <w:keepNext/>
              <w:jc w:val="center"/>
              <w:rPr>
                <w:b/>
                <w:sz w:val="23"/>
                <w:szCs w:val="23"/>
              </w:rPr>
            </w:pPr>
            <w:r w:rsidRPr="002959DF">
              <w:rPr>
                <w:b/>
                <w:sz w:val="23"/>
                <w:szCs w:val="23"/>
              </w:rPr>
              <w:t>Line #</w:t>
            </w:r>
          </w:p>
        </w:tc>
        <w:tc>
          <w:tcPr>
            <w:tcW w:w="0" w:type="auto"/>
            <w:noWrap/>
            <w:vAlign w:val="center"/>
          </w:tcPr>
          <w:p w:rsidR="00E9623C" w:rsidRPr="002959DF" w:rsidRDefault="00E9623C" w:rsidP="0070537A">
            <w:pPr>
              <w:keepNext/>
              <w:jc w:val="center"/>
              <w:rPr>
                <w:b/>
                <w:sz w:val="23"/>
                <w:szCs w:val="23"/>
              </w:rPr>
            </w:pPr>
            <w:r w:rsidRPr="002959DF">
              <w:rPr>
                <w:b/>
                <w:sz w:val="23"/>
                <w:szCs w:val="23"/>
              </w:rPr>
              <w:t>Task</w:t>
            </w:r>
          </w:p>
        </w:tc>
        <w:tc>
          <w:tcPr>
            <w:tcW w:w="0" w:type="auto"/>
            <w:noWrap/>
            <w:vAlign w:val="center"/>
          </w:tcPr>
          <w:p w:rsidR="00E9623C" w:rsidRPr="002959DF" w:rsidRDefault="00E9623C" w:rsidP="0070537A">
            <w:pPr>
              <w:keepNext/>
              <w:jc w:val="center"/>
              <w:rPr>
                <w:b/>
                <w:sz w:val="23"/>
                <w:szCs w:val="23"/>
              </w:rPr>
            </w:pPr>
            <w:r w:rsidRPr="002959DF">
              <w:rPr>
                <w:b/>
                <w:sz w:val="23"/>
                <w:szCs w:val="23"/>
              </w:rPr>
              <w:t>Hours</w:t>
            </w:r>
          </w:p>
        </w:tc>
        <w:tc>
          <w:tcPr>
            <w:tcW w:w="0" w:type="auto"/>
            <w:noWrap/>
            <w:vAlign w:val="center"/>
          </w:tcPr>
          <w:p w:rsidR="00E9623C" w:rsidRPr="002959DF" w:rsidRDefault="002959DF" w:rsidP="0070537A">
            <w:pPr>
              <w:keepNext/>
              <w:jc w:val="center"/>
              <w:rPr>
                <w:b/>
                <w:sz w:val="23"/>
                <w:szCs w:val="23"/>
              </w:rPr>
            </w:pPr>
            <w:r w:rsidRPr="002959DF">
              <w:rPr>
                <w:b/>
                <w:sz w:val="23"/>
                <w:szCs w:val="23"/>
              </w:rPr>
              <w:t>%</w:t>
            </w:r>
          </w:p>
        </w:tc>
      </w:tr>
      <w:tr w:rsidR="00E9623C" w:rsidRPr="002959DF" w:rsidTr="002959DF">
        <w:trPr>
          <w:cantSplit/>
          <w:jc w:val="center"/>
        </w:trPr>
        <w:tc>
          <w:tcPr>
            <w:tcW w:w="1139" w:type="dxa"/>
            <w:vAlign w:val="bottom"/>
          </w:tcPr>
          <w:p w:rsidR="00E9623C" w:rsidRPr="002959DF" w:rsidRDefault="00E9623C" w:rsidP="002959DF">
            <w:pPr>
              <w:keepNext/>
              <w:jc w:val="center"/>
              <w:rPr>
                <w:sz w:val="23"/>
                <w:szCs w:val="23"/>
              </w:rPr>
            </w:pPr>
            <w:r w:rsidRPr="002959DF">
              <w:rPr>
                <w:sz w:val="23"/>
                <w:szCs w:val="23"/>
              </w:rPr>
              <w:t>1</w:t>
            </w:r>
          </w:p>
        </w:tc>
        <w:tc>
          <w:tcPr>
            <w:tcW w:w="0" w:type="auto"/>
            <w:noWrap/>
            <w:hideMark/>
          </w:tcPr>
          <w:p w:rsidR="00E9623C" w:rsidRPr="002959DF" w:rsidRDefault="00E9623C" w:rsidP="0070537A">
            <w:pPr>
              <w:keepNext/>
              <w:rPr>
                <w:sz w:val="23"/>
                <w:szCs w:val="23"/>
              </w:rPr>
            </w:pPr>
            <w:r w:rsidRPr="002959DF">
              <w:rPr>
                <w:sz w:val="23"/>
                <w:szCs w:val="23"/>
              </w:rPr>
              <w:t>Preparation</w:t>
            </w:r>
          </w:p>
        </w:tc>
        <w:tc>
          <w:tcPr>
            <w:tcW w:w="0" w:type="auto"/>
            <w:noWrap/>
            <w:hideMark/>
          </w:tcPr>
          <w:p w:rsidR="00E9623C" w:rsidRPr="002959DF" w:rsidRDefault="00E9623C" w:rsidP="007C70C1">
            <w:pPr>
              <w:keepNext/>
              <w:ind w:right="247"/>
              <w:jc w:val="right"/>
              <w:rPr>
                <w:sz w:val="23"/>
                <w:szCs w:val="23"/>
              </w:rPr>
            </w:pPr>
            <w:r w:rsidRPr="002959DF">
              <w:rPr>
                <w:sz w:val="23"/>
                <w:szCs w:val="23"/>
              </w:rPr>
              <w:t>45</w:t>
            </w:r>
          </w:p>
        </w:tc>
        <w:tc>
          <w:tcPr>
            <w:tcW w:w="0" w:type="auto"/>
            <w:noWrap/>
            <w:hideMark/>
          </w:tcPr>
          <w:p w:rsidR="00E9623C" w:rsidRPr="002959DF" w:rsidRDefault="00E9623C" w:rsidP="007C70C1">
            <w:pPr>
              <w:keepNext/>
              <w:ind w:right="170"/>
              <w:jc w:val="right"/>
              <w:rPr>
                <w:sz w:val="23"/>
                <w:szCs w:val="23"/>
              </w:rPr>
            </w:pPr>
            <w:r w:rsidRPr="002959DF">
              <w:rPr>
                <w:sz w:val="23"/>
                <w:szCs w:val="23"/>
              </w:rPr>
              <w:t>4%</w:t>
            </w:r>
          </w:p>
        </w:tc>
      </w:tr>
      <w:tr w:rsidR="00E9623C" w:rsidRPr="002959DF" w:rsidTr="002959DF">
        <w:trPr>
          <w:cantSplit/>
          <w:jc w:val="center"/>
        </w:trPr>
        <w:tc>
          <w:tcPr>
            <w:tcW w:w="1139" w:type="dxa"/>
            <w:vAlign w:val="bottom"/>
          </w:tcPr>
          <w:p w:rsidR="00E9623C" w:rsidRPr="002959DF" w:rsidRDefault="00E9623C" w:rsidP="002959DF">
            <w:pPr>
              <w:keepNext/>
              <w:jc w:val="center"/>
              <w:rPr>
                <w:sz w:val="23"/>
                <w:szCs w:val="23"/>
              </w:rPr>
            </w:pPr>
            <w:r w:rsidRPr="002959DF">
              <w:rPr>
                <w:sz w:val="23"/>
                <w:szCs w:val="23"/>
              </w:rPr>
              <w:t>2</w:t>
            </w:r>
          </w:p>
        </w:tc>
        <w:tc>
          <w:tcPr>
            <w:tcW w:w="0" w:type="auto"/>
            <w:noWrap/>
            <w:hideMark/>
          </w:tcPr>
          <w:p w:rsidR="00E9623C" w:rsidRPr="002959DF" w:rsidRDefault="00E9623C" w:rsidP="0070537A">
            <w:pPr>
              <w:keepNext/>
              <w:rPr>
                <w:sz w:val="23"/>
                <w:szCs w:val="23"/>
              </w:rPr>
            </w:pPr>
            <w:r w:rsidRPr="002959DF">
              <w:rPr>
                <w:sz w:val="23"/>
                <w:szCs w:val="23"/>
              </w:rPr>
              <w:t>Process</w:t>
            </w:r>
          </w:p>
        </w:tc>
        <w:tc>
          <w:tcPr>
            <w:tcW w:w="0" w:type="auto"/>
            <w:noWrap/>
            <w:hideMark/>
          </w:tcPr>
          <w:p w:rsidR="00E9623C" w:rsidRPr="002959DF" w:rsidRDefault="00E9623C" w:rsidP="007C70C1">
            <w:pPr>
              <w:keepNext/>
              <w:ind w:right="247"/>
              <w:jc w:val="right"/>
              <w:rPr>
                <w:sz w:val="23"/>
                <w:szCs w:val="23"/>
              </w:rPr>
            </w:pPr>
            <w:r w:rsidRPr="002959DF">
              <w:rPr>
                <w:sz w:val="23"/>
                <w:szCs w:val="23"/>
              </w:rPr>
              <w:t>68</w:t>
            </w:r>
          </w:p>
        </w:tc>
        <w:tc>
          <w:tcPr>
            <w:tcW w:w="0" w:type="auto"/>
            <w:noWrap/>
            <w:hideMark/>
          </w:tcPr>
          <w:p w:rsidR="00E9623C" w:rsidRPr="002959DF" w:rsidRDefault="00E9623C" w:rsidP="007C70C1">
            <w:pPr>
              <w:keepNext/>
              <w:ind w:right="170"/>
              <w:jc w:val="right"/>
              <w:rPr>
                <w:sz w:val="23"/>
                <w:szCs w:val="23"/>
              </w:rPr>
            </w:pPr>
            <w:r w:rsidRPr="002959DF">
              <w:rPr>
                <w:sz w:val="23"/>
                <w:szCs w:val="23"/>
              </w:rPr>
              <w:t>6%</w:t>
            </w:r>
          </w:p>
        </w:tc>
      </w:tr>
      <w:tr w:rsidR="00E9623C" w:rsidRPr="002959DF" w:rsidTr="002959DF">
        <w:trPr>
          <w:cantSplit/>
          <w:jc w:val="center"/>
        </w:trPr>
        <w:tc>
          <w:tcPr>
            <w:tcW w:w="1139" w:type="dxa"/>
            <w:vAlign w:val="bottom"/>
          </w:tcPr>
          <w:p w:rsidR="00E9623C" w:rsidRPr="002959DF" w:rsidRDefault="00E9623C" w:rsidP="002959DF">
            <w:pPr>
              <w:keepNext/>
              <w:jc w:val="center"/>
              <w:rPr>
                <w:sz w:val="23"/>
                <w:szCs w:val="23"/>
              </w:rPr>
            </w:pPr>
            <w:r w:rsidRPr="002959DF">
              <w:rPr>
                <w:sz w:val="23"/>
                <w:szCs w:val="23"/>
              </w:rPr>
              <w:t>3</w:t>
            </w:r>
          </w:p>
        </w:tc>
        <w:tc>
          <w:tcPr>
            <w:tcW w:w="0" w:type="auto"/>
            <w:noWrap/>
            <w:hideMark/>
          </w:tcPr>
          <w:p w:rsidR="00E9623C" w:rsidRPr="002959DF" w:rsidRDefault="00E9623C" w:rsidP="0070537A">
            <w:pPr>
              <w:keepNext/>
              <w:rPr>
                <w:sz w:val="23"/>
                <w:szCs w:val="23"/>
              </w:rPr>
            </w:pPr>
            <w:r w:rsidRPr="002959DF">
              <w:rPr>
                <w:sz w:val="23"/>
                <w:szCs w:val="23"/>
              </w:rPr>
              <w:t>Safety</w:t>
            </w:r>
          </w:p>
        </w:tc>
        <w:tc>
          <w:tcPr>
            <w:tcW w:w="0" w:type="auto"/>
            <w:noWrap/>
            <w:hideMark/>
          </w:tcPr>
          <w:p w:rsidR="00E9623C" w:rsidRPr="002959DF" w:rsidRDefault="00E9623C" w:rsidP="007C70C1">
            <w:pPr>
              <w:keepNext/>
              <w:ind w:right="247"/>
              <w:jc w:val="right"/>
              <w:rPr>
                <w:sz w:val="23"/>
                <w:szCs w:val="23"/>
              </w:rPr>
            </w:pPr>
            <w:r w:rsidRPr="002959DF">
              <w:rPr>
                <w:sz w:val="23"/>
                <w:szCs w:val="23"/>
              </w:rPr>
              <w:t>510</w:t>
            </w:r>
          </w:p>
        </w:tc>
        <w:tc>
          <w:tcPr>
            <w:tcW w:w="0" w:type="auto"/>
            <w:noWrap/>
            <w:hideMark/>
          </w:tcPr>
          <w:p w:rsidR="00E9623C" w:rsidRPr="002959DF" w:rsidRDefault="00E9623C" w:rsidP="007C70C1">
            <w:pPr>
              <w:keepNext/>
              <w:ind w:right="170"/>
              <w:jc w:val="right"/>
              <w:rPr>
                <w:sz w:val="23"/>
                <w:szCs w:val="23"/>
              </w:rPr>
            </w:pPr>
            <w:r w:rsidRPr="002959DF">
              <w:rPr>
                <w:sz w:val="23"/>
                <w:szCs w:val="23"/>
              </w:rPr>
              <w:t>45%</w:t>
            </w:r>
          </w:p>
        </w:tc>
      </w:tr>
      <w:tr w:rsidR="00E9623C" w:rsidRPr="002959DF" w:rsidTr="002959DF">
        <w:trPr>
          <w:cantSplit/>
          <w:jc w:val="center"/>
        </w:trPr>
        <w:tc>
          <w:tcPr>
            <w:tcW w:w="1139" w:type="dxa"/>
            <w:vAlign w:val="bottom"/>
          </w:tcPr>
          <w:p w:rsidR="00E9623C" w:rsidRPr="002959DF" w:rsidRDefault="00E9623C" w:rsidP="002959DF">
            <w:pPr>
              <w:keepNext/>
              <w:jc w:val="center"/>
              <w:rPr>
                <w:sz w:val="23"/>
                <w:szCs w:val="23"/>
              </w:rPr>
            </w:pPr>
            <w:r w:rsidRPr="002959DF">
              <w:rPr>
                <w:sz w:val="23"/>
                <w:szCs w:val="23"/>
              </w:rPr>
              <w:t>4</w:t>
            </w:r>
          </w:p>
        </w:tc>
        <w:tc>
          <w:tcPr>
            <w:tcW w:w="0" w:type="auto"/>
            <w:noWrap/>
            <w:hideMark/>
          </w:tcPr>
          <w:p w:rsidR="00E9623C" w:rsidRPr="002959DF" w:rsidRDefault="00E9623C" w:rsidP="0070537A">
            <w:pPr>
              <w:keepNext/>
              <w:rPr>
                <w:sz w:val="23"/>
                <w:szCs w:val="23"/>
              </w:rPr>
            </w:pPr>
            <w:r w:rsidRPr="002959DF">
              <w:rPr>
                <w:sz w:val="23"/>
                <w:szCs w:val="23"/>
              </w:rPr>
              <w:t>Settlement</w:t>
            </w:r>
          </w:p>
        </w:tc>
        <w:tc>
          <w:tcPr>
            <w:tcW w:w="0" w:type="auto"/>
            <w:noWrap/>
            <w:hideMark/>
          </w:tcPr>
          <w:p w:rsidR="00E9623C" w:rsidRPr="002959DF" w:rsidRDefault="00E9623C" w:rsidP="007C70C1">
            <w:pPr>
              <w:keepNext/>
              <w:ind w:right="247"/>
              <w:jc w:val="right"/>
              <w:rPr>
                <w:sz w:val="23"/>
                <w:szCs w:val="23"/>
              </w:rPr>
            </w:pPr>
            <w:r w:rsidRPr="002959DF">
              <w:rPr>
                <w:sz w:val="23"/>
                <w:szCs w:val="23"/>
              </w:rPr>
              <w:t>419</w:t>
            </w:r>
          </w:p>
        </w:tc>
        <w:tc>
          <w:tcPr>
            <w:tcW w:w="0" w:type="auto"/>
            <w:noWrap/>
            <w:hideMark/>
          </w:tcPr>
          <w:p w:rsidR="00E9623C" w:rsidRPr="002959DF" w:rsidRDefault="00E9623C" w:rsidP="007C70C1">
            <w:pPr>
              <w:keepNext/>
              <w:ind w:right="170"/>
              <w:jc w:val="right"/>
              <w:rPr>
                <w:sz w:val="23"/>
                <w:szCs w:val="23"/>
              </w:rPr>
            </w:pPr>
            <w:r w:rsidRPr="002959DF">
              <w:rPr>
                <w:sz w:val="23"/>
                <w:szCs w:val="23"/>
              </w:rPr>
              <w:t>37%</w:t>
            </w:r>
          </w:p>
        </w:tc>
      </w:tr>
      <w:tr w:rsidR="00E9623C" w:rsidRPr="002959DF" w:rsidTr="002959DF">
        <w:trPr>
          <w:cantSplit/>
          <w:jc w:val="center"/>
        </w:trPr>
        <w:tc>
          <w:tcPr>
            <w:tcW w:w="1139" w:type="dxa"/>
            <w:vAlign w:val="bottom"/>
          </w:tcPr>
          <w:p w:rsidR="00E9623C" w:rsidRPr="002959DF" w:rsidRDefault="00E9623C" w:rsidP="002959DF">
            <w:pPr>
              <w:keepNext/>
              <w:jc w:val="center"/>
              <w:rPr>
                <w:sz w:val="23"/>
                <w:szCs w:val="23"/>
              </w:rPr>
            </w:pPr>
            <w:r w:rsidRPr="002959DF">
              <w:rPr>
                <w:sz w:val="23"/>
                <w:szCs w:val="23"/>
              </w:rPr>
              <w:t>5</w:t>
            </w:r>
          </w:p>
        </w:tc>
        <w:tc>
          <w:tcPr>
            <w:tcW w:w="0" w:type="auto"/>
            <w:noWrap/>
            <w:hideMark/>
          </w:tcPr>
          <w:p w:rsidR="00E9623C" w:rsidRPr="002959DF" w:rsidRDefault="00E9623C" w:rsidP="0070537A">
            <w:pPr>
              <w:keepNext/>
              <w:rPr>
                <w:sz w:val="23"/>
                <w:szCs w:val="23"/>
              </w:rPr>
            </w:pPr>
            <w:r w:rsidRPr="002959DF">
              <w:rPr>
                <w:sz w:val="23"/>
                <w:szCs w:val="23"/>
              </w:rPr>
              <w:t>PTY-Gas Leaks</w:t>
            </w:r>
          </w:p>
        </w:tc>
        <w:tc>
          <w:tcPr>
            <w:tcW w:w="0" w:type="auto"/>
            <w:noWrap/>
            <w:hideMark/>
          </w:tcPr>
          <w:p w:rsidR="00E9623C" w:rsidRPr="002959DF" w:rsidRDefault="00E9623C" w:rsidP="007C70C1">
            <w:pPr>
              <w:keepNext/>
              <w:ind w:right="247"/>
              <w:jc w:val="right"/>
              <w:rPr>
                <w:sz w:val="23"/>
                <w:szCs w:val="23"/>
              </w:rPr>
            </w:pPr>
            <w:r w:rsidRPr="002959DF">
              <w:rPr>
                <w:sz w:val="23"/>
                <w:szCs w:val="23"/>
              </w:rPr>
              <w:t>57</w:t>
            </w:r>
          </w:p>
        </w:tc>
        <w:tc>
          <w:tcPr>
            <w:tcW w:w="0" w:type="auto"/>
            <w:noWrap/>
            <w:hideMark/>
          </w:tcPr>
          <w:p w:rsidR="00E9623C" w:rsidRPr="002959DF" w:rsidRDefault="00E9623C" w:rsidP="007C70C1">
            <w:pPr>
              <w:keepNext/>
              <w:ind w:right="170"/>
              <w:jc w:val="right"/>
              <w:rPr>
                <w:sz w:val="23"/>
                <w:szCs w:val="23"/>
              </w:rPr>
            </w:pPr>
            <w:r w:rsidRPr="002959DF">
              <w:rPr>
                <w:sz w:val="23"/>
                <w:szCs w:val="23"/>
              </w:rPr>
              <w:t>5%</w:t>
            </w:r>
          </w:p>
        </w:tc>
      </w:tr>
      <w:tr w:rsidR="00E9623C" w:rsidRPr="002959DF" w:rsidTr="002959DF">
        <w:trPr>
          <w:cantSplit/>
          <w:jc w:val="center"/>
        </w:trPr>
        <w:tc>
          <w:tcPr>
            <w:tcW w:w="1139" w:type="dxa"/>
            <w:vAlign w:val="bottom"/>
          </w:tcPr>
          <w:p w:rsidR="00E9623C" w:rsidRPr="002959DF" w:rsidRDefault="00E9623C" w:rsidP="002959DF">
            <w:pPr>
              <w:keepNext/>
              <w:jc w:val="center"/>
              <w:rPr>
                <w:sz w:val="23"/>
                <w:szCs w:val="23"/>
              </w:rPr>
            </w:pPr>
            <w:r w:rsidRPr="002959DF">
              <w:rPr>
                <w:sz w:val="23"/>
                <w:szCs w:val="23"/>
              </w:rPr>
              <w:t>6</w:t>
            </w:r>
          </w:p>
        </w:tc>
        <w:tc>
          <w:tcPr>
            <w:tcW w:w="0" w:type="auto"/>
            <w:noWrap/>
            <w:hideMark/>
          </w:tcPr>
          <w:p w:rsidR="00E9623C" w:rsidRPr="002959DF" w:rsidRDefault="00E9623C" w:rsidP="0070537A">
            <w:pPr>
              <w:keepNext/>
              <w:rPr>
                <w:sz w:val="23"/>
                <w:szCs w:val="23"/>
              </w:rPr>
            </w:pPr>
            <w:r w:rsidRPr="002959DF">
              <w:rPr>
                <w:sz w:val="23"/>
                <w:szCs w:val="23"/>
              </w:rPr>
              <w:t>20A</w:t>
            </w:r>
          </w:p>
        </w:tc>
        <w:tc>
          <w:tcPr>
            <w:tcW w:w="0" w:type="auto"/>
            <w:noWrap/>
            <w:hideMark/>
          </w:tcPr>
          <w:p w:rsidR="00E9623C" w:rsidRPr="002959DF" w:rsidRDefault="00E9623C" w:rsidP="007C70C1">
            <w:pPr>
              <w:keepNext/>
              <w:ind w:right="247"/>
              <w:jc w:val="right"/>
              <w:rPr>
                <w:sz w:val="23"/>
                <w:szCs w:val="23"/>
              </w:rPr>
            </w:pPr>
            <w:r w:rsidRPr="002959DF">
              <w:rPr>
                <w:sz w:val="23"/>
                <w:szCs w:val="23"/>
              </w:rPr>
              <w:t>34</w:t>
            </w:r>
          </w:p>
        </w:tc>
        <w:tc>
          <w:tcPr>
            <w:tcW w:w="0" w:type="auto"/>
            <w:noWrap/>
            <w:hideMark/>
          </w:tcPr>
          <w:p w:rsidR="00E9623C" w:rsidRPr="002959DF" w:rsidRDefault="00E9623C" w:rsidP="007C70C1">
            <w:pPr>
              <w:keepNext/>
              <w:ind w:right="170"/>
              <w:jc w:val="right"/>
              <w:rPr>
                <w:sz w:val="23"/>
                <w:szCs w:val="23"/>
              </w:rPr>
            </w:pPr>
            <w:r w:rsidRPr="002959DF">
              <w:rPr>
                <w:sz w:val="23"/>
                <w:szCs w:val="23"/>
              </w:rPr>
              <w:t>3%</w:t>
            </w:r>
          </w:p>
        </w:tc>
      </w:tr>
      <w:tr w:rsidR="00E9623C" w:rsidRPr="002959DF" w:rsidTr="002959DF">
        <w:trPr>
          <w:cantSplit/>
          <w:jc w:val="center"/>
        </w:trPr>
        <w:tc>
          <w:tcPr>
            <w:tcW w:w="1139" w:type="dxa"/>
          </w:tcPr>
          <w:p w:rsidR="00E9623C" w:rsidRPr="002959DF" w:rsidRDefault="00E9623C" w:rsidP="002959DF">
            <w:pPr>
              <w:keepNext/>
              <w:jc w:val="center"/>
              <w:rPr>
                <w:b/>
                <w:sz w:val="23"/>
                <w:szCs w:val="23"/>
              </w:rPr>
            </w:pPr>
          </w:p>
        </w:tc>
        <w:tc>
          <w:tcPr>
            <w:tcW w:w="0" w:type="auto"/>
            <w:noWrap/>
            <w:hideMark/>
          </w:tcPr>
          <w:p w:rsidR="00E9623C" w:rsidRPr="002959DF" w:rsidRDefault="005B4598" w:rsidP="0070537A">
            <w:pPr>
              <w:keepNext/>
              <w:rPr>
                <w:b/>
                <w:sz w:val="23"/>
                <w:szCs w:val="23"/>
              </w:rPr>
            </w:pPr>
            <w:r>
              <w:rPr>
                <w:b/>
                <w:sz w:val="23"/>
                <w:szCs w:val="23"/>
              </w:rPr>
              <w:t xml:space="preserve">Grand </w:t>
            </w:r>
            <w:r w:rsidR="00E9623C" w:rsidRPr="002959DF">
              <w:rPr>
                <w:b/>
                <w:sz w:val="23"/>
                <w:szCs w:val="23"/>
              </w:rPr>
              <w:t>Total</w:t>
            </w:r>
          </w:p>
        </w:tc>
        <w:tc>
          <w:tcPr>
            <w:tcW w:w="0" w:type="auto"/>
            <w:noWrap/>
            <w:hideMark/>
          </w:tcPr>
          <w:p w:rsidR="00E9623C" w:rsidRPr="002959DF" w:rsidRDefault="00E9623C" w:rsidP="007C70C1">
            <w:pPr>
              <w:keepNext/>
              <w:ind w:right="247"/>
              <w:jc w:val="right"/>
              <w:rPr>
                <w:b/>
                <w:sz w:val="23"/>
                <w:szCs w:val="23"/>
              </w:rPr>
            </w:pPr>
            <w:r w:rsidRPr="002959DF">
              <w:rPr>
                <w:b/>
                <w:sz w:val="23"/>
                <w:szCs w:val="23"/>
              </w:rPr>
              <w:t>1,133</w:t>
            </w:r>
          </w:p>
        </w:tc>
        <w:tc>
          <w:tcPr>
            <w:tcW w:w="0" w:type="auto"/>
            <w:noWrap/>
            <w:hideMark/>
          </w:tcPr>
          <w:p w:rsidR="00E9623C" w:rsidRPr="002959DF" w:rsidRDefault="00E9623C" w:rsidP="007C70C1">
            <w:pPr>
              <w:keepNext/>
              <w:ind w:right="170"/>
              <w:jc w:val="right"/>
              <w:rPr>
                <w:b/>
                <w:sz w:val="23"/>
                <w:szCs w:val="23"/>
              </w:rPr>
            </w:pPr>
            <w:r w:rsidRPr="002959DF">
              <w:rPr>
                <w:b/>
                <w:sz w:val="23"/>
                <w:szCs w:val="23"/>
              </w:rPr>
              <w:t>100%</w:t>
            </w:r>
          </w:p>
        </w:tc>
      </w:tr>
    </w:tbl>
    <w:p w:rsidR="00D963DB" w:rsidRDefault="008B4308" w:rsidP="007C70C1">
      <w:pPr>
        <w:pStyle w:val="standard"/>
        <w:spacing w:before="240"/>
        <w:ind w:firstLine="0"/>
      </w:pPr>
      <w:r>
        <w:t>T</w:t>
      </w:r>
      <w:r w:rsidR="00D963DB">
        <w:t xml:space="preserve">he </w:t>
      </w:r>
      <w:r w:rsidR="00D57534">
        <w:t xml:space="preserve">descriptions of the </w:t>
      </w:r>
      <w:r w:rsidR="00D963DB">
        <w:t xml:space="preserve">tasks in </w:t>
      </w:r>
      <w:r w:rsidR="00D57534" w:rsidRPr="00D57534">
        <w:t>Table 1</w:t>
      </w:r>
      <w:r w:rsidR="00D57534">
        <w:t xml:space="preserve"> </w:t>
      </w:r>
      <w:r w:rsidR="00D963DB">
        <w:t xml:space="preserve">differ from the </w:t>
      </w:r>
      <w:r w:rsidR="00D57534">
        <w:t xml:space="preserve">descriptions of the </w:t>
      </w:r>
      <w:r w:rsidR="00D963DB">
        <w:t xml:space="preserve">tasks </w:t>
      </w:r>
      <w:r>
        <w:t xml:space="preserve">in </w:t>
      </w:r>
      <w:r w:rsidR="00D963DB">
        <w:t>Rafferty</w:t>
      </w:r>
      <w:r>
        <w:t>’s</w:t>
      </w:r>
      <w:r w:rsidR="00D963DB">
        <w:t xml:space="preserve"> </w:t>
      </w:r>
      <w:r w:rsidR="0074455E">
        <w:t>times</w:t>
      </w:r>
      <w:r w:rsidR="00D963DB">
        <w:t>heets</w:t>
      </w:r>
      <w:r w:rsidR="0074455E">
        <w:t xml:space="preserve"> (</w:t>
      </w:r>
      <w:r>
        <w:t xml:space="preserve">Claim, </w:t>
      </w:r>
      <w:r w:rsidR="0074455E">
        <w:t>Attachment 3</w:t>
      </w:r>
      <w:r>
        <w:t>)</w:t>
      </w:r>
      <w:r w:rsidR="009B5969">
        <w:t xml:space="preserve">, which are </w:t>
      </w:r>
      <w:r w:rsidR="00E02A7C">
        <w:t>shown below</w:t>
      </w:r>
      <w:r w:rsidR="008B0E33">
        <w:t xml:space="preserve"> in Table 2</w:t>
      </w:r>
      <w:r w:rsidR="00D963DB">
        <w:t>:</w:t>
      </w:r>
    </w:p>
    <w:p w:rsidR="00673EC4" w:rsidRPr="00D57534" w:rsidRDefault="00673EC4" w:rsidP="007C70C1">
      <w:pPr>
        <w:pStyle w:val="standard"/>
        <w:keepNext/>
        <w:spacing w:line="240" w:lineRule="auto"/>
        <w:ind w:firstLine="0"/>
        <w:jc w:val="center"/>
        <w:rPr>
          <w:b/>
          <w:sz w:val="24"/>
        </w:rPr>
      </w:pPr>
      <w:r w:rsidRPr="00D57534">
        <w:rPr>
          <w:b/>
          <w:sz w:val="24"/>
        </w:rPr>
        <w:t>Table 2</w:t>
      </w:r>
    </w:p>
    <w:p w:rsidR="00673EC4" w:rsidRPr="00D57534" w:rsidRDefault="00673EC4" w:rsidP="007C70C1">
      <w:pPr>
        <w:pStyle w:val="standard"/>
        <w:keepNext/>
        <w:spacing w:after="120" w:line="240" w:lineRule="auto"/>
        <w:ind w:firstLine="0"/>
        <w:jc w:val="center"/>
        <w:rPr>
          <w:b/>
          <w:sz w:val="24"/>
        </w:rPr>
      </w:pPr>
      <w:r w:rsidRPr="00D57534">
        <w:rPr>
          <w:b/>
          <w:sz w:val="24"/>
        </w:rPr>
        <w:t>Allocation of Hours:  Rafferty Timesheets</w:t>
      </w:r>
    </w:p>
    <w:tbl>
      <w:tblPr>
        <w:tblW w:w="4101" w:type="pct"/>
        <w:jc w:val="center"/>
        <w:tblLook w:val="04A0" w:firstRow="1" w:lastRow="0" w:firstColumn="1" w:lastColumn="0" w:noHBand="0" w:noVBand="1"/>
      </w:tblPr>
      <w:tblGrid>
        <w:gridCol w:w="976"/>
        <w:gridCol w:w="3367"/>
        <w:gridCol w:w="1129"/>
        <w:gridCol w:w="1213"/>
        <w:gridCol w:w="1169"/>
      </w:tblGrid>
      <w:tr w:rsidR="005030C4" w:rsidRPr="002959DF" w:rsidTr="003B13B8">
        <w:trPr>
          <w:cantSplit/>
          <w:jc w:val="center"/>
        </w:trPr>
        <w:tc>
          <w:tcPr>
            <w:tcW w:w="6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030C4" w:rsidRPr="002959DF" w:rsidRDefault="005030C4" w:rsidP="00656402">
            <w:pPr>
              <w:keepNext/>
              <w:jc w:val="center"/>
              <w:rPr>
                <w:b/>
                <w:sz w:val="23"/>
                <w:szCs w:val="23"/>
              </w:rPr>
            </w:pPr>
            <w:r w:rsidRPr="002959DF">
              <w:rPr>
                <w:b/>
                <w:sz w:val="23"/>
                <w:szCs w:val="23"/>
              </w:rPr>
              <w:t>Line #</w:t>
            </w:r>
          </w:p>
        </w:tc>
        <w:tc>
          <w:tcPr>
            <w:tcW w:w="2143" w:type="pct"/>
            <w:tcBorders>
              <w:top w:val="single" w:sz="8" w:space="0" w:color="auto"/>
              <w:left w:val="nil"/>
              <w:bottom w:val="single" w:sz="8" w:space="0" w:color="auto"/>
              <w:right w:val="single" w:sz="8" w:space="0" w:color="auto"/>
            </w:tcBorders>
            <w:shd w:val="clear" w:color="auto" w:fill="auto"/>
            <w:noWrap/>
            <w:vAlign w:val="center"/>
          </w:tcPr>
          <w:p w:rsidR="005030C4" w:rsidRPr="00174BFB" w:rsidRDefault="005030C4" w:rsidP="00656402">
            <w:pPr>
              <w:keepNext/>
              <w:jc w:val="center"/>
              <w:rPr>
                <w:rFonts w:cs="Arial"/>
                <w:b/>
                <w:bCs/>
                <w:sz w:val="23"/>
                <w:szCs w:val="23"/>
              </w:rPr>
            </w:pPr>
            <w:r w:rsidRPr="00174BFB">
              <w:rPr>
                <w:rFonts w:cs="Arial"/>
                <w:b/>
                <w:bCs/>
                <w:sz w:val="23"/>
                <w:szCs w:val="23"/>
              </w:rPr>
              <w:t>Task</w:t>
            </w:r>
          </w:p>
        </w:tc>
        <w:tc>
          <w:tcPr>
            <w:tcW w:w="719" w:type="pct"/>
            <w:tcBorders>
              <w:top w:val="single" w:sz="8" w:space="0" w:color="auto"/>
              <w:left w:val="nil"/>
              <w:bottom w:val="single" w:sz="8" w:space="0" w:color="auto"/>
              <w:right w:val="single" w:sz="8" w:space="0" w:color="auto"/>
            </w:tcBorders>
            <w:shd w:val="clear" w:color="auto" w:fill="auto"/>
            <w:noWrap/>
            <w:vAlign w:val="center"/>
          </w:tcPr>
          <w:p w:rsidR="005030C4" w:rsidRPr="00174BFB" w:rsidRDefault="005030C4" w:rsidP="00656402">
            <w:pPr>
              <w:keepNext/>
              <w:jc w:val="center"/>
              <w:rPr>
                <w:rFonts w:cs="Arial"/>
                <w:b/>
                <w:bCs/>
                <w:sz w:val="23"/>
                <w:szCs w:val="23"/>
              </w:rPr>
            </w:pPr>
            <w:r w:rsidRPr="00174BFB">
              <w:rPr>
                <w:rFonts w:cs="Arial"/>
                <w:b/>
                <w:bCs/>
                <w:sz w:val="23"/>
                <w:szCs w:val="23"/>
              </w:rPr>
              <w:t>Hours</w:t>
            </w:r>
          </w:p>
        </w:tc>
        <w:tc>
          <w:tcPr>
            <w:tcW w:w="772" w:type="pct"/>
            <w:tcBorders>
              <w:top w:val="single" w:sz="8" w:space="0" w:color="auto"/>
              <w:left w:val="nil"/>
              <w:bottom w:val="single" w:sz="8" w:space="0" w:color="auto"/>
              <w:right w:val="single" w:sz="8" w:space="0" w:color="auto"/>
            </w:tcBorders>
            <w:vAlign w:val="center"/>
          </w:tcPr>
          <w:p w:rsidR="005030C4" w:rsidRPr="002959DF" w:rsidRDefault="005030C4" w:rsidP="00656402">
            <w:pPr>
              <w:keepNext/>
              <w:jc w:val="center"/>
              <w:rPr>
                <w:rFonts w:cs="Arial"/>
                <w:b/>
                <w:bCs/>
                <w:sz w:val="23"/>
                <w:szCs w:val="23"/>
              </w:rPr>
            </w:pPr>
            <w:r w:rsidRPr="002959DF">
              <w:rPr>
                <w:rFonts w:cs="Arial"/>
                <w:b/>
                <w:bCs/>
                <w:sz w:val="23"/>
                <w:szCs w:val="23"/>
              </w:rPr>
              <w:t>Subtotals</w:t>
            </w:r>
          </w:p>
        </w:tc>
        <w:tc>
          <w:tcPr>
            <w:tcW w:w="744" w:type="pct"/>
            <w:tcBorders>
              <w:top w:val="single" w:sz="8" w:space="0" w:color="auto"/>
              <w:left w:val="single" w:sz="8" w:space="0" w:color="auto"/>
              <w:bottom w:val="single" w:sz="8" w:space="0" w:color="auto"/>
              <w:right w:val="single" w:sz="8" w:space="0" w:color="auto"/>
            </w:tcBorders>
            <w:shd w:val="clear" w:color="auto" w:fill="auto"/>
            <w:vAlign w:val="center"/>
          </w:tcPr>
          <w:p w:rsidR="005030C4" w:rsidRPr="00174BFB" w:rsidRDefault="002959DF" w:rsidP="00656402">
            <w:pPr>
              <w:keepNext/>
              <w:jc w:val="center"/>
              <w:rPr>
                <w:rFonts w:cs="Arial"/>
                <w:b/>
                <w:bCs/>
                <w:sz w:val="23"/>
                <w:szCs w:val="23"/>
              </w:rPr>
            </w:pPr>
            <w:r w:rsidRPr="002959DF">
              <w:rPr>
                <w:rFonts w:cs="Arial"/>
                <w:b/>
                <w:bCs/>
                <w:sz w:val="23"/>
                <w:szCs w:val="23"/>
              </w:rPr>
              <w:t>%</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1</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Prep</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30</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3B13B8" w:rsidTr="003B13B8">
        <w:trPr>
          <w:cantSplit/>
          <w:jc w:val="center"/>
        </w:trPr>
        <w:tc>
          <w:tcPr>
            <w:tcW w:w="621" w:type="pct"/>
            <w:tcBorders>
              <w:top w:val="nil"/>
              <w:left w:val="single" w:sz="8" w:space="0" w:color="auto"/>
              <w:bottom w:val="single" w:sz="8" w:space="0" w:color="auto"/>
              <w:right w:val="single" w:sz="8" w:space="0" w:color="auto"/>
            </w:tcBorders>
            <w:shd w:val="clear" w:color="000000" w:fill="D9D9D9"/>
            <w:noWrap/>
            <w:vAlign w:val="center"/>
            <w:hideMark/>
          </w:tcPr>
          <w:p w:rsidR="005030C4" w:rsidRPr="003B13B8" w:rsidRDefault="005030C4" w:rsidP="00656402">
            <w:pPr>
              <w:keepNext/>
              <w:jc w:val="center"/>
              <w:rPr>
                <w:rFonts w:cs="Arial"/>
                <w:b/>
                <w:sz w:val="23"/>
                <w:szCs w:val="23"/>
              </w:rPr>
            </w:pPr>
            <w:r w:rsidRPr="003B13B8">
              <w:rPr>
                <w:rFonts w:cs="Arial"/>
                <w:b/>
                <w:sz w:val="23"/>
                <w:szCs w:val="23"/>
              </w:rPr>
              <w:t> </w:t>
            </w:r>
          </w:p>
        </w:tc>
        <w:tc>
          <w:tcPr>
            <w:tcW w:w="2143"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3B13B8">
            <w:pPr>
              <w:keepNext/>
              <w:ind w:left="291"/>
              <w:rPr>
                <w:rFonts w:cs="Arial"/>
                <w:b/>
                <w:sz w:val="23"/>
                <w:szCs w:val="23"/>
              </w:rPr>
            </w:pPr>
            <w:r w:rsidRPr="003B13B8">
              <w:rPr>
                <w:rFonts w:cs="Arial"/>
                <w:b/>
                <w:sz w:val="23"/>
                <w:szCs w:val="23"/>
              </w:rPr>
              <w:t>Total Preparation</w:t>
            </w:r>
          </w:p>
        </w:tc>
        <w:tc>
          <w:tcPr>
            <w:tcW w:w="719"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656402">
            <w:pPr>
              <w:keepNext/>
              <w:jc w:val="right"/>
              <w:rPr>
                <w:rFonts w:cs="Arial"/>
                <w:b/>
                <w:sz w:val="23"/>
                <w:szCs w:val="23"/>
              </w:rPr>
            </w:pPr>
          </w:p>
        </w:tc>
        <w:tc>
          <w:tcPr>
            <w:tcW w:w="772" w:type="pct"/>
            <w:tcBorders>
              <w:top w:val="single" w:sz="8" w:space="0" w:color="auto"/>
              <w:left w:val="nil"/>
              <w:bottom w:val="single" w:sz="8" w:space="0" w:color="auto"/>
              <w:right w:val="single" w:sz="8" w:space="0" w:color="auto"/>
            </w:tcBorders>
            <w:shd w:val="clear" w:color="000000" w:fill="D9D9D9"/>
          </w:tcPr>
          <w:p w:rsidR="005030C4" w:rsidRPr="003B13B8" w:rsidRDefault="005030C4" w:rsidP="00656402">
            <w:pPr>
              <w:keepNext/>
              <w:jc w:val="right"/>
              <w:rPr>
                <w:rFonts w:cs="Arial"/>
                <w:b/>
                <w:sz w:val="23"/>
                <w:szCs w:val="23"/>
              </w:rPr>
            </w:pPr>
            <w:r w:rsidRPr="003B13B8">
              <w:rPr>
                <w:rFonts w:cs="Arial"/>
                <w:b/>
                <w:sz w:val="23"/>
                <w:szCs w:val="23"/>
              </w:rPr>
              <w:t>30</w:t>
            </w:r>
          </w:p>
        </w:tc>
        <w:tc>
          <w:tcPr>
            <w:tcW w:w="744" w:type="pct"/>
            <w:tcBorders>
              <w:top w:val="nil"/>
              <w:left w:val="single" w:sz="8" w:space="0" w:color="auto"/>
              <w:bottom w:val="single" w:sz="8" w:space="0" w:color="auto"/>
              <w:right w:val="single" w:sz="8" w:space="0" w:color="auto"/>
            </w:tcBorders>
            <w:shd w:val="clear" w:color="000000" w:fill="D9D9D9"/>
            <w:vAlign w:val="center"/>
            <w:hideMark/>
          </w:tcPr>
          <w:p w:rsidR="005030C4" w:rsidRPr="003B13B8" w:rsidRDefault="005030C4" w:rsidP="00656402">
            <w:pPr>
              <w:keepNext/>
              <w:jc w:val="right"/>
              <w:rPr>
                <w:rFonts w:cs="Arial"/>
                <w:b/>
                <w:sz w:val="23"/>
                <w:szCs w:val="23"/>
              </w:rPr>
            </w:pPr>
            <w:r w:rsidRPr="003B13B8">
              <w:rPr>
                <w:rFonts w:cs="Arial"/>
                <w:b/>
                <w:sz w:val="23"/>
                <w:szCs w:val="23"/>
              </w:rPr>
              <w:t>3%</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2</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Process</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44</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3</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Process Burden</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12</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3B13B8" w:rsidTr="003B13B8">
        <w:trPr>
          <w:cantSplit/>
          <w:jc w:val="center"/>
        </w:trPr>
        <w:tc>
          <w:tcPr>
            <w:tcW w:w="621" w:type="pct"/>
            <w:tcBorders>
              <w:top w:val="nil"/>
              <w:left w:val="single" w:sz="8" w:space="0" w:color="auto"/>
              <w:bottom w:val="single" w:sz="8" w:space="0" w:color="auto"/>
              <w:right w:val="single" w:sz="8" w:space="0" w:color="auto"/>
            </w:tcBorders>
            <w:shd w:val="clear" w:color="000000" w:fill="D9D9D9"/>
            <w:noWrap/>
            <w:vAlign w:val="center"/>
            <w:hideMark/>
          </w:tcPr>
          <w:p w:rsidR="005030C4" w:rsidRPr="003B13B8" w:rsidRDefault="005030C4" w:rsidP="00656402">
            <w:pPr>
              <w:keepNext/>
              <w:jc w:val="center"/>
              <w:rPr>
                <w:rFonts w:cs="Arial"/>
                <w:b/>
                <w:sz w:val="23"/>
                <w:szCs w:val="23"/>
              </w:rPr>
            </w:pPr>
            <w:r w:rsidRPr="003B13B8">
              <w:rPr>
                <w:rFonts w:cs="Arial"/>
                <w:b/>
                <w:sz w:val="23"/>
                <w:szCs w:val="23"/>
              </w:rPr>
              <w:t> </w:t>
            </w:r>
          </w:p>
        </w:tc>
        <w:tc>
          <w:tcPr>
            <w:tcW w:w="2143"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3B13B8">
            <w:pPr>
              <w:keepNext/>
              <w:ind w:left="291"/>
              <w:rPr>
                <w:rFonts w:cs="Arial"/>
                <w:b/>
                <w:sz w:val="23"/>
                <w:szCs w:val="23"/>
              </w:rPr>
            </w:pPr>
            <w:r w:rsidRPr="003B13B8">
              <w:rPr>
                <w:rFonts w:cs="Arial"/>
                <w:b/>
                <w:sz w:val="23"/>
                <w:szCs w:val="23"/>
              </w:rPr>
              <w:t>Total Process</w:t>
            </w:r>
          </w:p>
        </w:tc>
        <w:tc>
          <w:tcPr>
            <w:tcW w:w="719"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656402">
            <w:pPr>
              <w:keepNext/>
              <w:jc w:val="right"/>
              <w:rPr>
                <w:rFonts w:cs="Arial"/>
                <w:b/>
                <w:sz w:val="23"/>
                <w:szCs w:val="23"/>
              </w:rPr>
            </w:pPr>
          </w:p>
        </w:tc>
        <w:tc>
          <w:tcPr>
            <w:tcW w:w="772" w:type="pct"/>
            <w:tcBorders>
              <w:top w:val="single" w:sz="8" w:space="0" w:color="auto"/>
              <w:left w:val="nil"/>
              <w:bottom w:val="single" w:sz="8" w:space="0" w:color="auto"/>
              <w:right w:val="single" w:sz="8" w:space="0" w:color="auto"/>
            </w:tcBorders>
            <w:shd w:val="clear" w:color="000000" w:fill="D9D9D9"/>
          </w:tcPr>
          <w:p w:rsidR="005030C4" w:rsidRPr="003B13B8" w:rsidRDefault="005030C4" w:rsidP="00656402">
            <w:pPr>
              <w:keepNext/>
              <w:jc w:val="right"/>
              <w:rPr>
                <w:rFonts w:cs="Arial"/>
                <w:b/>
                <w:sz w:val="23"/>
                <w:szCs w:val="23"/>
              </w:rPr>
            </w:pPr>
            <w:r w:rsidRPr="003B13B8">
              <w:rPr>
                <w:rFonts w:cs="Arial"/>
                <w:b/>
                <w:sz w:val="23"/>
                <w:szCs w:val="23"/>
              </w:rPr>
              <w:t>56</w:t>
            </w:r>
          </w:p>
        </w:tc>
        <w:tc>
          <w:tcPr>
            <w:tcW w:w="744" w:type="pct"/>
            <w:tcBorders>
              <w:top w:val="nil"/>
              <w:left w:val="single" w:sz="8" w:space="0" w:color="auto"/>
              <w:bottom w:val="single" w:sz="8" w:space="0" w:color="auto"/>
              <w:right w:val="single" w:sz="8" w:space="0" w:color="auto"/>
            </w:tcBorders>
            <w:shd w:val="clear" w:color="000000" w:fill="D9D9D9"/>
            <w:vAlign w:val="center"/>
            <w:hideMark/>
          </w:tcPr>
          <w:p w:rsidR="005030C4" w:rsidRPr="003B13B8" w:rsidRDefault="005030C4" w:rsidP="00656402">
            <w:pPr>
              <w:keepNext/>
              <w:jc w:val="right"/>
              <w:rPr>
                <w:rFonts w:cs="Arial"/>
                <w:b/>
                <w:sz w:val="23"/>
                <w:szCs w:val="23"/>
              </w:rPr>
            </w:pPr>
            <w:r w:rsidRPr="003B13B8">
              <w:rPr>
                <w:rFonts w:cs="Arial"/>
                <w:b/>
                <w:sz w:val="23"/>
                <w:szCs w:val="23"/>
              </w:rPr>
              <w:t>5%</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4</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Safety Process</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22</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5</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Safety</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333</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6</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Safety Burden</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32</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3B13B8" w:rsidTr="003B13B8">
        <w:trPr>
          <w:cantSplit/>
          <w:jc w:val="center"/>
        </w:trPr>
        <w:tc>
          <w:tcPr>
            <w:tcW w:w="621" w:type="pct"/>
            <w:tcBorders>
              <w:top w:val="nil"/>
              <w:left w:val="single" w:sz="8" w:space="0" w:color="auto"/>
              <w:bottom w:val="single" w:sz="8" w:space="0" w:color="auto"/>
              <w:right w:val="single" w:sz="8" w:space="0" w:color="auto"/>
            </w:tcBorders>
            <w:shd w:val="clear" w:color="000000" w:fill="D9D9D9"/>
            <w:noWrap/>
            <w:vAlign w:val="center"/>
            <w:hideMark/>
          </w:tcPr>
          <w:p w:rsidR="005030C4" w:rsidRPr="003B13B8" w:rsidRDefault="005030C4" w:rsidP="00656402">
            <w:pPr>
              <w:keepNext/>
              <w:jc w:val="center"/>
              <w:rPr>
                <w:rFonts w:cs="Arial"/>
                <w:b/>
                <w:sz w:val="23"/>
                <w:szCs w:val="23"/>
              </w:rPr>
            </w:pPr>
            <w:r w:rsidRPr="003B13B8">
              <w:rPr>
                <w:rFonts w:cs="Arial"/>
                <w:b/>
                <w:sz w:val="23"/>
                <w:szCs w:val="23"/>
              </w:rPr>
              <w:t> </w:t>
            </w:r>
          </w:p>
        </w:tc>
        <w:tc>
          <w:tcPr>
            <w:tcW w:w="2143"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3B13B8">
            <w:pPr>
              <w:keepNext/>
              <w:ind w:left="291"/>
              <w:rPr>
                <w:rFonts w:cs="Arial"/>
                <w:b/>
                <w:sz w:val="23"/>
                <w:szCs w:val="23"/>
              </w:rPr>
            </w:pPr>
            <w:r w:rsidRPr="003B13B8">
              <w:rPr>
                <w:rFonts w:cs="Arial"/>
                <w:b/>
                <w:sz w:val="23"/>
                <w:szCs w:val="23"/>
              </w:rPr>
              <w:t>Total Safety</w:t>
            </w:r>
          </w:p>
        </w:tc>
        <w:tc>
          <w:tcPr>
            <w:tcW w:w="719"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656402">
            <w:pPr>
              <w:keepNext/>
              <w:jc w:val="right"/>
              <w:rPr>
                <w:rFonts w:cs="Arial"/>
                <w:b/>
                <w:sz w:val="23"/>
                <w:szCs w:val="23"/>
              </w:rPr>
            </w:pPr>
          </w:p>
        </w:tc>
        <w:tc>
          <w:tcPr>
            <w:tcW w:w="772" w:type="pct"/>
            <w:tcBorders>
              <w:top w:val="single" w:sz="8" w:space="0" w:color="auto"/>
              <w:left w:val="nil"/>
              <w:bottom w:val="single" w:sz="8" w:space="0" w:color="auto"/>
              <w:right w:val="single" w:sz="8" w:space="0" w:color="auto"/>
            </w:tcBorders>
            <w:shd w:val="clear" w:color="000000" w:fill="D9D9D9"/>
          </w:tcPr>
          <w:p w:rsidR="005030C4" w:rsidRPr="003B13B8" w:rsidRDefault="005030C4" w:rsidP="00656402">
            <w:pPr>
              <w:keepNext/>
              <w:jc w:val="right"/>
              <w:rPr>
                <w:rFonts w:cs="Arial"/>
                <w:b/>
                <w:sz w:val="23"/>
                <w:szCs w:val="23"/>
              </w:rPr>
            </w:pPr>
            <w:r w:rsidRPr="003B13B8">
              <w:rPr>
                <w:rFonts w:cs="Arial"/>
                <w:b/>
                <w:sz w:val="23"/>
                <w:szCs w:val="23"/>
              </w:rPr>
              <w:t>387</w:t>
            </w:r>
          </w:p>
        </w:tc>
        <w:tc>
          <w:tcPr>
            <w:tcW w:w="744" w:type="pct"/>
            <w:tcBorders>
              <w:top w:val="nil"/>
              <w:left w:val="single" w:sz="8" w:space="0" w:color="auto"/>
              <w:bottom w:val="single" w:sz="8" w:space="0" w:color="auto"/>
              <w:right w:val="single" w:sz="8" w:space="0" w:color="auto"/>
            </w:tcBorders>
            <w:shd w:val="clear" w:color="000000" w:fill="D9D9D9"/>
            <w:vAlign w:val="center"/>
            <w:hideMark/>
          </w:tcPr>
          <w:p w:rsidR="005030C4" w:rsidRPr="003B13B8" w:rsidRDefault="005030C4" w:rsidP="00656402">
            <w:pPr>
              <w:keepNext/>
              <w:jc w:val="right"/>
              <w:rPr>
                <w:rFonts w:cs="Arial"/>
                <w:b/>
                <w:sz w:val="23"/>
                <w:szCs w:val="23"/>
              </w:rPr>
            </w:pPr>
            <w:r w:rsidRPr="003B13B8">
              <w:rPr>
                <w:rFonts w:cs="Arial"/>
                <w:b/>
                <w:sz w:val="23"/>
                <w:szCs w:val="23"/>
              </w:rPr>
              <w:t>34%</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7</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Settle</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258</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8</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pPr>
              <w:keepNext/>
              <w:rPr>
                <w:rFonts w:cs="Arial"/>
                <w:sz w:val="23"/>
                <w:szCs w:val="23"/>
              </w:rPr>
            </w:pPr>
            <w:r w:rsidRPr="00174BFB">
              <w:rPr>
                <w:rFonts w:cs="Arial"/>
                <w:sz w:val="23"/>
                <w:szCs w:val="23"/>
              </w:rPr>
              <w:t xml:space="preserve">Settle </w:t>
            </w:r>
            <w:r w:rsidR="00481A16" w:rsidRPr="00174BFB">
              <w:rPr>
                <w:rFonts w:cs="Arial"/>
                <w:sz w:val="23"/>
                <w:szCs w:val="23"/>
              </w:rPr>
              <w:t>20</w:t>
            </w:r>
            <w:r w:rsidR="00481A16">
              <w:rPr>
                <w:rFonts w:cs="Arial"/>
                <w:sz w:val="23"/>
                <w:szCs w:val="23"/>
              </w:rPr>
              <w:t>A</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23</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9</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Settle Burden</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23</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3B13B8" w:rsidTr="003B13B8">
        <w:trPr>
          <w:cantSplit/>
          <w:jc w:val="center"/>
        </w:trPr>
        <w:tc>
          <w:tcPr>
            <w:tcW w:w="621" w:type="pct"/>
            <w:tcBorders>
              <w:top w:val="nil"/>
              <w:left w:val="single" w:sz="8" w:space="0" w:color="auto"/>
              <w:bottom w:val="single" w:sz="8" w:space="0" w:color="auto"/>
              <w:right w:val="single" w:sz="8" w:space="0" w:color="auto"/>
            </w:tcBorders>
            <w:shd w:val="clear" w:color="000000" w:fill="D9D9D9"/>
            <w:noWrap/>
            <w:vAlign w:val="center"/>
            <w:hideMark/>
          </w:tcPr>
          <w:p w:rsidR="005030C4" w:rsidRPr="003B13B8" w:rsidRDefault="005030C4" w:rsidP="00656402">
            <w:pPr>
              <w:keepNext/>
              <w:jc w:val="center"/>
              <w:rPr>
                <w:rFonts w:cs="Arial"/>
                <w:b/>
                <w:sz w:val="23"/>
                <w:szCs w:val="23"/>
              </w:rPr>
            </w:pPr>
            <w:r w:rsidRPr="003B13B8">
              <w:rPr>
                <w:rFonts w:cs="Arial"/>
                <w:b/>
                <w:sz w:val="23"/>
                <w:szCs w:val="23"/>
              </w:rPr>
              <w:t> </w:t>
            </w:r>
          </w:p>
        </w:tc>
        <w:tc>
          <w:tcPr>
            <w:tcW w:w="2143"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3B13B8">
            <w:pPr>
              <w:keepNext/>
              <w:ind w:left="291"/>
              <w:rPr>
                <w:rFonts w:cs="Arial"/>
                <w:b/>
                <w:sz w:val="23"/>
                <w:szCs w:val="23"/>
              </w:rPr>
            </w:pPr>
            <w:r w:rsidRPr="003B13B8">
              <w:rPr>
                <w:rFonts w:cs="Arial"/>
                <w:b/>
                <w:sz w:val="23"/>
                <w:szCs w:val="23"/>
              </w:rPr>
              <w:t>Total Settlement</w:t>
            </w:r>
          </w:p>
        </w:tc>
        <w:tc>
          <w:tcPr>
            <w:tcW w:w="719"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656402">
            <w:pPr>
              <w:keepNext/>
              <w:jc w:val="right"/>
              <w:rPr>
                <w:rFonts w:cs="Arial"/>
                <w:b/>
                <w:sz w:val="23"/>
                <w:szCs w:val="23"/>
              </w:rPr>
            </w:pPr>
          </w:p>
        </w:tc>
        <w:tc>
          <w:tcPr>
            <w:tcW w:w="772" w:type="pct"/>
            <w:tcBorders>
              <w:top w:val="single" w:sz="8" w:space="0" w:color="auto"/>
              <w:left w:val="nil"/>
              <w:bottom w:val="single" w:sz="8" w:space="0" w:color="auto"/>
              <w:right w:val="single" w:sz="8" w:space="0" w:color="auto"/>
            </w:tcBorders>
            <w:shd w:val="clear" w:color="000000" w:fill="D9D9D9"/>
          </w:tcPr>
          <w:p w:rsidR="005030C4" w:rsidRPr="003B13B8" w:rsidRDefault="005030C4" w:rsidP="00656402">
            <w:pPr>
              <w:keepNext/>
              <w:jc w:val="right"/>
              <w:rPr>
                <w:rFonts w:cs="Arial"/>
                <w:b/>
                <w:sz w:val="23"/>
                <w:szCs w:val="23"/>
              </w:rPr>
            </w:pPr>
            <w:r w:rsidRPr="003B13B8">
              <w:rPr>
                <w:rFonts w:cs="Arial"/>
                <w:b/>
                <w:sz w:val="23"/>
                <w:szCs w:val="23"/>
              </w:rPr>
              <w:t>304</w:t>
            </w:r>
          </w:p>
        </w:tc>
        <w:tc>
          <w:tcPr>
            <w:tcW w:w="744" w:type="pct"/>
            <w:tcBorders>
              <w:top w:val="nil"/>
              <w:left w:val="single" w:sz="8" w:space="0" w:color="auto"/>
              <w:bottom w:val="single" w:sz="8" w:space="0" w:color="auto"/>
              <w:right w:val="single" w:sz="8" w:space="0" w:color="auto"/>
            </w:tcBorders>
            <w:shd w:val="clear" w:color="000000" w:fill="D9D9D9"/>
            <w:vAlign w:val="center"/>
            <w:hideMark/>
          </w:tcPr>
          <w:p w:rsidR="005030C4" w:rsidRPr="003B13B8" w:rsidRDefault="005030C4" w:rsidP="00656402">
            <w:pPr>
              <w:keepNext/>
              <w:jc w:val="right"/>
              <w:rPr>
                <w:rFonts w:cs="Arial"/>
                <w:b/>
                <w:sz w:val="23"/>
                <w:szCs w:val="23"/>
              </w:rPr>
            </w:pPr>
            <w:r w:rsidRPr="003B13B8">
              <w:rPr>
                <w:rFonts w:cs="Arial"/>
                <w:b/>
                <w:sz w:val="23"/>
                <w:szCs w:val="23"/>
              </w:rPr>
              <w:t>27%</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10</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Contested Issue</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49</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11</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9B5969" w:rsidP="00656402">
            <w:pPr>
              <w:keepNext/>
              <w:rPr>
                <w:rFonts w:cs="Arial"/>
                <w:sz w:val="23"/>
                <w:szCs w:val="23"/>
              </w:rPr>
            </w:pPr>
            <w:r w:rsidRPr="00174BFB">
              <w:rPr>
                <w:rFonts w:cs="Arial"/>
                <w:sz w:val="23"/>
                <w:szCs w:val="23"/>
              </w:rPr>
              <w:t>Safety</w:t>
            </w:r>
            <w:r w:rsidR="005030C4" w:rsidRPr="00174BFB">
              <w:rPr>
                <w:rFonts w:cs="Arial"/>
                <w:sz w:val="23"/>
                <w:szCs w:val="23"/>
              </w:rPr>
              <w:t xml:space="preserve"> Contested Issue</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6</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3B13B8" w:rsidTr="003B13B8">
        <w:trPr>
          <w:cantSplit/>
          <w:jc w:val="center"/>
        </w:trPr>
        <w:tc>
          <w:tcPr>
            <w:tcW w:w="621" w:type="pct"/>
            <w:tcBorders>
              <w:top w:val="nil"/>
              <w:left w:val="single" w:sz="8" w:space="0" w:color="auto"/>
              <w:bottom w:val="single" w:sz="8" w:space="0" w:color="auto"/>
              <w:right w:val="single" w:sz="8" w:space="0" w:color="auto"/>
            </w:tcBorders>
            <w:shd w:val="clear" w:color="000000" w:fill="D9D9D9"/>
            <w:noWrap/>
            <w:vAlign w:val="center"/>
            <w:hideMark/>
          </w:tcPr>
          <w:p w:rsidR="005030C4" w:rsidRPr="003B13B8" w:rsidRDefault="005030C4" w:rsidP="00656402">
            <w:pPr>
              <w:keepNext/>
              <w:jc w:val="center"/>
              <w:rPr>
                <w:rFonts w:cs="Arial"/>
                <w:b/>
                <w:sz w:val="23"/>
                <w:szCs w:val="23"/>
              </w:rPr>
            </w:pPr>
            <w:r w:rsidRPr="003B13B8">
              <w:rPr>
                <w:rFonts w:cs="Arial"/>
                <w:b/>
                <w:sz w:val="23"/>
                <w:szCs w:val="23"/>
              </w:rPr>
              <w:t> </w:t>
            </w:r>
          </w:p>
        </w:tc>
        <w:tc>
          <w:tcPr>
            <w:tcW w:w="2143"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3B13B8">
            <w:pPr>
              <w:keepNext/>
              <w:ind w:left="291"/>
              <w:rPr>
                <w:rFonts w:cs="Arial"/>
                <w:b/>
                <w:sz w:val="23"/>
                <w:szCs w:val="23"/>
              </w:rPr>
            </w:pPr>
            <w:r w:rsidRPr="003B13B8">
              <w:rPr>
                <w:rFonts w:cs="Arial"/>
                <w:b/>
                <w:sz w:val="23"/>
                <w:szCs w:val="23"/>
              </w:rPr>
              <w:t>Total Contested Issues</w:t>
            </w:r>
          </w:p>
        </w:tc>
        <w:tc>
          <w:tcPr>
            <w:tcW w:w="719"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656402">
            <w:pPr>
              <w:keepNext/>
              <w:jc w:val="right"/>
              <w:rPr>
                <w:rFonts w:cs="Arial"/>
                <w:b/>
                <w:sz w:val="23"/>
                <w:szCs w:val="23"/>
              </w:rPr>
            </w:pPr>
          </w:p>
        </w:tc>
        <w:tc>
          <w:tcPr>
            <w:tcW w:w="772" w:type="pct"/>
            <w:tcBorders>
              <w:top w:val="single" w:sz="8" w:space="0" w:color="auto"/>
              <w:left w:val="nil"/>
              <w:bottom w:val="single" w:sz="8" w:space="0" w:color="auto"/>
              <w:right w:val="single" w:sz="8" w:space="0" w:color="auto"/>
            </w:tcBorders>
            <w:shd w:val="clear" w:color="000000" w:fill="D9D9D9"/>
          </w:tcPr>
          <w:p w:rsidR="005030C4" w:rsidRPr="003B13B8" w:rsidRDefault="005030C4" w:rsidP="00656402">
            <w:pPr>
              <w:keepNext/>
              <w:jc w:val="right"/>
              <w:rPr>
                <w:rFonts w:cs="Arial"/>
                <w:b/>
                <w:sz w:val="23"/>
                <w:szCs w:val="23"/>
              </w:rPr>
            </w:pPr>
            <w:r w:rsidRPr="003B13B8">
              <w:rPr>
                <w:rFonts w:cs="Arial"/>
                <w:b/>
                <w:sz w:val="23"/>
                <w:szCs w:val="23"/>
              </w:rPr>
              <w:t>55</w:t>
            </w:r>
          </w:p>
        </w:tc>
        <w:tc>
          <w:tcPr>
            <w:tcW w:w="744" w:type="pct"/>
            <w:tcBorders>
              <w:top w:val="nil"/>
              <w:left w:val="single" w:sz="8" w:space="0" w:color="auto"/>
              <w:bottom w:val="single" w:sz="8" w:space="0" w:color="auto"/>
              <w:right w:val="single" w:sz="8" w:space="0" w:color="auto"/>
            </w:tcBorders>
            <w:shd w:val="clear" w:color="000000" w:fill="D9D9D9"/>
            <w:vAlign w:val="center"/>
            <w:hideMark/>
          </w:tcPr>
          <w:p w:rsidR="005030C4" w:rsidRPr="003B13B8" w:rsidRDefault="005030C4" w:rsidP="00656402">
            <w:pPr>
              <w:keepNext/>
              <w:jc w:val="right"/>
              <w:rPr>
                <w:rFonts w:cs="Arial"/>
                <w:b/>
                <w:sz w:val="23"/>
                <w:szCs w:val="23"/>
              </w:rPr>
            </w:pPr>
            <w:r w:rsidRPr="003B13B8">
              <w:rPr>
                <w:rFonts w:cs="Arial"/>
                <w:b/>
                <w:sz w:val="23"/>
                <w:szCs w:val="23"/>
              </w:rPr>
              <w:t>5%</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12</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481A16">
            <w:pPr>
              <w:keepNext/>
              <w:rPr>
                <w:rFonts w:cs="Arial"/>
                <w:sz w:val="23"/>
                <w:szCs w:val="23"/>
              </w:rPr>
            </w:pPr>
            <w:r w:rsidRPr="00174BFB">
              <w:rPr>
                <w:rFonts w:cs="Arial"/>
                <w:sz w:val="23"/>
                <w:szCs w:val="23"/>
              </w:rPr>
              <w:t>20</w:t>
            </w:r>
            <w:r>
              <w:rPr>
                <w:rFonts w:cs="Arial"/>
                <w:sz w:val="23"/>
                <w:szCs w:val="23"/>
              </w:rPr>
              <w:t>A</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16</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3B13B8" w:rsidTr="003B13B8">
        <w:trPr>
          <w:cantSplit/>
          <w:jc w:val="center"/>
        </w:trPr>
        <w:tc>
          <w:tcPr>
            <w:tcW w:w="621" w:type="pct"/>
            <w:tcBorders>
              <w:top w:val="nil"/>
              <w:left w:val="single" w:sz="8" w:space="0" w:color="auto"/>
              <w:bottom w:val="single" w:sz="8" w:space="0" w:color="auto"/>
              <w:right w:val="single" w:sz="8" w:space="0" w:color="auto"/>
            </w:tcBorders>
            <w:shd w:val="clear" w:color="000000" w:fill="D9D9D9"/>
            <w:noWrap/>
            <w:vAlign w:val="center"/>
            <w:hideMark/>
          </w:tcPr>
          <w:p w:rsidR="005030C4" w:rsidRPr="003B13B8" w:rsidRDefault="005030C4" w:rsidP="00656402">
            <w:pPr>
              <w:keepNext/>
              <w:jc w:val="center"/>
              <w:rPr>
                <w:rFonts w:cs="Arial"/>
                <w:b/>
                <w:sz w:val="23"/>
                <w:szCs w:val="23"/>
              </w:rPr>
            </w:pPr>
            <w:r w:rsidRPr="003B13B8">
              <w:rPr>
                <w:rFonts w:cs="Arial"/>
                <w:b/>
                <w:sz w:val="23"/>
                <w:szCs w:val="23"/>
              </w:rPr>
              <w:t> </w:t>
            </w:r>
          </w:p>
        </w:tc>
        <w:tc>
          <w:tcPr>
            <w:tcW w:w="2143"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3B13B8">
            <w:pPr>
              <w:keepNext/>
              <w:ind w:left="291"/>
              <w:rPr>
                <w:rFonts w:cs="Arial"/>
                <w:b/>
                <w:sz w:val="23"/>
                <w:szCs w:val="23"/>
              </w:rPr>
            </w:pPr>
            <w:r w:rsidRPr="003B13B8">
              <w:rPr>
                <w:rFonts w:cs="Arial"/>
                <w:b/>
                <w:sz w:val="23"/>
                <w:szCs w:val="23"/>
              </w:rPr>
              <w:t>Total Rule 20A</w:t>
            </w:r>
          </w:p>
        </w:tc>
        <w:tc>
          <w:tcPr>
            <w:tcW w:w="719"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656402">
            <w:pPr>
              <w:keepNext/>
              <w:jc w:val="right"/>
              <w:rPr>
                <w:rFonts w:cs="Arial"/>
                <w:b/>
                <w:sz w:val="23"/>
                <w:szCs w:val="23"/>
              </w:rPr>
            </w:pPr>
          </w:p>
        </w:tc>
        <w:tc>
          <w:tcPr>
            <w:tcW w:w="772" w:type="pct"/>
            <w:tcBorders>
              <w:top w:val="single" w:sz="8" w:space="0" w:color="auto"/>
              <w:left w:val="nil"/>
              <w:bottom w:val="single" w:sz="8" w:space="0" w:color="auto"/>
              <w:right w:val="single" w:sz="8" w:space="0" w:color="auto"/>
            </w:tcBorders>
            <w:shd w:val="clear" w:color="000000" w:fill="D9D9D9"/>
          </w:tcPr>
          <w:p w:rsidR="005030C4" w:rsidRPr="003B13B8" w:rsidRDefault="005030C4" w:rsidP="00656402">
            <w:pPr>
              <w:keepNext/>
              <w:jc w:val="right"/>
              <w:rPr>
                <w:rFonts w:cs="Arial"/>
                <w:b/>
                <w:sz w:val="23"/>
                <w:szCs w:val="23"/>
              </w:rPr>
            </w:pPr>
            <w:r w:rsidRPr="003B13B8">
              <w:rPr>
                <w:rFonts w:cs="Arial"/>
                <w:b/>
                <w:sz w:val="23"/>
                <w:szCs w:val="23"/>
              </w:rPr>
              <w:t>16</w:t>
            </w:r>
          </w:p>
        </w:tc>
        <w:tc>
          <w:tcPr>
            <w:tcW w:w="744" w:type="pct"/>
            <w:tcBorders>
              <w:top w:val="nil"/>
              <w:left w:val="single" w:sz="8" w:space="0" w:color="auto"/>
              <w:bottom w:val="single" w:sz="8" w:space="0" w:color="auto"/>
              <w:right w:val="single" w:sz="8" w:space="0" w:color="auto"/>
            </w:tcBorders>
            <w:shd w:val="clear" w:color="000000" w:fill="D9D9D9"/>
            <w:vAlign w:val="center"/>
            <w:hideMark/>
          </w:tcPr>
          <w:p w:rsidR="005030C4" w:rsidRPr="003B13B8" w:rsidRDefault="005030C4" w:rsidP="00656402">
            <w:pPr>
              <w:keepNext/>
              <w:jc w:val="right"/>
              <w:rPr>
                <w:rFonts w:cs="Arial"/>
                <w:b/>
                <w:sz w:val="23"/>
                <w:szCs w:val="23"/>
              </w:rPr>
            </w:pPr>
            <w:r w:rsidRPr="003B13B8">
              <w:rPr>
                <w:rFonts w:cs="Arial"/>
                <w:b/>
                <w:sz w:val="23"/>
                <w:szCs w:val="23"/>
              </w:rPr>
              <w:t>1%</w:t>
            </w:r>
          </w:p>
        </w:tc>
      </w:tr>
      <w:tr w:rsidR="005030C4" w:rsidRPr="002959DF" w:rsidTr="003B13B8">
        <w:trPr>
          <w:cantSplit/>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5030C4" w:rsidRPr="00174BFB" w:rsidRDefault="005030C4" w:rsidP="00656402">
            <w:pPr>
              <w:keepNext/>
              <w:jc w:val="center"/>
              <w:rPr>
                <w:rFonts w:cs="Arial"/>
                <w:sz w:val="23"/>
                <w:szCs w:val="23"/>
              </w:rPr>
            </w:pPr>
            <w:r w:rsidRPr="00174BFB">
              <w:rPr>
                <w:rFonts w:cs="Arial"/>
                <w:sz w:val="23"/>
                <w:szCs w:val="23"/>
              </w:rPr>
              <w:t>13</w:t>
            </w:r>
          </w:p>
        </w:tc>
        <w:tc>
          <w:tcPr>
            <w:tcW w:w="2143"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rPr>
                <w:rFonts w:cs="Arial"/>
                <w:sz w:val="23"/>
                <w:szCs w:val="23"/>
              </w:rPr>
            </w:pPr>
            <w:r w:rsidRPr="00174BFB">
              <w:rPr>
                <w:rFonts w:cs="Arial"/>
                <w:sz w:val="23"/>
                <w:szCs w:val="23"/>
              </w:rPr>
              <w:t>Burden</w:t>
            </w:r>
          </w:p>
        </w:tc>
        <w:tc>
          <w:tcPr>
            <w:tcW w:w="719" w:type="pct"/>
            <w:tcBorders>
              <w:top w:val="nil"/>
              <w:left w:val="nil"/>
              <w:bottom w:val="single" w:sz="8" w:space="0" w:color="auto"/>
              <w:right w:val="single" w:sz="8" w:space="0" w:color="auto"/>
            </w:tcBorders>
            <w:shd w:val="clear" w:color="auto" w:fill="auto"/>
            <w:noWrap/>
            <w:vAlign w:val="center"/>
            <w:hideMark/>
          </w:tcPr>
          <w:p w:rsidR="005030C4" w:rsidRPr="00174BFB" w:rsidRDefault="005030C4" w:rsidP="00656402">
            <w:pPr>
              <w:keepNext/>
              <w:jc w:val="right"/>
              <w:rPr>
                <w:rFonts w:cs="Arial"/>
                <w:sz w:val="23"/>
                <w:szCs w:val="23"/>
              </w:rPr>
            </w:pPr>
            <w:r w:rsidRPr="00174BFB">
              <w:rPr>
                <w:rFonts w:cs="Arial"/>
                <w:sz w:val="23"/>
                <w:szCs w:val="23"/>
              </w:rPr>
              <w:t>290</w:t>
            </w:r>
          </w:p>
        </w:tc>
        <w:tc>
          <w:tcPr>
            <w:tcW w:w="772" w:type="pct"/>
            <w:tcBorders>
              <w:top w:val="single" w:sz="8" w:space="0" w:color="auto"/>
              <w:left w:val="nil"/>
              <w:bottom w:val="single" w:sz="8" w:space="0" w:color="auto"/>
              <w:right w:val="single" w:sz="8" w:space="0" w:color="auto"/>
            </w:tcBorders>
          </w:tcPr>
          <w:p w:rsidR="005030C4" w:rsidRPr="002959DF" w:rsidRDefault="005030C4" w:rsidP="00656402">
            <w:pPr>
              <w:keepNext/>
              <w:rPr>
                <w:rFonts w:cs="Arial"/>
                <w:sz w:val="23"/>
                <w:szCs w:val="23"/>
              </w:rPr>
            </w:pPr>
          </w:p>
        </w:tc>
        <w:tc>
          <w:tcPr>
            <w:tcW w:w="744" w:type="pct"/>
            <w:tcBorders>
              <w:top w:val="nil"/>
              <w:left w:val="single" w:sz="8" w:space="0" w:color="auto"/>
              <w:bottom w:val="single" w:sz="8" w:space="0" w:color="auto"/>
              <w:right w:val="single" w:sz="8" w:space="0" w:color="auto"/>
            </w:tcBorders>
            <w:shd w:val="clear" w:color="auto" w:fill="auto"/>
            <w:vAlign w:val="center"/>
            <w:hideMark/>
          </w:tcPr>
          <w:p w:rsidR="005030C4" w:rsidRPr="00174BFB" w:rsidRDefault="005030C4" w:rsidP="00656402">
            <w:pPr>
              <w:keepNext/>
              <w:rPr>
                <w:rFonts w:cs="Arial"/>
                <w:sz w:val="23"/>
                <w:szCs w:val="23"/>
              </w:rPr>
            </w:pPr>
            <w:r w:rsidRPr="00174BFB">
              <w:rPr>
                <w:rFonts w:cs="Arial"/>
                <w:sz w:val="23"/>
                <w:szCs w:val="23"/>
              </w:rPr>
              <w:t> </w:t>
            </w:r>
          </w:p>
        </w:tc>
      </w:tr>
      <w:tr w:rsidR="005030C4" w:rsidRPr="003B13B8" w:rsidTr="003B13B8">
        <w:trPr>
          <w:cantSplit/>
          <w:jc w:val="center"/>
        </w:trPr>
        <w:tc>
          <w:tcPr>
            <w:tcW w:w="621" w:type="pct"/>
            <w:tcBorders>
              <w:top w:val="nil"/>
              <w:left w:val="single" w:sz="8" w:space="0" w:color="auto"/>
              <w:bottom w:val="single" w:sz="8" w:space="0" w:color="auto"/>
              <w:right w:val="single" w:sz="8" w:space="0" w:color="auto"/>
            </w:tcBorders>
            <w:shd w:val="clear" w:color="000000" w:fill="D9D9D9"/>
            <w:noWrap/>
            <w:vAlign w:val="center"/>
            <w:hideMark/>
          </w:tcPr>
          <w:p w:rsidR="005030C4" w:rsidRPr="003B13B8" w:rsidRDefault="005030C4" w:rsidP="00656402">
            <w:pPr>
              <w:keepNext/>
              <w:jc w:val="center"/>
              <w:rPr>
                <w:rFonts w:cs="Arial"/>
                <w:b/>
                <w:sz w:val="23"/>
                <w:szCs w:val="23"/>
              </w:rPr>
            </w:pPr>
            <w:r w:rsidRPr="003B13B8">
              <w:rPr>
                <w:rFonts w:cs="Arial"/>
                <w:b/>
                <w:sz w:val="23"/>
                <w:szCs w:val="23"/>
              </w:rPr>
              <w:t> </w:t>
            </w:r>
          </w:p>
        </w:tc>
        <w:tc>
          <w:tcPr>
            <w:tcW w:w="2143"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3B13B8">
            <w:pPr>
              <w:keepNext/>
              <w:ind w:left="291"/>
              <w:rPr>
                <w:rFonts w:cs="Arial"/>
                <w:b/>
                <w:sz w:val="23"/>
                <w:szCs w:val="23"/>
              </w:rPr>
            </w:pPr>
            <w:r w:rsidRPr="003B13B8">
              <w:rPr>
                <w:rFonts w:cs="Arial"/>
                <w:b/>
                <w:sz w:val="23"/>
                <w:szCs w:val="23"/>
              </w:rPr>
              <w:t>Total Burden</w:t>
            </w:r>
          </w:p>
        </w:tc>
        <w:tc>
          <w:tcPr>
            <w:tcW w:w="719"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656402">
            <w:pPr>
              <w:keepNext/>
              <w:jc w:val="right"/>
              <w:rPr>
                <w:rFonts w:cs="Arial"/>
                <w:b/>
                <w:sz w:val="23"/>
                <w:szCs w:val="23"/>
              </w:rPr>
            </w:pPr>
          </w:p>
        </w:tc>
        <w:tc>
          <w:tcPr>
            <w:tcW w:w="772" w:type="pct"/>
            <w:tcBorders>
              <w:top w:val="single" w:sz="8" w:space="0" w:color="auto"/>
              <w:left w:val="nil"/>
              <w:bottom w:val="single" w:sz="8" w:space="0" w:color="auto"/>
              <w:right w:val="single" w:sz="8" w:space="0" w:color="auto"/>
            </w:tcBorders>
            <w:shd w:val="clear" w:color="000000" w:fill="D9D9D9"/>
          </w:tcPr>
          <w:p w:rsidR="005030C4" w:rsidRPr="003B13B8" w:rsidRDefault="005030C4" w:rsidP="00656402">
            <w:pPr>
              <w:keepNext/>
              <w:jc w:val="right"/>
              <w:rPr>
                <w:rFonts w:cs="Arial"/>
                <w:b/>
                <w:sz w:val="23"/>
                <w:szCs w:val="23"/>
              </w:rPr>
            </w:pPr>
            <w:r w:rsidRPr="003B13B8">
              <w:rPr>
                <w:rFonts w:cs="Arial"/>
                <w:b/>
                <w:sz w:val="23"/>
                <w:szCs w:val="23"/>
              </w:rPr>
              <w:t>290</w:t>
            </w:r>
          </w:p>
        </w:tc>
        <w:tc>
          <w:tcPr>
            <w:tcW w:w="744" w:type="pct"/>
            <w:tcBorders>
              <w:top w:val="nil"/>
              <w:left w:val="single" w:sz="8" w:space="0" w:color="auto"/>
              <w:bottom w:val="single" w:sz="8" w:space="0" w:color="auto"/>
              <w:right w:val="single" w:sz="8" w:space="0" w:color="auto"/>
            </w:tcBorders>
            <w:shd w:val="clear" w:color="000000" w:fill="D9D9D9"/>
            <w:vAlign w:val="center"/>
            <w:hideMark/>
          </w:tcPr>
          <w:p w:rsidR="005030C4" w:rsidRPr="003B13B8" w:rsidRDefault="005030C4" w:rsidP="00656402">
            <w:pPr>
              <w:keepNext/>
              <w:jc w:val="right"/>
              <w:rPr>
                <w:rFonts w:cs="Arial"/>
                <w:b/>
                <w:sz w:val="23"/>
                <w:szCs w:val="23"/>
              </w:rPr>
            </w:pPr>
            <w:r w:rsidRPr="003B13B8">
              <w:rPr>
                <w:rFonts w:cs="Arial"/>
                <w:b/>
                <w:sz w:val="23"/>
                <w:szCs w:val="23"/>
              </w:rPr>
              <w:t>26%</w:t>
            </w:r>
          </w:p>
        </w:tc>
      </w:tr>
      <w:tr w:rsidR="005030C4" w:rsidRPr="003B13B8" w:rsidTr="003B13B8">
        <w:trPr>
          <w:cantSplit/>
          <w:jc w:val="center"/>
        </w:trPr>
        <w:tc>
          <w:tcPr>
            <w:tcW w:w="621" w:type="pct"/>
            <w:tcBorders>
              <w:top w:val="nil"/>
              <w:left w:val="single" w:sz="8" w:space="0" w:color="auto"/>
              <w:bottom w:val="single" w:sz="8" w:space="0" w:color="auto"/>
              <w:right w:val="single" w:sz="8" w:space="0" w:color="auto"/>
            </w:tcBorders>
            <w:shd w:val="clear" w:color="000000" w:fill="D9D9D9"/>
            <w:noWrap/>
            <w:vAlign w:val="center"/>
            <w:hideMark/>
          </w:tcPr>
          <w:p w:rsidR="005030C4" w:rsidRPr="003B13B8" w:rsidRDefault="005030C4" w:rsidP="00656402">
            <w:pPr>
              <w:keepNext/>
              <w:jc w:val="center"/>
              <w:rPr>
                <w:rFonts w:cs="Arial"/>
                <w:b/>
                <w:sz w:val="23"/>
                <w:szCs w:val="23"/>
              </w:rPr>
            </w:pPr>
            <w:r w:rsidRPr="003B13B8">
              <w:rPr>
                <w:rFonts w:cs="Arial"/>
                <w:b/>
                <w:sz w:val="23"/>
                <w:szCs w:val="23"/>
              </w:rPr>
              <w:t> </w:t>
            </w:r>
          </w:p>
        </w:tc>
        <w:tc>
          <w:tcPr>
            <w:tcW w:w="2143"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656402">
            <w:pPr>
              <w:keepNext/>
              <w:rPr>
                <w:rFonts w:cs="Arial"/>
                <w:b/>
                <w:sz w:val="23"/>
                <w:szCs w:val="23"/>
              </w:rPr>
            </w:pPr>
            <w:r w:rsidRPr="003B13B8">
              <w:rPr>
                <w:rFonts w:cs="Arial"/>
                <w:b/>
                <w:sz w:val="23"/>
                <w:szCs w:val="23"/>
              </w:rPr>
              <w:t>Grand Total</w:t>
            </w:r>
          </w:p>
        </w:tc>
        <w:tc>
          <w:tcPr>
            <w:tcW w:w="719" w:type="pct"/>
            <w:tcBorders>
              <w:top w:val="nil"/>
              <w:left w:val="nil"/>
              <w:bottom w:val="single" w:sz="8" w:space="0" w:color="auto"/>
              <w:right w:val="single" w:sz="8" w:space="0" w:color="auto"/>
            </w:tcBorders>
            <w:shd w:val="clear" w:color="000000" w:fill="D9D9D9"/>
            <w:noWrap/>
            <w:vAlign w:val="center"/>
            <w:hideMark/>
          </w:tcPr>
          <w:p w:rsidR="005030C4" w:rsidRPr="003B13B8" w:rsidRDefault="005030C4" w:rsidP="00656402">
            <w:pPr>
              <w:keepNext/>
              <w:jc w:val="right"/>
              <w:rPr>
                <w:rFonts w:cs="Arial"/>
                <w:b/>
                <w:sz w:val="23"/>
                <w:szCs w:val="23"/>
              </w:rPr>
            </w:pPr>
            <w:r w:rsidRPr="003B13B8">
              <w:rPr>
                <w:rFonts w:cs="Arial"/>
                <w:b/>
                <w:sz w:val="23"/>
                <w:szCs w:val="23"/>
              </w:rPr>
              <w:t>1,133</w:t>
            </w:r>
          </w:p>
        </w:tc>
        <w:tc>
          <w:tcPr>
            <w:tcW w:w="772" w:type="pct"/>
            <w:tcBorders>
              <w:top w:val="single" w:sz="8" w:space="0" w:color="auto"/>
              <w:left w:val="nil"/>
              <w:bottom w:val="single" w:sz="8" w:space="0" w:color="auto"/>
              <w:right w:val="single" w:sz="8" w:space="0" w:color="auto"/>
            </w:tcBorders>
            <w:shd w:val="clear" w:color="000000" w:fill="D9D9D9"/>
          </w:tcPr>
          <w:p w:rsidR="005030C4" w:rsidRPr="003B13B8" w:rsidRDefault="005030C4" w:rsidP="00656402">
            <w:pPr>
              <w:keepNext/>
              <w:jc w:val="right"/>
              <w:rPr>
                <w:rFonts w:cs="Arial"/>
                <w:b/>
                <w:sz w:val="23"/>
                <w:szCs w:val="23"/>
              </w:rPr>
            </w:pPr>
            <w:r w:rsidRPr="003B13B8">
              <w:rPr>
                <w:rFonts w:cs="Arial"/>
                <w:b/>
                <w:sz w:val="23"/>
                <w:szCs w:val="23"/>
              </w:rPr>
              <w:t>1,133</w:t>
            </w:r>
          </w:p>
        </w:tc>
        <w:tc>
          <w:tcPr>
            <w:tcW w:w="744" w:type="pct"/>
            <w:tcBorders>
              <w:top w:val="nil"/>
              <w:left w:val="single" w:sz="8" w:space="0" w:color="auto"/>
              <w:bottom w:val="single" w:sz="8" w:space="0" w:color="auto"/>
              <w:right w:val="single" w:sz="8" w:space="0" w:color="auto"/>
            </w:tcBorders>
            <w:shd w:val="clear" w:color="000000" w:fill="D9D9D9"/>
            <w:vAlign w:val="center"/>
            <w:hideMark/>
          </w:tcPr>
          <w:p w:rsidR="005030C4" w:rsidRPr="003B13B8" w:rsidRDefault="005030C4" w:rsidP="00656402">
            <w:pPr>
              <w:keepNext/>
              <w:jc w:val="right"/>
              <w:rPr>
                <w:rFonts w:cs="Arial"/>
                <w:b/>
                <w:sz w:val="23"/>
                <w:szCs w:val="23"/>
              </w:rPr>
            </w:pPr>
            <w:r w:rsidRPr="003B13B8">
              <w:rPr>
                <w:rFonts w:cs="Arial"/>
                <w:b/>
                <w:sz w:val="23"/>
                <w:szCs w:val="23"/>
              </w:rPr>
              <w:t>100%</w:t>
            </w:r>
          </w:p>
        </w:tc>
      </w:tr>
    </w:tbl>
    <w:p w:rsidR="00C41252" w:rsidRDefault="00C41252" w:rsidP="002959DF">
      <w:pPr>
        <w:sectPr w:rsidR="00C41252" w:rsidSect="00134BBB">
          <w:headerReference w:type="default" r:id="rId15"/>
          <w:footerReference w:type="default" r:id="rId16"/>
          <w:headerReference w:type="first" r:id="rId17"/>
          <w:footerReference w:type="first" r:id="rId18"/>
          <w:pgSz w:w="12240" w:h="15840" w:code="1"/>
          <w:pgMar w:top="1708" w:right="1440" w:bottom="1440" w:left="1440" w:header="720" w:footer="720" w:gutter="0"/>
          <w:pgNumType w:start="2"/>
          <w:cols w:space="720"/>
          <w:titlePg/>
        </w:sectPr>
      </w:pPr>
    </w:p>
    <w:p w:rsidR="009B5969" w:rsidRDefault="003E2E17" w:rsidP="00792A08">
      <w:pPr>
        <w:pStyle w:val="standard"/>
      </w:pPr>
      <w:r>
        <w:lastRenderedPageBreak/>
        <w:t>The lists of tasks in both</w:t>
      </w:r>
      <w:r w:rsidR="00481A16">
        <w:t xml:space="preserve"> Table 1 and Table 2 </w:t>
      </w:r>
      <w:r w:rsidR="00E9623C">
        <w:t>sum to 1,333 hours, but th</w:t>
      </w:r>
      <w:r w:rsidR="00D57534">
        <w:t xml:space="preserve">e more detailed list </w:t>
      </w:r>
      <w:r w:rsidR="00481A16">
        <w:t xml:space="preserve">in Table 2 </w:t>
      </w:r>
      <w:r w:rsidR="00D57534">
        <w:t xml:space="preserve">includes an additional </w:t>
      </w:r>
      <w:r w:rsidR="00E9623C">
        <w:t xml:space="preserve">category that is not included in </w:t>
      </w:r>
      <w:r>
        <w:t>Table 1</w:t>
      </w:r>
      <w:r w:rsidR="00E9623C">
        <w:t>:  “Burden</w:t>
      </w:r>
      <w:r w:rsidR="008B4308">
        <w:t>.</w:t>
      </w:r>
      <w:r w:rsidR="00E9623C">
        <w:t>”</w:t>
      </w:r>
      <w:r w:rsidR="003469C3">
        <w:rPr>
          <w:rStyle w:val="FootnoteReference"/>
        </w:rPr>
        <w:footnoteReference w:id="34"/>
      </w:r>
      <w:r w:rsidR="00E9623C">
        <w:t xml:space="preserve">  This </w:t>
      </w:r>
      <w:r w:rsidR="003469C3">
        <w:t>category</w:t>
      </w:r>
      <w:r w:rsidR="00E9623C">
        <w:t xml:space="preserve"> alone accounts for</w:t>
      </w:r>
      <w:r w:rsidR="00D57534">
        <w:t xml:space="preserve"> 290 hours, or </w:t>
      </w:r>
      <w:r w:rsidR="00E9623C">
        <w:t xml:space="preserve">25% of the hours </w:t>
      </w:r>
      <w:r w:rsidR="00D57534">
        <w:t xml:space="preserve">listed </w:t>
      </w:r>
      <w:r w:rsidR="00E9623C">
        <w:t>on Rafferty’s timesheets.</w:t>
      </w:r>
      <w:r w:rsidR="00792A08">
        <w:t xml:space="preserve">  For this reason, the two summaries of Rafferty’s hours cannot be reconciled.  </w:t>
      </w:r>
      <w:r w:rsidR="009B5969">
        <w:t>The claimed hours are further confused because Rafferty lists ten matters in his claim and seeks compensation for all ten matters</w:t>
      </w:r>
      <w:r>
        <w:t xml:space="preserve"> (see page 10 above)</w:t>
      </w:r>
      <w:r w:rsidR="009B5969">
        <w:t>.  However, Rafferty provides no hourly breakdown of the time spent on these ten matters, instead listing only four substantive topics as shown in Table 1</w:t>
      </w:r>
      <w:r>
        <w:t>, lines 3-6.</w:t>
      </w:r>
      <w:r>
        <w:rPr>
          <w:rStyle w:val="FootnoteReference"/>
        </w:rPr>
        <w:footnoteReference w:id="35"/>
      </w:r>
    </w:p>
    <w:p w:rsidR="00E9623C" w:rsidRDefault="00792A08" w:rsidP="00792A08">
      <w:pPr>
        <w:pStyle w:val="standard"/>
      </w:pPr>
      <w:r>
        <w:t xml:space="preserve">For the most part, </w:t>
      </w:r>
      <w:r w:rsidR="00D57534">
        <w:t>we can work around this</w:t>
      </w:r>
      <w:r>
        <w:t xml:space="preserve"> problem because we have found that Rafferty made no substantial contributions in the areas of Safety, Settlement, and Rule 20A</w:t>
      </w:r>
      <w:r w:rsidR="00613135">
        <w:t xml:space="preserve"> (Table 1, lines 3, 4 and 6)</w:t>
      </w:r>
      <w:r>
        <w:t>.  This leaves us to determine the reasonableness of the hours claimed for Preparation, Process, “</w:t>
      </w:r>
      <w:r w:rsidRPr="00792A08">
        <w:t>PTY-Gas Leaks</w:t>
      </w:r>
      <w:r>
        <w:t>”</w:t>
      </w:r>
      <w:r w:rsidR="00987628">
        <w:t xml:space="preserve"> </w:t>
      </w:r>
      <w:r>
        <w:t xml:space="preserve"> (</w:t>
      </w:r>
      <w:r w:rsidRPr="0009474E">
        <w:rPr>
          <w:i/>
        </w:rPr>
        <w:t>i.e</w:t>
      </w:r>
      <w:r>
        <w:t>., the two contested issues in this proceeding</w:t>
      </w:r>
      <w:r w:rsidR="00481A16">
        <w:t>) and “</w:t>
      </w:r>
      <w:r w:rsidR="00481A16" w:rsidRPr="00481A16">
        <w:t>Possible Remedy If Post- Settlement Cost Reductions Were Not Reflected In Application</w:t>
      </w:r>
      <w:r w:rsidR="00481A16">
        <w:t>”.</w:t>
      </w:r>
      <w:r>
        <w:t xml:space="preserve"> </w:t>
      </w:r>
      <w:r w:rsidR="00613135">
        <w:t xml:space="preserve"> Of the </w:t>
      </w:r>
      <w:r w:rsidR="00987628">
        <w:t>ten</w:t>
      </w:r>
      <w:r w:rsidR="00613135">
        <w:t xml:space="preserve"> matters for which Rafferty seeks compensation, this corresponds to</w:t>
      </w:r>
      <w:r w:rsidR="00987628">
        <w:t xml:space="preserve">: </w:t>
      </w:r>
      <w:r w:rsidR="00613135">
        <w:t xml:space="preserve">  </w:t>
      </w:r>
      <w:r w:rsidR="00613135" w:rsidRPr="00613135">
        <w:t>(4) Rate Case Cycle, (5) Gas Leak Maintenance, and (7) Post- Settlement Cost Reductions</w:t>
      </w:r>
      <w:r w:rsidR="00613135">
        <w:t>, plus Preparation and Process.</w:t>
      </w:r>
    </w:p>
    <w:p w:rsidR="00590693" w:rsidRDefault="00481A16" w:rsidP="00792A08">
      <w:pPr>
        <w:pStyle w:val="standard"/>
      </w:pPr>
      <w:r>
        <w:t xml:space="preserve">We determined above the number of compensable hours for the </w:t>
      </w:r>
      <w:r w:rsidR="00613135">
        <w:t xml:space="preserve">hours claimed for the </w:t>
      </w:r>
      <w:r>
        <w:t xml:space="preserve">two contested issues and the “Possible Remedy”.  For the hours </w:t>
      </w:r>
      <w:r>
        <w:lastRenderedPageBreak/>
        <w:t xml:space="preserve">claimed for Preparation and Process, we must </w:t>
      </w:r>
      <w:r w:rsidR="00792A08">
        <w:t xml:space="preserve">account for the inconsistencies between the hours-by-task </w:t>
      </w:r>
      <w:r w:rsidR="008B4308">
        <w:t xml:space="preserve">presented </w:t>
      </w:r>
      <w:r w:rsidR="00792A08">
        <w:t xml:space="preserve">in Table 1 </w:t>
      </w:r>
      <w:r w:rsidR="00613135">
        <w:t xml:space="preserve">versus </w:t>
      </w:r>
      <w:r w:rsidR="00792A08">
        <w:t>Table 2</w:t>
      </w:r>
      <w:r>
        <w:t xml:space="preserve">.  To do this, </w:t>
      </w:r>
      <w:r w:rsidR="00792A08">
        <w:t>we will rely on the timesheet version of the hours</w:t>
      </w:r>
      <w:r>
        <w:t xml:space="preserve"> shown in Table 2.  </w:t>
      </w:r>
      <w:r w:rsidR="00D57534">
        <w:t xml:space="preserve">Rafferty’s </w:t>
      </w:r>
      <w:r>
        <w:t xml:space="preserve">timesheet </w:t>
      </w:r>
      <w:r w:rsidR="00D57534">
        <w:t>description</w:t>
      </w:r>
      <w:r>
        <w:t>s</w:t>
      </w:r>
      <w:r w:rsidR="00D57534">
        <w:t xml:space="preserve"> of his daily and hourly actions provide sufficient detail to evaluate each recorded activity</w:t>
      </w:r>
      <w:r w:rsidR="00792A08">
        <w:t>.  Thus, we evaluate whether 30 hours of Preparation is reasonable, not the 45 hours shown in Table 1</w:t>
      </w:r>
      <w:r>
        <w:t xml:space="preserve">, and </w:t>
      </w:r>
      <w:r w:rsidR="00792A08">
        <w:t>we evaluate whether 44 hours of Process is reasonable, not the 68 hours shown in Table 1.</w:t>
      </w:r>
      <w:r w:rsidR="00590693">
        <w:t xml:space="preserve">  Based on a line-by-line review of those claimed hours</w:t>
      </w:r>
      <w:r w:rsidR="00613135">
        <w:t xml:space="preserve"> on Rafferty’s timesheets</w:t>
      </w:r>
      <w:r w:rsidR="00590693">
        <w:t xml:space="preserve">, </w:t>
      </w:r>
      <w:r w:rsidR="00590693" w:rsidRPr="00D00652">
        <w:t xml:space="preserve">we award </w:t>
      </w:r>
      <w:r w:rsidR="00D00652" w:rsidRPr="007C70C1">
        <w:t>29.5</w:t>
      </w:r>
      <w:r w:rsidR="00590693" w:rsidRPr="00D00652">
        <w:t xml:space="preserve"> hours for Preparation and </w:t>
      </w:r>
      <w:r w:rsidR="00D00652" w:rsidRPr="007C70C1">
        <w:t>21.25</w:t>
      </w:r>
      <w:r w:rsidR="00590693" w:rsidRPr="00D00652">
        <w:t xml:space="preserve"> hours for Process.</w:t>
      </w:r>
      <w:r w:rsidR="00D00652">
        <w:t xml:space="preserve">  We have reduced the award for Process hours to remove time shown on the timesheets for time spent in unproductive meetings with individuals, time spent reviewing D.17-05-013 (which is not a contribution to that decision) and to reduce compensation for preparation of the NOI.  The Commission has previously reduced claimed hours spent preparing and filing a defective NOI.</w:t>
      </w:r>
      <w:r w:rsidR="00990272">
        <w:rPr>
          <w:rStyle w:val="FootnoteReference"/>
        </w:rPr>
        <w:footnoteReference w:id="36"/>
      </w:r>
      <w:r w:rsidR="00D00652">
        <w:t xml:space="preserve"> </w:t>
      </w:r>
    </w:p>
    <w:p w:rsidR="00792A08" w:rsidRDefault="00BE1C76" w:rsidP="00792A08">
      <w:pPr>
        <w:pStyle w:val="standard"/>
      </w:pPr>
      <w:r>
        <w:t xml:space="preserve">We </w:t>
      </w:r>
      <w:r w:rsidR="008B4308">
        <w:t>award no compensation for</w:t>
      </w:r>
      <w:r>
        <w:t xml:space="preserve"> any hours dedicated to “Burden”, whether </w:t>
      </w:r>
      <w:r w:rsidR="00B53D9E">
        <w:t xml:space="preserve">assigned by Rafferty to his </w:t>
      </w:r>
      <w:r>
        <w:t>general or task-specific</w:t>
      </w:r>
      <w:r w:rsidR="00B53D9E">
        <w:t xml:space="preserve"> categories</w:t>
      </w:r>
      <w:r>
        <w:t xml:space="preserve">.  Our review of those hours </w:t>
      </w:r>
      <w:r w:rsidR="00D57534">
        <w:t>on Rafferty’s</w:t>
      </w:r>
      <w:r>
        <w:t xml:space="preserve"> timesheets identified no entries where these reported hours made a substantial contribution to D.17-05-013 by providing value to the ratepayers who fund intervenor compensation awards</w:t>
      </w:r>
      <w:r w:rsidR="00AA6C25">
        <w:t xml:space="preserve">, which is </w:t>
      </w:r>
      <w:r w:rsidR="00D57534">
        <w:t>the fundamental requirement that underlies the intervenor compensation statutes</w:t>
      </w:r>
      <w:r>
        <w:t>.</w:t>
      </w:r>
      <w:r w:rsidR="007D6E97">
        <w:t xml:space="preserve">  In additional comments provided with his claim, Rafferty asserts that he should be compensated for “</w:t>
      </w:r>
      <w:r w:rsidR="007D6E97" w:rsidRPr="007D6E97">
        <w:t>time reasonably spent</w:t>
      </w:r>
      <w:r w:rsidR="007D6E97">
        <w:t>”</w:t>
      </w:r>
      <w:r w:rsidR="007D6E97" w:rsidRPr="007D6E97">
        <w:t xml:space="preserve"> addressing </w:t>
      </w:r>
      <w:r w:rsidR="007D6E97">
        <w:t xml:space="preserve">procedural matters related to the formatting of his documents, which were rejected by Commission staff </w:t>
      </w:r>
      <w:r w:rsidR="007D6E97">
        <w:lastRenderedPageBreak/>
        <w:t>because the documents did not meet the Commission’s technical requirements.</w:t>
      </w:r>
      <w:r w:rsidR="007D6E97">
        <w:rPr>
          <w:rStyle w:val="FootnoteReference"/>
        </w:rPr>
        <w:footnoteReference w:id="37"/>
      </w:r>
      <w:r w:rsidR="007D6E97">
        <w:t xml:space="preserve">  Similarly, Rafferty asserts that time spent to remedy problems with his NOI that were identified by staff and the ALJ was burdensome and “</w:t>
      </w:r>
      <w:r w:rsidR="007D6E97" w:rsidRPr="007D6E97">
        <w:t>precluded CAUSE from recruiting experts or taking extensive discovery</w:t>
      </w:r>
      <w:r w:rsidR="007D6E97">
        <w:t>.”</w:t>
      </w:r>
      <w:r w:rsidR="007D6E97">
        <w:rPr>
          <w:rStyle w:val="FootnoteReference"/>
        </w:rPr>
        <w:footnoteReference w:id="38"/>
      </w:r>
      <w:r w:rsidR="00B10455">
        <w:t xml:space="preserve">  The ALJ rulings speak for themselves, and we do not fault Commission staff for its efforts to verify the eligibility of intervenors in our proceedings.  As we have stressed throughout this decision, we are obligated by statute to ensure that intervenors who seek compensation are, in fact, eligible to do so, and that those intervenors found to be eligible are only compensated for substantial contributions to our decisions.</w:t>
      </w:r>
      <w:r w:rsidR="00A331C7">
        <w:rPr>
          <w:rStyle w:val="FootnoteReference"/>
        </w:rPr>
        <w:footnoteReference w:id="39"/>
      </w:r>
    </w:p>
    <w:p w:rsidR="00590693" w:rsidRDefault="00B26124" w:rsidP="00792A08">
      <w:pPr>
        <w:pStyle w:val="standard"/>
      </w:pPr>
      <w:r>
        <w:t>O</w:t>
      </w:r>
      <w:r w:rsidR="00590693">
        <w:t>ur overall determination of compensable hours is shown in Table 3 below:</w:t>
      </w:r>
    </w:p>
    <w:p w:rsidR="001E7378" w:rsidRPr="00D57534" w:rsidRDefault="001E7378" w:rsidP="007C70C1">
      <w:pPr>
        <w:pStyle w:val="standard"/>
        <w:keepNext/>
        <w:spacing w:line="240" w:lineRule="auto"/>
        <w:ind w:firstLine="0"/>
        <w:jc w:val="center"/>
        <w:rPr>
          <w:b/>
          <w:sz w:val="24"/>
        </w:rPr>
      </w:pPr>
      <w:r w:rsidRPr="00D57534">
        <w:rPr>
          <w:b/>
          <w:sz w:val="24"/>
        </w:rPr>
        <w:lastRenderedPageBreak/>
        <w:t xml:space="preserve">Table </w:t>
      </w:r>
      <w:r>
        <w:rPr>
          <w:b/>
          <w:sz w:val="24"/>
        </w:rPr>
        <w:t>3</w:t>
      </w:r>
    </w:p>
    <w:p w:rsidR="001E7378" w:rsidRDefault="001E7378" w:rsidP="007C70C1">
      <w:pPr>
        <w:pStyle w:val="standard"/>
        <w:keepNext/>
        <w:spacing w:after="120" w:line="240" w:lineRule="auto"/>
        <w:ind w:firstLine="0"/>
        <w:jc w:val="center"/>
        <w:rPr>
          <w:b/>
          <w:sz w:val="24"/>
        </w:rPr>
      </w:pPr>
      <w:r>
        <w:rPr>
          <w:b/>
          <w:sz w:val="24"/>
        </w:rPr>
        <w:t>Summary</w:t>
      </w:r>
      <w:r w:rsidRPr="00D57534">
        <w:rPr>
          <w:b/>
          <w:sz w:val="24"/>
        </w:rPr>
        <w:t xml:space="preserve"> of</w:t>
      </w:r>
      <w:r>
        <w:rPr>
          <w:b/>
          <w:sz w:val="24"/>
        </w:rPr>
        <w:t xml:space="preserve"> Compensable Hours</w:t>
      </w:r>
    </w:p>
    <w:tbl>
      <w:tblPr>
        <w:tblStyle w:val="TableGrid"/>
        <w:tblW w:w="0" w:type="auto"/>
        <w:tblInd w:w="720" w:type="dxa"/>
        <w:tblLook w:val="04A0" w:firstRow="1" w:lastRow="0" w:firstColumn="1" w:lastColumn="0" w:noHBand="0" w:noVBand="1"/>
      </w:tblPr>
      <w:tblGrid>
        <w:gridCol w:w="6250"/>
        <w:gridCol w:w="1376"/>
        <w:gridCol w:w="1230"/>
      </w:tblGrid>
      <w:tr w:rsidR="008B4308" w:rsidRPr="002D45F5" w:rsidTr="008B4308">
        <w:tc>
          <w:tcPr>
            <w:tcW w:w="0" w:type="auto"/>
          </w:tcPr>
          <w:p w:rsidR="008B4308" w:rsidRPr="007C70C1" w:rsidRDefault="008B4308" w:rsidP="007C70C1">
            <w:pPr>
              <w:pStyle w:val="standard"/>
              <w:keepNext/>
              <w:spacing w:line="240" w:lineRule="auto"/>
              <w:ind w:firstLine="0"/>
              <w:jc w:val="center"/>
              <w:rPr>
                <w:b/>
                <w:sz w:val="24"/>
                <w:szCs w:val="24"/>
              </w:rPr>
            </w:pPr>
            <w:r w:rsidRPr="007C70C1">
              <w:rPr>
                <w:b/>
                <w:sz w:val="24"/>
                <w:szCs w:val="24"/>
              </w:rPr>
              <w:t>Task</w:t>
            </w:r>
          </w:p>
        </w:tc>
        <w:tc>
          <w:tcPr>
            <w:tcW w:w="0" w:type="auto"/>
          </w:tcPr>
          <w:p w:rsidR="008B4308" w:rsidRPr="007C70C1" w:rsidRDefault="008B4308" w:rsidP="007C70C1">
            <w:pPr>
              <w:pStyle w:val="standard"/>
              <w:keepNext/>
              <w:spacing w:line="240" w:lineRule="auto"/>
              <w:ind w:firstLine="0"/>
              <w:jc w:val="center"/>
              <w:rPr>
                <w:b/>
              </w:rPr>
            </w:pPr>
            <w:r w:rsidRPr="007C70C1">
              <w:rPr>
                <w:b/>
                <w:sz w:val="24"/>
                <w:szCs w:val="24"/>
              </w:rPr>
              <w:t>Requested</w:t>
            </w:r>
          </w:p>
        </w:tc>
        <w:tc>
          <w:tcPr>
            <w:tcW w:w="0" w:type="auto"/>
          </w:tcPr>
          <w:p w:rsidR="008B4308" w:rsidRPr="007C70C1" w:rsidRDefault="008B4308" w:rsidP="007C70C1">
            <w:pPr>
              <w:pStyle w:val="standard"/>
              <w:keepNext/>
              <w:spacing w:line="240" w:lineRule="auto"/>
              <w:ind w:firstLine="0"/>
              <w:jc w:val="center"/>
              <w:rPr>
                <w:b/>
              </w:rPr>
            </w:pPr>
            <w:r w:rsidRPr="007C70C1">
              <w:rPr>
                <w:b/>
                <w:sz w:val="24"/>
                <w:szCs w:val="24"/>
              </w:rPr>
              <w:t>A</w:t>
            </w:r>
            <w:r w:rsidR="002D45F5">
              <w:rPr>
                <w:b/>
                <w:sz w:val="24"/>
                <w:szCs w:val="24"/>
              </w:rPr>
              <w:t>warded</w:t>
            </w:r>
          </w:p>
        </w:tc>
      </w:tr>
      <w:tr w:rsidR="008B4308" w:rsidRPr="00226EE9" w:rsidTr="007C70C1">
        <w:tc>
          <w:tcPr>
            <w:tcW w:w="0" w:type="auto"/>
          </w:tcPr>
          <w:p w:rsidR="008B4308" w:rsidRPr="007C70C1" w:rsidRDefault="00111A10" w:rsidP="007C70C1">
            <w:pPr>
              <w:pStyle w:val="standard"/>
              <w:keepNext/>
              <w:spacing w:line="240" w:lineRule="auto"/>
              <w:ind w:firstLine="0"/>
              <w:rPr>
                <w:sz w:val="24"/>
                <w:szCs w:val="24"/>
              </w:rPr>
            </w:pPr>
            <w:r>
              <w:rPr>
                <w:sz w:val="24"/>
                <w:szCs w:val="24"/>
              </w:rPr>
              <w:t xml:space="preserve">Contested Issue:  </w:t>
            </w:r>
            <w:r w:rsidR="008B4308" w:rsidRPr="007C70C1">
              <w:rPr>
                <w:sz w:val="24"/>
                <w:szCs w:val="24"/>
              </w:rPr>
              <w:t>Rate Case Cycle</w:t>
            </w:r>
          </w:p>
        </w:tc>
        <w:tc>
          <w:tcPr>
            <w:tcW w:w="0" w:type="auto"/>
            <w:vAlign w:val="bottom"/>
          </w:tcPr>
          <w:p w:rsidR="008B4308" w:rsidRPr="007C70C1" w:rsidRDefault="00AF2943" w:rsidP="007C70C1">
            <w:pPr>
              <w:pStyle w:val="standard"/>
              <w:keepNext/>
              <w:spacing w:line="240" w:lineRule="auto"/>
              <w:ind w:firstLine="0"/>
              <w:jc w:val="right"/>
              <w:rPr>
                <w:sz w:val="24"/>
              </w:rPr>
            </w:pPr>
            <w:r w:rsidRPr="007C70C1">
              <w:rPr>
                <w:sz w:val="24"/>
              </w:rPr>
              <w:t>31.75</w:t>
            </w:r>
          </w:p>
        </w:tc>
        <w:tc>
          <w:tcPr>
            <w:tcW w:w="0" w:type="auto"/>
            <w:vAlign w:val="bottom"/>
          </w:tcPr>
          <w:p w:rsidR="008B4308" w:rsidRPr="007C70C1" w:rsidRDefault="00AF2943" w:rsidP="007C70C1">
            <w:pPr>
              <w:pStyle w:val="standard"/>
              <w:keepNext/>
              <w:spacing w:line="240" w:lineRule="auto"/>
              <w:ind w:firstLine="0"/>
              <w:jc w:val="right"/>
              <w:rPr>
                <w:sz w:val="24"/>
              </w:rPr>
            </w:pPr>
            <w:r w:rsidRPr="007C70C1">
              <w:rPr>
                <w:sz w:val="24"/>
              </w:rPr>
              <w:t>31.75</w:t>
            </w:r>
          </w:p>
        </w:tc>
      </w:tr>
      <w:tr w:rsidR="008B4308" w:rsidRPr="00226EE9" w:rsidTr="007C70C1">
        <w:tc>
          <w:tcPr>
            <w:tcW w:w="0" w:type="auto"/>
          </w:tcPr>
          <w:p w:rsidR="008B4308" w:rsidRPr="007C70C1" w:rsidRDefault="008B4308" w:rsidP="007C70C1">
            <w:pPr>
              <w:pStyle w:val="standard"/>
              <w:keepNext/>
              <w:spacing w:line="240" w:lineRule="auto"/>
              <w:ind w:firstLine="0"/>
              <w:rPr>
                <w:sz w:val="24"/>
                <w:szCs w:val="24"/>
              </w:rPr>
            </w:pPr>
            <w:r w:rsidRPr="007C70C1">
              <w:rPr>
                <w:sz w:val="24"/>
                <w:szCs w:val="24"/>
              </w:rPr>
              <w:t>Gas Leak Maintenanc</w:t>
            </w:r>
            <w:r w:rsidR="00111A10">
              <w:rPr>
                <w:sz w:val="24"/>
                <w:szCs w:val="24"/>
              </w:rPr>
              <w:t>e</w:t>
            </w:r>
          </w:p>
        </w:tc>
        <w:tc>
          <w:tcPr>
            <w:tcW w:w="0" w:type="auto"/>
            <w:vAlign w:val="bottom"/>
          </w:tcPr>
          <w:p w:rsidR="008B4308" w:rsidRPr="007C70C1" w:rsidRDefault="00AF2943" w:rsidP="007C70C1">
            <w:pPr>
              <w:pStyle w:val="standard"/>
              <w:keepNext/>
              <w:spacing w:line="240" w:lineRule="auto"/>
              <w:ind w:firstLine="0"/>
              <w:jc w:val="right"/>
              <w:rPr>
                <w:sz w:val="24"/>
              </w:rPr>
            </w:pPr>
            <w:r w:rsidRPr="007C70C1">
              <w:rPr>
                <w:sz w:val="24"/>
              </w:rPr>
              <w:t>10.0</w:t>
            </w:r>
          </w:p>
        </w:tc>
        <w:tc>
          <w:tcPr>
            <w:tcW w:w="0" w:type="auto"/>
            <w:vAlign w:val="bottom"/>
          </w:tcPr>
          <w:p w:rsidR="008B4308" w:rsidRPr="007C70C1" w:rsidRDefault="00AF2943" w:rsidP="007C70C1">
            <w:pPr>
              <w:pStyle w:val="standard"/>
              <w:keepNext/>
              <w:spacing w:line="240" w:lineRule="auto"/>
              <w:ind w:firstLine="0"/>
              <w:jc w:val="right"/>
              <w:rPr>
                <w:sz w:val="24"/>
              </w:rPr>
            </w:pPr>
            <w:r w:rsidRPr="007C70C1">
              <w:rPr>
                <w:sz w:val="24"/>
              </w:rPr>
              <w:t>10.0</w:t>
            </w:r>
          </w:p>
        </w:tc>
      </w:tr>
      <w:tr w:rsidR="002D45F5" w:rsidRPr="00226EE9" w:rsidTr="007C70C1">
        <w:tc>
          <w:tcPr>
            <w:tcW w:w="0" w:type="auto"/>
          </w:tcPr>
          <w:p w:rsidR="002D45F5" w:rsidRPr="007C70C1" w:rsidRDefault="002D45F5" w:rsidP="007C70C1">
            <w:pPr>
              <w:pStyle w:val="standard"/>
              <w:keepNext/>
              <w:spacing w:line="240" w:lineRule="auto"/>
              <w:ind w:firstLine="0"/>
              <w:rPr>
                <w:sz w:val="24"/>
                <w:szCs w:val="24"/>
              </w:rPr>
            </w:pPr>
            <w:r w:rsidRPr="007C70C1">
              <w:rPr>
                <w:sz w:val="24"/>
                <w:szCs w:val="24"/>
              </w:rPr>
              <w:t>Possible Remedy If Post- Settlement Cost Reductions Were Not Reflected In Application</w:t>
            </w:r>
          </w:p>
        </w:tc>
        <w:tc>
          <w:tcPr>
            <w:tcW w:w="0" w:type="auto"/>
            <w:vAlign w:val="bottom"/>
          </w:tcPr>
          <w:p w:rsidR="002D45F5" w:rsidRPr="007C70C1" w:rsidRDefault="002D45F5" w:rsidP="007C70C1">
            <w:pPr>
              <w:keepNext/>
              <w:jc w:val="right"/>
              <w:rPr>
                <w:sz w:val="24"/>
              </w:rPr>
            </w:pPr>
            <w:r w:rsidRPr="007C70C1">
              <w:rPr>
                <w:sz w:val="24"/>
              </w:rPr>
              <w:t>10.5</w:t>
            </w:r>
          </w:p>
        </w:tc>
        <w:tc>
          <w:tcPr>
            <w:tcW w:w="0" w:type="auto"/>
            <w:vAlign w:val="bottom"/>
          </w:tcPr>
          <w:p w:rsidR="002D45F5" w:rsidRPr="007C70C1" w:rsidRDefault="002D45F5" w:rsidP="007C70C1">
            <w:pPr>
              <w:keepNext/>
              <w:jc w:val="right"/>
              <w:rPr>
                <w:sz w:val="24"/>
              </w:rPr>
            </w:pPr>
            <w:r w:rsidRPr="007C70C1">
              <w:rPr>
                <w:sz w:val="24"/>
              </w:rPr>
              <w:t>2.5</w:t>
            </w:r>
          </w:p>
        </w:tc>
      </w:tr>
      <w:tr w:rsidR="008B4308" w:rsidRPr="00226EE9" w:rsidTr="007C70C1">
        <w:tc>
          <w:tcPr>
            <w:tcW w:w="0" w:type="auto"/>
            <w:shd w:val="clear" w:color="auto" w:fill="auto"/>
          </w:tcPr>
          <w:p w:rsidR="008B4308" w:rsidRPr="007C70C1" w:rsidRDefault="008B4308" w:rsidP="007C70C1">
            <w:pPr>
              <w:pStyle w:val="standard"/>
              <w:keepNext/>
              <w:spacing w:line="240" w:lineRule="auto"/>
              <w:ind w:firstLine="0"/>
              <w:rPr>
                <w:sz w:val="24"/>
                <w:szCs w:val="24"/>
              </w:rPr>
            </w:pPr>
            <w:r w:rsidRPr="001E7806">
              <w:rPr>
                <w:sz w:val="24"/>
                <w:szCs w:val="24"/>
              </w:rPr>
              <w:t>Preparation</w:t>
            </w:r>
          </w:p>
        </w:tc>
        <w:tc>
          <w:tcPr>
            <w:tcW w:w="0" w:type="auto"/>
            <w:shd w:val="clear" w:color="auto" w:fill="auto"/>
            <w:vAlign w:val="bottom"/>
          </w:tcPr>
          <w:p w:rsidR="008B4308" w:rsidRPr="007C70C1" w:rsidRDefault="00201506" w:rsidP="007C70C1">
            <w:pPr>
              <w:keepNext/>
              <w:jc w:val="right"/>
              <w:rPr>
                <w:sz w:val="24"/>
              </w:rPr>
            </w:pPr>
            <w:r w:rsidRPr="007C70C1">
              <w:rPr>
                <w:sz w:val="24"/>
              </w:rPr>
              <w:t>29.5</w:t>
            </w:r>
          </w:p>
        </w:tc>
        <w:tc>
          <w:tcPr>
            <w:tcW w:w="0" w:type="auto"/>
            <w:shd w:val="clear" w:color="auto" w:fill="auto"/>
            <w:vAlign w:val="bottom"/>
          </w:tcPr>
          <w:p w:rsidR="008B4308" w:rsidRPr="007C70C1" w:rsidRDefault="00201506" w:rsidP="007C70C1">
            <w:pPr>
              <w:keepNext/>
              <w:jc w:val="right"/>
              <w:rPr>
                <w:sz w:val="24"/>
              </w:rPr>
            </w:pPr>
            <w:r w:rsidRPr="007C70C1">
              <w:rPr>
                <w:sz w:val="24"/>
              </w:rPr>
              <w:t>29.5</w:t>
            </w:r>
          </w:p>
        </w:tc>
      </w:tr>
      <w:tr w:rsidR="008B4308" w:rsidRPr="00226EE9" w:rsidTr="007C70C1">
        <w:tc>
          <w:tcPr>
            <w:tcW w:w="0" w:type="auto"/>
            <w:shd w:val="clear" w:color="auto" w:fill="auto"/>
          </w:tcPr>
          <w:p w:rsidR="008B4308" w:rsidRPr="007C70C1" w:rsidRDefault="008B4308" w:rsidP="007C70C1">
            <w:pPr>
              <w:pStyle w:val="standard"/>
              <w:keepNext/>
              <w:spacing w:line="240" w:lineRule="auto"/>
              <w:ind w:firstLine="0"/>
              <w:rPr>
                <w:sz w:val="24"/>
                <w:szCs w:val="24"/>
              </w:rPr>
            </w:pPr>
            <w:r w:rsidRPr="001E7806">
              <w:rPr>
                <w:sz w:val="24"/>
                <w:szCs w:val="24"/>
              </w:rPr>
              <w:t>Process</w:t>
            </w:r>
          </w:p>
        </w:tc>
        <w:tc>
          <w:tcPr>
            <w:tcW w:w="0" w:type="auto"/>
            <w:shd w:val="clear" w:color="auto" w:fill="auto"/>
            <w:vAlign w:val="bottom"/>
          </w:tcPr>
          <w:p w:rsidR="008B4308" w:rsidRPr="007C70C1" w:rsidRDefault="00201506" w:rsidP="007C70C1">
            <w:pPr>
              <w:keepNext/>
              <w:jc w:val="right"/>
              <w:rPr>
                <w:sz w:val="24"/>
              </w:rPr>
            </w:pPr>
            <w:r w:rsidRPr="007C70C1">
              <w:rPr>
                <w:sz w:val="24"/>
              </w:rPr>
              <w:t>43.5</w:t>
            </w:r>
          </w:p>
        </w:tc>
        <w:tc>
          <w:tcPr>
            <w:tcW w:w="0" w:type="auto"/>
            <w:shd w:val="clear" w:color="auto" w:fill="auto"/>
            <w:vAlign w:val="bottom"/>
          </w:tcPr>
          <w:p w:rsidR="008B4308" w:rsidRPr="007C70C1" w:rsidRDefault="00201506" w:rsidP="007C70C1">
            <w:pPr>
              <w:keepNext/>
              <w:jc w:val="right"/>
              <w:rPr>
                <w:sz w:val="24"/>
              </w:rPr>
            </w:pPr>
            <w:r w:rsidRPr="007C70C1">
              <w:rPr>
                <w:sz w:val="24"/>
              </w:rPr>
              <w:t>21.</w:t>
            </w:r>
            <w:r w:rsidR="000852BC">
              <w:rPr>
                <w:sz w:val="24"/>
              </w:rPr>
              <w:t>2</w:t>
            </w:r>
            <w:r w:rsidRPr="007C70C1">
              <w:rPr>
                <w:sz w:val="24"/>
              </w:rPr>
              <w:t>5</w:t>
            </w:r>
          </w:p>
        </w:tc>
      </w:tr>
      <w:tr w:rsidR="00201506" w:rsidRPr="00226EE9" w:rsidTr="00201506">
        <w:tc>
          <w:tcPr>
            <w:tcW w:w="0" w:type="auto"/>
            <w:shd w:val="clear" w:color="auto" w:fill="auto"/>
          </w:tcPr>
          <w:p w:rsidR="00201506" w:rsidRPr="007C70C1" w:rsidRDefault="00201506">
            <w:pPr>
              <w:pStyle w:val="standard"/>
              <w:keepNext/>
              <w:spacing w:line="240" w:lineRule="auto"/>
              <w:ind w:firstLine="0"/>
              <w:rPr>
                <w:b/>
                <w:sz w:val="24"/>
                <w:szCs w:val="24"/>
              </w:rPr>
            </w:pPr>
            <w:r w:rsidRPr="007C70C1">
              <w:rPr>
                <w:b/>
                <w:sz w:val="24"/>
                <w:szCs w:val="24"/>
              </w:rPr>
              <w:t>Total</w:t>
            </w:r>
          </w:p>
        </w:tc>
        <w:tc>
          <w:tcPr>
            <w:tcW w:w="0" w:type="auto"/>
            <w:shd w:val="clear" w:color="auto" w:fill="auto"/>
            <w:vAlign w:val="bottom"/>
          </w:tcPr>
          <w:p w:rsidR="00201506" w:rsidRPr="007C70C1" w:rsidRDefault="00201506" w:rsidP="007C70C1">
            <w:pPr>
              <w:keepNext/>
              <w:jc w:val="right"/>
              <w:rPr>
                <w:b/>
                <w:sz w:val="24"/>
              </w:rPr>
            </w:pPr>
            <w:r w:rsidRPr="007C70C1">
              <w:rPr>
                <w:b/>
                <w:sz w:val="24"/>
              </w:rPr>
              <w:fldChar w:fldCharType="begin"/>
            </w:r>
            <w:r w:rsidRPr="007C70C1">
              <w:rPr>
                <w:b/>
                <w:sz w:val="24"/>
              </w:rPr>
              <w:instrText xml:space="preserve"> =SUM(ABOVE) </w:instrText>
            </w:r>
            <w:r w:rsidRPr="007C70C1">
              <w:rPr>
                <w:b/>
                <w:sz w:val="24"/>
              </w:rPr>
              <w:fldChar w:fldCharType="separate"/>
            </w:r>
            <w:r w:rsidRPr="007C70C1">
              <w:rPr>
                <w:b/>
                <w:noProof/>
                <w:sz w:val="24"/>
              </w:rPr>
              <w:t>125.25</w:t>
            </w:r>
            <w:r w:rsidRPr="007C70C1">
              <w:rPr>
                <w:b/>
                <w:sz w:val="24"/>
              </w:rPr>
              <w:fldChar w:fldCharType="end"/>
            </w:r>
          </w:p>
        </w:tc>
        <w:tc>
          <w:tcPr>
            <w:tcW w:w="0" w:type="auto"/>
            <w:shd w:val="clear" w:color="auto" w:fill="auto"/>
            <w:vAlign w:val="bottom"/>
          </w:tcPr>
          <w:p w:rsidR="00201506" w:rsidRPr="007C70C1" w:rsidRDefault="00201506" w:rsidP="007C70C1">
            <w:pPr>
              <w:keepNext/>
              <w:jc w:val="right"/>
              <w:rPr>
                <w:b/>
                <w:sz w:val="24"/>
              </w:rPr>
            </w:pPr>
            <w:r w:rsidRPr="007C70C1">
              <w:rPr>
                <w:b/>
                <w:sz w:val="24"/>
              </w:rPr>
              <w:fldChar w:fldCharType="begin"/>
            </w:r>
            <w:r w:rsidRPr="007C70C1">
              <w:rPr>
                <w:b/>
                <w:sz w:val="24"/>
              </w:rPr>
              <w:instrText xml:space="preserve"> =SUM(ABOVE) </w:instrText>
            </w:r>
            <w:r w:rsidRPr="007C70C1">
              <w:rPr>
                <w:b/>
                <w:sz w:val="24"/>
              </w:rPr>
              <w:fldChar w:fldCharType="separate"/>
            </w:r>
            <w:r w:rsidR="00D00652">
              <w:rPr>
                <w:b/>
                <w:noProof/>
                <w:sz w:val="24"/>
              </w:rPr>
              <w:t>95</w:t>
            </w:r>
            <w:r w:rsidRPr="007C70C1">
              <w:rPr>
                <w:b/>
                <w:sz w:val="24"/>
              </w:rPr>
              <w:fldChar w:fldCharType="end"/>
            </w:r>
            <w:r w:rsidR="00D00652">
              <w:rPr>
                <w:b/>
                <w:sz w:val="24"/>
              </w:rPr>
              <w:t>.0</w:t>
            </w:r>
          </w:p>
        </w:tc>
      </w:tr>
    </w:tbl>
    <w:p w:rsidR="008B4308" w:rsidRPr="007C70C1" w:rsidRDefault="008B4308" w:rsidP="007C70C1">
      <w:pPr>
        <w:pStyle w:val="standard"/>
        <w:keepNext/>
        <w:spacing w:after="120" w:line="240" w:lineRule="auto"/>
        <w:ind w:firstLine="0"/>
        <w:rPr>
          <w:b/>
        </w:rPr>
      </w:pPr>
    </w:p>
    <w:p w:rsidR="004D4959" w:rsidRPr="00A87B12" w:rsidRDefault="004D4959" w:rsidP="007C70C1">
      <w:pPr>
        <w:pStyle w:val="Heading2"/>
      </w:pPr>
      <w:bookmarkStart w:id="56" w:name="_Toc509589610"/>
      <w:r>
        <w:t>Preparation of Claim</w:t>
      </w:r>
      <w:bookmarkEnd w:id="56"/>
    </w:p>
    <w:p w:rsidR="004D4959" w:rsidRDefault="004D4959" w:rsidP="007C70C1">
      <w:pPr>
        <w:pStyle w:val="standard"/>
      </w:pPr>
      <w:r w:rsidRPr="007C70C1">
        <w:t>Rafferty</w:t>
      </w:r>
      <w:r>
        <w:t xml:space="preserve"> seeks compensation for 128.5 hours spent preparing his claim for compensation, an amount of time that far exceeds the hours claimed for the same task by other intervenors in this proceeding (TURN claimed 25 hours, A4NR claimed 20 hours, SBUA claimed 19 hours, EDF claimed 18 hours, NAAC claimed 17 hours, and CforAT claimed 10 hours.  The only other outlier, CFC, claimed 67 hours for preparation  of its claims).</w:t>
      </w:r>
    </w:p>
    <w:p w:rsidR="004D4959" w:rsidRDefault="004D4959" w:rsidP="007C70C1">
      <w:pPr>
        <w:pStyle w:val="standard"/>
      </w:pPr>
      <w:r>
        <w:t xml:space="preserve">The Commission has previously denied compensation for excessive hours for preparation </w:t>
      </w:r>
      <w:r w:rsidR="002666D2">
        <w:t>of claims:</w:t>
      </w:r>
      <w:r w:rsidR="002666D2">
        <w:rPr>
          <w:rStyle w:val="FootnoteReference"/>
        </w:rPr>
        <w:footnoteReference w:id="40"/>
      </w:r>
    </w:p>
    <w:p w:rsidR="004D4959" w:rsidRDefault="001D3237" w:rsidP="007C70C1">
      <w:pPr>
        <w:pStyle w:val="standard"/>
        <w:spacing w:after="120" w:line="240" w:lineRule="auto"/>
        <w:ind w:left="720" w:right="720" w:firstLine="0"/>
      </w:pPr>
      <w:r>
        <w:t>…</w:t>
      </w:r>
      <w:r w:rsidR="004D4959" w:rsidRPr="004D4959">
        <w:t xml:space="preserve">an intervenor’s compensation claim must be a reasonably routine part of an intervenor’s business before the Commission. </w:t>
      </w:r>
      <w:r w:rsidR="00A331C7">
        <w:t xml:space="preserve"> </w:t>
      </w:r>
      <w:r w:rsidR="004D4959" w:rsidRPr="004D4959">
        <w:t>It should largely be a routine linking of already identified issues (e.g., issues identified in the intervenor’s “Notice of Intent to Claim Intervenor Compensation” and the Scoping Memo) to hours recorded by issue each day over the course of the proceeding</w:t>
      </w:r>
      <w:r w:rsidR="002666D2">
        <w:t>. …</w:t>
      </w:r>
      <w:r w:rsidR="004D4959" w:rsidRPr="004D4959">
        <w:t xml:space="preserve"> Ratepayers should only be required to compensate an intervenor for the reasonable cost of an efficiently prepared Claim.</w:t>
      </w:r>
    </w:p>
    <w:p w:rsidR="002666D2" w:rsidRPr="007C70C1" w:rsidRDefault="002666D2" w:rsidP="007C70C1">
      <w:pPr>
        <w:pStyle w:val="standard"/>
      </w:pPr>
      <w:r>
        <w:lastRenderedPageBreak/>
        <w:t>We compensate Rafferty for 18 hours spent preparing his claim.  This number is the average of the hours spent by other intervenors in this proceeding, excluding the other outlier, CFC, from that calculation.</w:t>
      </w:r>
    </w:p>
    <w:p w:rsidR="00A87B12" w:rsidRPr="00A87B12" w:rsidRDefault="00A87B12" w:rsidP="00A87B12">
      <w:pPr>
        <w:pStyle w:val="Heading2"/>
      </w:pPr>
      <w:bookmarkStart w:id="57" w:name="_Toc509589611"/>
      <w:bookmarkStart w:id="58" w:name="_Toc509589612"/>
      <w:bookmarkStart w:id="59" w:name="_Toc509589613"/>
      <w:bookmarkStart w:id="60" w:name="_Toc509589633"/>
      <w:bookmarkStart w:id="61" w:name="_Toc509589638"/>
      <w:bookmarkEnd w:id="57"/>
      <w:bookmarkEnd w:id="58"/>
      <w:bookmarkEnd w:id="59"/>
      <w:bookmarkEnd w:id="60"/>
      <w:r w:rsidRPr="00A87B12">
        <w:t>Intervenor Hourly Rates</w:t>
      </w:r>
      <w:bookmarkEnd w:id="61"/>
    </w:p>
    <w:p w:rsidR="002F79CD" w:rsidRDefault="00A87B12" w:rsidP="00CE288E">
      <w:pPr>
        <w:pStyle w:val="standard"/>
      </w:pPr>
      <w:r w:rsidRPr="00A87B12">
        <w:t xml:space="preserve">We next take into consideration whether the claimed fees and costs are </w:t>
      </w:r>
      <w:r w:rsidR="002F79CD">
        <w:t>in compliance with Section 1806, which requires that the computation of compensation awarded shall take into consideration “the market rates paid to persons of comparable training and experience who offer similar services</w:t>
      </w:r>
      <w:r w:rsidR="00C9654C">
        <w:t>.</w:t>
      </w:r>
      <w:r w:rsidR="002F79CD">
        <w:t>”  The Commission also noted that the rates tend to fall</w:t>
      </w:r>
      <w:r w:rsidR="00AD0828">
        <w:t xml:space="preserve"> </w:t>
      </w:r>
      <w:r w:rsidR="002F79CD">
        <w:t xml:space="preserve">within </w:t>
      </w:r>
      <w:r w:rsidR="00AD0828">
        <w:t xml:space="preserve">well-defined </w:t>
      </w:r>
      <w:r w:rsidR="002F79CD">
        <w:t xml:space="preserve">ranges, </w:t>
      </w:r>
      <w:r w:rsidR="00AD0828">
        <w:t>“</w:t>
      </w:r>
      <w:r w:rsidR="002F79CD">
        <w:t>based on length of relevant experience and roughly corresponding</w:t>
      </w:r>
      <w:r w:rsidR="00AD0828">
        <w:t xml:space="preserve"> </w:t>
      </w:r>
      <w:r w:rsidR="002F79CD">
        <w:t>to the associate, partner, and senior partner levels within a law firm</w:t>
      </w:r>
      <w:r w:rsidR="00C9654C">
        <w:t>.</w:t>
      </w:r>
      <w:r w:rsidR="00AD0828">
        <w:t>”</w:t>
      </w:r>
      <w:r w:rsidR="00AD0828">
        <w:rPr>
          <w:rStyle w:val="FootnoteReference"/>
        </w:rPr>
        <w:footnoteReference w:id="41"/>
      </w:r>
      <w:r w:rsidR="00CE288E">
        <w:t xml:space="preserve">  In 2007, the Commission determined that intervenor representatives with a rate last authorized at least four years prior to the pending request may seek a new rate as if that individual were new to Commission proceedings.</w:t>
      </w:r>
      <w:r w:rsidR="00CE288E">
        <w:rPr>
          <w:rStyle w:val="FootnoteReference"/>
        </w:rPr>
        <w:footnoteReference w:id="42"/>
      </w:r>
    </w:p>
    <w:p w:rsidR="007075D5" w:rsidRDefault="000A1B06" w:rsidP="007075D5">
      <w:pPr>
        <w:pStyle w:val="standard"/>
      </w:pPr>
      <w:r w:rsidRPr="000A1B06">
        <w:t xml:space="preserve">Rafferty </w:t>
      </w:r>
      <w:r>
        <w:t xml:space="preserve">notes that he </w:t>
      </w:r>
      <w:r w:rsidRPr="000A1B06">
        <w:t xml:space="preserve">does not appear in the Commission’s </w:t>
      </w:r>
      <w:r>
        <w:t xml:space="preserve">current rate table; his last rate in a Commission proceeding was $360 per hour for his contributions to D.07-07-006 as an “expert”.  </w:t>
      </w:r>
      <w:r w:rsidR="007075D5">
        <w:t xml:space="preserve">Rafferty </w:t>
      </w:r>
      <w:r w:rsidR="005E2F54">
        <w:t xml:space="preserve">also </w:t>
      </w:r>
      <w:r w:rsidR="007075D5">
        <w:t>notes that t</w:t>
      </w:r>
      <w:r w:rsidR="007075D5" w:rsidRPr="007075D5">
        <w:t>he Commission’s current rate table indicates that it now sets hourly rates for lawyers who testify without regard to the range for experts</w:t>
      </w:r>
      <w:r w:rsidR="007075D5">
        <w:t xml:space="preserve">.  Rafferty asserts that </w:t>
      </w:r>
      <w:r w:rsidR="007075D5" w:rsidRPr="007075D5">
        <w:t xml:space="preserve">almost all of his activities </w:t>
      </w:r>
      <w:r w:rsidR="007075D5">
        <w:t>in th</w:t>
      </w:r>
      <w:r>
        <w:t>e instant</w:t>
      </w:r>
      <w:r w:rsidR="007075D5">
        <w:t xml:space="preserve"> proceeding </w:t>
      </w:r>
      <w:r w:rsidR="007075D5" w:rsidRPr="007075D5">
        <w:t>are appropriately compensated on the scale for attorneys.</w:t>
      </w:r>
      <w:r w:rsidR="002F79CD">
        <w:t xml:space="preserve">  We agree that Rafferty should be </w:t>
      </w:r>
      <w:r w:rsidRPr="007075D5">
        <w:t>compensated</w:t>
      </w:r>
      <w:r w:rsidR="002F79CD">
        <w:t xml:space="preserve"> as an attorney without regard to his prior Commission-related </w:t>
      </w:r>
      <w:r w:rsidR="002F79CD">
        <w:lastRenderedPageBreak/>
        <w:t>work as an expert.</w:t>
      </w:r>
      <w:r>
        <w:t xml:space="preserve">  Because ten years have passed since Rafferty’s last compensation award, and that award </w:t>
      </w:r>
      <w:r w:rsidR="005E2F54">
        <w:t xml:space="preserve">compensated </w:t>
      </w:r>
      <w:r>
        <w:t>Rafferty as an expert</w:t>
      </w:r>
      <w:r w:rsidR="005E2F54">
        <w:t>,</w:t>
      </w:r>
      <w:r>
        <w:t xml:space="preserve"> not an attorney, consistent with </w:t>
      </w:r>
      <w:r w:rsidRPr="000A1B06">
        <w:t>D.07-01-009</w:t>
      </w:r>
      <w:r>
        <w:t xml:space="preserve"> we will determine Rafferty’s rate</w:t>
      </w:r>
      <w:r w:rsidR="005E2F54">
        <w:t xml:space="preserve"> as an attorney</w:t>
      </w:r>
      <w:r>
        <w:t xml:space="preserve"> “</w:t>
      </w:r>
      <w:r w:rsidRPr="000A1B06">
        <w:t>as if that individual were new to Commission proceedings</w:t>
      </w:r>
      <w:r w:rsidR="00C9654C">
        <w:t>.</w:t>
      </w:r>
      <w:r>
        <w:t>”</w:t>
      </w:r>
    </w:p>
    <w:p w:rsidR="000A1B06" w:rsidRDefault="000A1B06" w:rsidP="007075D5">
      <w:pPr>
        <w:pStyle w:val="standard"/>
      </w:pPr>
      <w:r>
        <w:t>Rafferty requests a</w:t>
      </w:r>
      <w:r w:rsidRPr="007075D5">
        <w:t xml:space="preserve"> rate of $490</w:t>
      </w:r>
      <w:r>
        <w:t xml:space="preserve"> per hour</w:t>
      </w:r>
      <w:r w:rsidRPr="007075D5">
        <w:t xml:space="preserve">, </w:t>
      </w:r>
      <w:r>
        <w:t>asserting that this</w:t>
      </w:r>
      <w:r w:rsidRPr="007075D5">
        <w:t xml:space="preserve"> represents 85% of the top range for attorneys of his experience</w:t>
      </w:r>
      <w:r>
        <w:t xml:space="preserve"> (</w:t>
      </w:r>
      <w:r w:rsidRPr="0009474E">
        <w:rPr>
          <w:i/>
        </w:rPr>
        <w:t>i.e</w:t>
      </w:r>
      <w:r>
        <w:t>., 13 or more years)</w:t>
      </w:r>
      <w:r w:rsidRPr="007075D5">
        <w:t>.</w:t>
      </w:r>
      <w:r>
        <w:rPr>
          <w:rStyle w:val="FootnoteReference"/>
        </w:rPr>
        <w:footnoteReference w:id="43"/>
      </w:r>
      <w:r>
        <w:t xml:space="preserve">  We do not agree that Rafferty has over 13 years of relevant experience, which </w:t>
      </w:r>
      <w:r w:rsidR="005E2F54">
        <w:t>should</w:t>
      </w:r>
      <w:r>
        <w:t xml:space="preserve"> be practice before the Commission</w:t>
      </w:r>
      <w:r w:rsidR="005E2F54">
        <w:t xml:space="preserve"> </w:t>
      </w:r>
      <w:r>
        <w:t xml:space="preserve">or in similar administrative law settings.  We also </w:t>
      </w:r>
      <w:r w:rsidR="00791A02">
        <w:t>find that the rates we set for Rafferty must reflect his level of proficiency with the Commission’s procedures</w:t>
      </w:r>
      <w:r w:rsidR="00AE1146">
        <w:t>, which the record shows is not at the level of other intervenors in this proceeding</w:t>
      </w:r>
      <w:r w:rsidR="00791A02">
        <w:t xml:space="preserve">.  </w:t>
      </w:r>
      <w:r w:rsidR="00AE1146">
        <w:t xml:space="preserve">Our findings are </w:t>
      </w:r>
      <w:r w:rsidR="00791A02">
        <w:t xml:space="preserve">consistent with </w:t>
      </w:r>
      <w:r w:rsidR="00AE1146" w:rsidRPr="00AE1146">
        <w:t>the Commission’s resolution adopting the process of setting hourly rates for intervenors</w:t>
      </w:r>
      <w:r w:rsidR="00AE1146">
        <w:t>:</w:t>
      </w:r>
      <w:r w:rsidR="006232AE">
        <w:rPr>
          <w:rStyle w:val="FootnoteReference"/>
        </w:rPr>
        <w:footnoteReference w:id="44"/>
      </w:r>
    </w:p>
    <w:p w:rsidR="006232AE" w:rsidRDefault="006232AE" w:rsidP="0009474E">
      <w:pPr>
        <w:pStyle w:val="standard"/>
        <w:spacing w:after="240" w:line="240" w:lineRule="auto"/>
        <w:ind w:left="720" w:right="1440" w:firstLine="0"/>
      </w:pPr>
      <w:r w:rsidRPr="006232AE">
        <w:t>Finally, the adopted rate carries our expectation about the level of the advocate’s performance; to the extent that the advocate performs above or below that level in a particular proceeding we would consider augmenti</w:t>
      </w:r>
      <w:r>
        <w:t>ng or reducing the hourly rate.</w:t>
      </w:r>
    </w:p>
    <w:p w:rsidR="00AE1146" w:rsidRPr="006232AE" w:rsidRDefault="006232AE" w:rsidP="0009474E">
      <w:pPr>
        <w:pStyle w:val="standard"/>
        <w:spacing w:after="240" w:line="240" w:lineRule="auto"/>
        <w:ind w:left="720" w:right="1440" w:firstLine="0"/>
      </w:pPr>
      <w:r w:rsidRPr="006232AE">
        <w:t>For</w:t>
      </w:r>
      <w:r>
        <w:t xml:space="preserve"> </w:t>
      </w:r>
      <w:r w:rsidRPr="006232AE">
        <w:t xml:space="preserve">example, we expect that advocates with experience before the Commission have a certain level of knowledge about our Rules of Practice and Procedure and filing requirements, so a seasoned advocate who fails to follow these rules would not be performing at a level consistent with what we would </w:t>
      </w:r>
      <w:r w:rsidRPr="006232AE">
        <w:lastRenderedPageBreak/>
        <w:t xml:space="preserve">expect from someone of that training and experience. </w:t>
      </w:r>
      <w:r>
        <w:t xml:space="preserve"> </w:t>
      </w:r>
      <w:r w:rsidRPr="006232AE">
        <w:t>Thus, in that circumstance, we may consider awarding a lower hourly rate for the advocate’s work in that proceeding.</w:t>
      </w:r>
    </w:p>
    <w:p w:rsidR="008D4CA1" w:rsidRDefault="006C4F49" w:rsidP="007075D5">
      <w:pPr>
        <w:pStyle w:val="standard"/>
      </w:pPr>
      <w:r>
        <w:t>We establish rates for Rafferty equal to $320</w:t>
      </w:r>
      <w:r w:rsidR="008D4CA1">
        <w:t xml:space="preserve"> per </w:t>
      </w:r>
      <w:r>
        <w:t>hour in 2015, $325</w:t>
      </w:r>
      <w:r w:rsidR="008D4CA1">
        <w:t xml:space="preserve"> per </w:t>
      </w:r>
      <w:r>
        <w:t xml:space="preserve">hour in 2016 and $330 per hour in 2017.  These rates are the bottom of the range for attorneys with 8-12 years of experience.  </w:t>
      </w:r>
    </w:p>
    <w:p w:rsidR="006C4F49" w:rsidRDefault="008D4CA1" w:rsidP="007075D5">
      <w:pPr>
        <w:pStyle w:val="standard"/>
      </w:pPr>
      <w:r>
        <w:t>With respect to Rafferty’s level of experience, and the relevancy of that experience, we first note that a</w:t>
      </w:r>
      <w:r w:rsidR="006C4F49">
        <w:t xml:space="preserve"> review of Rafferty’s resume indicates that prior to this proceeding</w:t>
      </w:r>
      <w:r>
        <w:t xml:space="preserve"> most of his work was as a policy expert or an economist. Rafferty held positions as </w:t>
      </w:r>
      <w:r w:rsidR="006C4F49">
        <w:t xml:space="preserve">an attorney at three prior positions:  </w:t>
      </w:r>
    </w:p>
    <w:p w:rsidR="000B5A05" w:rsidRDefault="000B5A05" w:rsidP="00E8478A">
      <w:pPr>
        <w:pStyle w:val="standard"/>
        <w:numPr>
          <w:ilvl w:val="0"/>
          <w:numId w:val="9"/>
        </w:numPr>
        <w:spacing w:after="120" w:line="240" w:lineRule="auto"/>
        <w:ind w:right="1440"/>
      </w:pPr>
      <w:r w:rsidRPr="000B5A05">
        <w:t>Associate, O’Melveny and Myers</w:t>
      </w:r>
      <w:r>
        <w:t xml:space="preserve"> </w:t>
      </w:r>
      <w:r w:rsidRPr="000B5A05">
        <w:t>(5/1979-81)</w:t>
      </w:r>
    </w:p>
    <w:p w:rsidR="000B5A05" w:rsidRDefault="000B5A05" w:rsidP="00E8478A">
      <w:pPr>
        <w:pStyle w:val="standard"/>
        <w:numPr>
          <w:ilvl w:val="0"/>
          <w:numId w:val="9"/>
        </w:numPr>
        <w:spacing w:after="120" w:line="240" w:lineRule="auto"/>
        <w:ind w:right="1440"/>
      </w:pPr>
      <w:r w:rsidRPr="000B5A05">
        <w:t>Counsel, House Subcommittee on Telecommunications, Energy and Commerce Committee</w:t>
      </w:r>
      <w:r>
        <w:t xml:space="preserve"> </w:t>
      </w:r>
      <w:r w:rsidRPr="000B5A05">
        <w:t>(1981-1983)</w:t>
      </w:r>
    </w:p>
    <w:p w:rsidR="000B5A05" w:rsidRDefault="000B5A05" w:rsidP="00E8478A">
      <w:pPr>
        <w:pStyle w:val="standard"/>
        <w:numPr>
          <w:ilvl w:val="0"/>
          <w:numId w:val="9"/>
        </w:numPr>
        <w:spacing w:after="120" w:line="240" w:lineRule="auto"/>
        <w:ind w:right="1440"/>
      </w:pPr>
      <w:r w:rsidRPr="000B5A05">
        <w:t>Principal, Law Offices of Scott Rafferty</w:t>
      </w:r>
      <w:r>
        <w:t xml:space="preserve"> </w:t>
      </w:r>
      <w:r w:rsidRPr="000B5A05">
        <w:t>(2002 - 2010)</w:t>
      </w:r>
    </w:p>
    <w:p w:rsidR="008D4CA1" w:rsidRDefault="000B5A05" w:rsidP="000B5A05">
      <w:pPr>
        <w:pStyle w:val="standard"/>
      </w:pPr>
      <w:r>
        <w:t xml:space="preserve">Together, these positions </w:t>
      </w:r>
      <w:r w:rsidR="008D4CA1">
        <w:t>would</w:t>
      </w:r>
      <w:r>
        <w:t xml:space="preserve"> total over 13 years of experience only if Rafferty worked full calendar years at each job where a starting month is not indicated</w:t>
      </w:r>
      <w:r w:rsidR="008D4CA1">
        <w:t xml:space="preserve"> on his resume</w:t>
      </w:r>
      <w:r>
        <w:t xml:space="preserve">.  In terms of depth of experience, </w:t>
      </w:r>
      <w:r w:rsidR="00077D9B">
        <w:t>Rafferty’s work as an attorney</w:t>
      </w:r>
      <w:r>
        <w:t xml:space="preserve"> in the 1980’s ended over 30 years ago</w:t>
      </w:r>
      <w:r w:rsidR="00077D9B">
        <w:t>,</w:t>
      </w:r>
      <w:r>
        <w:t xml:space="preserve"> and Rafferty indicates that some of his time while </w:t>
      </w:r>
      <w:r w:rsidR="008D4CA1">
        <w:t xml:space="preserve">more recently </w:t>
      </w:r>
      <w:r>
        <w:t>running his own law office was spent as “</w:t>
      </w:r>
      <w:r w:rsidRPr="000B5A05">
        <w:t>Executive Director for Peninsula Ratepayers Association</w:t>
      </w:r>
      <w:r w:rsidR="00C9654C">
        <w:t>,</w:t>
      </w:r>
      <w:r>
        <w:t xml:space="preserve">” not as an attorney </w:t>
      </w:r>
      <w:r w:rsidR="0009474E">
        <w:br/>
      </w:r>
      <w:r>
        <w:t xml:space="preserve">(as noted by Rafferty, in </w:t>
      </w:r>
      <w:r w:rsidRPr="000B5A05">
        <w:t xml:space="preserve">D.07-07-006 </w:t>
      </w:r>
      <w:r>
        <w:t>the Commission compensated Rafferty for his work in this position as an expert, not as an atto</w:t>
      </w:r>
      <w:r w:rsidR="00077D9B">
        <w:t>rney).  Furthermore, until the current case</w:t>
      </w:r>
      <w:r w:rsidR="00C9654C">
        <w:t>,</w:t>
      </w:r>
      <w:r w:rsidR="00077D9B">
        <w:t xml:space="preserve"> little of Rafferty’s work as an attorney involved appearing before regulatory</w:t>
      </w:r>
      <w:r w:rsidR="008D4CA1">
        <w:t xml:space="preserve"> commissions such as this one</w:t>
      </w:r>
      <w:r w:rsidR="00F65225">
        <w:t xml:space="preserve">.  </w:t>
      </w:r>
      <w:r w:rsidR="008D4CA1">
        <w:t xml:space="preserve">Therefore, we conclude Rafferty’s rate as an attorney should be set with reference to attorneys with 8-12 years of experience. </w:t>
      </w:r>
    </w:p>
    <w:p w:rsidR="008D4CA1" w:rsidRDefault="008D4CA1" w:rsidP="000B5A05">
      <w:pPr>
        <w:pStyle w:val="standard"/>
      </w:pPr>
      <w:r>
        <w:lastRenderedPageBreak/>
        <w:t xml:space="preserve">In order to determine where we should set Rafferty’s rate in the range for attorneys with </w:t>
      </w:r>
      <w:r w:rsidR="00917DF9">
        <w:t>8</w:t>
      </w:r>
      <w:r>
        <w:t>-12 years of experience, we consider the Commission’s statement of its intent in Resolution ALJ-184</w:t>
      </w:r>
      <w:r w:rsidR="005761DD">
        <w:t>, quoted above</w:t>
      </w:r>
      <w:r w:rsidR="00B026A3">
        <w:t xml:space="preserve">: </w:t>
      </w:r>
      <w:r>
        <w:t xml:space="preserve"> “</w:t>
      </w:r>
      <w:r w:rsidRPr="008D4CA1">
        <w:t>the adopted rate carries our expectation about the level of the advocate’s performance</w:t>
      </w:r>
      <w:r>
        <w:t>” and “</w:t>
      </w:r>
      <w:r w:rsidRPr="008D4CA1">
        <w:t>we expect that advocates with experience before the Commission have a certain level of knowledge about our Rules of Practice and Procedure and filing requirements, so a seasoned advocate who fails to follow these rules would not be performing at a level consistent with what we would expect from someone of that training and exper</w:t>
      </w:r>
      <w:r>
        <w:t>ience</w:t>
      </w:r>
      <w:r w:rsidR="00C9654C">
        <w:t>.</w:t>
      </w:r>
      <w:r>
        <w:t xml:space="preserve">”  We conclude that </w:t>
      </w:r>
      <w:r w:rsidRPr="008D4CA1">
        <w:t xml:space="preserve">the level of </w:t>
      </w:r>
      <w:r>
        <w:t>Rafferty</w:t>
      </w:r>
      <w:r w:rsidRPr="008D4CA1">
        <w:t>’s performance</w:t>
      </w:r>
      <w:r>
        <w:t xml:space="preserve"> </w:t>
      </w:r>
      <w:r w:rsidR="00E720E2">
        <w:t xml:space="preserve">in this proceeding </w:t>
      </w:r>
      <w:r>
        <w:t>warrants setting his rate at the bottom of the scale for attorneys with 8-12 years of experience.</w:t>
      </w:r>
    </w:p>
    <w:p w:rsidR="008D4CA1" w:rsidRDefault="005761DD" w:rsidP="000B5A05">
      <w:pPr>
        <w:pStyle w:val="standard"/>
      </w:pPr>
      <w:r>
        <w:t>In reaching these determinations</w:t>
      </w:r>
      <w:r w:rsidR="00E720E2">
        <w:t>, we are bound by</w:t>
      </w:r>
      <w:r w:rsidR="002C4920">
        <w:t xml:space="preserve"> statute and Commission precedent to</w:t>
      </w:r>
      <w:r w:rsidR="00D65833">
        <w:t xml:space="preserve"> </w:t>
      </w:r>
      <w:r w:rsidR="00D65833" w:rsidRPr="00D65833">
        <w:t>ensure that compensated intervention provides val</w:t>
      </w:r>
      <w:r w:rsidR="00D65833">
        <w:t xml:space="preserve">ue to the ratepayers who fund that compensation.  </w:t>
      </w:r>
      <w:r>
        <w:t>Based on o</w:t>
      </w:r>
      <w:r w:rsidR="00D65833">
        <w:t xml:space="preserve">ur review of Rafferty’s claim, as well as his timesheets and other supporting attachments, </w:t>
      </w:r>
      <w:r>
        <w:t>we</w:t>
      </w:r>
      <w:r w:rsidR="00D65833">
        <w:t xml:space="preserve"> conclude that Rafferty’s hourly rate should reflect the many instances where </w:t>
      </w:r>
      <w:r w:rsidR="0068352C">
        <w:t>he burdened</w:t>
      </w:r>
      <w:r w:rsidR="00D65833">
        <w:t xml:space="preserve"> the Commission’s staff on matters that </w:t>
      </w:r>
      <w:r>
        <w:t>are rarely, if ever,</w:t>
      </w:r>
      <w:r w:rsidR="00D65833">
        <w:t xml:space="preserve"> raised by more seasoned practitioners at the Commission.</w:t>
      </w:r>
    </w:p>
    <w:p w:rsidR="005D62E8" w:rsidRDefault="0068352C" w:rsidP="00CC5EFF">
      <w:pPr>
        <w:pStyle w:val="standard"/>
      </w:pPr>
      <w:r>
        <w:t>For example</w:t>
      </w:r>
      <w:r w:rsidR="00077D9B">
        <w:t xml:space="preserve">, we note that Rafferty’s timesheets document over 300 hours </w:t>
      </w:r>
      <w:r w:rsidR="005761DD">
        <w:t xml:space="preserve">(out of a total of 1,333 hours) </w:t>
      </w:r>
      <w:r w:rsidR="00077D9B">
        <w:t xml:space="preserve">spent on tasks coded </w:t>
      </w:r>
      <w:r w:rsidR="005761DD">
        <w:t xml:space="preserve">by Rafferty </w:t>
      </w:r>
      <w:r w:rsidR="00077D9B">
        <w:t>as some form of “Burden</w:t>
      </w:r>
      <w:r w:rsidR="005761DD">
        <w:t>.</w:t>
      </w:r>
      <w:r w:rsidR="00077D9B">
        <w:t xml:space="preserve">”  </w:t>
      </w:r>
      <w:r w:rsidR="005761DD">
        <w:t>Many of these hours</w:t>
      </w:r>
      <w:r w:rsidR="00077D9B">
        <w:t xml:space="preserve"> appeared to be spent in disputes with the Commission’s Docket Office or Intervenor Compensation Coordinator</w:t>
      </w:r>
      <w:r w:rsidR="005761DD">
        <w:t>, contesting</w:t>
      </w:r>
      <w:r w:rsidR="00077D9B">
        <w:t xml:space="preserve"> procedural matters that a more seasoned practitioner would have simply addressed as requested by Commission staff.  </w:t>
      </w:r>
      <w:r w:rsidR="00C37AF2">
        <w:t xml:space="preserve">In addition, the ALJ rulings regarding the Rafferty/CAUSE </w:t>
      </w:r>
      <w:r w:rsidR="005761DD">
        <w:t xml:space="preserve">Notices of Intent </w:t>
      </w:r>
      <w:r w:rsidR="00C37AF2">
        <w:t>document repeated instances of missed filing deadlines</w:t>
      </w:r>
      <w:r>
        <w:t>, illegible</w:t>
      </w:r>
      <w:r w:rsidR="00C37AF2">
        <w:t xml:space="preserve"> formatting and typographical errors</w:t>
      </w:r>
      <w:r w:rsidR="005761DD">
        <w:t xml:space="preserve">.  These are </w:t>
      </w:r>
      <w:r w:rsidR="00CB0063">
        <w:lastRenderedPageBreak/>
        <w:t>procedural mistakes</w:t>
      </w:r>
      <w:r w:rsidR="00C37AF2">
        <w:t xml:space="preserve"> that</w:t>
      </w:r>
      <w:r w:rsidR="005761DD">
        <w:t xml:space="preserve"> </w:t>
      </w:r>
      <w:r w:rsidR="00C37AF2">
        <w:t>more seasoned practitioner</w:t>
      </w:r>
      <w:r w:rsidR="00CB0063">
        <w:t xml:space="preserve">s do not make </w:t>
      </w:r>
      <w:r w:rsidR="00C37AF2">
        <w:t xml:space="preserve">in formal filings with this Commission.  For these reasons, we conclude that </w:t>
      </w:r>
      <w:r w:rsidR="00B46F5F">
        <w:t>Rafferty’s hourly</w:t>
      </w:r>
      <w:r w:rsidR="00C37AF2">
        <w:t xml:space="preserve"> rates </w:t>
      </w:r>
      <w:r w:rsidR="00B46F5F">
        <w:t xml:space="preserve">for 2015-2017 </w:t>
      </w:r>
      <w:r w:rsidR="00C37AF2">
        <w:t>should be set at the bottom of the range for attorneys with 8-12 years of experience.</w:t>
      </w:r>
    </w:p>
    <w:p w:rsidR="00A87B12" w:rsidRPr="00A87B12" w:rsidRDefault="00A87B12" w:rsidP="0066046E">
      <w:pPr>
        <w:pStyle w:val="Heading1"/>
      </w:pPr>
      <w:bookmarkStart w:id="62" w:name="_Toc509589639"/>
      <w:r w:rsidRPr="00A87B12">
        <w:t>Productivity</w:t>
      </w:r>
      <w:bookmarkEnd w:id="62"/>
    </w:p>
    <w:p w:rsidR="00A87B12" w:rsidRDefault="00CC5EFF" w:rsidP="0066046E">
      <w:pPr>
        <w:pStyle w:val="standard"/>
      </w:pPr>
      <w:r>
        <w:t xml:space="preserve">Intervenors are required to </w:t>
      </w:r>
      <w:r w:rsidRPr="00CC5EFF">
        <w:t xml:space="preserve">demonstrate that </w:t>
      </w:r>
      <w:r>
        <w:t>their</w:t>
      </w:r>
      <w:r w:rsidRPr="00CC5EFF">
        <w:t xml:space="preserve"> participation was “productive, necessary, and needed for a fair determination of the proceeding</w:t>
      </w:r>
      <w:r w:rsidR="005761DD">
        <w:t>.</w:t>
      </w:r>
      <w:r w:rsidRPr="00CC5EFF">
        <w:t>”</w:t>
      </w:r>
      <w:r w:rsidRPr="009948F2">
        <w:rPr>
          <w:rStyle w:val="FootnoteReference"/>
          <w:sz w:val="22"/>
        </w:rPr>
        <w:footnoteReference w:id="45"/>
      </w:r>
      <w:r>
        <w:t xml:space="preserve">  </w:t>
      </w:r>
      <w:r w:rsidR="00D32FB2">
        <w:t xml:space="preserve">Specifically, </w:t>
      </w:r>
      <w:r w:rsidR="00A87B12" w:rsidRPr="00A87B12">
        <w:t>D.98-04-059 directed customers to demonstrate productivity by assigning a reasonable dollar value to the benefits of their participation to ratepayers.</w:t>
      </w:r>
      <w:r w:rsidR="00D32FB2" w:rsidRPr="009948F2">
        <w:rPr>
          <w:rStyle w:val="FootnoteReference"/>
          <w:sz w:val="22"/>
        </w:rPr>
        <w:footnoteReference w:id="46"/>
      </w:r>
      <w:r w:rsidR="00A87B12" w:rsidRPr="00A87B12">
        <w:t xml:space="preserve">  </w:t>
      </w:r>
      <w:r w:rsidR="009948F2">
        <w:t>Therefore, w</w:t>
      </w:r>
      <w:r w:rsidR="0066046E">
        <w:t>e review the compensation claim to ensure that t</w:t>
      </w:r>
      <w:r w:rsidR="00A87B12" w:rsidRPr="00A87B12">
        <w:t>he costs of a customer’s participation bear a reasonable relationship to the benefits realized through its participation.  This showing assists us in determining the overall reasonableness of the request.</w:t>
      </w:r>
    </w:p>
    <w:p w:rsidR="009948F2" w:rsidRPr="00135655" w:rsidRDefault="00133F1B" w:rsidP="00133F1B">
      <w:pPr>
        <w:pStyle w:val="Heading2"/>
      </w:pPr>
      <w:bookmarkStart w:id="63" w:name="_Toc509589640"/>
      <w:r w:rsidRPr="00135655">
        <w:t>General Claim of Reasonableness (§ 1801 and § 1806):</w:t>
      </w:r>
      <w:bookmarkEnd w:id="63"/>
    </w:p>
    <w:p w:rsidR="009948F2" w:rsidRDefault="009948F2" w:rsidP="009948F2">
      <w:pPr>
        <w:pStyle w:val="standard"/>
      </w:pPr>
      <w:r>
        <w:t>Rafferty asserts that t</w:t>
      </w:r>
      <w:r w:rsidRPr="009948F2">
        <w:t xml:space="preserve">here will be monetary benefits for ratepayers because of </w:t>
      </w:r>
      <w:r>
        <w:t>his</w:t>
      </w:r>
      <w:r w:rsidRPr="009948F2">
        <w:t xml:space="preserve"> participation</w:t>
      </w:r>
      <w:r>
        <w:t xml:space="preserve"> in this proceeding</w:t>
      </w:r>
      <w:r w:rsidRPr="009948F2">
        <w:t xml:space="preserve">, </w:t>
      </w:r>
      <w:r w:rsidRPr="00135655">
        <w:t>because the settlement commits PG&amp;E to increased reliance on international standards, both in setting specific metrics and in developing management systems that will promote compliance with mitigate safety risks and increase regulatory compliance</w:t>
      </w:r>
      <w:r w:rsidRPr="009948F2">
        <w:t>.</w:t>
      </w:r>
      <w:r>
        <w:t xml:space="preserve"> </w:t>
      </w:r>
      <w:r w:rsidRPr="009948F2">
        <w:t xml:space="preserve"> </w:t>
      </w:r>
      <w:r w:rsidR="005761DD">
        <w:t>Rafferty states that t</w:t>
      </w:r>
      <w:r w:rsidRPr="009948F2">
        <w:t xml:space="preserve">his will reduce the direct cost of accidents and liability insurance recovered in rates, as well as additional social costs borne by employees, ratepayers, and members of the public.  Furthermore, </w:t>
      </w:r>
      <w:r>
        <w:t>Rafferty</w:t>
      </w:r>
      <w:r w:rsidRPr="009948F2">
        <w:t xml:space="preserve"> </w:t>
      </w:r>
      <w:r w:rsidR="005761DD">
        <w:t xml:space="preserve">state that </w:t>
      </w:r>
      <w:r w:rsidRPr="009948F2">
        <w:t xml:space="preserve">(in coordination with TURN) </w:t>
      </w:r>
      <w:r w:rsidR="005761DD">
        <w:t xml:space="preserve">he </w:t>
      </w:r>
      <w:r w:rsidRPr="009948F2">
        <w:lastRenderedPageBreak/>
        <w:t xml:space="preserve">protected ratepayers from the risks that a third post-test year would allow escalations not justified by costs, and that changes in maintenance schedules would increase cost without regard to safety mitigation. </w:t>
      </w:r>
      <w:r>
        <w:t xml:space="preserve"> Rafferty asserts that t</w:t>
      </w:r>
      <w:r w:rsidRPr="009948F2">
        <w:t>hese savings are substantial compared to the amount of the claim.</w:t>
      </w:r>
    </w:p>
    <w:p w:rsidR="009948F2" w:rsidRPr="009948F2" w:rsidRDefault="009948F2" w:rsidP="009948F2">
      <w:pPr>
        <w:pStyle w:val="Heading2"/>
      </w:pPr>
      <w:bookmarkStart w:id="64" w:name="_Toc509589641"/>
      <w:r w:rsidRPr="009948F2">
        <w:t>Reasonableness of Hours Claimed:</w:t>
      </w:r>
      <w:bookmarkEnd w:id="64"/>
    </w:p>
    <w:p w:rsidR="009948F2" w:rsidRDefault="009948F2" w:rsidP="009948F2">
      <w:pPr>
        <w:pStyle w:val="standard"/>
      </w:pPr>
      <w:r>
        <w:t>Rafferty asserts that “d</w:t>
      </w:r>
      <w:r w:rsidRPr="009948F2">
        <w:t>espite the unusual burdens described below, which consumed 30% of total hours</w:t>
      </w:r>
      <w:r w:rsidR="00EE4B4A">
        <w:t>,</w:t>
      </w:r>
      <w:r>
        <w:t>”</w:t>
      </w:r>
      <w:r w:rsidRPr="009948F2">
        <w:t xml:space="preserve"> </w:t>
      </w:r>
      <w:r>
        <w:t>he</w:t>
      </w:r>
      <w:r w:rsidRPr="009948F2">
        <w:t xml:space="preserve"> was extremely efficient</w:t>
      </w:r>
      <w:r>
        <w:t xml:space="preserve"> in this proceeding</w:t>
      </w:r>
      <w:r w:rsidRPr="009948F2">
        <w:t>.</w:t>
      </w:r>
      <w:r w:rsidR="002D4A2D">
        <w:t xml:space="preserve">  In his discussion, Rafferty faults Commission staff for the delayed approval of his NOI and for rejecting a number of his filings because they were not compliant with the Commission’s electronic filing protocols.  </w:t>
      </w:r>
    </w:p>
    <w:p w:rsidR="009948F2" w:rsidRPr="009948F2" w:rsidRDefault="009948F2" w:rsidP="009948F2">
      <w:pPr>
        <w:pStyle w:val="Heading2"/>
      </w:pPr>
      <w:bookmarkStart w:id="65" w:name="_Toc509589642"/>
      <w:r>
        <w:t>Discussion</w:t>
      </w:r>
      <w:bookmarkEnd w:id="65"/>
    </w:p>
    <w:p w:rsidR="009948F2" w:rsidRPr="00A87B12" w:rsidRDefault="002D4A2D" w:rsidP="009948F2">
      <w:pPr>
        <w:pStyle w:val="standard"/>
      </w:pPr>
      <w:r>
        <w:t>We have already discussed our decision not to approve hours Rafferty labels as “Burden” and our concerns regarding Rafferty’s repeated confrontations with Commission staff, which he recounts again in this section of his claim.  In addition, the three rulings by the assigned ALJ address</w:t>
      </w:r>
      <w:r w:rsidR="000D779A">
        <w:t xml:space="preserve">ing </w:t>
      </w:r>
      <w:r>
        <w:t>each of Rafferty’s NOI filings</w:t>
      </w:r>
      <w:r w:rsidR="000D779A">
        <w:t xml:space="preserve"> provide extensive explanations of the reasons for the delayed approval of Rafferty’s NOI.  Those rulings, along with our review of Rafferty’s timesheets, demonstrate that t</w:t>
      </w:r>
      <w:r>
        <w:t>o the extent Rafferty</w:t>
      </w:r>
      <w:r w:rsidR="000D779A">
        <w:t xml:space="preserve"> encountered</w:t>
      </w:r>
      <w:r>
        <w:t xml:space="preserve"> the “unusual burden” he cites, that burden </w:t>
      </w:r>
      <w:r w:rsidR="000D779A">
        <w:t>was</w:t>
      </w:r>
      <w:r>
        <w:t xml:space="preserve"> entirely self-created.  </w:t>
      </w:r>
      <w:r w:rsidR="000D779A">
        <w:t>For that reason, t</w:t>
      </w:r>
      <w:r>
        <w:t xml:space="preserve">his decision compensates Rafferty for his substantial contributions to </w:t>
      </w:r>
      <w:r w:rsidR="006630EA">
        <w:br/>
      </w:r>
      <w:r>
        <w:t xml:space="preserve">D.17-05-013 as required by statute, but provides no compensation for </w:t>
      </w:r>
      <w:r w:rsidR="000D779A">
        <w:t>Rafferty’s procedural difficulties.</w:t>
      </w:r>
    </w:p>
    <w:p w:rsidR="00A87B12" w:rsidRDefault="00A87B12">
      <w:r>
        <w:br w:type="page"/>
      </w:r>
    </w:p>
    <w:p w:rsidR="00931F0F" w:rsidRPr="00931F0F" w:rsidRDefault="00931F0F" w:rsidP="00931F0F">
      <w:pPr>
        <w:pStyle w:val="Heading1"/>
      </w:pPr>
      <w:bookmarkStart w:id="66" w:name="_Toc509589643"/>
      <w:r w:rsidRPr="00931F0F">
        <w:lastRenderedPageBreak/>
        <w:t>Award</w:t>
      </w:r>
      <w:bookmarkEnd w:id="66"/>
    </w:p>
    <w:p w:rsidR="00931F0F" w:rsidRDefault="00931F0F" w:rsidP="00931F0F">
      <w:pPr>
        <w:pStyle w:val="standard"/>
      </w:pPr>
      <w:r w:rsidRPr="00CC5EFF">
        <w:t>As set forth in the table below, we award ^ $^.</w:t>
      </w:r>
      <w:r w:rsidRPr="00931F0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7"/>
        <w:gridCol w:w="801"/>
        <w:gridCol w:w="502"/>
        <w:gridCol w:w="502"/>
        <w:gridCol w:w="847"/>
        <w:gridCol w:w="1180"/>
        <w:gridCol w:w="1253"/>
        <w:gridCol w:w="1124"/>
        <w:gridCol w:w="847"/>
        <w:gridCol w:w="1113"/>
      </w:tblGrid>
      <w:tr w:rsidR="00BF770C" w:rsidRPr="00D42A26" w:rsidTr="007C70C1">
        <w:tc>
          <w:tcPr>
            <w:tcW w:w="6492" w:type="dxa"/>
            <w:gridSpan w:val="7"/>
            <w:tcBorders>
              <w:bottom w:val="single" w:sz="4" w:space="0" w:color="auto"/>
              <w:right w:val="single" w:sz="24" w:space="0" w:color="auto"/>
            </w:tcBorders>
            <w:shd w:val="clear" w:color="auto" w:fill="CCFFCC"/>
          </w:tcPr>
          <w:p w:rsidR="00BF770C" w:rsidRPr="00D42A26" w:rsidRDefault="00BF770C" w:rsidP="00BC06F1">
            <w:pPr>
              <w:keepNext/>
              <w:keepLines/>
              <w:jc w:val="center"/>
              <w:rPr>
                <w:b/>
                <w:smallCaps/>
                <w:color w:val="000000"/>
                <w:sz w:val="22"/>
              </w:rPr>
            </w:pPr>
            <w:r w:rsidRPr="00D42A26">
              <w:rPr>
                <w:b/>
                <w:smallCaps/>
                <w:color w:val="000000"/>
                <w:sz w:val="22"/>
              </w:rPr>
              <w:t>Claimed</w:t>
            </w:r>
          </w:p>
        </w:tc>
        <w:tc>
          <w:tcPr>
            <w:tcW w:w="3084" w:type="dxa"/>
            <w:gridSpan w:val="3"/>
            <w:tcBorders>
              <w:left w:val="single" w:sz="24" w:space="0" w:color="auto"/>
              <w:bottom w:val="single" w:sz="4" w:space="0" w:color="auto"/>
            </w:tcBorders>
            <w:shd w:val="clear" w:color="auto" w:fill="auto"/>
          </w:tcPr>
          <w:p w:rsidR="00BF770C" w:rsidRPr="00D42A26" w:rsidRDefault="00BF770C" w:rsidP="00BC06F1">
            <w:pPr>
              <w:keepNext/>
              <w:keepLines/>
              <w:jc w:val="center"/>
              <w:rPr>
                <w:b/>
                <w:smallCaps/>
                <w:color w:val="000000"/>
                <w:sz w:val="22"/>
              </w:rPr>
            </w:pPr>
            <w:r w:rsidRPr="00D42A26">
              <w:rPr>
                <w:b/>
                <w:smallCaps/>
                <w:color w:val="000000"/>
                <w:sz w:val="22"/>
              </w:rPr>
              <w:t>CPUC Award</w:t>
            </w:r>
          </w:p>
        </w:tc>
      </w:tr>
      <w:tr w:rsidR="00BF770C" w:rsidRPr="00D42A26" w:rsidTr="007C70C1">
        <w:tc>
          <w:tcPr>
            <w:tcW w:w="9576" w:type="dxa"/>
            <w:gridSpan w:val="10"/>
            <w:tcBorders>
              <w:top w:val="single" w:sz="4" w:space="0" w:color="auto"/>
              <w:left w:val="single" w:sz="4" w:space="0" w:color="auto"/>
              <w:bottom w:val="single" w:sz="4" w:space="0" w:color="auto"/>
              <w:right w:val="single" w:sz="4" w:space="0" w:color="auto"/>
            </w:tcBorders>
            <w:shd w:val="clear" w:color="auto" w:fill="E6E6E6"/>
          </w:tcPr>
          <w:p w:rsidR="00BF770C" w:rsidRPr="00D42A26" w:rsidRDefault="00BF770C" w:rsidP="00BC06F1">
            <w:pPr>
              <w:keepNext/>
              <w:keepLines/>
              <w:jc w:val="center"/>
              <w:rPr>
                <w:b/>
                <w:sz w:val="22"/>
              </w:rPr>
            </w:pPr>
            <w:r w:rsidRPr="00D42A26">
              <w:rPr>
                <w:b/>
                <w:sz w:val="22"/>
              </w:rPr>
              <w:t>ATTORNEY, EXPERT, AND ADVOCATE FEES</w:t>
            </w:r>
          </w:p>
        </w:tc>
      </w:tr>
      <w:tr w:rsidR="00BC06F1" w:rsidRPr="00D42A26" w:rsidTr="007C70C1">
        <w:tc>
          <w:tcPr>
            <w:tcW w:w="1407" w:type="dxa"/>
            <w:tcBorders>
              <w:top w:val="single" w:sz="4" w:space="0" w:color="auto"/>
              <w:bottom w:val="single" w:sz="4" w:space="0" w:color="auto"/>
            </w:tcBorders>
            <w:shd w:val="clear" w:color="auto" w:fill="CCFFCC"/>
            <w:vAlign w:val="bottom"/>
          </w:tcPr>
          <w:p w:rsidR="00BF770C" w:rsidRPr="00D42A26" w:rsidRDefault="00BF770C" w:rsidP="00BC06F1">
            <w:pPr>
              <w:keepNext/>
              <w:keepLines/>
              <w:jc w:val="center"/>
              <w:rPr>
                <w:b/>
                <w:color w:val="000000"/>
                <w:sz w:val="22"/>
                <w:szCs w:val="22"/>
              </w:rPr>
            </w:pPr>
            <w:r w:rsidRPr="00D42A26">
              <w:rPr>
                <w:b/>
                <w:color w:val="000000"/>
                <w:sz w:val="22"/>
                <w:szCs w:val="22"/>
              </w:rPr>
              <w:t>Item</w:t>
            </w:r>
          </w:p>
        </w:tc>
        <w:tc>
          <w:tcPr>
            <w:tcW w:w="801" w:type="dxa"/>
            <w:tcBorders>
              <w:top w:val="single" w:sz="4" w:space="0" w:color="auto"/>
              <w:bottom w:val="single" w:sz="4" w:space="0" w:color="auto"/>
            </w:tcBorders>
            <w:shd w:val="clear" w:color="auto" w:fill="CCFFCC"/>
            <w:vAlign w:val="bottom"/>
          </w:tcPr>
          <w:p w:rsidR="00BF770C" w:rsidRPr="00D42A26" w:rsidRDefault="00BF770C" w:rsidP="00BC06F1">
            <w:pPr>
              <w:keepNext/>
              <w:keepLines/>
              <w:jc w:val="center"/>
              <w:rPr>
                <w:b/>
                <w:color w:val="000000"/>
                <w:sz w:val="22"/>
                <w:szCs w:val="22"/>
              </w:rPr>
            </w:pPr>
            <w:r w:rsidRPr="00D42A26">
              <w:rPr>
                <w:b/>
                <w:color w:val="000000"/>
                <w:sz w:val="22"/>
                <w:szCs w:val="22"/>
              </w:rPr>
              <w:t>Year</w:t>
            </w:r>
          </w:p>
        </w:tc>
        <w:tc>
          <w:tcPr>
            <w:tcW w:w="1004" w:type="dxa"/>
            <w:gridSpan w:val="2"/>
            <w:tcBorders>
              <w:top w:val="single" w:sz="4" w:space="0" w:color="auto"/>
              <w:bottom w:val="single" w:sz="4" w:space="0" w:color="auto"/>
            </w:tcBorders>
            <w:shd w:val="clear" w:color="auto" w:fill="CCFFCC"/>
            <w:vAlign w:val="bottom"/>
          </w:tcPr>
          <w:p w:rsidR="00BF770C" w:rsidRPr="00D42A26" w:rsidRDefault="00BF770C" w:rsidP="00D42A26">
            <w:pPr>
              <w:keepNext/>
              <w:keepLines/>
              <w:jc w:val="center"/>
              <w:rPr>
                <w:b/>
                <w:color w:val="000000"/>
                <w:sz w:val="22"/>
                <w:szCs w:val="22"/>
              </w:rPr>
            </w:pPr>
            <w:r w:rsidRPr="00D42A26">
              <w:rPr>
                <w:b/>
                <w:color w:val="000000"/>
                <w:sz w:val="22"/>
                <w:szCs w:val="22"/>
              </w:rPr>
              <w:t>Hours</w:t>
            </w:r>
          </w:p>
        </w:tc>
        <w:tc>
          <w:tcPr>
            <w:tcW w:w="847" w:type="dxa"/>
            <w:tcBorders>
              <w:top w:val="single" w:sz="4" w:space="0" w:color="auto"/>
              <w:bottom w:val="single" w:sz="4" w:space="0" w:color="auto"/>
            </w:tcBorders>
            <w:shd w:val="clear" w:color="auto" w:fill="CCFFCC"/>
            <w:vAlign w:val="bottom"/>
          </w:tcPr>
          <w:p w:rsidR="00BF770C" w:rsidRPr="00D42A26" w:rsidRDefault="00BF770C" w:rsidP="00BC06F1">
            <w:pPr>
              <w:keepNext/>
              <w:keepLines/>
              <w:jc w:val="center"/>
              <w:rPr>
                <w:b/>
                <w:color w:val="000000"/>
                <w:sz w:val="22"/>
                <w:szCs w:val="22"/>
              </w:rPr>
            </w:pPr>
            <w:r w:rsidRPr="00D42A26">
              <w:rPr>
                <w:b/>
                <w:color w:val="000000"/>
                <w:sz w:val="22"/>
                <w:szCs w:val="22"/>
              </w:rPr>
              <w:t>Rate $</w:t>
            </w:r>
          </w:p>
        </w:tc>
        <w:tc>
          <w:tcPr>
            <w:tcW w:w="1180" w:type="dxa"/>
            <w:tcBorders>
              <w:top w:val="single" w:sz="4" w:space="0" w:color="auto"/>
              <w:bottom w:val="single" w:sz="4" w:space="0" w:color="auto"/>
              <w:right w:val="single" w:sz="4" w:space="0" w:color="auto"/>
            </w:tcBorders>
            <w:shd w:val="clear" w:color="auto" w:fill="CCFFCC"/>
            <w:vAlign w:val="bottom"/>
          </w:tcPr>
          <w:p w:rsidR="00BF770C" w:rsidRPr="002666D2" w:rsidRDefault="00BF770C" w:rsidP="00BC06F1">
            <w:pPr>
              <w:keepNext/>
              <w:keepLines/>
              <w:jc w:val="center"/>
              <w:rPr>
                <w:b/>
                <w:color w:val="000000"/>
                <w:sz w:val="22"/>
                <w:szCs w:val="22"/>
              </w:rPr>
            </w:pPr>
            <w:r w:rsidRPr="002666D2">
              <w:rPr>
                <w:b/>
                <w:color w:val="000000"/>
                <w:sz w:val="22"/>
                <w:szCs w:val="22"/>
              </w:rPr>
              <w:t>Basis for Rate*</w:t>
            </w:r>
          </w:p>
        </w:tc>
        <w:tc>
          <w:tcPr>
            <w:tcW w:w="1253" w:type="dxa"/>
            <w:tcBorders>
              <w:top w:val="single" w:sz="4" w:space="0" w:color="auto"/>
              <w:left w:val="single" w:sz="4" w:space="0" w:color="auto"/>
              <w:bottom w:val="single" w:sz="4" w:space="0" w:color="auto"/>
              <w:right w:val="single" w:sz="24" w:space="0" w:color="auto"/>
            </w:tcBorders>
            <w:shd w:val="clear" w:color="auto" w:fill="CCFFCC"/>
            <w:vAlign w:val="bottom"/>
          </w:tcPr>
          <w:p w:rsidR="00BF770C" w:rsidRPr="00D42A26" w:rsidRDefault="00BF770C" w:rsidP="00BC06F1">
            <w:pPr>
              <w:keepNext/>
              <w:keepLines/>
              <w:jc w:val="center"/>
              <w:rPr>
                <w:b/>
                <w:color w:val="000000"/>
                <w:sz w:val="22"/>
                <w:szCs w:val="22"/>
              </w:rPr>
            </w:pPr>
            <w:r w:rsidRPr="00D42A26">
              <w:rPr>
                <w:b/>
                <w:color w:val="000000"/>
                <w:sz w:val="22"/>
                <w:szCs w:val="22"/>
              </w:rPr>
              <w:t>Total $</w:t>
            </w:r>
          </w:p>
        </w:tc>
        <w:tc>
          <w:tcPr>
            <w:tcW w:w="1124" w:type="dxa"/>
            <w:tcBorders>
              <w:top w:val="single" w:sz="4" w:space="0" w:color="auto"/>
              <w:left w:val="single" w:sz="4" w:space="0" w:color="auto"/>
            </w:tcBorders>
            <w:shd w:val="clear" w:color="auto" w:fill="auto"/>
            <w:vAlign w:val="bottom"/>
          </w:tcPr>
          <w:p w:rsidR="00BF770C" w:rsidRPr="00D42A26" w:rsidRDefault="00BF770C" w:rsidP="00BC06F1">
            <w:pPr>
              <w:keepNext/>
              <w:keepLines/>
              <w:jc w:val="center"/>
              <w:rPr>
                <w:b/>
                <w:color w:val="000000"/>
                <w:sz w:val="22"/>
                <w:szCs w:val="22"/>
              </w:rPr>
            </w:pPr>
            <w:r w:rsidRPr="00D42A26">
              <w:rPr>
                <w:b/>
                <w:color w:val="000000"/>
                <w:sz w:val="22"/>
                <w:szCs w:val="22"/>
              </w:rPr>
              <w:t>Hours</w:t>
            </w:r>
          </w:p>
        </w:tc>
        <w:tc>
          <w:tcPr>
            <w:tcW w:w="847" w:type="dxa"/>
            <w:tcBorders>
              <w:top w:val="single" w:sz="4" w:space="0" w:color="auto"/>
            </w:tcBorders>
            <w:shd w:val="clear" w:color="auto" w:fill="auto"/>
            <w:vAlign w:val="bottom"/>
          </w:tcPr>
          <w:p w:rsidR="00BF770C" w:rsidRPr="00D42A26" w:rsidRDefault="00BF770C" w:rsidP="00BC06F1">
            <w:pPr>
              <w:keepNext/>
              <w:keepLines/>
              <w:jc w:val="center"/>
              <w:rPr>
                <w:b/>
                <w:color w:val="000000"/>
                <w:sz w:val="22"/>
                <w:szCs w:val="22"/>
              </w:rPr>
            </w:pPr>
            <w:r w:rsidRPr="00D42A26">
              <w:rPr>
                <w:b/>
                <w:color w:val="000000"/>
                <w:sz w:val="22"/>
                <w:szCs w:val="22"/>
              </w:rPr>
              <w:t>Rate $</w:t>
            </w:r>
          </w:p>
        </w:tc>
        <w:tc>
          <w:tcPr>
            <w:tcW w:w="1113" w:type="dxa"/>
            <w:tcBorders>
              <w:top w:val="single" w:sz="4" w:space="0" w:color="auto"/>
            </w:tcBorders>
            <w:shd w:val="clear" w:color="auto" w:fill="auto"/>
            <w:vAlign w:val="bottom"/>
          </w:tcPr>
          <w:p w:rsidR="00BF770C" w:rsidRPr="00D42A26" w:rsidRDefault="00BF770C" w:rsidP="00BC06F1">
            <w:pPr>
              <w:keepNext/>
              <w:keepLines/>
              <w:jc w:val="center"/>
              <w:rPr>
                <w:b/>
                <w:color w:val="000000"/>
                <w:sz w:val="22"/>
                <w:szCs w:val="22"/>
              </w:rPr>
            </w:pPr>
            <w:r w:rsidRPr="00D42A26">
              <w:rPr>
                <w:b/>
                <w:color w:val="000000"/>
                <w:sz w:val="22"/>
                <w:szCs w:val="22"/>
              </w:rPr>
              <w:t>Total $</w:t>
            </w:r>
          </w:p>
        </w:tc>
      </w:tr>
      <w:tr w:rsidR="00524107" w:rsidRPr="00D42A26" w:rsidTr="007C70C1">
        <w:tc>
          <w:tcPr>
            <w:tcW w:w="1407" w:type="dxa"/>
            <w:shd w:val="clear" w:color="auto" w:fill="CCFFCC"/>
          </w:tcPr>
          <w:p w:rsidR="00524107" w:rsidRPr="00D42A26" w:rsidRDefault="00524107" w:rsidP="00C81E27">
            <w:pPr>
              <w:rPr>
                <w:sz w:val="22"/>
              </w:rPr>
            </w:pPr>
            <w:r w:rsidRPr="00D42A26">
              <w:rPr>
                <w:sz w:val="22"/>
              </w:rPr>
              <w:t>Scott J. Rafferty</w:t>
            </w:r>
          </w:p>
        </w:tc>
        <w:tc>
          <w:tcPr>
            <w:tcW w:w="801" w:type="dxa"/>
            <w:shd w:val="clear" w:color="auto" w:fill="CCFFCC"/>
            <w:vAlign w:val="center"/>
          </w:tcPr>
          <w:p w:rsidR="00524107" w:rsidRPr="00D42A26" w:rsidRDefault="00524107" w:rsidP="007C70C1">
            <w:pPr>
              <w:jc w:val="right"/>
              <w:rPr>
                <w:sz w:val="22"/>
              </w:rPr>
            </w:pPr>
            <w:r w:rsidRPr="00D42A26">
              <w:rPr>
                <w:sz w:val="22"/>
              </w:rPr>
              <w:t>2015</w:t>
            </w:r>
          </w:p>
        </w:tc>
        <w:tc>
          <w:tcPr>
            <w:tcW w:w="1004" w:type="dxa"/>
            <w:gridSpan w:val="2"/>
            <w:shd w:val="clear" w:color="auto" w:fill="CCFFCC"/>
            <w:vAlign w:val="center"/>
          </w:tcPr>
          <w:p w:rsidR="00524107" w:rsidRPr="00D42A26" w:rsidRDefault="00524107">
            <w:pPr>
              <w:jc w:val="right"/>
              <w:rPr>
                <w:sz w:val="22"/>
              </w:rPr>
            </w:pPr>
            <w:r w:rsidRPr="00D42A26">
              <w:rPr>
                <w:sz w:val="22"/>
              </w:rPr>
              <w:t>143.5</w:t>
            </w:r>
          </w:p>
        </w:tc>
        <w:tc>
          <w:tcPr>
            <w:tcW w:w="847" w:type="dxa"/>
            <w:shd w:val="clear" w:color="auto" w:fill="CCFFCC"/>
            <w:vAlign w:val="center"/>
          </w:tcPr>
          <w:p w:rsidR="00524107" w:rsidRPr="00D42A26" w:rsidRDefault="00524107">
            <w:pPr>
              <w:jc w:val="right"/>
              <w:rPr>
                <w:sz w:val="22"/>
              </w:rPr>
            </w:pPr>
            <w:r w:rsidRPr="00D42A26">
              <w:rPr>
                <w:sz w:val="22"/>
              </w:rPr>
              <w:t>$490</w:t>
            </w:r>
          </w:p>
        </w:tc>
        <w:tc>
          <w:tcPr>
            <w:tcW w:w="1180" w:type="dxa"/>
            <w:tcBorders>
              <w:right w:val="single" w:sz="4" w:space="0" w:color="auto"/>
            </w:tcBorders>
            <w:shd w:val="clear" w:color="auto" w:fill="CCFFCC"/>
            <w:vAlign w:val="center"/>
          </w:tcPr>
          <w:p w:rsidR="00524107" w:rsidRPr="007C70C1" w:rsidRDefault="00524107" w:rsidP="007C70C1">
            <w:pPr>
              <w:keepNext/>
              <w:keepLines/>
              <w:jc w:val="center"/>
              <w:rPr>
                <w:b/>
                <w:color w:val="000000"/>
                <w:sz w:val="22"/>
                <w:szCs w:val="22"/>
              </w:rPr>
            </w:pPr>
          </w:p>
        </w:tc>
        <w:tc>
          <w:tcPr>
            <w:tcW w:w="1253" w:type="dxa"/>
            <w:tcBorders>
              <w:top w:val="single" w:sz="4" w:space="0" w:color="auto"/>
              <w:left w:val="single" w:sz="4" w:space="0" w:color="auto"/>
              <w:bottom w:val="single" w:sz="4" w:space="0" w:color="auto"/>
              <w:right w:val="single" w:sz="24" w:space="0" w:color="auto"/>
            </w:tcBorders>
            <w:shd w:val="clear" w:color="auto" w:fill="CCFFCC"/>
            <w:vAlign w:val="center"/>
          </w:tcPr>
          <w:p w:rsidR="00524107" w:rsidRPr="00D42A26" w:rsidRDefault="00524107">
            <w:pPr>
              <w:jc w:val="right"/>
              <w:rPr>
                <w:sz w:val="22"/>
              </w:rPr>
            </w:pPr>
            <w:r w:rsidRPr="00D42A26">
              <w:rPr>
                <w:sz w:val="22"/>
              </w:rPr>
              <w:t>$70,315</w:t>
            </w:r>
          </w:p>
        </w:tc>
        <w:tc>
          <w:tcPr>
            <w:tcW w:w="1124" w:type="dxa"/>
            <w:tcBorders>
              <w:left w:val="single" w:sz="4" w:space="0" w:color="auto"/>
            </w:tcBorders>
            <w:shd w:val="clear" w:color="auto" w:fill="auto"/>
            <w:vAlign w:val="center"/>
          </w:tcPr>
          <w:p w:rsidR="00524107" w:rsidRPr="000B1729" w:rsidRDefault="00524107">
            <w:pPr>
              <w:jc w:val="right"/>
              <w:rPr>
                <w:color w:val="000000"/>
                <w:sz w:val="22"/>
                <w:szCs w:val="22"/>
              </w:rPr>
            </w:pPr>
            <w:r w:rsidRPr="007C70C1">
              <w:rPr>
                <w:sz w:val="22"/>
                <w:szCs w:val="22"/>
              </w:rPr>
              <w:t xml:space="preserve">42.25 </w:t>
            </w:r>
          </w:p>
        </w:tc>
        <w:tc>
          <w:tcPr>
            <w:tcW w:w="847" w:type="dxa"/>
            <w:shd w:val="clear" w:color="auto" w:fill="auto"/>
            <w:vAlign w:val="center"/>
          </w:tcPr>
          <w:p w:rsidR="00524107" w:rsidRPr="00D42A26" w:rsidRDefault="00524107" w:rsidP="007C70C1">
            <w:pPr>
              <w:jc w:val="right"/>
              <w:rPr>
                <w:sz w:val="22"/>
              </w:rPr>
            </w:pPr>
            <w:r w:rsidRPr="00D42A26">
              <w:rPr>
                <w:sz w:val="22"/>
              </w:rPr>
              <w:t>$320</w:t>
            </w:r>
          </w:p>
        </w:tc>
        <w:tc>
          <w:tcPr>
            <w:tcW w:w="1113" w:type="dxa"/>
            <w:shd w:val="clear" w:color="auto" w:fill="auto"/>
            <w:vAlign w:val="center"/>
          </w:tcPr>
          <w:p w:rsidR="00524107" w:rsidRPr="00524107" w:rsidRDefault="00524107">
            <w:pPr>
              <w:jc w:val="right"/>
              <w:rPr>
                <w:color w:val="000000"/>
                <w:sz w:val="22"/>
              </w:rPr>
            </w:pPr>
            <w:r w:rsidRPr="007C70C1">
              <w:rPr>
                <w:sz w:val="22"/>
              </w:rPr>
              <w:t xml:space="preserve">$13,520 </w:t>
            </w:r>
          </w:p>
        </w:tc>
      </w:tr>
      <w:tr w:rsidR="00524107" w:rsidRPr="00D42A26" w:rsidTr="007C70C1">
        <w:tc>
          <w:tcPr>
            <w:tcW w:w="1407" w:type="dxa"/>
            <w:shd w:val="clear" w:color="auto" w:fill="CCFFCC"/>
          </w:tcPr>
          <w:p w:rsidR="00524107" w:rsidRPr="00D42A26" w:rsidRDefault="00524107" w:rsidP="00C81E27">
            <w:pPr>
              <w:rPr>
                <w:sz w:val="22"/>
              </w:rPr>
            </w:pPr>
            <w:r w:rsidRPr="00D42A26">
              <w:rPr>
                <w:sz w:val="22"/>
              </w:rPr>
              <w:t>Scott J. Rafferty</w:t>
            </w:r>
          </w:p>
        </w:tc>
        <w:tc>
          <w:tcPr>
            <w:tcW w:w="801" w:type="dxa"/>
            <w:shd w:val="clear" w:color="auto" w:fill="CCFFCC"/>
            <w:vAlign w:val="center"/>
          </w:tcPr>
          <w:p w:rsidR="00524107" w:rsidRPr="00D42A26" w:rsidRDefault="00524107" w:rsidP="007C70C1">
            <w:pPr>
              <w:jc w:val="right"/>
              <w:rPr>
                <w:sz w:val="22"/>
              </w:rPr>
            </w:pPr>
            <w:r w:rsidRPr="00D42A26">
              <w:rPr>
                <w:sz w:val="22"/>
              </w:rPr>
              <w:t>2016</w:t>
            </w:r>
          </w:p>
        </w:tc>
        <w:tc>
          <w:tcPr>
            <w:tcW w:w="1004" w:type="dxa"/>
            <w:gridSpan w:val="2"/>
            <w:shd w:val="clear" w:color="auto" w:fill="CCFFCC"/>
            <w:vAlign w:val="center"/>
          </w:tcPr>
          <w:p w:rsidR="00524107" w:rsidRPr="00D42A26" w:rsidRDefault="00524107">
            <w:pPr>
              <w:jc w:val="right"/>
              <w:rPr>
                <w:sz w:val="22"/>
              </w:rPr>
            </w:pPr>
            <w:r w:rsidRPr="00D42A26">
              <w:rPr>
                <w:sz w:val="22"/>
              </w:rPr>
              <w:t>568</w:t>
            </w:r>
          </w:p>
        </w:tc>
        <w:tc>
          <w:tcPr>
            <w:tcW w:w="847" w:type="dxa"/>
            <w:shd w:val="clear" w:color="auto" w:fill="CCFFCC"/>
            <w:vAlign w:val="center"/>
          </w:tcPr>
          <w:p w:rsidR="00524107" w:rsidRPr="00D42A26" w:rsidRDefault="00524107">
            <w:pPr>
              <w:jc w:val="right"/>
              <w:rPr>
                <w:sz w:val="22"/>
              </w:rPr>
            </w:pPr>
            <w:r w:rsidRPr="00D42A26">
              <w:rPr>
                <w:sz w:val="22"/>
              </w:rPr>
              <w:t>$495</w:t>
            </w:r>
          </w:p>
        </w:tc>
        <w:tc>
          <w:tcPr>
            <w:tcW w:w="1180" w:type="dxa"/>
            <w:tcBorders>
              <w:right w:val="single" w:sz="4" w:space="0" w:color="auto"/>
            </w:tcBorders>
            <w:shd w:val="clear" w:color="auto" w:fill="CCFFCC"/>
            <w:vAlign w:val="center"/>
          </w:tcPr>
          <w:p w:rsidR="00524107" w:rsidRPr="007C70C1" w:rsidRDefault="00524107" w:rsidP="007C70C1">
            <w:pPr>
              <w:keepNext/>
              <w:keepLines/>
              <w:jc w:val="center"/>
              <w:rPr>
                <w:b/>
                <w:color w:val="000000"/>
                <w:sz w:val="22"/>
                <w:szCs w:val="22"/>
              </w:rPr>
            </w:pPr>
          </w:p>
        </w:tc>
        <w:tc>
          <w:tcPr>
            <w:tcW w:w="1253" w:type="dxa"/>
            <w:tcBorders>
              <w:top w:val="single" w:sz="4" w:space="0" w:color="auto"/>
              <w:left w:val="single" w:sz="4" w:space="0" w:color="auto"/>
              <w:bottom w:val="single" w:sz="4" w:space="0" w:color="auto"/>
              <w:right w:val="single" w:sz="24" w:space="0" w:color="auto"/>
            </w:tcBorders>
            <w:shd w:val="clear" w:color="auto" w:fill="CCFFCC"/>
            <w:vAlign w:val="center"/>
          </w:tcPr>
          <w:p w:rsidR="00524107" w:rsidRPr="00D42A26" w:rsidRDefault="00524107">
            <w:pPr>
              <w:jc w:val="right"/>
              <w:rPr>
                <w:sz w:val="22"/>
              </w:rPr>
            </w:pPr>
            <w:r w:rsidRPr="00D42A26">
              <w:rPr>
                <w:sz w:val="22"/>
              </w:rPr>
              <w:t>$281,160</w:t>
            </w:r>
          </w:p>
        </w:tc>
        <w:tc>
          <w:tcPr>
            <w:tcW w:w="1124" w:type="dxa"/>
            <w:tcBorders>
              <w:left w:val="single" w:sz="4" w:space="0" w:color="auto"/>
            </w:tcBorders>
            <w:shd w:val="clear" w:color="auto" w:fill="auto"/>
            <w:vAlign w:val="center"/>
          </w:tcPr>
          <w:p w:rsidR="00524107" w:rsidRPr="000B1729" w:rsidRDefault="00524107">
            <w:pPr>
              <w:jc w:val="right"/>
              <w:rPr>
                <w:color w:val="000000"/>
                <w:sz w:val="22"/>
                <w:szCs w:val="22"/>
              </w:rPr>
            </w:pPr>
            <w:r w:rsidRPr="007C70C1">
              <w:rPr>
                <w:sz w:val="22"/>
                <w:szCs w:val="22"/>
              </w:rPr>
              <w:t xml:space="preserve">8.50 </w:t>
            </w:r>
          </w:p>
        </w:tc>
        <w:tc>
          <w:tcPr>
            <w:tcW w:w="847" w:type="dxa"/>
            <w:shd w:val="clear" w:color="auto" w:fill="auto"/>
            <w:vAlign w:val="center"/>
          </w:tcPr>
          <w:p w:rsidR="00524107" w:rsidRPr="00D42A26" w:rsidRDefault="00524107" w:rsidP="007C70C1">
            <w:pPr>
              <w:jc w:val="right"/>
              <w:rPr>
                <w:sz w:val="22"/>
              </w:rPr>
            </w:pPr>
            <w:r w:rsidRPr="00D42A26">
              <w:rPr>
                <w:sz w:val="22"/>
              </w:rPr>
              <w:t>$325</w:t>
            </w:r>
          </w:p>
        </w:tc>
        <w:tc>
          <w:tcPr>
            <w:tcW w:w="1113" w:type="dxa"/>
            <w:shd w:val="clear" w:color="auto" w:fill="auto"/>
            <w:vAlign w:val="center"/>
          </w:tcPr>
          <w:p w:rsidR="00524107" w:rsidRPr="00524107" w:rsidRDefault="00524107">
            <w:pPr>
              <w:jc w:val="right"/>
              <w:rPr>
                <w:color w:val="000000"/>
                <w:sz w:val="22"/>
              </w:rPr>
            </w:pPr>
            <w:r w:rsidRPr="007C70C1">
              <w:rPr>
                <w:sz w:val="22"/>
              </w:rPr>
              <w:t xml:space="preserve">$2,763 </w:t>
            </w:r>
          </w:p>
        </w:tc>
      </w:tr>
      <w:tr w:rsidR="00524107" w:rsidRPr="00D42A26" w:rsidTr="007C70C1">
        <w:tc>
          <w:tcPr>
            <w:tcW w:w="1407" w:type="dxa"/>
            <w:shd w:val="clear" w:color="auto" w:fill="CCFFCC"/>
          </w:tcPr>
          <w:p w:rsidR="00524107" w:rsidRPr="00D42A26" w:rsidRDefault="00524107" w:rsidP="00C81E27">
            <w:pPr>
              <w:rPr>
                <w:sz w:val="22"/>
              </w:rPr>
            </w:pPr>
            <w:r w:rsidRPr="00D42A26">
              <w:rPr>
                <w:sz w:val="22"/>
              </w:rPr>
              <w:t>Scott J. Rafferty</w:t>
            </w:r>
          </w:p>
        </w:tc>
        <w:tc>
          <w:tcPr>
            <w:tcW w:w="801" w:type="dxa"/>
            <w:shd w:val="clear" w:color="auto" w:fill="CCFFCC"/>
            <w:vAlign w:val="center"/>
          </w:tcPr>
          <w:p w:rsidR="00524107" w:rsidRPr="00D42A26" w:rsidRDefault="00524107" w:rsidP="007C70C1">
            <w:pPr>
              <w:jc w:val="right"/>
              <w:rPr>
                <w:sz w:val="22"/>
              </w:rPr>
            </w:pPr>
            <w:r w:rsidRPr="00D42A26">
              <w:rPr>
                <w:sz w:val="22"/>
              </w:rPr>
              <w:t>2017</w:t>
            </w:r>
          </w:p>
        </w:tc>
        <w:tc>
          <w:tcPr>
            <w:tcW w:w="1004" w:type="dxa"/>
            <w:gridSpan w:val="2"/>
            <w:shd w:val="clear" w:color="auto" w:fill="CCFFCC"/>
            <w:vAlign w:val="center"/>
          </w:tcPr>
          <w:p w:rsidR="00524107" w:rsidRPr="00D42A26" w:rsidRDefault="00524107">
            <w:pPr>
              <w:jc w:val="right"/>
              <w:rPr>
                <w:sz w:val="22"/>
              </w:rPr>
            </w:pPr>
            <w:r w:rsidRPr="00D42A26">
              <w:rPr>
                <w:sz w:val="22"/>
              </w:rPr>
              <w:t>421</w:t>
            </w:r>
          </w:p>
        </w:tc>
        <w:tc>
          <w:tcPr>
            <w:tcW w:w="847" w:type="dxa"/>
            <w:shd w:val="clear" w:color="auto" w:fill="CCFFCC"/>
            <w:vAlign w:val="center"/>
          </w:tcPr>
          <w:p w:rsidR="00524107" w:rsidRPr="00D42A26" w:rsidRDefault="00524107">
            <w:pPr>
              <w:jc w:val="right"/>
              <w:rPr>
                <w:sz w:val="22"/>
              </w:rPr>
            </w:pPr>
            <w:r w:rsidRPr="00D42A26">
              <w:rPr>
                <w:sz w:val="22"/>
              </w:rPr>
              <w:t>$495</w:t>
            </w:r>
          </w:p>
        </w:tc>
        <w:tc>
          <w:tcPr>
            <w:tcW w:w="1180" w:type="dxa"/>
            <w:tcBorders>
              <w:right w:val="single" w:sz="4" w:space="0" w:color="auto"/>
            </w:tcBorders>
            <w:shd w:val="clear" w:color="auto" w:fill="CCFFCC"/>
            <w:vAlign w:val="center"/>
          </w:tcPr>
          <w:p w:rsidR="00524107" w:rsidRPr="007C70C1" w:rsidRDefault="00524107" w:rsidP="007C70C1">
            <w:pPr>
              <w:keepNext/>
              <w:keepLines/>
              <w:jc w:val="center"/>
              <w:rPr>
                <w:b/>
                <w:color w:val="000000"/>
                <w:sz w:val="22"/>
                <w:szCs w:val="22"/>
              </w:rPr>
            </w:pPr>
          </w:p>
        </w:tc>
        <w:tc>
          <w:tcPr>
            <w:tcW w:w="1253" w:type="dxa"/>
            <w:tcBorders>
              <w:top w:val="single" w:sz="4" w:space="0" w:color="auto"/>
              <w:left w:val="single" w:sz="4" w:space="0" w:color="auto"/>
              <w:bottom w:val="single" w:sz="4" w:space="0" w:color="auto"/>
              <w:right w:val="single" w:sz="24" w:space="0" w:color="auto"/>
            </w:tcBorders>
            <w:shd w:val="clear" w:color="auto" w:fill="CCFFCC"/>
            <w:vAlign w:val="center"/>
          </w:tcPr>
          <w:p w:rsidR="00524107" w:rsidRPr="00D42A26" w:rsidRDefault="00524107">
            <w:pPr>
              <w:jc w:val="right"/>
              <w:rPr>
                <w:sz w:val="22"/>
              </w:rPr>
            </w:pPr>
            <w:r w:rsidRPr="00D42A26">
              <w:rPr>
                <w:sz w:val="22"/>
              </w:rPr>
              <w:t>$208,395</w:t>
            </w:r>
          </w:p>
        </w:tc>
        <w:tc>
          <w:tcPr>
            <w:tcW w:w="1124" w:type="dxa"/>
            <w:tcBorders>
              <w:left w:val="single" w:sz="4" w:space="0" w:color="auto"/>
            </w:tcBorders>
            <w:shd w:val="clear" w:color="auto" w:fill="auto"/>
            <w:vAlign w:val="center"/>
          </w:tcPr>
          <w:p w:rsidR="00524107" w:rsidRPr="000B1729" w:rsidRDefault="00524107">
            <w:pPr>
              <w:jc w:val="right"/>
              <w:rPr>
                <w:color w:val="000000"/>
                <w:sz w:val="22"/>
                <w:szCs w:val="22"/>
              </w:rPr>
            </w:pPr>
            <w:r w:rsidRPr="007C70C1">
              <w:rPr>
                <w:sz w:val="22"/>
                <w:szCs w:val="22"/>
              </w:rPr>
              <w:t xml:space="preserve">44.25 </w:t>
            </w:r>
          </w:p>
        </w:tc>
        <w:tc>
          <w:tcPr>
            <w:tcW w:w="847" w:type="dxa"/>
            <w:shd w:val="clear" w:color="auto" w:fill="auto"/>
            <w:vAlign w:val="center"/>
          </w:tcPr>
          <w:p w:rsidR="00524107" w:rsidRPr="00D42A26" w:rsidRDefault="00524107" w:rsidP="007C70C1">
            <w:pPr>
              <w:jc w:val="right"/>
              <w:rPr>
                <w:sz w:val="22"/>
              </w:rPr>
            </w:pPr>
            <w:r w:rsidRPr="00D42A26">
              <w:rPr>
                <w:sz w:val="22"/>
              </w:rPr>
              <w:t>$330</w:t>
            </w:r>
          </w:p>
        </w:tc>
        <w:tc>
          <w:tcPr>
            <w:tcW w:w="1113" w:type="dxa"/>
            <w:shd w:val="clear" w:color="auto" w:fill="auto"/>
            <w:vAlign w:val="center"/>
          </w:tcPr>
          <w:p w:rsidR="00524107" w:rsidRPr="00524107" w:rsidRDefault="00524107">
            <w:pPr>
              <w:jc w:val="right"/>
              <w:rPr>
                <w:color w:val="000000"/>
                <w:sz w:val="22"/>
              </w:rPr>
            </w:pPr>
            <w:r w:rsidRPr="007C70C1">
              <w:rPr>
                <w:sz w:val="22"/>
              </w:rPr>
              <w:t xml:space="preserve">$14,603 </w:t>
            </w:r>
          </w:p>
        </w:tc>
      </w:tr>
      <w:tr w:rsidR="00D42A26" w:rsidRPr="00D42A26" w:rsidTr="007C70C1">
        <w:tc>
          <w:tcPr>
            <w:tcW w:w="6492" w:type="dxa"/>
            <w:gridSpan w:val="7"/>
            <w:tcBorders>
              <w:bottom w:val="single" w:sz="4" w:space="0" w:color="auto"/>
              <w:right w:val="single" w:sz="24" w:space="0" w:color="auto"/>
            </w:tcBorders>
            <w:shd w:val="clear" w:color="auto" w:fill="auto"/>
            <w:vAlign w:val="bottom"/>
          </w:tcPr>
          <w:p w:rsidR="00D42A26" w:rsidRPr="00D42A26" w:rsidRDefault="00D42A26" w:rsidP="007C70C1">
            <w:pPr>
              <w:tabs>
                <w:tab w:val="left" w:pos="957"/>
              </w:tabs>
              <w:ind w:left="720" w:right="34"/>
              <w:jc w:val="right"/>
              <w:rPr>
                <w:b/>
                <w:i/>
                <w:color w:val="000000"/>
                <w:sz w:val="22"/>
              </w:rPr>
            </w:pPr>
            <w:r w:rsidRPr="00D42A26">
              <w:rPr>
                <w:b/>
                <w:i/>
                <w:color w:val="000000"/>
                <w:sz w:val="22"/>
              </w:rPr>
              <w:t xml:space="preserve">Subtotal: $  </w:t>
            </w:r>
            <w:r w:rsidR="00524107" w:rsidRPr="00524107">
              <w:rPr>
                <w:b/>
                <w:i/>
                <w:color w:val="000000"/>
                <w:sz w:val="22"/>
              </w:rPr>
              <w:t>559,870</w:t>
            </w:r>
          </w:p>
        </w:tc>
        <w:tc>
          <w:tcPr>
            <w:tcW w:w="3084" w:type="dxa"/>
            <w:gridSpan w:val="3"/>
            <w:tcBorders>
              <w:left w:val="single" w:sz="24" w:space="0" w:color="auto"/>
              <w:bottom w:val="single" w:sz="4" w:space="0" w:color="auto"/>
            </w:tcBorders>
            <w:shd w:val="clear" w:color="auto" w:fill="auto"/>
            <w:vAlign w:val="bottom"/>
          </w:tcPr>
          <w:p w:rsidR="00D42A26" w:rsidRPr="007C70C1" w:rsidRDefault="00D42A26" w:rsidP="00BC06F1">
            <w:pPr>
              <w:tabs>
                <w:tab w:val="left" w:pos="957"/>
              </w:tabs>
              <w:jc w:val="right"/>
              <w:rPr>
                <w:i/>
                <w:color w:val="000000"/>
                <w:sz w:val="22"/>
              </w:rPr>
            </w:pPr>
            <w:r w:rsidRPr="00FB2E11">
              <w:rPr>
                <w:b/>
                <w:i/>
                <w:color w:val="000000"/>
                <w:sz w:val="22"/>
              </w:rPr>
              <w:t>Subtotal: $</w:t>
            </w:r>
            <w:r w:rsidR="00FB2E11" w:rsidRPr="007C70C1">
              <w:rPr>
                <w:b/>
                <w:i/>
                <w:color w:val="000000"/>
                <w:sz w:val="22"/>
              </w:rPr>
              <w:t xml:space="preserve">30,885 </w:t>
            </w:r>
            <w:r w:rsidRPr="007C70C1">
              <w:rPr>
                <w:b/>
                <w:i/>
                <w:color w:val="000000"/>
                <w:sz w:val="22"/>
              </w:rPr>
              <w:t xml:space="preserve">   </w:t>
            </w:r>
          </w:p>
        </w:tc>
      </w:tr>
      <w:tr w:rsidR="00D42A26" w:rsidRPr="00D42A26" w:rsidTr="007C70C1">
        <w:tc>
          <w:tcPr>
            <w:tcW w:w="9576" w:type="dxa"/>
            <w:gridSpan w:val="10"/>
            <w:tcBorders>
              <w:top w:val="single" w:sz="4" w:space="0" w:color="auto"/>
              <w:left w:val="single" w:sz="4" w:space="0" w:color="auto"/>
              <w:bottom w:val="single" w:sz="4" w:space="0" w:color="auto"/>
              <w:right w:val="single" w:sz="4" w:space="0" w:color="auto"/>
            </w:tcBorders>
            <w:shd w:val="clear" w:color="auto" w:fill="E6E6E6"/>
          </w:tcPr>
          <w:p w:rsidR="00D42A26" w:rsidRPr="00D42A26" w:rsidRDefault="00D42A26" w:rsidP="00BC06F1">
            <w:pPr>
              <w:jc w:val="center"/>
              <w:rPr>
                <w:b/>
                <w:color w:val="000000"/>
                <w:sz w:val="22"/>
              </w:rPr>
            </w:pPr>
            <w:r w:rsidRPr="00D42A26">
              <w:rPr>
                <w:b/>
                <w:color w:val="000000"/>
                <w:sz w:val="22"/>
              </w:rPr>
              <w:t>OTHER FEES</w:t>
            </w:r>
          </w:p>
          <w:p w:rsidR="00D42A26" w:rsidRPr="00D42A26" w:rsidRDefault="00D42A26" w:rsidP="00BC06F1">
            <w:pPr>
              <w:jc w:val="center"/>
              <w:rPr>
                <w:b/>
                <w:color w:val="000000"/>
                <w:sz w:val="22"/>
              </w:rPr>
            </w:pPr>
            <w:r w:rsidRPr="00D42A26">
              <w:rPr>
                <w:b/>
                <w:color w:val="000000"/>
                <w:sz w:val="22"/>
              </w:rPr>
              <w:t>Describe here what OTHER HOURLY FEES you are Claiming (paralegal, travel **, etc.):</w:t>
            </w:r>
          </w:p>
        </w:tc>
      </w:tr>
      <w:tr w:rsidR="00D42A26" w:rsidRPr="00D42A26" w:rsidTr="007C70C1">
        <w:tc>
          <w:tcPr>
            <w:tcW w:w="1407" w:type="dxa"/>
            <w:tcBorders>
              <w:top w:val="single" w:sz="4" w:space="0" w:color="auto"/>
              <w:bottom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Item</w:t>
            </w:r>
          </w:p>
        </w:tc>
        <w:tc>
          <w:tcPr>
            <w:tcW w:w="801" w:type="dxa"/>
            <w:tcBorders>
              <w:top w:val="single" w:sz="4" w:space="0" w:color="auto"/>
              <w:bottom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Year</w:t>
            </w:r>
          </w:p>
        </w:tc>
        <w:tc>
          <w:tcPr>
            <w:tcW w:w="1004" w:type="dxa"/>
            <w:gridSpan w:val="2"/>
            <w:tcBorders>
              <w:top w:val="single" w:sz="4" w:space="0" w:color="auto"/>
              <w:bottom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Hours</w:t>
            </w:r>
          </w:p>
        </w:tc>
        <w:tc>
          <w:tcPr>
            <w:tcW w:w="847" w:type="dxa"/>
            <w:tcBorders>
              <w:top w:val="single" w:sz="4" w:space="0" w:color="auto"/>
              <w:bottom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 xml:space="preserve">Rate $ </w:t>
            </w:r>
          </w:p>
        </w:tc>
        <w:tc>
          <w:tcPr>
            <w:tcW w:w="1180" w:type="dxa"/>
            <w:tcBorders>
              <w:top w:val="single" w:sz="4" w:space="0" w:color="auto"/>
              <w:bottom w:val="single" w:sz="4" w:space="0" w:color="auto"/>
              <w:right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Basis for Rate*</w:t>
            </w:r>
          </w:p>
        </w:tc>
        <w:tc>
          <w:tcPr>
            <w:tcW w:w="1253" w:type="dxa"/>
            <w:tcBorders>
              <w:top w:val="single" w:sz="4" w:space="0" w:color="auto"/>
              <w:left w:val="single" w:sz="4" w:space="0" w:color="auto"/>
              <w:bottom w:val="single" w:sz="4" w:space="0" w:color="auto"/>
              <w:right w:val="single" w:sz="24" w:space="0" w:color="auto"/>
            </w:tcBorders>
            <w:shd w:val="clear" w:color="auto" w:fill="CCFFCC"/>
          </w:tcPr>
          <w:p w:rsidR="00D42A26" w:rsidRPr="00D42A26" w:rsidRDefault="00D42A26" w:rsidP="00BC06F1">
            <w:pPr>
              <w:jc w:val="center"/>
              <w:rPr>
                <w:b/>
                <w:color w:val="000000"/>
                <w:sz w:val="22"/>
                <w:szCs w:val="22"/>
              </w:rPr>
            </w:pPr>
            <w:r w:rsidRPr="00D42A26">
              <w:rPr>
                <w:b/>
                <w:color w:val="000000"/>
                <w:sz w:val="22"/>
                <w:szCs w:val="22"/>
              </w:rPr>
              <w:t>Total $</w:t>
            </w:r>
          </w:p>
        </w:tc>
        <w:tc>
          <w:tcPr>
            <w:tcW w:w="1124" w:type="dxa"/>
            <w:tcBorders>
              <w:top w:val="single" w:sz="4" w:space="0" w:color="auto"/>
              <w:left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Hours</w:t>
            </w:r>
          </w:p>
        </w:tc>
        <w:tc>
          <w:tcPr>
            <w:tcW w:w="847" w:type="dxa"/>
            <w:tcBorders>
              <w:top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 xml:space="preserve">Rate </w:t>
            </w:r>
          </w:p>
        </w:tc>
        <w:tc>
          <w:tcPr>
            <w:tcW w:w="1113" w:type="dxa"/>
            <w:tcBorders>
              <w:top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Total $</w:t>
            </w:r>
          </w:p>
        </w:tc>
      </w:tr>
      <w:tr w:rsidR="00D42A26" w:rsidRPr="00D42A26" w:rsidTr="007C70C1">
        <w:tc>
          <w:tcPr>
            <w:tcW w:w="6492" w:type="dxa"/>
            <w:gridSpan w:val="7"/>
            <w:tcBorders>
              <w:bottom w:val="single" w:sz="4" w:space="0" w:color="auto"/>
              <w:right w:val="single" w:sz="24" w:space="0" w:color="auto"/>
            </w:tcBorders>
            <w:shd w:val="clear" w:color="auto" w:fill="auto"/>
            <w:vAlign w:val="bottom"/>
          </w:tcPr>
          <w:p w:rsidR="00D42A26" w:rsidRPr="00D42A26" w:rsidRDefault="00D42A26" w:rsidP="007C70C1">
            <w:pPr>
              <w:tabs>
                <w:tab w:val="left" w:pos="957"/>
              </w:tabs>
              <w:jc w:val="right"/>
              <w:rPr>
                <w:b/>
                <w:i/>
                <w:color w:val="000000"/>
                <w:sz w:val="22"/>
              </w:rPr>
            </w:pPr>
            <w:r w:rsidRPr="00D42A26">
              <w:rPr>
                <w:b/>
                <w:i/>
                <w:color w:val="000000"/>
                <w:sz w:val="22"/>
              </w:rPr>
              <w:t>Subtotal: $</w:t>
            </w:r>
            <w:r w:rsidR="00FB2E11">
              <w:rPr>
                <w:b/>
                <w:i/>
                <w:color w:val="000000"/>
                <w:sz w:val="22"/>
              </w:rPr>
              <w:t>0</w:t>
            </w:r>
          </w:p>
        </w:tc>
        <w:tc>
          <w:tcPr>
            <w:tcW w:w="3084" w:type="dxa"/>
            <w:gridSpan w:val="3"/>
            <w:tcBorders>
              <w:left w:val="single" w:sz="24" w:space="0" w:color="auto"/>
              <w:bottom w:val="single" w:sz="4" w:space="0" w:color="auto"/>
            </w:tcBorders>
            <w:shd w:val="clear" w:color="auto" w:fill="auto"/>
            <w:vAlign w:val="bottom"/>
          </w:tcPr>
          <w:p w:rsidR="00D42A26" w:rsidRPr="00D42A26" w:rsidRDefault="00D42A26" w:rsidP="00BC06F1">
            <w:pPr>
              <w:jc w:val="right"/>
              <w:rPr>
                <w:b/>
                <w:i/>
                <w:color w:val="000000"/>
                <w:sz w:val="22"/>
              </w:rPr>
            </w:pPr>
            <w:r w:rsidRPr="00D42A26">
              <w:rPr>
                <w:b/>
                <w:i/>
                <w:color w:val="000000"/>
                <w:sz w:val="22"/>
              </w:rPr>
              <w:t>Subtotal:  $</w:t>
            </w:r>
            <w:r w:rsidR="00FB2E11">
              <w:rPr>
                <w:b/>
                <w:i/>
                <w:color w:val="000000"/>
                <w:sz w:val="22"/>
              </w:rPr>
              <w:t>0</w:t>
            </w:r>
          </w:p>
        </w:tc>
      </w:tr>
      <w:tr w:rsidR="00D42A26" w:rsidRPr="00D42A26" w:rsidTr="007C70C1">
        <w:tc>
          <w:tcPr>
            <w:tcW w:w="9576" w:type="dxa"/>
            <w:gridSpan w:val="10"/>
            <w:tcBorders>
              <w:top w:val="single" w:sz="4" w:space="0" w:color="auto"/>
              <w:left w:val="single" w:sz="4" w:space="0" w:color="auto"/>
              <w:bottom w:val="single" w:sz="4" w:space="0" w:color="auto"/>
              <w:right w:val="single" w:sz="4" w:space="0" w:color="auto"/>
            </w:tcBorders>
            <w:shd w:val="clear" w:color="auto" w:fill="E6E6E6"/>
          </w:tcPr>
          <w:p w:rsidR="00D42A26" w:rsidRPr="00D42A26" w:rsidRDefault="00D42A26" w:rsidP="00BC06F1">
            <w:pPr>
              <w:jc w:val="center"/>
              <w:rPr>
                <w:color w:val="000000"/>
                <w:sz w:val="22"/>
              </w:rPr>
            </w:pPr>
            <w:r w:rsidRPr="00D42A26">
              <w:rPr>
                <w:b/>
                <w:color w:val="000000"/>
                <w:sz w:val="22"/>
              </w:rPr>
              <w:t xml:space="preserve">INTERVENOR COMPENSATION CLAIM PREPARATION </w:t>
            </w:r>
            <w:r w:rsidRPr="00D42A26">
              <w:rPr>
                <w:b/>
                <w:smallCaps/>
                <w:color w:val="000000"/>
                <w:sz w:val="22"/>
              </w:rPr>
              <w:t xml:space="preserve"> **</w:t>
            </w:r>
          </w:p>
        </w:tc>
      </w:tr>
      <w:tr w:rsidR="00D42A26" w:rsidRPr="00D42A26" w:rsidTr="007C70C1">
        <w:tc>
          <w:tcPr>
            <w:tcW w:w="1407" w:type="dxa"/>
            <w:tcBorders>
              <w:top w:val="single" w:sz="4" w:space="0" w:color="auto"/>
              <w:bottom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Item</w:t>
            </w:r>
          </w:p>
        </w:tc>
        <w:tc>
          <w:tcPr>
            <w:tcW w:w="801" w:type="dxa"/>
            <w:tcBorders>
              <w:top w:val="single" w:sz="4" w:space="0" w:color="auto"/>
              <w:bottom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Year</w:t>
            </w:r>
          </w:p>
        </w:tc>
        <w:tc>
          <w:tcPr>
            <w:tcW w:w="1004" w:type="dxa"/>
            <w:gridSpan w:val="2"/>
            <w:tcBorders>
              <w:top w:val="single" w:sz="4" w:space="0" w:color="auto"/>
              <w:bottom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Hours</w:t>
            </w:r>
          </w:p>
        </w:tc>
        <w:tc>
          <w:tcPr>
            <w:tcW w:w="847" w:type="dxa"/>
            <w:tcBorders>
              <w:top w:val="single" w:sz="4" w:space="0" w:color="auto"/>
              <w:bottom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 xml:space="preserve">Rate $ </w:t>
            </w:r>
          </w:p>
        </w:tc>
        <w:tc>
          <w:tcPr>
            <w:tcW w:w="1180" w:type="dxa"/>
            <w:tcBorders>
              <w:top w:val="single" w:sz="4" w:space="0" w:color="auto"/>
              <w:bottom w:val="single" w:sz="4" w:space="0" w:color="auto"/>
              <w:right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Basis for Rate*</w:t>
            </w:r>
          </w:p>
        </w:tc>
        <w:tc>
          <w:tcPr>
            <w:tcW w:w="1253" w:type="dxa"/>
            <w:tcBorders>
              <w:top w:val="single" w:sz="4" w:space="0" w:color="auto"/>
              <w:left w:val="single" w:sz="4" w:space="0" w:color="auto"/>
              <w:bottom w:val="single" w:sz="4" w:space="0" w:color="auto"/>
              <w:right w:val="single" w:sz="24" w:space="0" w:color="auto"/>
            </w:tcBorders>
            <w:shd w:val="clear" w:color="auto" w:fill="CCFFCC"/>
          </w:tcPr>
          <w:p w:rsidR="00D42A26" w:rsidRPr="00D42A26" w:rsidRDefault="00D42A26" w:rsidP="00BC06F1">
            <w:pPr>
              <w:jc w:val="center"/>
              <w:rPr>
                <w:b/>
                <w:color w:val="000000"/>
                <w:sz w:val="22"/>
                <w:szCs w:val="22"/>
              </w:rPr>
            </w:pPr>
            <w:r w:rsidRPr="00D42A26">
              <w:rPr>
                <w:b/>
                <w:color w:val="000000"/>
                <w:sz w:val="22"/>
                <w:szCs w:val="22"/>
              </w:rPr>
              <w:t>Total $</w:t>
            </w:r>
          </w:p>
        </w:tc>
        <w:tc>
          <w:tcPr>
            <w:tcW w:w="1124" w:type="dxa"/>
            <w:tcBorders>
              <w:top w:val="single" w:sz="4" w:space="0" w:color="auto"/>
              <w:left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Hours</w:t>
            </w:r>
          </w:p>
        </w:tc>
        <w:tc>
          <w:tcPr>
            <w:tcW w:w="847" w:type="dxa"/>
            <w:tcBorders>
              <w:top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 xml:space="preserve">Rate </w:t>
            </w:r>
          </w:p>
        </w:tc>
        <w:tc>
          <w:tcPr>
            <w:tcW w:w="1113" w:type="dxa"/>
            <w:tcBorders>
              <w:top w:val="single" w:sz="4" w:space="0" w:color="auto"/>
            </w:tcBorders>
            <w:shd w:val="clear" w:color="auto" w:fill="auto"/>
          </w:tcPr>
          <w:p w:rsidR="00D42A26" w:rsidRPr="00D42A26" w:rsidRDefault="00D42A26" w:rsidP="00BC06F1">
            <w:pPr>
              <w:jc w:val="center"/>
              <w:rPr>
                <w:b/>
                <w:color w:val="000000"/>
                <w:sz w:val="22"/>
                <w:szCs w:val="22"/>
              </w:rPr>
            </w:pPr>
            <w:r w:rsidRPr="00D42A26">
              <w:rPr>
                <w:b/>
                <w:color w:val="000000"/>
                <w:sz w:val="22"/>
                <w:szCs w:val="22"/>
              </w:rPr>
              <w:t>Total $</w:t>
            </w:r>
          </w:p>
        </w:tc>
      </w:tr>
      <w:tr w:rsidR="00F65225" w:rsidRPr="00D42A26" w:rsidTr="007C70C1">
        <w:tc>
          <w:tcPr>
            <w:tcW w:w="1407" w:type="dxa"/>
            <w:shd w:val="clear" w:color="auto" w:fill="CCFFCC"/>
          </w:tcPr>
          <w:p w:rsidR="00F65225" w:rsidRPr="00D42A26" w:rsidRDefault="00F65225" w:rsidP="00C81E27">
            <w:pPr>
              <w:rPr>
                <w:sz w:val="22"/>
              </w:rPr>
            </w:pPr>
            <w:r w:rsidRPr="00D42A26">
              <w:rPr>
                <w:sz w:val="22"/>
              </w:rPr>
              <w:t>Scott J. Rafferty</w:t>
            </w:r>
          </w:p>
        </w:tc>
        <w:tc>
          <w:tcPr>
            <w:tcW w:w="801" w:type="dxa"/>
            <w:shd w:val="clear" w:color="auto" w:fill="CCFFCC"/>
            <w:vAlign w:val="center"/>
          </w:tcPr>
          <w:p w:rsidR="00F65225" w:rsidRPr="00D42A26" w:rsidRDefault="00F65225" w:rsidP="007C70C1">
            <w:pPr>
              <w:jc w:val="right"/>
              <w:rPr>
                <w:sz w:val="22"/>
              </w:rPr>
            </w:pPr>
            <w:r w:rsidRPr="00D42A26">
              <w:rPr>
                <w:sz w:val="22"/>
              </w:rPr>
              <w:t>2017</w:t>
            </w:r>
          </w:p>
        </w:tc>
        <w:tc>
          <w:tcPr>
            <w:tcW w:w="1004" w:type="dxa"/>
            <w:gridSpan w:val="2"/>
            <w:shd w:val="clear" w:color="auto" w:fill="CCFFCC"/>
            <w:vAlign w:val="center"/>
          </w:tcPr>
          <w:p w:rsidR="00F65225" w:rsidRPr="00F65225" w:rsidRDefault="00F65225" w:rsidP="007C70C1">
            <w:pPr>
              <w:jc w:val="right"/>
              <w:rPr>
                <w:sz w:val="22"/>
              </w:rPr>
            </w:pPr>
            <w:r w:rsidRPr="00F65225">
              <w:rPr>
                <w:sz w:val="22"/>
              </w:rPr>
              <w:t>128.5</w:t>
            </w:r>
          </w:p>
        </w:tc>
        <w:tc>
          <w:tcPr>
            <w:tcW w:w="847" w:type="dxa"/>
            <w:shd w:val="clear" w:color="auto" w:fill="CCFFCC"/>
            <w:vAlign w:val="center"/>
          </w:tcPr>
          <w:p w:rsidR="00F65225" w:rsidRPr="00F65225" w:rsidRDefault="00F65225" w:rsidP="007C70C1">
            <w:pPr>
              <w:jc w:val="right"/>
              <w:rPr>
                <w:sz w:val="22"/>
              </w:rPr>
            </w:pPr>
            <w:r w:rsidRPr="00F65225">
              <w:rPr>
                <w:sz w:val="22"/>
              </w:rPr>
              <w:t>$250</w:t>
            </w:r>
          </w:p>
        </w:tc>
        <w:tc>
          <w:tcPr>
            <w:tcW w:w="1180" w:type="dxa"/>
            <w:tcBorders>
              <w:right w:val="single" w:sz="4" w:space="0" w:color="auto"/>
            </w:tcBorders>
            <w:shd w:val="clear" w:color="auto" w:fill="CCFFCC"/>
            <w:vAlign w:val="center"/>
          </w:tcPr>
          <w:p w:rsidR="00F65225" w:rsidRPr="00F65225" w:rsidRDefault="00F65225" w:rsidP="007C70C1">
            <w:pPr>
              <w:jc w:val="right"/>
              <w:rPr>
                <w:sz w:val="22"/>
              </w:rPr>
            </w:pPr>
          </w:p>
        </w:tc>
        <w:tc>
          <w:tcPr>
            <w:tcW w:w="1253" w:type="dxa"/>
            <w:tcBorders>
              <w:top w:val="single" w:sz="4" w:space="0" w:color="auto"/>
              <w:left w:val="single" w:sz="4" w:space="0" w:color="auto"/>
              <w:bottom w:val="single" w:sz="4" w:space="0" w:color="auto"/>
              <w:right w:val="single" w:sz="24" w:space="0" w:color="auto"/>
            </w:tcBorders>
            <w:shd w:val="clear" w:color="auto" w:fill="CCFFCC"/>
            <w:vAlign w:val="center"/>
          </w:tcPr>
          <w:p w:rsidR="00F65225" w:rsidRPr="00F65225" w:rsidRDefault="00F65225" w:rsidP="007C70C1">
            <w:pPr>
              <w:jc w:val="right"/>
              <w:rPr>
                <w:sz w:val="22"/>
              </w:rPr>
            </w:pPr>
            <w:r w:rsidRPr="00F65225">
              <w:rPr>
                <w:sz w:val="22"/>
              </w:rPr>
              <w:t>$32,125</w:t>
            </w:r>
          </w:p>
        </w:tc>
        <w:tc>
          <w:tcPr>
            <w:tcW w:w="1124" w:type="dxa"/>
            <w:tcBorders>
              <w:left w:val="single" w:sz="4" w:space="0" w:color="auto"/>
              <w:right w:val="single" w:sz="4" w:space="0" w:color="auto"/>
            </w:tcBorders>
            <w:shd w:val="clear" w:color="auto" w:fill="auto"/>
            <w:vAlign w:val="center"/>
          </w:tcPr>
          <w:p w:rsidR="00F65225" w:rsidRPr="00D42A26" w:rsidRDefault="002666D2">
            <w:pPr>
              <w:jc w:val="right"/>
              <w:rPr>
                <w:color w:val="000000"/>
                <w:sz w:val="22"/>
              </w:rPr>
            </w:pPr>
            <w:r>
              <w:rPr>
                <w:color w:val="000000"/>
                <w:sz w:val="22"/>
              </w:rPr>
              <w:t>18</w:t>
            </w:r>
          </w:p>
        </w:tc>
        <w:tc>
          <w:tcPr>
            <w:tcW w:w="847" w:type="dxa"/>
            <w:tcBorders>
              <w:left w:val="single" w:sz="4" w:space="0" w:color="auto"/>
            </w:tcBorders>
            <w:shd w:val="clear" w:color="auto" w:fill="auto"/>
            <w:vAlign w:val="center"/>
          </w:tcPr>
          <w:p w:rsidR="00F65225" w:rsidRPr="00D42A26" w:rsidRDefault="00F65225" w:rsidP="007C70C1">
            <w:pPr>
              <w:jc w:val="right"/>
              <w:rPr>
                <w:color w:val="000000"/>
                <w:sz w:val="22"/>
              </w:rPr>
            </w:pPr>
            <w:r w:rsidRPr="00D42A26">
              <w:rPr>
                <w:sz w:val="22"/>
              </w:rPr>
              <w:t>$</w:t>
            </w:r>
            <w:r>
              <w:rPr>
                <w:sz w:val="22"/>
              </w:rPr>
              <w:t>165</w:t>
            </w:r>
          </w:p>
        </w:tc>
        <w:tc>
          <w:tcPr>
            <w:tcW w:w="1113" w:type="dxa"/>
            <w:shd w:val="clear" w:color="auto" w:fill="auto"/>
            <w:vAlign w:val="center"/>
          </w:tcPr>
          <w:p w:rsidR="00F65225" w:rsidRPr="00D42A26" w:rsidRDefault="006F1F27">
            <w:pPr>
              <w:jc w:val="right"/>
              <w:rPr>
                <w:color w:val="000000"/>
                <w:sz w:val="22"/>
              </w:rPr>
            </w:pPr>
            <w:r w:rsidRPr="006F1F27">
              <w:rPr>
                <w:color w:val="000000"/>
                <w:sz w:val="22"/>
              </w:rPr>
              <w:t>$2,</w:t>
            </w:r>
            <w:r>
              <w:rPr>
                <w:color w:val="000000"/>
                <w:sz w:val="22"/>
              </w:rPr>
              <w:t>970</w:t>
            </w:r>
          </w:p>
        </w:tc>
      </w:tr>
      <w:tr w:rsidR="00F65225" w:rsidRPr="00D42A26" w:rsidTr="007C70C1">
        <w:tc>
          <w:tcPr>
            <w:tcW w:w="6492" w:type="dxa"/>
            <w:gridSpan w:val="7"/>
            <w:tcBorders>
              <w:bottom w:val="single" w:sz="4" w:space="0" w:color="auto"/>
              <w:right w:val="single" w:sz="24" w:space="0" w:color="auto"/>
            </w:tcBorders>
            <w:shd w:val="clear" w:color="auto" w:fill="auto"/>
            <w:vAlign w:val="bottom"/>
          </w:tcPr>
          <w:p w:rsidR="00F65225" w:rsidRPr="00D42A26" w:rsidRDefault="00F65225" w:rsidP="007C70C1">
            <w:pPr>
              <w:tabs>
                <w:tab w:val="left" w:pos="957"/>
              </w:tabs>
              <w:ind w:right="-24"/>
              <w:jc w:val="right"/>
              <w:rPr>
                <w:b/>
                <w:i/>
                <w:color w:val="000000"/>
                <w:sz w:val="22"/>
              </w:rPr>
            </w:pPr>
            <w:r w:rsidRPr="00D42A26">
              <w:rPr>
                <w:b/>
                <w:i/>
                <w:color w:val="000000"/>
                <w:sz w:val="22"/>
              </w:rPr>
              <w:t>Subtotal: $</w:t>
            </w:r>
            <w:r w:rsidR="00A32948" w:rsidRPr="00A32948">
              <w:rPr>
                <w:b/>
                <w:i/>
                <w:color w:val="000000"/>
                <w:sz w:val="22"/>
              </w:rPr>
              <w:t>32,125</w:t>
            </w:r>
          </w:p>
        </w:tc>
        <w:tc>
          <w:tcPr>
            <w:tcW w:w="3084" w:type="dxa"/>
            <w:gridSpan w:val="3"/>
            <w:tcBorders>
              <w:left w:val="single" w:sz="24" w:space="0" w:color="auto"/>
              <w:bottom w:val="single" w:sz="4" w:space="0" w:color="auto"/>
            </w:tcBorders>
            <w:shd w:val="clear" w:color="auto" w:fill="auto"/>
            <w:vAlign w:val="bottom"/>
          </w:tcPr>
          <w:p w:rsidR="00F65225" w:rsidRPr="00D42A26" w:rsidRDefault="00F65225" w:rsidP="00BC06F1">
            <w:pPr>
              <w:tabs>
                <w:tab w:val="left" w:pos="957"/>
              </w:tabs>
              <w:jc w:val="right"/>
              <w:rPr>
                <w:b/>
                <w:i/>
                <w:color w:val="000000"/>
                <w:sz w:val="22"/>
              </w:rPr>
            </w:pPr>
            <w:r w:rsidRPr="00D42A26">
              <w:rPr>
                <w:b/>
                <w:i/>
                <w:color w:val="000000"/>
                <w:sz w:val="22"/>
              </w:rPr>
              <w:t>Subtotal: $</w:t>
            </w:r>
            <w:r w:rsidR="00375655" w:rsidRPr="00375655">
              <w:rPr>
                <w:b/>
                <w:i/>
                <w:color w:val="000000"/>
                <w:sz w:val="22"/>
              </w:rPr>
              <w:t>2,970</w:t>
            </w:r>
          </w:p>
        </w:tc>
      </w:tr>
      <w:tr w:rsidR="00F65225" w:rsidRPr="00D42A26" w:rsidTr="007C70C1">
        <w:tc>
          <w:tcPr>
            <w:tcW w:w="9576" w:type="dxa"/>
            <w:gridSpan w:val="10"/>
            <w:tcBorders>
              <w:top w:val="single" w:sz="4" w:space="0" w:color="auto"/>
              <w:left w:val="single" w:sz="4" w:space="0" w:color="auto"/>
              <w:bottom w:val="single" w:sz="4" w:space="0" w:color="auto"/>
              <w:right w:val="single" w:sz="4" w:space="0" w:color="auto"/>
            </w:tcBorders>
            <w:shd w:val="clear" w:color="auto" w:fill="E6E6E6"/>
          </w:tcPr>
          <w:p w:rsidR="00F65225" w:rsidRPr="00D42A26" w:rsidRDefault="00F65225" w:rsidP="00BC06F1">
            <w:pPr>
              <w:jc w:val="center"/>
              <w:rPr>
                <w:b/>
                <w:smallCaps/>
                <w:color w:val="000000"/>
                <w:sz w:val="22"/>
              </w:rPr>
            </w:pPr>
            <w:r w:rsidRPr="00D42A26">
              <w:rPr>
                <w:b/>
                <w:smallCaps/>
                <w:color w:val="000000"/>
                <w:sz w:val="22"/>
              </w:rPr>
              <w:t>COSTS</w:t>
            </w:r>
          </w:p>
        </w:tc>
      </w:tr>
      <w:tr w:rsidR="00F65225" w:rsidRPr="00D42A26" w:rsidTr="007C70C1">
        <w:tc>
          <w:tcPr>
            <w:tcW w:w="1407" w:type="dxa"/>
            <w:tcBorders>
              <w:top w:val="single" w:sz="4" w:space="0" w:color="auto"/>
              <w:bottom w:val="single" w:sz="4" w:space="0" w:color="auto"/>
            </w:tcBorders>
            <w:shd w:val="clear" w:color="auto" w:fill="auto"/>
          </w:tcPr>
          <w:p w:rsidR="00F65225" w:rsidRPr="00D42A26" w:rsidRDefault="00F65225" w:rsidP="00BC06F1">
            <w:pPr>
              <w:jc w:val="center"/>
              <w:rPr>
                <w:b/>
                <w:color w:val="000000"/>
                <w:sz w:val="22"/>
              </w:rPr>
            </w:pPr>
            <w:r w:rsidRPr="00D42A26">
              <w:rPr>
                <w:b/>
                <w:color w:val="000000"/>
                <w:sz w:val="22"/>
              </w:rPr>
              <w:t>#</w:t>
            </w:r>
          </w:p>
        </w:tc>
        <w:tc>
          <w:tcPr>
            <w:tcW w:w="1303" w:type="dxa"/>
            <w:gridSpan w:val="2"/>
            <w:tcBorders>
              <w:top w:val="single" w:sz="4" w:space="0" w:color="auto"/>
              <w:bottom w:val="single" w:sz="4" w:space="0" w:color="auto"/>
            </w:tcBorders>
            <w:shd w:val="clear" w:color="auto" w:fill="auto"/>
          </w:tcPr>
          <w:p w:rsidR="00F65225" w:rsidRPr="00D42A26" w:rsidRDefault="00F65225" w:rsidP="00BC06F1">
            <w:pPr>
              <w:jc w:val="center"/>
              <w:rPr>
                <w:b/>
                <w:color w:val="000000"/>
                <w:sz w:val="22"/>
              </w:rPr>
            </w:pPr>
            <w:r w:rsidRPr="00D42A26">
              <w:rPr>
                <w:b/>
                <w:color w:val="000000"/>
                <w:sz w:val="22"/>
              </w:rPr>
              <w:t>Item</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cPr>
          <w:p w:rsidR="00F65225" w:rsidRPr="00D42A26" w:rsidRDefault="00F65225" w:rsidP="00BC06F1">
            <w:pPr>
              <w:jc w:val="center"/>
              <w:rPr>
                <w:b/>
                <w:color w:val="000000"/>
                <w:sz w:val="22"/>
              </w:rPr>
            </w:pPr>
            <w:r w:rsidRPr="00D42A26">
              <w:rPr>
                <w:b/>
                <w:color w:val="000000"/>
                <w:sz w:val="22"/>
              </w:rPr>
              <w:t>Detail</w:t>
            </w:r>
          </w:p>
        </w:tc>
        <w:tc>
          <w:tcPr>
            <w:tcW w:w="1253" w:type="dxa"/>
            <w:tcBorders>
              <w:top w:val="single" w:sz="4" w:space="0" w:color="auto"/>
              <w:left w:val="single" w:sz="4" w:space="0" w:color="auto"/>
              <w:bottom w:val="single" w:sz="4" w:space="0" w:color="auto"/>
              <w:right w:val="single" w:sz="24" w:space="0" w:color="auto"/>
            </w:tcBorders>
            <w:shd w:val="clear" w:color="auto" w:fill="auto"/>
          </w:tcPr>
          <w:p w:rsidR="00F65225" w:rsidRPr="00D42A26" w:rsidRDefault="00F65225" w:rsidP="00BC06F1">
            <w:pPr>
              <w:jc w:val="center"/>
              <w:rPr>
                <w:b/>
                <w:color w:val="000000"/>
                <w:sz w:val="22"/>
              </w:rPr>
            </w:pPr>
            <w:r w:rsidRPr="00D42A26">
              <w:rPr>
                <w:b/>
                <w:color w:val="000000"/>
                <w:sz w:val="22"/>
              </w:rPr>
              <w:t>Amount</w:t>
            </w:r>
          </w:p>
        </w:tc>
        <w:tc>
          <w:tcPr>
            <w:tcW w:w="3084" w:type="dxa"/>
            <w:gridSpan w:val="3"/>
            <w:tcBorders>
              <w:top w:val="single" w:sz="4" w:space="0" w:color="auto"/>
              <w:left w:val="single" w:sz="24" w:space="0" w:color="auto"/>
            </w:tcBorders>
            <w:shd w:val="clear" w:color="auto" w:fill="auto"/>
          </w:tcPr>
          <w:p w:rsidR="00F65225" w:rsidRPr="00D42A26" w:rsidRDefault="00F65225" w:rsidP="00BC06F1">
            <w:pPr>
              <w:jc w:val="center"/>
              <w:rPr>
                <w:b/>
                <w:color w:val="000000"/>
                <w:sz w:val="22"/>
              </w:rPr>
            </w:pPr>
            <w:r w:rsidRPr="00D42A26">
              <w:rPr>
                <w:b/>
                <w:color w:val="000000"/>
                <w:sz w:val="22"/>
              </w:rPr>
              <w:t>Amount</w:t>
            </w:r>
          </w:p>
        </w:tc>
      </w:tr>
      <w:tr w:rsidR="00F65225" w:rsidRPr="00D42A26" w:rsidTr="007C70C1">
        <w:tc>
          <w:tcPr>
            <w:tcW w:w="1407" w:type="dxa"/>
            <w:tcBorders>
              <w:bottom w:val="single" w:sz="4" w:space="0" w:color="auto"/>
            </w:tcBorders>
            <w:shd w:val="clear" w:color="auto" w:fill="CCFFCC"/>
          </w:tcPr>
          <w:p w:rsidR="00F65225" w:rsidRPr="00D42A26" w:rsidRDefault="00F65225" w:rsidP="00BC06F1">
            <w:pPr>
              <w:jc w:val="center"/>
              <w:rPr>
                <w:color w:val="000000"/>
                <w:sz w:val="22"/>
              </w:rPr>
            </w:pPr>
          </w:p>
        </w:tc>
        <w:tc>
          <w:tcPr>
            <w:tcW w:w="1303" w:type="dxa"/>
            <w:gridSpan w:val="2"/>
            <w:tcBorders>
              <w:bottom w:val="single" w:sz="4" w:space="0" w:color="auto"/>
            </w:tcBorders>
            <w:shd w:val="clear" w:color="auto" w:fill="CCFFCC"/>
          </w:tcPr>
          <w:p w:rsidR="00F65225" w:rsidRPr="00D42A26" w:rsidRDefault="00F65225" w:rsidP="00BC06F1">
            <w:pPr>
              <w:rPr>
                <w:color w:val="000000"/>
                <w:sz w:val="22"/>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CCFFCC"/>
          </w:tcPr>
          <w:p w:rsidR="00F65225" w:rsidRPr="00D42A26" w:rsidRDefault="00F65225" w:rsidP="00BC06F1">
            <w:pPr>
              <w:rPr>
                <w:color w:val="000000"/>
                <w:sz w:val="22"/>
              </w:rPr>
            </w:pPr>
          </w:p>
        </w:tc>
        <w:tc>
          <w:tcPr>
            <w:tcW w:w="1253" w:type="dxa"/>
            <w:tcBorders>
              <w:top w:val="single" w:sz="4" w:space="0" w:color="auto"/>
              <w:left w:val="single" w:sz="4" w:space="0" w:color="auto"/>
              <w:bottom w:val="single" w:sz="4" w:space="0" w:color="auto"/>
              <w:right w:val="single" w:sz="24" w:space="0" w:color="auto"/>
            </w:tcBorders>
            <w:shd w:val="clear" w:color="auto" w:fill="CCFFCC"/>
          </w:tcPr>
          <w:p w:rsidR="00F65225" w:rsidRPr="007C70C1" w:rsidRDefault="00375655" w:rsidP="00BC06F1">
            <w:pPr>
              <w:jc w:val="right"/>
              <w:rPr>
                <w:i/>
                <w:color w:val="000000"/>
                <w:sz w:val="22"/>
              </w:rPr>
            </w:pPr>
            <w:r w:rsidRPr="007C70C1">
              <w:rPr>
                <w:i/>
                <w:color w:val="000000"/>
                <w:sz w:val="22"/>
              </w:rPr>
              <w:t>$0</w:t>
            </w:r>
          </w:p>
        </w:tc>
        <w:tc>
          <w:tcPr>
            <w:tcW w:w="3084" w:type="dxa"/>
            <w:gridSpan w:val="3"/>
            <w:tcBorders>
              <w:left w:val="single" w:sz="24" w:space="0" w:color="auto"/>
            </w:tcBorders>
            <w:shd w:val="clear" w:color="auto" w:fill="auto"/>
          </w:tcPr>
          <w:p w:rsidR="00F65225" w:rsidRPr="007C70C1" w:rsidRDefault="00375655" w:rsidP="007C70C1">
            <w:pPr>
              <w:jc w:val="right"/>
              <w:rPr>
                <w:i/>
                <w:color w:val="000000"/>
                <w:sz w:val="22"/>
              </w:rPr>
            </w:pPr>
            <w:r w:rsidRPr="007C70C1">
              <w:rPr>
                <w:i/>
                <w:color w:val="000000"/>
                <w:sz w:val="22"/>
              </w:rPr>
              <w:t>$0</w:t>
            </w:r>
          </w:p>
        </w:tc>
      </w:tr>
      <w:tr w:rsidR="00F65225" w:rsidRPr="00D42A26" w:rsidTr="007C70C1">
        <w:tc>
          <w:tcPr>
            <w:tcW w:w="6492" w:type="dxa"/>
            <w:gridSpan w:val="7"/>
            <w:tcBorders>
              <w:top w:val="single" w:sz="4" w:space="0" w:color="auto"/>
              <w:bottom w:val="single" w:sz="4" w:space="0" w:color="auto"/>
              <w:right w:val="single" w:sz="24" w:space="0" w:color="auto"/>
            </w:tcBorders>
            <w:shd w:val="clear" w:color="auto" w:fill="E6E6E6"/>
            <w:vAlign w:val="bottom"/>
          </w:tcPr>
          <w:p w:rsidR="00F65225" w:rsidRPr="00D42A26" w:rsidRDefault="00F65225" w:rsidP="007C70C1">
            <w:pPr>
              <w:tabs>
                <w:tab w:val="left" w:pos="957"/>
              </w:tabs>
              <w:jc w:val="right"/>
              <w:rPr>
                <w:b/>
                <w:i/>
                <w:color w:val="000000"/>
                <w:sz w:val="22"/>
              </w:rPr>
            </w:pPr>
            <w:r w:rsidRPr="00D42A26">
              <w:rPr>
                <w:b/>
                <w:i/>
                <w:color w:val="000000"/>
                <w:sz w:val="22"/>
              </w:rPr>
              <w:t>TOTAL REQUEST: $</w:t>
            </w:r>
            <w:r w:rsidR="00FB2E11" w:rsidRPr="00FB2E11">
              <w:rPr>
                <w:b/>
                <w:i/>
                <w:color w:val="000000"/>
                <w:sz w:val="22"/>
              </w:rPr>
              <w:t>591,995</w:t>
            </w:r>
          </w:p>
        </w:tc>
        <w:tc>
          <w:tcPr>
            <w:tcW w:w="3084" w:type="dxa"/>
            <w:gridSpan w:val="3"/>
            <w:tcBorders>
              <w:left w:val="single" w:sz="24" w:space="0" w:color="auto"/>
            </w:tcBorders>
            <w:shd w:val="clear" w:color="auto" w:fill="E6E6E6"/>
            <w:vAlign w:val="bottom"/>
          </w:tcPr>
          <w:p w:rsidR="00F65225" w:rsidRPr="00D42A26" w:rsidRDefault="00F65225" w:rsidP="00BC06F1">
            <w:pPr>
              <w:tabs>
                <w:tab w:val="left" w:pos="957"/>
              </w:tabs>
              <w:jc w:val="right"/>
              <w:rPr>
                <w:b/>
                <w:i/>
                <w:color w:val="000000"/>
                <w:sz w:val="22"/>
              </w:rPr>
            </w:pPr>
            <w:r w:rsidRPr="00D42A26">
              <w:rPr>
                <w:b/>
                <w:i/>
                <w:color w:val="000000"/>
                <w:sz w:val="22"/>
              </w:rPr>
              <w:t>TOTAL AWARD: $</w:t>
            </w:r>
            <w:r w:rsidR="00375655" w:rsidRPr="00375655">
              <w:rPr>
                <w:b/>
                <w:i/>
                <w:color w:val="000000"/>
                <w:sz w:val="22"/>
              </w:rPr>
              <w:t>33,855</w:t>
            </w:r>
          </w:p>
        </w:tc>
      </w:tr>
    </w:tbl>
    <w:p w:rsidR="00BC06F1" w:rsidRDefault="00BC0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1"/>
        <w:gridCol w:w="1566"/>
        <w:gridCol w:w="1151"/>
        <w:gridCol w:w="2958"/>
      </w:tblGrid>
      <w:tr w:rsidR="00BF770C" w:rsidRPr="00670B2D" w:rsidTr="00BC06F1">
        <w:tc>
          <w:tcPr>
            <w:tcW w:w="9576" w:type="dxa"/>
            <w:gridSpan w:val="4"/>
            <w:tcBorders>
              <w:top w:val="single" w:sz="4" w:space="0" w:color="auto"/>
              <w:left w:val="single" w:sz="4" w:space="0" w:color="auto"/>
              <w:bottom w:val="single" w:sz="4" w:space="0" w:color="auto"/>
              <w:right w:val="single" w:sz="4" w:space="0" w:color="auto"/>
            </w:tcBorders>
            <w:shd w:val="clear" w:color="auto" w:fill="E6E6E6"/>
          </w:tcPr>
          <w:p w:rsidR="00BF770C" w:rsidRPr="00670B2D" w:rsidRDefault="00BF770C" w:rsidP="00BC06F1">
            <w:pPr>
              <w:jc w:val="center"/>
              <w:rPr>
                <w:b/>
                <w:smallCaps/>
                <w:color w:val="000000"/>
                <w:sz w:val="24"/>
              </w:rPr>
            </w:pPr>
            <w:r w:rsidRPr="00670B2D">
              <w:rPr>
                <w:b/>
                <w:smallCaps/>
                <w:color w:val="000000"/>
                <w:sz w:val="24"/>
              </w:rPr>
              <w:t>ATTORNEY INFORMATION</w:t>
            </w:r>
          </w:p>
        </w:tc>
      </w:tr>
      <w:tr w:rsidR="00BF770C" w:rsidRPr="00670B2D" w:rsidTr="00BC06F1">
        <w:tc>
          <w:tcPr>
            <w:tcW w:w="3901" w:type="dxa"/>
            <w:tcBorders>
              <w:top w:val="single" w:sz="4" w:space="0" w:color="auto"/>
              <w:bottom w:val="single" w:sz="4" w:space="0" w:color="auto"/>
            </w:tcBorders>
            <w:shd w:val="clear" w:color="auto" w:fill="FFFFFF"/>
          </w:tcPr>
          <w:p w:rsidR="00BF770C" w:rsidRPr="00670B2D" w:rsidRDefault="00BF770C" w:rsidP="00BC06F1">
            <w:pPr>
              <w:keepNext/>
              <w:keepLines/>
              <w:jc w:val="center"/>
              <w:rPr>
                <w:b/>
                <w:color w:val="000000"/>
                <w:sz w:val="24"/>
                <w:szCs w:val="22"/>
              </w:rPr>
            </w:pPr>
            <w:r w:rsidRPr="00670B2D">
              <w:rPr>
                <w:b/>
                <w:sz w:val="24"/>
                <w:szCs w:val="22"/>
              </w:rPr>
              <w:t>Attorney</w:t>
            </w:r>
          </w:p>
        </w:tc>
        <w:tc>
          <w:tcPr>
            <w:tcW w:w="1566" w:type="dxa"/>
            <w:tcBorders>
              <w:top w:val="single" w:sz="4" w:space="0" w:color="auto"/>
              <w:bottom w:val="single" w:sz="4" w:space="0" w:color="auto"/>
            </w:tcBorders>
            <w:shd w:val="clear" w:color="auto" w:fill="FFFFFF"/>
          </w:tcPr>
          <w:p w:rsidR="00BF770C" w:rsidRPr="00670B2D" w:rsidRDefault="00BF770C" w:rsidP="00BC06F1">
            <w:pPr>
              <w:keepNext/>
              <w:keepLines/>
              <w:jc w:val="center"/>
              <w:rPr>
                <w:b/>
                <w:color w:val="000000"/>
                <w:sz w:val="24"/>
                <w:szCs w:val="22"/>
              </w:rPr>
            </w:pPr>
            <w:r w:rsidRPr="00670B2D">
              <w:rPr>
                <w:b/>
                <w:sz w:val="24"/>
                <w:szCs w:val="22"/>
              </w:rPr>
              <w:t>Date Admitted to CA BAR</w:t>
            </w:r>
            <w:r w:rsidRPr="00670B2D">
              <w:rPr>
                <w:rStyle w:val="FootnoteReference"/>
                <w:b/>
                <w:szCs w:val="22"/>
              </w:rPr>
              <w:footnoteReference w:id="47"/>
            </w:r>
          </w:p>
        </w:tc>
        <w:tc>
          <w:tcPr>
            <w:tcW w:w="1151" w:type="dxa"/>
            <w:tcBorders>
              <w:top w:val="single" w:sz="4" w:space="0" w:color="auto"/>
              <w:bottom w:val="single" w:sz="4" w:space="0" w:color="auto"/>
            </w:tcBorders>
            <w:shd w:val="clear" w:color="auto" w:fill="FFFFFF"/>
          </w:tcPr>
          <w:p w:rsidR="00BF770C" w:rsidRPr="00670B2D" w:rsidRDefault="00BF770C" w:rsidP="00BC06F1">
            <w:pPr>
              <w:keepNext/>
              <w:keepLines/>
              <w:jc w:val="center"/>
              <w:rPr>
                <w:b/>
                <w:color w:val="000000"/>
                <w:sz w:val="24"/>
                <w:szCs w:val="22"/>
              </w:rPr>
            </w:pPr>
            <w:r w:rsidRPr="00670B2D">
              <w:rPr>
                <w:b/>
                <w:sz w:val="24"/>
                <w:szCs w:val="22"/>
              </w:rPr>
              <w:t>Member Number</w:t>
            </w:r>
          </w:p>
        </w:tc>
        <w:tc>
          <w:tcPr>
            <w:tcW w:w="2958" w:type="dxa"/>
            <w:tcBorders>
              <w:top w:val="single" w:sz="4" w:space="0" w:color="auto"/>
              <w:bottom w:val="single" w:sz="4" w:space="0" w:color="auto"/>
            </w:tcBorders>
            <w:shd w:val="clear" w:color="auto" w:fill="FFFFFF"/>
          </w:tcPr>
          <w:p w:rsidR="00BF770C" w:rsidRPr="00670B2D" w:rsidRDefault="00BF770C" w:rsidP="00BC06F1">
            <w:pPr>
              <w:keepNext/>
              <w:keepLines/>
              <w:jc w:val="center"/>
              <w:rPr>
                <w:b/>
                <w:sz w:val="24"/>
                <w:szCs w:val="22"/>
              </w:rPr>
            </w:pPr>
            <w:r w:rsidRPr="00670B2D">
              <w:rPr>
                <w:b/>
                <w:sz w:val="24"/>
                <w:szCs w:val="22"/>
              </w:rPr>
              <w:t>Actions Affecting Eligibility (Yes/No?)</w:t>
            </w:r>
          </w:p>
          <w:p w:rsidR="00BF770C" w:rsidRPr="00670B2D" w:rsidRDefault="00BF770C" w:rsidP="00BC06F1">
            <w:pPr>
              <w:keepNext/>
              <w:keepLines/>
              <w:jc w:val="center"/>
              <w:rPr>
                <w:b/>
                <w:color w:val="000000"/>
                <w:sz w:val="24"/>
                <w:szCs w:val="22"/>
              </w:rPr>
            </w:pPr>
            <w:r w:rsidRPr="00670B2D">
              <w:rPr>
                <w:b/>
                <w:sz w:val="24"/>
                <w:szCs w:val="22"/>
              </w:rPr>
              <w:t>If “Yes”, attach explanation</w:t>
            </w:r>
          </w:p>
        </w:tc>
      </w:tr>
      <w:tr w:rsidR="00BF770C" w:rsidRPr="00670B2D" w:rsidTr="00BC06F1">
        <w:tc>
          <w:tcPr>
            <w:tcW w:w="3901" w:type="dxa"/>
            <w:tcBorders>
              <w:top w:val="single" w:sz="4" w:space="0" w:color="auto"/>
              <w:bottom w:val="single" w:sz="4" w:space="0" w:color="auto"/>
            </w:tcBorders>
            <w:shd w:val="clear" w:color="auto" w:fill="CCFFCC"/>
          </w:tcPr>
          <w:p w:rsidR="00BF770C" w:rsidRPr="00670B2D" w:rsidRDefault="00A03B75">
            <w:pPr>
              <w:keepNext/>
              <w:keepLines/>
              <w:jc w:val="center"/>
              <w:rPr>
                <w:color w:val="000000"/>
                <w:sz w:val="24"/>
              </w:rPr>
            </w:pPr>
            <w:r w:rsidRPr="00A03B75">
              <w:rPr>
                <w:color w:val="000000"/>
                <w:sz w:val="24"/>
              </w:rPr>
              <w:t>Scott Rafferty</w:t>
            </w:r>
          </w:p>
        </w:tc>
        <w:tc>
          <w:tcPr>
            <w:tcW w:w="1566" w:type="dxa"/>
            <w:tcBorders>
              <w:top w:val="single" w:sz="4" w:space="0" w:color="auto"/>
              <w:bottom w:val="single" w:sz="4" w:space="0" w:color="auto"/>
            </w:tcBorders>
            <w:shd w:val="clear" w:color="auto" w:fill="CCFFCC"/>
          </w:tcPr>
          <w:p w:rsidR="00BF770C" w:rsidRPr="00670B2D" w:rsidRDefault="00A03B75" w:rsidP="00BC06F1">
            <w:pPr>
              <w:keepNext/>
              <w:keepLines/>
              <w:jc w:val="center"/>
              <w:rPr>
                <w:color w:val="000000"/>
                <w:sz w:val="24"/>
              </w:rPr>
            </w:pPr>
            <w:r>
              <w:rPr>
                <w:color w:val="000000"/>
                <w:sz w:val="24"/>
              </w:rPr>
              <w:t>2003</w:t>
            </w:r>
          </w:p>
        </w:tc>
        <w:tc>
          <w:tcPr>
            <w:tcW w:w="1151" w:type="dxa"/>
            <w:tcBorders>
              <w:top w:val="single" w:sz="4" w:space="0" w:color="auto"/>
              <w:bottom w:val="single" w:sz="4" w:space="0" w:color="auto"/>
            </w:tcBorders>
            <w:shd w:val="clear" w:color="auto" w:fill="CCFFCC"/>
          </w:tcPr>
          <w:p w:rsidR="00BF770C" w:rsidRPr="00670B2D" w:rsidRDefault="00A03B75" w:rsidP="00BC06F1">
            <w:pPr>
              <w:keepNext/>
              <w:keepLines/>
              <w:jc w:val="center"/>
              <w:rPr>
                <w:color w:val="000000"/>
                <w:sz w:val="24"/>
              </w:rPr>
            </w:pPr>
            <w:r>
              <w:rPr>
                <w:color w:val="000000"/>
                <w:sz w:val="24"/>
              </w:rPr>
              <w:t>224389</w:t>
            </w:r>
          </w:p>
        </w:tc>
        <w:tc>
          <w:tcPr>
            <w:tcW w:w="2958" w:type="dxa"/>
            <w:tcBorders>
              <w:top w:val="single" w:sz="4" w:space="0" w:color="auto"/>
              <w:bottom w:val="single" w:sz="4" w:space="0" w:color="auto"/>
            </w:tcBorders>
            <w:shd w:val="clear" w:color="auto" w:fill="CCFFCC"/>
          </w:tcPr>
          <w:p w:rsidR="00BF770C" w:rsidRPr="00670B2D" w:rsidRDefault="00A03B75" w:rsidP="00BC06F1">
            <w:pPr>
              <w:keepNext/>
              <w:keepLines/>
              <w:jc w:val="center"/>
              <w:rPr>
                <w:color w:val="000000"/>
                <w:sz w:val="24"/>
              </w:rPr>
            </w:pPr>
            <w:r>
              <w:rPr>
                <w:color w:val="000000"/>
                <w:sz w:val="24"/>
              </w:rPr>
              <w:t>No</w:t>
            </w:r>
          </w:p>
        </w:tc>
      </w:tr>
    </w:tbl>
    <w:p w:rsidR="00BF770C" w:rsidRDefault="00BF770C" w:rsidP="00931F0F">
      <w:pPr>
        <w:pStyle w:val="standard"/>
      </w:pPr>
    </w:p>
    <w:p w:rsidR="00931F0F" w:rsidRPr="001E7806" w:rsidRDefault="00931F0F" w:rsidP="00B04C35">
      <w:pPr>
        <w:pStyle w:val="standard"/>
        <w:spacing w:before="120"/>
      </w:pPr>
      <w:r w:rsidRPr="001E7806">
        <w:lastRenderedPageBreak/>
        <w:t xml:space="preserve">Pursuant to § 1807, we order </w:t>
      </w:r>
      <w:r w:rsidR="00B04C35">
        <w:t>PG&amp;E</w:t>
      </w:r>
      <w:r w:rsidRPr="001E7806">
        <w:t xml:space="preserve"> to pay this award.  Consistent with previous Commission decisions, we order that interest be paid on the award amount at the rate earned on prime, three</w:t>
      </w:r>
      <w:r w:rsidRPr="001E7806">
        <w:noBreakHyphen/>
        <w:t xml:space="preserve">month commercial paper, as reported in Federal Reserve Statistical Release H.15 commencing on </w:t>
      </w:r>
      <w:r w:rsidR="00B04C35">
        <w:t>September 30, 2017</w:t>
      </w:r>
      <w:r w:rsidRPr="001E7806">
        <w:t>, the 75</w:t>
      </w:r>
      <w:r w:rsidRPr="001E7806">
        <w:rPr>
          <w:vertAlign w:val="superscript"/>
        </w:rPr>
        <w:t>th</w:t>
      </w:r>
      <w:r w:rsidRPr="001E7806">
        <w:t xml:space="preserve"> day after </w:t>
      </w:r>
      <w:r w:rsidR="00B04C35">
        <w:t>Rafferty</w:t>
      </w:r>
      <w:r w:rsidRPr="001E7806">
        <w:t xml:space="preserve"> filed </w:t>
      </w:r>
      <w:r w:rsidR="00B04C35">
        <w:t>his</w:t>
      </w:r>
      <w:r w:rsidRPr="001E7806">
        <w:t xml:space="preserve"> compensation request, and continuing until full</w:t>
      </w:r>
      <w:r w:rsidR="005A6EC5" w:rsidRPr="001E7806">
        <w:t xml:space="preserve"> payment of the award is made.</w:t>
      </w:r>
    </w:p>
    <w:p w:rsidR="00B026A3" w:rsidRDefault="00931F0F" w:rsidP="007C70C1">
      <w:pPr>
        <w:pStyle w:val="standard"/>
      </w:pPr>
      <w:r w:rsidRPr="001E7806">
        <w:t xml:space="preserve">We remind all intervenors that Commission staff may audit their records related to the award and that intervenors must make and retain adequate accounting and other documentation to support all claims for intervenor compensation. </w:t>
      </w:r>
      <w:r w:rsidR="00B04C35">
        <w:t xml:space="preserve"> Rafferty</w:t>
      </w:r>
      <w:r w:rsidRPr="001E7806">
        <w:t xml:space="preserve">’s records should identify specific issues for which </w:t>
      </w:r>
      <w:r w:rsidR="00916A02">
        <w:t>he</w:t>
      </w:r>
      <w:r w:rsidRPr="001E7806">
        <w:t xml:space="preserve"> requested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w:t>
      </w:r>
      <w:r w:rsidR="005A6EC5" w:rsidRPr="001E7806">
        <w:t>inal decision making the award.</w:t>
      </w:r>
    </w:p>
    <w:p w:rsidR="00931F0F" w:rsidRDefault="00B026A3" w:rsidP="00B04C35">
      <w:pPr>
        <w:pStyle w:val="Heading1"/>
      </w:pPr>
      <w:bookmarkStart w:id="67" w:name="_Toc509589644"/>
      <w:r>
        <w:t>Comment</w:t>
      </w:r>
      <w:r w:rsidR="00DC6587">
        <w:t xml:space="preserve"> Period</w:t>
      </w:r>
      <w:bookmarkEnd w:id="67"/>
    </w:p>
    <w:p w:rsidR="00DC6587" w:rsidRPr="002A478C" w:rsidRDefault="00DC6587" w:rsidP="00DC6587">
      <w:pPr>
        <w:pStyle w:val="standard"/>
      </w:pPr>
      <w:r>
        <w:t xml:space="preserve">The proposed decision of the ALJ in this matter was mailed to the parties in accordance with Section 311 of the Public Utilities Code and comments were allowed under Rule 14.3 of the Commission’s Rules of Practice and Procedure.  Comments were filed on ____________, and reply comments were filed on __________________.  </w:t>
      </w:r>
    </w:p>
    <w:p w:rsidR="00931F0F" w:rsidRPr="001E7806" w:rsidRDefault="00931F0F" w:rsidP="00B04C35">
      <w:pPr>
        <w:pStyle w:val="Heading1"/>
      </w:pPr>
      <w:bookmarkStart w:id="68" w:name="_Toc509589645"/>
      <w:r w:rsidRPr="001E7806">
        <w:t>Assignment of Proceeding</w:t>
      </w:r>
      <w:bookmarkEnd w:id="68"/>
    </w:p>
    <w:p w:rsidR="00931F0F" w:rsidRPr="00931F0F" w:rsidRDefault="00B04C35" w:rsidP="00B04C35">
      <w:pPr>
        <w:pStyle w:val="standard"/>
      </w:pPr>
      <w:r>
        <w:t>Michael J. Picker</w:t>
      </w:r>
      <w:r w:rsidR="00931F0F" w:rsidRPr="001E7806">
        <w:t xml:space="preserve"> is the assigned Commissioner, and </w:t>
      </w:r>
      <w:r>
        <w:t>Stephen C. Roscow</w:t>
      </w:r>
      <w:r w:rsidR="00931F0F" w:rsidRPr="001E7806">
        <w:t xml:space="preserve"> is the assigned A</w:t>
      </w:r>
      <w:r w:rsidR="0010374D">
        <w:t xml:space="preserve">dministrative Law Judge </w:t>
      </w:r>
      <w:r w:rsidR="00931F0F" w:rsidRPr="001E7806">
        <w:t>in this proceeding.</w:t>
      </w:r>
      <w:r w:rsidR="00931F0F" w:rsidRPr="00931F0F">
        <w:t xml:space="preserve">  </w:t>
      </w:r>
    </w:p>
    <w:p w:rsidR="00931F0F" w:rsidRPr="0010374D" w:rsidRDefault="00931F0F" w:rsidP="0010374D">
      <w:pPr>
        <w:pStyle w:val="Heading1"/>
        <w:numPr>
          <w:ilvl w:val="0"/>
          <w:numId w:val="0"/>
        </w:numPr>
        <w:ind w:left="720" w:hanging="720"/>
      </w:pPr>
      <w:bookmarkStart w:id="69" w:name="_Toc450990219"/>
      <w:bookmarkStart w:id="70" w:name="_Toc451151266"/>
      <w:bookmarkStart w:id="71" w:name="_Toc509589646"/>
      <w:r w:rsidRPr="00931F0F">
        <w:lastRenderedPageBreak/>
        <w:t>Findings of Fact</w:t>
      </w:r>
      <w:bookmarkEnd w:id="69"/>
      <w:bookmarkEnd w:id="70"/>
      <w:bookmarkEnd w:id="71"/>
    </w:p>
    <w:p w:rsidR="00AC3B8E" w:rsidRPr="00135655" w:rsidRDefault="00AC3B8E" w:rsidP="0010374D">
      <w:pPr>
        <w:pStyle w:val="standard"/>
        <w:numPr>
          <w:ilvl w:val="0"/>
          <w:numId w:val="1"/>
        </w:numPr>
        <w:ind w:firstLine="360"/>
      </w:pPr>
      <w:r w:rsidRPr="00135655">
        <w:t xml:space="preserve">Exhibit CAUSE-1, served April 29, 2016 does not provide </w:t>
      </w:r>
      <w:r w:rsidR="00135655" w:rsidRPr="00135655">
        <w:t>sufficient</w:t>
      </w:r>
      <w:r w:rsidRPr="00135655">
        <w:t xml:space="preserve"> foundation for </w:t>
      </w:r>
      <w:r w:rsidR="00B04C35" w:rsidRPr="00135655">
        <w:t>Scott J. Rafferty</w:t>
      </w:r>
      <w:r w:rsidRPr="00135655">
        <w:t>’s request for compensation</w:t>
      </w:r>
      <w:r w:rsidR="00B04C35" w:rsidRPr="00135655">
        <w:t>.</w:t>
      </w:r>
    </w:p>
    <w:p w:rsidR="00656402" w:rsidRDefault="00B04C35" w:rsidP="0010374D">
      <w:pPr>
        <w:pStyle w:val="standard"/>
        <w:numPr>
          <w:ilvl w:val="0"/>
          <w:numId w:val="1"/>
        </w:numPr>
        <w:ind w:firstLine="360"/>
      </w:pPr>
      <w:r>
        <w:t xml:space="preserve">Where specified in this decision, </w:t>
      </w:r>
      <w:r w:rsidR="00656402" w:rsidRPr="00656402">
        <w:t xml:space="preserve">Scott J. Rafferty </w:t>
      </w:r>
      <w:r w:rsidR="00656402">
        <w:t>has made a substantial contribution to D.17-05-013.</w:t>
      </w:r>
    </w:p>
    <w:p w:rsidR="00656402" w:rsidRDefault="00656402" w:rsidP="0010374D">
      <w:pPr>
        <w:pStyle w:val="standard"/>
        <w:numPr>
          <w:ilvl w:val="0"/>
          <w:numId w:val="1"/>
        </w:numPr>
        <w:ind w:firstLine="360"/>
      </w:pPr>
      <w:r>
        <w:t xml:space="preserve">The requested hourly rates for </w:t>
      </w:r>
      <w:r w:rsidRPr="00656402">
        <w:t>Scott J. Rafferty</w:t>
      </w:r>
      <w:r>
        <w:t xml:space="preserve">, as adjusted herein, are comparable to market rates paid to </w:t>
      </w:r>
      <w:r w:rsidR="00B04C35">
        <w:t>attorneys</w:t>
      </w:r>
      <w:r>
        <w:t xml:space="preserve"> having comparable training and experience and offering similar services.</w:t>
      </w:r>
    </w:p>
    <w:p w:rsidR="00656402" w:rsidRDefault="00656402" w:rsidP="0010374D">
      <w:pPr>
        <w:pStyle w:val="standard"/>
        <w:numPr>
          <w:ilvl w:val="0"/>
          <w:numId w:val="1"/>
        </w:numPr>
        <w:ind w:firstLine="360"/>
      </w:pPr>
      <w:r>
        <w:t xml:space="preserve">The claimed costs, as adjusted herein, are reasonable and commensurate with the work performed. </w:t>
      </w:r>
    </w:p>
    <w:p w:rsidR="0010374D" w:rsidRPr="00931F0F" w:rsidRDefault="00656402" w:rsidP="007C70C1">
      <w:pPr>
        <w:pStyle w:val="standard"/>
        <w:numPr>
          <w:ilvl w:val="0"/>
          <w:numId w:val="1"/>
        </w:numPr>
        <w:ind w:left="720" w:hanging="360"/>
      </w:pPr>
      <w:r w:rsidRPr="00B04C35">
        <w:t xml:space="preserve">The total of reasonable compensation is </w:t>
      </w:r>
      <w:r w:rsidR="00B04C35" w:rsidRPr="00B04C35">
        <w:t>$</w:t>
      </w:r>
      <w:r w:rsidR="00916A02" w:rsidRPr="00916A02">
        <w:t>33,855</w:t>
      </w:r>
      <w:r w:rsidRPr="00B04C35">
        <w:t>.</w:t>
      </w:r>
      <w:r w:rsidR="0010374D">
        <w:t xml:space="preserve"> </w:t>
      </w:r>
    </w:p>
    <w:p w:rsidR="00931F0F" w:rsidRPr="0010374D" w:rsidRDefault="00931F0F" w:rsidP="0010374D">
      <w:pPr>
        <w:pStyle w:val="Heading1"/>
        <w:numPr>
          <w:ilvl w:val="0"/>
          <w:numId w:val="0"/>
        </w:numPr>
        <w:ind w:left="720" w:hanging="720"/>
      </w:pPr>
      <w:bookmarkStart w:id="72" w:name="_Toc370798914"/>
      <w:bookmarkStart w:id="73" w:name="_Toc450990220"/>
      <w:bookmarkStart w:id="74" w:name="_Toc451151267"/>
      <w:bookmarkStart w:id="75" w:name="_Toc509589647"/>
      <w:r w:rsidRPr="00931F0F">
        <w:t>Conclusions of Law</w:t>
      </w:r>
      <w:bookmarkEnd w:id="72"/>
      <w:bookmarkEnd w:id="73"/>
      <w:bookmarkEnd w:id="74"/>
      <w:bookmarkEnd w:id="75"/>
    </w:p>
    <w:p w:rsidR="00656402" w:rsidRDefault="00656402" w:rsidP="00E8478A">
      <w:pPr>
        <w:pStyle w:val="standard"/>
        <w:numPr>
          <w:ilvl w:val="0"/>
          <w:numId w:val="11"/>
        </w:numPr>
        <w:ind w:firstLine="360"/>
      </w:pPr>
      <w:r>
        <w:t xml:space="preserve">The Claim, with </w:t>
      </w:r>
      <w:r w:rsidR="00B04C35">
        <w:t>the</w:t>
      </w:r>
      <w:r>
        <w:t xml:space="preserve"> adjustment</w:t>
      </w:r>
      <w:r w:rsidR="00B04C35">
        <w:t>s</w:t>
      </w:r>
      <w:r>
        <w:t xml:space="preserve"> set forth above, satisfies all requirements of Pub. Util. Code §§ 1801-1812.</w:t>
      </w:r>
    </w:p>
    <w:p w:rsidR="00B04C35" w:rsidRDefault="00B04C35" w:rsidP="00E8478A">
      <w:pPr>
        <w:pStyle w:val="standard"/>
        <w:numPr>
          <w:ilvl w:val="0"/>
          <w:numId w:val="11"/>
        </w:numPr>
        <w:ind w:firstLine="360"/>
      </w:pPr>
      <w:r>
        <w:t xml:space="preserve">General Order 66-C § 2.2 excludes from public inspection “[r]ecords or information of a confidential nature furnished to, or obtained by the Commission.”  </w:t>
      </w:r>
      <w:r w:rsidR="00916A02">
        <w:t xml:space="preserve">The </w:t>
      </w:r>
      <w:r>
        <w:t xml:space="preserve">personal financial information </w:t>
      </w:r>
      <w:r w:rsidR="00916A02">
        <w:t xml:space="preserve">filed by Scott J. Rafferty </w:t>
      </w:r>
      <w:r>
        <w:t>is confidential in nature and making it generally available for public inspection would unnecessarily intrude on his privacy.</w:t>
      </w:r>
    </w:p>
    <w:p w:rsidR="00B04C35" w:rsidRDefault="00B04C35" w:rsidP="00E8478A">
      <w:pPr>
        <w:pStyle w:val="standard"/>
        <w:numPr>
          <w:ilvl w:val="0"/>
          <w:numId w:val="11"/>
        </w:numPr>
        <w:ind w:firstLine="360"/>
      </w:pPr>
      <w:r>
        <w:t xml:space="preserve">The personal financial information </w:t>
      </w:r>
      <w:r w:rsidR="007943AD">
        <w:t xml:space="preserve">filed by Scott J. Rafferty </w:t>
      </w:r>
      <w:r>
        <w:t>at the Commission</w:t>
      </w:r>
      <w:r w:rsidR="00044B3F">
        <w:t xml:space="preserve"> </w:t>
      </w:r>
      <w:r>
        <w:t>should remain under seal, and should not be made accessible to anyone other than Commission staff, the assigned Commissioner, the assigned ALJ, or the ALJ then designated as the Law and Motion Judge.</w:t>
      </w:r>
    </w:p>
    <w:p w:rsidR="00C8434C" w:rsidRDefault="00C8434C" w:rsidP="00E8478A">
      <w:pPr>
        <w:pStyle w:val="standard"/>
        <w:numPr>
          <w:ilvl w:val="0"/>
          <w:numId w:val="11"/>
        </w:numPr>
        <w:ind w:firstLine="360"/>
      </w:pPr>
      <w:r w:rsidRPr="00C8434C">
        <w:t xml:space="preserve">The comment period for today’s decision </w:t>
      </w:r>
      <w:r>
        <w:t>should</w:t>
      </w:r>
      <w:r w:rsidRPr="00C8434C">
        <w:t xml:space="preserve"> not </w:t>
      </w:r>
      <w:r>
        <w:t xml:space="preserve">be </w:t>
      </w:r>
      <w:r w:rsidRPr="00C8434C">
        <w:t>waived</w:t>
      </w:r>
      <w:r w:rsidR="00B04C35">
        <w:t>.</w:t>
      </w:r>
    </w:p>
    <w:p w:rsidR="001E7806" w:rsidRDefault="001E7806"/>
    <w:p w:rsidR="00931F0F" w:rsidRPr="0010374D" w:rsidRDefault="00931F0F" w:rsidP="0010374D">
      <w:pPr>
        <w:pStyle w:val="Heading1"/>
        <w:numPr>
          <w:ilvl w:val="0"/>
          <w:numId w:val="0"/>
        </w:numPr>
        <w:ind w:left="720" w:hanging="720"/>
        <w:jc w:val="center"/>
      </w:pPr>
      <w:bookmarkStart w:id="76" w:name="_Toc370798915"/>
      <w:bookmarkStart w:id="77" w:name="_Toc450990221"/>
      <w:bookmarkStart w:id="78" w:name="_Toc451151268"/>
      <w:bookmarkStart w:id="79" w:name="_Toc509589648"/>
      <w:r w:rsidRPr="00931F0F">
        <w:lastRenderedPageBreak/>
        <w:t>O</w:t>
      </w:r>
      <w:r w:rsidR="0010374D">
        <w:t xml:space="preserve"> </w:t>
      </w:r>
      <w:r w:rsidRPr="00931F0F">
        <w:t>R</w:t>
      </w:r>
      <w:r w:rsidR="0010374D">
        <w:t xml:space="preserve"> </w:t>
      </w:r>
      <w:r w:rsidRPr="00931F0F">
        <w:t>D</w:t>
      </w:r>
      <w:r w:rsidR="0010374D">
        <w:t xml:space="preserve"> </w:t>
      </w:r>
      <w:r w:rsidRPr="00931F0F">
        <w:t>E</w:t>
      </w:r>
      <w:r w:rsidR="0010374D">
        <w:t xml:space="preserve"> </w:t>
      </w:r>
      <w:r w:rsidRPr="00931F0F">
        <w:t>R</w:t>
      </w:r>
      <w:bookmarkEnd w:id="76"/>
      <w:bookmarkEnd w:id="77"/>
      <w:bookmarkEnd w:id="78"/>
      <w:bookmarkEnd w:id="79"/>
    </w:p>
    <w:p w:rsidR="00931F0F" w:rsidRPr="00931F0F" w:rsidRDefault="00931F0F" w:rsidP="00931F0F">
      <w:pPr>
        <w:pStyle w:val="standard"/>
      </w:pPr>
    </w:p>
    <w:p w:rsidR="00931F0F" w:rsidRPr="00931F0F" w:rsidRDefault="00931F0F" w:rsidP="00931F0F">
      <w:pPr>
        <w:pStyle w:val="standard"/>
      </w:pPr>
      <w:r w:rsidRPr="00931F0F">
        <w:rPr>
          <w:b/>
        </w:rPr>
        <w:t>IT IS ORDERED</w:t>
      </w:r>
      <w:r w:rsidRPr="00931F0F">
        <w:t xml:space="preserve"> that:</w:t>
      </w:r>
    </w:p>
    <w:p w:rsidR="00931F0F" w:rsidRPr="00931F0F" w:rsidRDefault="00656402" w:rsidP="00E8478A">
      <w:pPr>
        <w:pStyle w:val="standard"/>
        <w:numPr>
          <w:ilvl w:val="0"/>
          <w:numId w:val="7"/>
        </w:numPr>
        <w:ind w:firstLine="360"/>
      </w:pPr>
      <w:r w:rsidRPr="00656402">
        <w:t>Scott J. Rafferty</w:t>
      </w:r>
      <w:r w:rsidR="00931F0F" w:rsidRPr="00931F0F">
        <w:t xml:space="preserve"> is awarded </w:t>
      </w:r>
      <w:r w:rsidR="00B04C35" w:rsidRPr="00B04C35">
        <w:t>$</w:t>
      </w:r>
      <w:r w:rsidR="007943AD" w:rsidRPr="00916A02">
        <w:t>33,855</w:t>
      </w:r>
      <w:r w:rsidR="007943AD">
        <w:t xml:space="preserve"> </w:t>
      </w:r>
      <w:r w:rsidR="00931F0F" w:rsidRPr="00931F0F">
        <w:t xml:space="preserve">as compensation for </w:t>
      </w:r>
      <w:r>
        <w:t>his</w:t>
      </w:r>
      <w:r w:rsidR="00931F0F" w:rsidRPr="00931F0F">
        <w:t xml:space="preserve"> substantial contributions to Decision </w:t>
      </w:r>
      <w:r>
        <w:t>17-05-013.</w:t>
      </w:r>
    </w:p>
    <w:p w:rsidR="00931F0F" w:rsidRDefault="00656402" w:rsidP="00E8478A">
      <w:pPr>
        <w:pStyle w:val="standard"/>
        <w:numPr>
          <w:ilvl w:val="0"/>
          <w:numId w:val="7"/>
        </w:numPr>
        <w:ind w:firstLine="360"/>
      </w:pPr>
      <w:bookmarkStart w:id="80" w:name="OLE_LINK1"/>
      <w:bookmarkStart w:id="81" w:name="OLE_LINK2"/>
      <w:r w:rsidRPr="00656402">
        <w:t xml:space="preserve">Within 30 days of the effective date of this decision, Pacific Gas and Electric Company shall pay claimant the </w:t>
      </w:r>
      <w:r>
        <w:t xml:space="preserve">total </w:t>
      </w:r>
      <w:r w:rsidRPr="00656402">
        <w:t xml:space="preserve">award.  Payment of the award shall include compound interest at the rate earned on prime, three-month non-financial commercial paper as reported in Federal Reserve Statistical </w:t>
      </w:r>
      <w:r w:rsidR="00DC6587">
        <w:br/>
      </w:r>
      <w:r w:rsidRPr="00656402">
        <w:t xml:space="preserve">Release H.15, beginning </w:t>
      </w:r>
      <w:r>
        <w:t>September 30, 2017</w:t>
      </w:r>
      <w:r w:rsidRPr="00656402">
        <w:t>, the 75</w:t>
      </w:r>
      <w:r w:rsidRPr="00656402">
        <w:rPr>
          <w:vertAlign w:val="superscript"/>
        </w:rPr>
        <w:t>th</w:t>
      </w:r>
      <w:r w:rsidRPr="00656402">
        <w:t xml:space="preserve"> day after the filing of </w:t>
      </w:r>
      <w:r w:rsidR="00DC6587">
        <w:br/>
      </w:r>
      <w:r w:rsidRPr="00656402">
        <w:t>Scott J. Rafferty’s request, and continuing until full payment is made.</w:t>
      </w:r>
    </w:p>
    <w:p w:rsidR="00DC6587" w:rsidRDefault="005703F9" w:rsidP="007C70C1">
      <w:pPr>
        <w:pStyle w:val="standard"/>
        <w:numPr>
          <w:ilvl w:val="0"/>
          <w:numId w:val="7"/>
        </w:numPr>
        <w:ind w:firstLine="360"/>
      </w:pPr>
      <w:r>
        <w:t xml:space="preserve">The motion filed by </w:t>
      </w:r>
      <w:r w:rsidR="003853DD">
        <w:t>Scott J. Rafferty</w:t>
      </w:r>
      <w:r>
        <w:t xml:space="preserve"> for leave to file his personal financial</w:t>
      </w:r>
      <w:r w:rsidR="003853DD">
        <w:t xml:space="preserve"> </w:t>
      </w:r>
      <w:r>
        <w:t>information under seal is granted as set forth in the body of this ruling.</w:t>
      </w:r>
      <w:r w:rsidR="003853DD">
        <w:t xml:space="preserve">  T</w:t>
      </w:r>
      <w:r>
        <w:t>his information shall remain under</w:t>
      </w:r>
      <w:r w:rsidR="003853DD">
        <w:t xml:space="preserve"> </w:t>
      </w:r>
      <w:r>
        <w:t>seal and shall not be disclosed to anyone other than Commission staff, the</w:t>
      </w:r>
      <w:r w:rsidR="003853DD">
        <w:t xml:space="preserve"> </w:t>
      </w:r>
      <w:r>
        <w:t>assigned Commissioner, the assigned Administrative Law Judge (ALJ), or the</w:t>
      </w:r>
      <w:r w:rsidR="003853DD">
        <w:t xml:space="preserve"> </w:t>
      </w:r>
      <w:r>
        <w:t>ALJ then designated as the Law and Motion Judge.</w:t>
      </w:r>
    </w:p>
    <w:p w:rsidR="00656402" w:rsidRPr="00931F0F" w:rsidRDefault="00656402" w:rsidP="00E8478A">
      <w:pPr>
        <w:pStyle w:val="standard"/>
        <w:numPr>
          <w:ilvl w:val="0"/>
          <w:numId w:val="7"/>
        </w:numPr>
        <w:ind w:firstLine="360"/>
      </w:pPr>
      <w:r w:rsidRPr="00656402">
        <w:t>The comment period for today’s decision is not waived</w:t>
      </w:r>
      <w:r>
        <w:t>.</w:t>
      </w:r>
    </w:p>
    <w:bookmarkEnd w:id="80"/>
    <w:bookmarkEnd w:id="81"/>
    <w:p w:rsidR="00931F0F" w:rsidRPr="00931F0F" w:rsidRDefault="00931F0F" w:rsidP="00931F0F">
      <w:pPr>
        <w:pStyle w:val="standard"/>
      </w:pPr>
      <w:r w:rsidRPr="00931F0F">
        <w:t>This order is effective today.</w:t>
      </w:r>
    </w:p>
    <w:p w:rsidR="00931F0F" w:rsidRPr="00931F0F" w:rsidRDefault="00931F0F" w:rsidP="0010374D">
      <w:pPr>
        <w:pStyle w:val="standard"/>
        <w:spacing w:before="120"/>
      </w:pPr>
      <w:r w:rsidRPr="00931F0F">
        <w:t xml:space="preserve">Dated___________________, at San Francisco, California. </w:t>
      </w:r>
    </w:p>
    <w:p w:rsidR="00B30FF9" w:rsidRDefault="00B30FF9">
      <w:pPr>
        <w:pStyle w:val="standard"/>
        <w:jc w:val="center"/>
      </w:pPr>
    </w:p>
    <w:sectPr w:rsidR="00B30FF9" w:rsidSect="005D62E8">
      <w:pgSz w:w="12240" w:h="15840" w:code="1"/>
      <w:pgMar w:top="1708"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70" w:rsidRDefault="00FC3A70">
      <w:r>
        <w:separator/>
      </w:r>
    </w:p>
  </w:endnote>
  <w:endnote w:type="continuationSeparator" w:id="0">
    <w:p w:rsidR="00FC3A70" w:rsidRDefault="00FC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5" w:rsidRDefault="00CC00BE" w:rsidP="006D51FD">
    <w:pPr>
      <w:pStyle w:val="Footer"/>
      <w:jc w:val="left"/>
    </w:pPr>
    <w:r>
      <w:rPr>
        <w:rFonts w:ascii="Tahoma" w:hAnsi="Tahoma" w:cs="Tahoma"/>
        <w:sz w:val="17"/>
        <w:szCs w:val="17"/>
      </w:rPr>
      <w:t>228337078</w:t>
    </w:r>
    <w:sdt>
      <w:sdtPr>
        <w:id w:val="-1440132136"/>
        <w:docPartObj>
          <w:docPartGallery w:val="Page Numbers (Bottom of Page)"/>
          <w:docPartUnique/>
        </w:docPartObj>
      </w:sdtPr>
      <w:sdtEndPr>
        <w:rPr>
          <w:noProof/>
        </w:rPr>
      </w:sdtEndPr>
      <w:sdtContent>
        <w:r w:rsidR="004025B5">
          <w:tab/>
          <w:t>-</w:t>
        </w:r>
        <w:r w:rsidR="004025B5">
          <w:fldChar w:fldCharType="begin"/>
        </w:r>
        <w:r w:rsidR="004025B5">
          <w:instrText xml:space="preserve"> PAGE   \* MERGEFORMAT </w:instrText>
        </w:r>
        <w:r w:rsidR="004025B5">
          <w:fldChar w:fldCharType="separate"/>
        </w:r>
        <w:r w:rsidR="00376BF0">
          <w:rPr>
            <w:noProof/>
          </w:rPr>
          <w:t>1</w:t>
        </w:r>
        <w:r w:rsidR="004025B5">
          <w:rPr>
            <w:noProof/>
          </w:rPr>
          <w:fldChar w:fldCharType="end"/>
        </w:r>
        <w:r w:rsidR="004025B5">
          <w:rPr>
            <w:noProof/>
          </w:rPr>
          <w:t>-</w:t>
        </w:r>
      </w:sdtContent>
    </w:sdt>
  </w:p>
  <w:p w:rsidR="004025B5" w:rsidRPr="006D51FD" w:rsidRDefault="004025B5" w:rsidP="006D5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BE" w:rsidRDefault="00CC00BE" w:rsidP="00CC00BE">
    <w:pPr>
      <w:pStyle w:val="Footer"/>
    </w:pPr>
    <w:r>
      <w:t>-</w:t>
    </w:r>
    <w:sdt>
      <w:sdtPr>
        <w:id w:val="1671404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6BF0">
          <w:rPr>
            <w:noProof/>
          </w:rPr>
          <w:t>ii</w:t>
        </w:r>
        <w:r>
          <w:rPr>
            <w:noProof/>
          </w:rPr>
          <w:fldChar w:fldCharType="end"/>
        </w:r>
        <w:r>
          <w:rPr>
            <w:noProof/>
          </w:rPr>
          <w:t>-</w:t>
        </w:r>
      </w:sdtContent>
    </w:sdt>
  </w:p>
  <w:p w:rsidR="00CC00BE" w:rsidRPr="00CC00BE" w:rsidRDefault="00CC00BE" w:rsidP="00CC00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5" w:rsidRDefault="004025B5">
    <w:pPr>
      <w:pStyle w:val="Footer"/>
    </w:pPr>
    <w:r>
      <w:t>-</w:t>
    </w:r>
    <w:sdt>
      <w:sdtPr>
        <w:id w:val="-4206443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6BF0">
          <w:rPr>
            <w:noProof/>
          </w:rPr>
          <w:t>i</w:t>
        </w:r>
        <w:r>
          <w:rPr>
            <w:noProof/>
          </w:rPr>
          <w:fldChar w:fldCharType="end"/>
        </w:r>
        <w:r>
          <w:rPr>
            <w:noProof/>
          </w:rPr>
          <w: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5" w:rsidRDefault="004025B5" w:rsidP="0022157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376BF0">
      <w:rPr>
        <w:rStyle w:val="PageNumber"/>
        <w:noProof/>
      </w:rPr>
      <w:t>54</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BE" w:rsidRDefault="00CC00BE">
    <w:pPr>
      <w:pStyle w:val="Footer"/>
    </w:pPr>
    <w:r>
      <w:t>-</w:t>
    </w:r>
    <w:sdt>
      <w:sdtPr>
        <w:id w:val="3809163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6BF0">
          <w:rPr>
            <w:noProof/>
          </w:rPr>
          <w:t>41</w:t>
        </w:r>
        <w:r>
          <w:rPr>
            <w:noProof/>
          </w:rPr>
          <w:fldChar w:fldCharType="end"/>
        </w:r>
        <w:r>
          <w:rPr>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70" w:rsidRDefault="00FC3A70">
      <w:r>
        <w:separator/>
      </w:r>
    </w:p>
  </w:footnote>
  <w:footnote w:type="continuationSeparator" w:id="0">
    <w:p w:rsidR="00FC3A70" w:rsidRDefault="00FC3A70">
      <w:r>
        <w:continuationSeparator/>
      </w:r>
    </w:p>
  </w:footnote>
  <w:footnote w:type="continuationNotice" w:id="1">
    <w:p w:rsidR="00FC3A70" w:rsidRDefault="00FC3A70">
      <w:pPr>
        <w:rPr>
          <w:sz w:val="22"/>
        </w:rPr>
      </w:pPr>
    </w:p>
    <w:p w:rsidR="00FC3A70" w:rsidRDefault="00FC3A70">
      <w:pPr>
        <w:jc w:val="right"/>
        <w:rPr>
          <w:sz w:val="22"/>
        </w:rPr>
      </w:pPr>
      <w:r>
        <w:rPr>
          <w:i/>
          <w:sz w:val="22"/>
        </w:rPr>
        <w:t>Footnote continued on next page</w:t>
      </w:r>
    </w:p>
  </w:footnote>
  <w:footnote w:id="2">
    <w:p w:rsidR="004025B5" w:rsidRPr="007C70C1" w:rsidRDefault="004025B5" w:rsidP="005119C5">
      <w:pPr>
        <w:pStyle w:val="FootnoteText"/>
        <w:rPr>
          <w:sz w:val="22"/>
          <w:szCs w:val="22"/>
        </w:rPr>
      </w:pPr>
      <w:r w:rsidRPr="007C70C1">
        <w:rPr>
          <w:rStyle w:val="FootnoteReference"/>
          <w:szCs w:val="24"/>
        </w:rPr>
        <w:footnoteRef/>
      </w:r>
      <w:r w:rsidRPr="007C70C1">
        <w:rPr>
          <w:szCs w:val="24"/>
        </w:rPr>
        <w:t xml:space="preserve">  </w:t>
      </w:r>
      <w:r w:rsidRPr="007C70C1">
        <w:rPr>
          <w:sz w:val="22"/>
          <w:szCs w:val="22"/>
        </w:rPr>
        <w:t>On May 10, 2017 the assigned Administrative Law Judge denied the April 5, 2017 “Motion of Collaborative Approaches to Utility Safety Enforcement [CAUSE] to be Relieved of Obligations Imposed by Ruling Denying Eligibility for Intervenor Compensation and to be Found Eligible”.  As explained herein, the same ruling addressed the April 5, 2017 amended Notice of Intent to claim intervenor compensation of CAUSE and found CAUSE ineligible to claim intervenor compensation, but ruled that Scott J. Rafferty is preliminarily determined to be eligible for intervenor compensation in this proceeding.  To ensure clarity, this decision preserves references to CAUSE in quoted material, but references Rafferty for all other purposes.</w:t>
      </w:r>
    </w:p>
  </w:footnote>
  <w:footnote w:id="3">
    <w:p w:rsidR="004025B5" w:rsidRPr="007C70C1" w:rsidRDefault="004025B5" w:rsidP="005119C5">
      <w:pPr>
        <w:pStyle w:val="FootnoteText"/>
        <w:rPr>
          <w:sz w:val="22"/>
          <w:szCs w:val="22"/>
        </w:rPr>
      </w:pPr>
      <w:r w:rsidRPr="007C70C1">
        <w:rPr>
          <w:rStyle w:val="FootnoteReference"/>
          <w:szCs w:val="24"/>
        </w:rPr>
        <w:footnoteRef/>
      </w:r>
      <w:r w:rsidRPr="007C70C1">
        <w:rPr>
          <w:szCs w:val="24"/>
        </w:rPr>
        <w:t xml:space="preserve">  </w:t>
      </w:r>
      <w:r w:rsidRPr="007C70C1">
        <w:rPr>
          <w:sz w:val="22"/>
          <w:szCs w:val="22"/>
        </w:rPr>
        <w:t>All subsequent statutory references are to the Public Utilities Code unless otherwise indicated.</w:t>
      </w:r>
    </w:p>
  </w:footnote>
  <w:footnote w:id="4">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2017 Amended NOI at 3; November 30, 2015 Motion for Party Status by Collective Approaches to Utility Safety Enforcement at 2-3.</w:t>
      </w:r>
    </w:p>
  </w:footnote>
  <w:footnote w:id="5">
    <w:p w:rsidR="004025B5" w:rsidRPr="007C70C1" w:rsidRDefault="004025B5" w:rsidP="00A06841">
      <w:pPr>
        <w:pStyle w:val="FootnoteText"/>
        <w:rPr>
          <w:sz w:val="22"/>
          <w:szCs w:val="22"/>
        </w:rPr>
      </w:pPr>
      <w:r w:rsidRPr="007C70C1">
        <w:rPr>
          <w:rStyle w:val="FootnoteReference"/>
          <w:sz w:val="22"/>
          <w:szCs w:val="22"/>
        </w:rPr>
        <w:footnoteRef/>
      </w:r>
      <w:r w:rsidRPr="007C70C1">
        <w:rPr>
          <w:sz w:val="22"/>
          <w:szCs w:val="22"/>
        </w:rPr>
        <w:t xml:space="preserve">  Subsequent rulings have determined that it is reasonable to exclude the equity of a participant’s personal residence from this disclosure.</w:t>
      </w:r>
    </w:p>
  </w:footnote>
  <w:footnote w:id="6">
    <w:p w:rsidR="004025B5" w:rsidRPr="007C70C1" w:rsidRDefault="004025B5" w:rsidP="006E14CC">
      <w:pPr>
        <w:pStyle w:val="FootnoteText"/>
        <w:rPr>
          <w:sz w:val="22"/>
          <w:szCs w:val="22"/>
        </w:rPr>
      </w:pPr>
      <w:r w:rsidRPr="007C70C1">
        <w:rPr>
          <w:rStyle w:val="FootnoteReference"/>
          <w:sz w:val="22"/>
          <w:szCs w:val="22"/>
        </w:rPr>
        <w:footnoteRef/>
      </w:r>
      <w:r w:rsidRPr="007C70C1">
        <w:rPr>
          <w:sz w:val="22"/>
          <w:szCs w:val="22"/>
        </w:rPr>
        <w:t xml:space="preserve">  For example: “My monthly gross and net income, monthly expenses, cash, and assets are shown in the attached documents.  Based on my estimate of the cost of effective participation as compared to my income, expenses, and assets, I do not have the resources to pay for the costs of effective participation.”  California Public Utilities Commission, Intervenor Compensation Program Guide (April 2017) at 14.</w:t>
      </w:r>
    </w:p>
  </w:footnote>
  <w:footnote w:id="7">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California Public Utilities Commission, Intervenor Compensation Program Guide, April 2017 at 8.</w:t>
      </w:r>
    </w:p>
  </w:footnote>
  <w:footnote w:id="8">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 1802(j), emphasis added.</w:t>
      </w:r>
    </w:p>
  </w:footnote>
  <w:footnote w:id="9">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  1801.3(f) and 1802.5.  </w:t>
      </w:r>
    </w:p>
  </w:footnote>
  <w:footnote w:id="10">
    <w:p w:rsidR="004025B5" w:rsidRPr="007C70C1" w:rsidRDefault="004025B5" w:rsidP="00422D31">
      <w:pPr>
        <w:pStyle w:val="FootnoteText"/>
        <w:rPr>
          <w:sz w:val="22"/>
          <w:szCs w:val="22"/>
        </w:rPr>
      </w:pPr>
      <w:r w:rsidRPr="007C70C1">
        <w:rPr>
          <w:rStyle w:val="FootnoteReference"/>
          <w:sz w:val="22"/>
          <w:szCs w:val="22"/>
        </w:rPr>
        <w:footnoteRef/>
      </w:r>
      <w:r w:rsidRPr="007C70C1">
        <w:rPr>
          <w:sz w:val="22"/>
          <w:szCs w:val="22"/>
        </w:rPr>
        <w:t xml:space="preserve">  Rulemaking 97-01-009, Order Instituting Rulemaking on the Commission’s Intervenor Compensation Program and Investigation 97-01-010, Order Instituting Investigation on the Commission’s Intervenor Compensation Program.</w:t>
      </w:r>
    </w:p>
  </w:footnote>
  <w:footnote w:id="11">
    <w:p w:rsidR="004025B5" w:rsidRPr="007C70C1" w:rsidRDefault="004025B5" w:rsidP="00A531EA">
      <w:pPr>
        <w:pStyle w:val="FootnoteText"/>
        <w:rPr>
          <w:sz w:val="22"/>
          <w:szCs w:val="22"/>
        </w:rPr>
      </w:pPr>
      <w:r w:rsidRPr="007C70C1">
        <w:rPr>
          <w:rStyle w:val="FootnoteReference"/>
          <w:sz w:val="22"/>
          <w:szCs w:val="22"/>
        </w:rPr>
        <w:footnoteRef/>
      </w:r>
      <w:r w:rsidRPr="007C70C1">
        <w:rPr>
          <w:sz w:val="22"/>
          <w:szCs w:val="22"/>
        </w:rPr>
        <w:t xml:space="preserve">  D.98-04-059, 79 CPUC2d 628 at 653.</w:t>
      </w:r>
    </w:p>
  </w:footnote>
  <w:footnote w:id="12">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w:t>
      </w:r>
      <w:r w:rsidRPr="007C70C1">
        <w:rPr>
          <w:i/>
          <w:sz w:val="22"/>
          <w:szCs w:val="22"/>
        </w:rPr>
        <w:t>Id</w:t>
      </w:r>
      <w:r w:rsidRPr="007C70C1">
        <w:rPr>
          <w:sz w:val="22"/>
          <w:szCs w:val="22"/>
        </w:rPr>
        <w:t xml:space="preserve">. at 643, emphasis added. </w:t>
      </w:r>
    </w:p>
  </w:footnote>
  <w:footnote w:id="13">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Rafferty Claim, Part II, Substantial Contribution.</w:t>
      </w:r>
    </w:p>
  </w:footnote>
  <w:footnote w:id="14">
    <w:p w:rsidR="004025B5" w:rsidRPr="007C70C1" w:rsidRDefault="004025B5" w:rsidP="006533A1">
      <w:pPr>
        <w:pStyle w:val="FootnoteText"/>
        <w:rPr>
          <w:sz w:val="22"/>
          <w:szCs w:val="22"/>
        </w:rPr>
      </w:pPr>
      <w:r w:rsidRPr="007C70C1">
        <w:rPr>
          <w:rStyle w:val="FootnoteReference"/>
          <w:sz w:val="22"/>
          <w:szCs w:val="22"/>
        </w:rPr>
        <w:footnoteRef/>
      </w:r>
      <w:r w:rsidRPr="007C70C1">
        <w:rPr>
          <w:sz w:val="22"/>
          <w:szCs w:val="22"/>
        </w:rPr>
        <w:t xml:space="preserve">  Rafferty Intervenor Compensation Claim at 6, emphasis added.</w:t>
      </w:r>
    </w:p>
  </w:footnote>
  <w:footnote w:id="15">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D.87-12-067, 27 CPUC2d 1, 22.</w:t>
      </w:r>
    </w:p>
  </w:footnote>
  <w:footnote w:id="16">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Rafferty’s timesheets show that the only time claimed to “prepare and revise testimony” began 11 days before intervenor testimony was due to be completed and served. </w:t>
      </w:r>
    </w:p>
  </w:footnote>
  <w:footnote w:id="17">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Slide 12 of the PowerPoint attachment includes a “see also” reference to a 65-page volume of PG&amp;E workpapers, but no page reference.</w:t>
      </w:r>
    </w:p>
  </w:footnote>
  <w:footnote w:id="18">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Exhibit CAUSE-1 at 1 and 6.</w:t>
      </w:r>
    </w:p>
  </w:footnote>
  <w:footnote w:id="19">
    <w:p w:rsidR="004025B5" w:rsidRPr="007C70C1" w:rsidRDefault="004025B5" w:rsidP="006533A1">
      <w:pPr>
        <w:pStyle w:val="FootnoteText"/>
        <w:rPr>
          <w:sz w:val="22"/>
          <w:szCs w:val="22"/>
        </w:rPr>
      </w:pPr>
      <w:r w:rsidRPr="007C70C1">
        <w:rPr>
          <w:rStyle w:val="FootnoteReference"/>
          <w:sz w:val="22"/>
          <w:szCs w:val="22"/>
        </w:rPr>
        <w:footnoteRef/>
      </w:r>
      <w:r w:rsidRPr="007C70C1">
        <w:rPr>
          <w:sz w:val="22"/>
          <w:szCs w:val="22"/>
        </w:rPr>
        <w:t xml:space="preserve">  Joint Motion at 54, citations omitted, emphasis added.</w:t>
      </w:r>
    </w:p>
  </w:footnote>
  <w:footnote w:id="20">
    <w:p w:rsidR="004025B5" w:rsidRPr="007C70C1" w:rsidRDefault="004025B5" w:rsidP="00BC5F08">
      <w:pPr>
        <w:pStyle w:val="FootnoteText"/>
        <w:rPr>
          <w:sz w:val="22"/>
          <w:szCs w:val="22"/>
        </w:rPr>
      </w:pPr>
      <w:r w:rsidRPr="007C70C1">
        <w:rPr>
          <w:rStyle w:val="FootnoteReference"/>
          <w:sz w:val="22"/>
          <w:szCs w:val="22"/>
        </w:rPr>
        <w:footnoteRef/>
      </w:r>
      <w:r w:rsidRPr="007C70C1">
        <w:rPr>
          <w:sz w:val="22"/>
          <w:szCs w:val="22"/>
        </w:rPr>
        <w:t xml:space="preserve">  79 CPUC2d 628 (D.98-04-059).</w:t>
      </w:r>
    </w:p>
  </w:footnote>
  <w:footnote w:id="21">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Rafferty Claim at 7-8.</w:t>
      </w:r>
    </w:p>
  </w:footnote>
  <w:footnote w:id="22">
    <w:p w:rsidR="004025B5" w:rsidRPr="007C70C1" w:rsidRDefault="004025B5" w:rsidP="00983030">
      <w:pPr>
        <w:pStyle w:val="FootnoteText"/>
        <w:rPr>
          <w:sz w:val="22"/>
          <w:szCs w:val="22"/>
        </w:rPr>
      </w:pPr>
      <w:r w:rsidRPr="007C70C1">
        <w:rPr>
          <w:rStyle w:val="FootnoteReference"/>
          <w:sz w:val="22"/>
          <w:szCs w:val="22"/>
        </w:rPr>
        <w:footnoteRef/>
      </w:r>
      <w:r w:rsidRPr="007C70C1">
        <w:rPr>
          <w:sz w:val="22"/>
          <w:szCs w:val="22"/>
        </w:rPr>
        <w:t xml:space="preserve">  Opening Comments of The Utility Reform Network and Collaborative Approaches to Utility Safety Enforcement on the “Contested Issues” Identified in the Proposed Settlement.</w:t>
      </w:r>
    </w:p>
  </w:footnote>
  <w:footnote w:id="23">
    <w:p w:rsidR="004025B5" w:rsidRPr="007C70C1" w:rsidRDefault="004025B5" w:rsidP="00983030">
      <w:pPr>
        <w:pStyle w:val="FootnoteText"/>
        <w:rPr>
          <w:sz w:val="22"/>
          <w:szCs w:val="22"/>
        </w:rPr>
      </w:pPr>
      <w:r w:rsidRPr="007C70C1">
        <w:rPr>
          <w:rStyle w:val="FootnoteReference"/>
          <w:sz w:val="22"/>
          <w:szCs w:val="22"/>
        </w:rPr>
        <w:footnoteRef/>
      </w:r>
      <w:r w:rsidRPr="007C70C1">
        <w:rPr>
          <w:sz w:val="22"/>
          <w:szCs w:val="22"/>
        </w:rPr>
        <w:t xml:space="preserve">  D.17-05-013 at 197-198.</w:t>
      </w:r>
    </w:p>
  </w:footnote>
  <w:footnote w:id="24">
    <w:p w:rsidR="004025B5" w:rsidRPr="007C70C1" w:rsidRDefault="004025B5" w:rsidP="00B57A91">
      <w:pPr>
        <w:pStyle w:val="FootnoteText"/>
        <w:rPr>
          <w:sz w:val="22"/>
          <w:szCs w:val="22"/>
        </w:rPr>
      </w:pPr>
      <w:r w:rsidRPr="007C70C1">
        <w:rPr>
          <w:rStyle w:val="FootnoteReference"/>
          <w:sz w:val="22"/>
          <w:szCs w:val="22"/>
        </w:rPr>
        <w:footnoteRef/>
      </w:r>
      <w:r w:rsidRPr="007C70C1">
        <w:rPr>
          <w:sz w:val="22"/>
          <w:szCs w:val="22"/>
        </w:rPr>
        <w:t xml:space="preserve">  The quoted text is copied from D.17-05-013 at 198.</w:t>
      </w:r>
    </w:p>
  </w:footnote>
  <w:footnote w:id="25">
    <w:p w:rsidR="004025B5" w:rsidRPr="007C70C1" w:rsidRDefault="004025B5" w:rsidP="00530BF8">
      <w:pPr>
        <w:pStyle w:val="FootnoteText"/>
        <w:rPr>
          <w:sz w:val="22"/>
          <w:szCs w:val="22"/>
        </w:rPr>
      </w:pPr>
      <w:r w:rsidRPr="007C70C1">
        <w:rPr>
          <w:rStyle w:val="FootnoteReference"/>
          <w:sz w:val="22"/>
          <w:szCs w:val="22"/>
        </w:rPr>
        <w:footnoteRef/>
      </w:r>
      <w:r w:rsidRPr="007C70C1">
        <w:rPr>
          <w:sz w:val="22"/>
          <w:szCs w:val="22"/>
        </w:rPr>
        <w:t xml:space="preserve">  D.17-05-013 at 199-200.</w:t>
      </w:r>
    </w:p>
  </w:footnote>
  <w:footnote w:id="26">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w:t>
      </w:r>
      <w:r w:rsidR="00987628" w:rsidRPr="007C70C1">
        <w:rPr>
          <w:sz w:val="22"/>
          <w:szCs w:val="22"/>
        </w:rPr>
        <w:t xml:space="preserve"> </w:t>
      </w:r>
      <w:r w:rsidRPr="007C70C1">
        <w:rPr>
          <w:sz w:val="22"/>
          <w:szCs w:val="22"/>
        </w:rPr>
        <w:t>February 20, 2017 Proposed Decision of assigned ALJ at 133.</w:t>
      </w:r>
    </w:p>
  </w:footnote>
  <w:footnote w:id="27">
    <w:p w:rsidR="004025B5" w:rsidRPr="007C70C1" w:rsidRDefault="004025B5" w:rsidP="00751156">
      <w:pPr>
        <w:pStyle w:val="FootnoteText"/>
        <w:rPr>
          <w:sz w:val="22"/>
          <w:szCs w:val="22"/>
        </w:rPr>
      </w:pPr>
      <w:r w:rsidRPr="007C70C1">
        <w:rPr>
          <w:rStyle w:val="FootnoteReference"/>
          <w:sz w:val="22"/>
          <w:szCs w:val="22"/>
        </w:rPr>
        <w:footnoteRef/>
      </w:r>
      <w:r w:rsidRPr="007C70C1">
        <w:rPr>
          <w:sz w:val="22"/>
          <w:szCs w:val="22"/>
        </w:rPr>
        <w:t xml:space="preserve">  </w:t>
      </w:r>
      <w:r w:rsidRPr="007C70C1">
        <w:rPr>
          <w:i/>
          <w:sz w:val="22"/>
          <w:szCs w:val="22"/>
        </w:rPr>
        <w:t>Id</w:t>
      </w:r>
      <w:r w:rsidRPr="007C70C1">
        <w:rPr>
          <w:sz w:val="22"/>
          <w:szCs w:val="22"/>
        </w:rPr>
        <w:t>. at 232.</w:t>
      </w:r>
    </w:p>
  </w:footnote>
  <w:footnote w:id="28">
    <w:p w:rsidR="004025B5" w:rsidRPr="007C70C1" w:rsidRDefault="004025B5" w:rsidP="006D13F7">
      <w:pPr>
        <w:pStyle w:val="FootnoteText"/>
        <w:rPr>
          <w:sz w:val="22"/>
          <w:szCs w:val="22"/>
        </w:rPr>
      </w:pPr>
      <w:r w:rsidRPr="007C70C1">
        <w:rPr>
          <w:rStyle w:val="FootnoteReference"/>
          <w:sz w:val="22"/>
          <w:szCs w:val="22"/>
        </w:rPr>
        <w:footnoteRef/>
      </w:r>
      <w:r w:rsidRPr="007C70C1">
        <w:rPr>
          <w:sz w:val="22"/>
          <w:szCs w:val="22"/>
        </w:rPr>
        <w:t xml:space="preserve">  Rafferty’s  references to “Ordering Clauses” appear to  refer to Findings of Fact or Conclusions of Law.</w:t>
      </w:r>
    </w:p>
  </w:footnote>
  <w:footnote w:id="29">
    <w:p w:rsidR="004025B5" w:rsidRPr="007C70C1" w:rsidRDefault="004025B5" w:rsidP="00DF4439">
      <w:pPr>
        <w:pStyle w:val="FootnoteText"/>
        <w:rPr>
          <w:sz w:val="22"/>
          <w:szCs w:val="22"/>
        </w:rPr>
      </w:pPr>
      <w:r w:rsidRPr="007C70C1">
        <w:rPr>
          <w:rStyle w:val="FootnoteReference"/>
          <w:sz w:val="22"/>
          <w:szCs w:val="22"/>
        </w:rPr>
        <w:footnoteRef/>
      </w:r>
      <w:r w:rsidRPr="007C70C1">
        <w:rPr>
          <w:sz w:val="22"/>
          <w:szCs w:val="22"/>
        </w:rPr>
        <w:t xml:space="preserve">  D.17-05-013 at 217.  The Commission notes on page 216 that the APD reaches the same result as the PD, using identical language.</w:t>
      </w:r>
    </w:p>
  </w:footnote>
  <w:footnote w:id="30">
    <w:p w:rsidR="004025B5" w:rsidRPr="007C70C1" w:rsidRDefault="004025B5" w:rsidP="006124D1">
      <w:pPr>
        <w:pStyle w:val="FootnoteText"/>
        <w:rPr>
          <w:sz w:val="22"/>
          <w:szCs w:val="22"/>
        </w:rPr>
      </w:pPr>
      <w:r w:rsidRPr="007C70C1">
        <w:rPr>
          <w:rStyle w:val="FootnoteReference"/>
          <w:sz w:val="22"/>
          <w:szCs w:val="22"/>
        </w:rPr>
        <w:footnoteRef/>
      </w:r>
      <w:r w:rsidRPr="007C70C1">
        <w:rPr>
          <w:sz w:val="22"/>
          <w:szCs w:val="22"/>
        </w:rPr>
        <w:t xml:space="preserve">  </w:t>
      </w:r>
      <w:r w:rsidRPr="007C70C1">
        <w:rPr>
          <w:i/>
          <w:sz w:val="22"/>
          <w:szCs w:val="22"/>
        </w:rPr>
        <w:t>Id.</w:t>
      </w:r>
      <w:r w:rsidRPr="007C70C1">
        <w:rPr>
          <w:sz w:val="22"/>
          <w:szCs w:val="22"/>
        </w:rPr>
        <w:t xml:space="preserve"> at 223-224.</w:t>
      </w:r>
    </w:p>
  </w:footnote>
  <w:footnote w:id="31">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w:t>
      </w:r>
      <w:r w:rsidR="00987628" w:rsidRPr="007C70C1">
        <w:rPr>
          <w:sz w:val="22"/>
          <w:szCs w:val="22"/>
        </w:rPr>
        <w:t xml:space="preserve"> </w:t>
      </w:r>
      <w:r w:rsidRPr="007C70C1">
        <w:rPr>
          <w:sz w:val="22"/>
          <w:szCs w:val="22"/>
        </w:rPr>
        <w:t xml:space="preserve">Rafferty’s claim cites this text in the APD, but the same text is found in D.17-05-013.  </w:t>
      </w:r>
      <w:r w:rsidRPr="007C70C1">
        <w:rPr>
          <w:i/>
          <w:sz w:val="22"/>
          <w:szCs w:val="22"/>
        </w:rPr>
        <w:t>See</w:t>
      </w:r>
      <w:r w:rsidRPr="007C70C1">
        <w:rPr>
          <w:sz w:val="22"/>
          <w:szCs w:val="22"/>
        </w:rPr>
        <w:t xml:space="preserve"> </w:t>
      </w:r>
      <w:r w:rsidR="00987628">
        <w:rPr>
          <w:sz w:val="22"/>
          <w:szCs w:val="22"/>
        </w:rPr>
        <w:br/>
      </w:r>
      <w:r w:rsidRPr="007C70C1">
        <w:rPr>
          <w:sz w:val="22"/>
          <w:szCs w:val="22"/>
        </w:rPr>
        <w:t>D.17-05-013 at 224.</w:t>
      </w:r>
    </w:p>
  </w:footnote>
  <w:footnote w:id="32">
    <w:p w:rsidR="004025B5" w:rsidRPr="007C70C1" w:rsidRDefault="004025B5" w:rsidP="000F360B">
      <w:pPr>
        <w:pStyle w:val="FootnoteText"/>
        <w:rPr>
          <w:sz w:val="22"/>
          <w:szCs w:val="22"/>
        </w:rPr>
      </w:pPr>
      <w:r w:rsidRPr="007C70C1">
        <w:rPr>
          <w:rStyle w:val="FootnoteReference"/>
          <w:sz w:val="22"/>
          <w:szCs w:val="22"/>
        </w:rPr>
        <w:footnoteRef/>
      </w:r>
      <w:r w:rsidRPr="007C70C1">
        <w:rPr>
          <w:sz w:val="22"/>
          <w:szCs w:val="22"/>
        </w:rPr>
        <w:t xml:space="preserve">  D.17-05-013 at 75.</w:t>
      </w:r>
    </w:p>
  </w:footnote>
  <w:footnote w:id="33">
    <w:p w:rsidR="004025B5" w:rsidRPr="007C70C1" w:rsidRDefault="004025B5" w:rsidP="000F360B">
      <w:pPr>
        <w:pStyle w:val="FootnoteText"/>
        <w:rPr>
          <w:sz w:val="22"/>
          <w:szCs w:val="22"/>
        </w:rPr>
      </w:pPr>
      <w:r w:rsidRPr="007C70C1">
        <w:rPr>
          <w:rStyle w:val="FootnoteReference"/>
          <w:sz w:val="22"/>
          <w:szCs w:val="22"/>
        </w:rPr>
        <w:footnoteRef/>
      </w:r>
      <w:r w:rsidRPr="007C70C1">
        <w:rPr>
          <w:sz w:val="22"/>
          <w:szCs w:val="22"/>
        </w:rPr>
        <w:t xml:space="preserve">  Reinforcing this conclusion, we note that during the voting meeting that the Commission adopted D.17-05-013, it issued Rulemaking 17-05-010, its </w:t>
      </w:r>
      <w:r w:rsidRPr="007C70C1">
        <w:rPr>
          <w:i/>
          <w:sz w:val="22"/>
          <w:szCs w:val="22"/>
        </w:rPr>
        <w:t>Order Instituting</w:t>
      </w:r>
      <w:r w:rsidRPr="007C70C1">
        <w:rPr>
          <w:i/>
          <w:szCs w:val="24"/>
        </w:rPr>
        <w:t xml:space="preserve"> </w:t>
      </w:r>
      <w:r w:rsidRPr="007C70C1">
        <w:rPr>
          <w:i/>
          <w:sz w:val="22"/>
          <w:szCs w:val="22"/>
        </w:rPr>
        <w:t>Rulemaking to</w:t>
      </w:r>
      <w:r w:rsidRPr="007C70C1">
        <w:rPr>
          <w:i/>
          <w:szCs w:val="24"/>
        </w:rPr>
        <w:t xml:space="preserve"> </w:t>
      </w:r>
      <w:r w:rsidRPr="007C70C1">
        <w:rPr>
          <w:i/>
          <w:sz w:val="22"/>
          <w:szCs w:val="22"/>
        </w:rPr>
        <w:t>Consider Revisions to Electric Rule 20 and Related Matters</w:t>
      </w:r>
      <w:r w:rsidRPr="007C70C1">
        <w:rPr>
          <w:sz w:val="22"/>
          <w:szCs w:val="22"/>
        </w:rPr>
        <w:t xml:space="preserve">.  The initial scope of R.17-05-010 included a number of safety questions.  </w:t>
      </w:r>
      <w:r w:rsidRPr="007C70C1">
        <w:rPr>
          <w:i/>
          <w:sz w:val="22"/>
          <w:szCs w:val="22"/>
        </w:rPr>
        <w:t>See</w:t>
      </w:r>
      <w:r w:rsidRPr="007C70C1">
        <w:rPr>
          <w:sz w:val="22"/>
          <w:szCs w:val="22"/>
        </w:rPr>
        <w:t xml:space="preserve"> R.17-05-010 at 19-23.</w:t>
      </w:r>
    </w:p>
  </w:footnote>
  <w:footnote w:id="34">
    <w:p w:rsidR="004025B5" w:rsidRPr="007C70C1" w:rsidRDefault="004025B5" w:rsidP="003469C3">
      <w:pPr>
        <w:pStyle w:val="FootnoteText"/>
        <w:rPr>
          <w:sz w:val="22"/>
          <w:szCs w:val="22"/>
        </w:rPr>
      </w:pPr>
      <w:r w:rsidRPr="007C70C1">
        <w:rPr>
          <w:rStyle w:val="FootnoteReference"/>
          <w:sz w:val="22"/>
          <w:szCs w:val="22"/>
        </w:rPr>
        <w:footnoteRef/>
      </w:r>
      <w:r w:rsidRPr="007C70C1">
        <w:rPr>
          <w:sz w:val="22"/>
          <w:szCs w:val="22"/>
        </w:rPr>
        <w:t xml:space="preserve">  Rafferty’s general timesheet category of “Burden” is also distinguished from these additional categories on Rafferty’s timesheets:  “Process Burden”, “Safety Burden”, “Settle Burden”.</w:t>
      </w:r>
    </w:p>
  </w:footnote>
  <w:footnote w:id="35">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w:t>
      </w:r>
      <w:r w:rsidR="00987628" w:rsidRPr="007C70C1">
        <w:rPr>
          <w:sz w:val="22"/>
          <w:szCs w:val="22"/>
        </w:rPr>
        <w:t xml:space="preserve"> </w:t>
      </w:r>
      <w:r w:rsidRPr="007C70C1">
        <w:rPr>
          <w:sz w:val="22"/>
          <w:szCs w:val="22"/>
        </w:rPr>
        <w:t>For example, Rafferty’s timesheets show 8 hours spent on “continued review of draft joint opening comments; review US v PGE sentencing order, phone call with AUSA, research into other precedents for monitor, goals of sentencing commission guidelines, denial of Rule 29 motion” but the time is categorized as “Safety”.</w:t>
      </w:r>
    </w:p>
  </w:footnote>
  <w:footnote w:id="36">
    <w:p w:rsidR="004025B5" w:rsidRPr="007C70C1" w:rsidRDefault="004025B5">
      <w:pPr>
        <w:pStyle w:val="FootnoteText"/>
        <w:rPr>
          <w:sz w:val="22"/>
          <w:szCs w:val="22"/>
        </w:rPr>
      </w:pPr>
      <w:r w:rsidRPr="007C70C1">
        <w:rPr>
          <w:rStyle w:val="FootnoteReference"/>
          <w:sz w:val="22"/>
          <w:szCs w:val="22"/>
        </w:rPr>
        <w:footnoteRef/>
      </w:r>
      <w:r w:rsidR="00987628" w:rsidRPr="007C70C1">
        <w:rPr>
          <w:sz w:val="22"/>
          <w:szCs w:val="22"/>
        </w:rPr>
        <w:t xml:space="preserve"> </w:t>
      </w:r>
      <w:r w:rsidRPr="007C70C1">
        <w:rPr>
          <w:sz w:val="22"/>
          <w:szCs w:val="22"/>
        </w:rPr>
        <w:t xml:space="preserve"> D.15-01-043 at 11.</w:t>
      </w:r>
    </w:p>
  </w:footnote>
  <w:footnote w:id="37">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w:t>
      </w:r>
      <w:r w:rsidR="00987628" w:rsidRPr="007C70C1">
        <w:rPr>
          <w:sz w:val="22"/>
          <w:szCs w:val="22"/>
        </w:rPr>
        <w:t xml:space="preserve"> </w:t>
      </w:r>
      <w:r w:rsidRPr="007C70C1">
        <w:rPr>
          <w:sz w:val="22"/>
          <w:szCs w:val="22"/>
        </w:rPr>
        <w:t>Rafferty Claim at 15.</w:t>
      </w:r>
    </w:p>
  </w:footnote>
  <w:footnote w:id="38">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w:t>
      </w:r>
      <w:r w:rsidR="00987628" w:rsidRPr="007C70C1">
        <w:rPr>
          <w:sz w:val="22"/>
          <w:szCs w:val="22"/>
        </w:rPr>
        <w:t xml:space="preserve"> </w:t>
      </w:r>
      <w:r w:rsidRPr="007C70C1">
        <w:rPr>
          <w:i/>
          <w:sz w:val="22"/>
          <w:szCs w:val="22"/>
        </w:rPr>
        <w:t>Ibid.</w:t>
      </w:r>
    </w:p>
  </w:footnote>
  <w:footnote w:id="39">
    <w:p w:rsidR="004025B5" w:rsidRPr="007C70C1" w:rsidRDefault="004025B5" w:rsidP="00A331C7">
      <w:pPr>
        <w:pStyle w:val="FootnoteText"/>
        <w:rPr>
          <w:sz w:val="22"/>
          <w:szCs w:val="22"/>
        </w:rPr>
      </w:pPr>
      <w:r w:rsidRPr="007C70C1">
        <w:rPr>
          <w:rStyle w:val="FootnoteReference"/>
          <w:sz w:val="22"/>
          <w:szCs w:val="22"/>
        </w:rPr>
        <w:footnoteRef/>
      </w:r>
      <w:r w:rsidRPr="007C70C1">
        <w:rPr>
          <w:sz w:val="22"/>
          <w:szCs w:val="22"/>
        </w:rPr>
        <w:t xml:space="preserve"> </w:t>
      </w:r>
      <w:r w:rsidR="00987628" w:rsidRPr="007C70C1">
        <w:rPr>
          <w:sz w:val="22"/>
          <w:szCs w:val="22"/>
        </w:rPr>
        <w:t xml:space="preserve"> </w:t>
      </w:r>
      <w:r w:rsidRPr="007C70C1">
        <w:rPr>
          <w:sz w:val="22"/>
          <w:szCs w:val="22"/>
        </w:rPr>
        <w:t>Decision 98-04-059 at 19-20:  “When it codified the intervenor compensation program, the Legislature struck a balance between competing goals:  to encourage the effective and efficient participation of all groups that have a stake in the public utility regulation process while avoiding unproductive or unnecessary participation that duplicates the participation of others.  Three tools affect this balance: eligibility, based on financial hardship, and substantial contribution, which, when applied together, ensure that compensated intervention provides value to the ratepayers who fund it.  These three tools come together in the directive embodied in § 1803, and the key definitions [in § 1802] which give § 1803 meaning.”</w:t>
      </w:r>
    </w:p>
  </w:footnote>
  <w:footnote w:id="40">
    <w:p w:rsidR="004025B5" w:rsidRPr="007C70C1" w:rsidRDefault="004025B5">
      <w:pPr>
        <w:pStyle w:val="FootnoteText"/>
        <w:rPr>
          <w:sz w:val="22"/>
          <w:szCs w:val="22"/>
        </w:rPr>
      </w:pPr>
      <w:r w:rsidRPr="007C70C1">
        <w:rPr>
          <w:rStyle w:val="FootnoteReference"/>
          <w:sz w:val="22"/>
          <w:szCs w:val="22"/>
        </w:rPr>
        <w:footnoteRef/>
      </w:r>
      <w:r w:rsidRPr="007C70C1">
        <w:rPr>
          <w:sz w:val="22"/>
          <w:szCs w:val="22"/>
        </w:rPr>
        <w:t xml:space="preserve"> </w:t>
      </w:r>
      <w:r w:rsidR="00987628" w:rsidRPr="007C70C1">
        <w:rPr>
          <w:sz w:val="22"/>
          <w:szCs w:val="22"/>
        </w:rPr>
        <w:t xml:space="preserve"> </w:t>
      </w:r>
      <w:r w:rsidRPr="007C70C1">
        <w:rPr>
          <w:sz w:val="22"/>
          <w:szCs w:val="22"/>
        </w:rPr>
        <w:t>D.15-05-017 at 48.</w:t>
      </w:r>
    </w:p>
  </w:footnote>
  <w:footnote w:id="41">
    <w:p w:rsidR="004025B5" w:rsidRPr="007C70C1" w:rsidRDefault="004025B5" w:rsidP="0009474E">
      <w:pPr>
        <w:pStyle w:val="FootnoteText"/>
        <w:rPr>
          <w:sz w:val="22"/>
          <w:szCs w:val="22"/>
        </w:rPr>
      </w:pPr>
      <w:r w:rsidRPr="007C70C1">
        <w:rPr>
          <w:rStyle w:val="FootnoteReference"/>
          <w:sz w:val="22"/>
          <w:szCs w:val="22"/>
        </w:rPr>
        <w:footnoteRef/>
      </w:r>
      <w:r w:rsidRPr="007C70C1">
        <w:rPr>
          <w:sz w:val="22"/>
          <w:szCs w:val="22"/>
        </w:rPr>
        <w:t xml:space="preserve">  Resolution ALJ-184, August 19, 2004 at 3.  Resolution ALJ-184 is the Commission’s resolution adopting the process of setting hourly rates for intervenors.</w:t>
      </w:r>
    </w:p>
  </w:footnote>
  <w:footnote w:id="42">
    <w:p w:rsidR="004025B5" w:rsidRPr="007C70C1" w:rsidRDefault="004025B5" w:rsidP="0009474E">
      <w:pPr>
        <w:pStyle w:val="FootnoteText"/>
        <w:rPr>
          <w:sz w:val="22"/>
          <w:szCs w:val="22"/>
        </w:rPr>
      </w:pPr>
      <w:r w:rsidRPr="007C70C1">
        <w:rPr>
          <w:rStyle w:val="FootnoteReference"/>
          <w:sz w:val="22"/>
          <w:szCs w:val="22"/>
        </w:rPr>
        <w:footnoteRef/>
      </w:r>
      <w:r w:rsidRPr="007C70C1">
        <w:rPr>
          <w:sz w:val="22"/>
          <w:szCs w:val="22"/>
        </w:rPr>
        <w:t xml:space="preserve">  D.07-01-009, Ordering Paragraph 4.</w:t>
      </w:r>
    </w:p>
  </w:footnote>
  <w:footnote w:id="43">
    <w:p w:rsidR="004025B5" w:rsidRPr="007C70C1" w:rsidRDefault="004025B5" w:rsidP="000A1B06">
      <w:pPr>
        <w:pStyle w:val="FootnoteText"/>
        <w:rPr>
          <w:sz w:val="22"/>
          <w:szCs w:val="22"/>
        </w:rPr>
      </w:pPr>
      <w:r w:rsidRPr="007C70C1">
        <w:rPr>
          <w:rStyle w:val="FootnoteReference"/>
          <w:sz w:val="22"/>
          <w:szCs w:val="22"/>
        </w:rPr>
        <w:footnoteRef/>
      </w:r>
      <w:r w:rsidRPr="007C70C1">
        <w:rPr>
          <w:sz w:val="22"/>
          <w:szCs w:val="22"/>
        </w:rPr>
        <w:t xml:space="preserve">  Rafferty appears to have made a calculation error:  he requests $490 per hour in 2015, but 85% of the top rate in 2015 ($570 per hour) is $485 per hour.  Rafferty’s requested rates for 2016 and 2017 reflect similar calculation errors (current rates are provided in Resolution ALJ-345 at 4, Table 2).  Rafferty also requests $250 per hour for claim preparation, but the correct rate would be $585 per hour x .85, divided by 2, or $248.63 per hour.</w:t>
      </w:r>
    </w:p>
  </w:footnote>
  <w:footnote w:id="44">
    <w:p w:rsidR="004025B5" w:rsidRPr="007C70C1" w:rsidRDefault="004025B5" w:rsidP="006232AE">
      <w:pPr>
        <w:pStyle w:val="FootnoteText"/>
        <w:rPr>
          <w:sz w:val="22"/>
          <w:szCs w:val="22"/>
        </w:rPr>
      </w:pPr>
      <w:r w:rsidRPr="007C70C1">
        <w:rPr>
          <w:rStyle w:val="FootnoteReference"/>
          <w:sz w:val="22"/>
          <w:szCs w:val="22"/>
        </w:rPr>
        <w:footnoteRef/>
      </w:r>
      <w:r w:rsidRPr="007C70C1">
        <w:rPr>
          <w:sz w:val="22"/>
          <w:szCs w:val="22"/>
        </w:rPr>
        <w:t xml:space="preserve">  Resolution ALJ-184 at 3.</w:t>
      </w:r>
    </w:p>
  </w:footnote>
  <w:footnote w:id="45">
    <w:p w:rsidR="004025B5" w:rsidRPr="007C70C1" w:rsidRDefault="004025B5" w:rsidP="00CC5EFF">
      <w:pPr>
        <w:pStyle w:val="FootnoteText"/>
        <w:rPr>
          <w:sz w:val="22"/>
          <w:szCs w:val="22"/>
        </w:rPr>
      </w:pPr>
      <w:r w:rsidRPr="007C70C1">
        <w:rPr>
          <w:rStyle w:val="FootnoteReference"/>
          <w:sz w:val="22"/>
          <w:szCs w:val="22"/>
        </w:rPr>
        <w:footnoteRef/>
      </w:r>
      <w:r w:rsidRPr="007C70C1">
        <w:rPr>
          <w:sz w:val="22"/>
          <w:szCs w:val="22"/>
        </w:rPr>
        <w:t xml:space="preserve">  </w:t>
      </w:r>
      <w:r w:rsidRPr="007C70C1">
        <w:rPr>
          <w:i/>
          <w:sz w:val="22"/>
          <w:szCs w:val="22"/>
        </w:rPr>
        <w:t>See</w:t>
      </w:r>
      <w:r w:rsidRPr="007C70C1">
        <w:rPr>
          <w:sz w:val="22"/>
          <w:szCs w:val="22"/>
        </w:rPr>
        <w:t xml:space="preserve"> § 1801.3(f) and D.98-04-059 at 31-33.</w:t>
      </w:r>
    </w:p>
  </w:footnote>
  <w:footnote w:id="46">
    <w:p w:rsidR="004025B5" w:rsidRPr="007C70C1" w:rsidRDefault="004025B5" w:rsidP="00D32FB2">
      <w:pPr>
        <w:pStyle w:val="FootnoteText"/>
        <w:rPr>
          <w:sz w:val="22"/>
          <w:szCs w:val="22"/>
        </w:rPr>
      </w:pPr>
      <w:r w:rsidRPr="007C70C1">
        <w:rPr>
          <w:rStyle w:val="FootnoteReference"/>
          <w:sz w:val="22"/>
          <w:szCs w:val="22"/>
        </w:rPr>
        <w:footnoteRef/>
      </w:r>
      <w:r w:rsidRPr="007C70C1">
        <w:rPr>
          <w:sz w:val="22"/>
          <w:szCs w:val="22"/>
        </w:rPr>
        <w:t xml:space="preserve">  D.98-04-059, at 34-35.</w:t>
      </w:r>
    </w:p>
  </w:footnote>
  <w:footnote w:id="47">
    <w:p w:rsidR="004025B5" w:rsidRPr="007C70C1" w:rsidRDefault="004025B5" w:rsidP="007C70C1">
      <w:pPr>
        <w:pStyle w:val="ListParagraph"/>
        <w:spacing w:after="120"/>
        <w:ind w:left="0"/>
        <w:rPr>
          <w:sz w:val="22"/>
          <w:szCs w:val="22"/>
        </w:rPr>
      </w:pPr>
      <w:r w:rsidRPr="007C70C1">
        <w:rPr>
          <w:rStyle w:val="FootnoteReference"/>
          <w:rFonts w:ascii="Times New Roman" w:hAnsi="Times New Roman"/>
          <w:sz w:val="22"/>
          <w:szCs w:val="22"/>
        </w:rPr>
        <w:footnoteRef/>
      </w:r>
      <w:r w:rsidR="006630EA">
        <w:rPr>
          <w:rFonts w:ascii="Times New Roman" w:hAnsi="Times New Roman"/>
          <w:sz w:val="22"/>
          <w:szCs w:val="22"/>
        </w:rPr>
        <w:t xml:space="preserve">  </w:t>
      </w:r>
      <w:r w:rsidRPr="007C70C1">
        <w:rPr>
          <w:sz w:val="22"/>
          <w:szCs w:val="22"/>
        </w:rPr>
        <w:t xml:space="preserve">This information may be obtained through the State Bar of California’s website at </w:t>
      </w:r>
      <w:hyperlink r:id="rId1" w:history="1">
        <w:r w:rsidR="006630EA" w:rsidRPr="007C70C1">
          <w:rPr>
            <w:rStyle w:val="Hyperlink"/>
            <w:sz w:val="22"/>
            <w:szCs w:val="22"/>
          </w:rPr>
          <w:t>http://members.calbar.ca.gov/fal/MemberSearch/QuickSearc</w:t>
        </w:r>
        <w:r w:rsidR="006630EA" w:rsidRPr="00A35FA9">
          <w:rPr>
            <w:rStyle w:val="Hyperlink"/>
            <w:sz w:val="22"/>
            <w:szCs w:val="22"/>
          </w:rPr>
          <w:t>h</w:t>
        </w:r>
      </w:hyperlink>
      <w:r w:rsidRPr="007C70C1">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BE" w:rsidRDefault="00CC00BE" w:rsidP="00CC00BE">
    <w:pPr>
      <w:pStyle w:val="Header"/>
      <w:rPr>
        <w:b/>
      </w:rPr>
    </w:pPr>
    <w:r>
      <w:t>A.15-09-001  ALJ/SCR/ek4/avs</w:t>
    </w:r>
    <w:r>
      <w:tab/>
    </w:r>
    <w:r>
      <w:tab/>
    </w:r>
    <w:r>
      <w:rPr>
        <w:b/>
      </w:rPr>
      <w:t>PROPOSED DECISION</w:t>
    </w:r>
  </w:p>
  <w:p w:rsidR="00CC00BE" w:rsidRDefault="00CC00BE" w:rsidP="00CC00BE">
    <w:pPr>
      <w:pStyle w:val="Header"/>
      <w:rPr>
        <w:b/>
      </w:rPr>
    </w:pPr>
  </w:p>
  <w:p w:rsidR="00CC00BE" w:rsidRDefault="00CC00BE" w:rsidP="00CC00BE">
    <w:pPr>
      <w:pStyle w:val="Header"/>
      <w:jc w:val="center"/>
      <w:rPr>
        <w:b/>
      </w:rPr>
    </w:pPr>
    <w:r>
      <w:rPr>
        <w:b/>
      </w:rPr>
      <w:t>Table of Contents</w:t>
    </w:r>
  </w:p>
  <w:p w:rsidR="00CC00BE" w:rsidRDefault="00CC00BE" w:rsidP="00CC00BE">
    <w:pPr>
      <w:pStyle w:val="Header"/>
      <w:jc w:val="center"/>
      <w:rPr>
        <w:b/>
      </w:rPr>
    </w:pPr>
  </w:p>
  <w:p w:rsidR="00CC00BE" w:rsidRPr="0010374D" w:rsidRDefault="00CC00BE" w:rsidP="00CC00BE">
    <w:pPr>
      <w:pStyle w:val="Header"/>
      <w:rPr>
        <w:b/>
      </w:rPr>
    </w:pPr>
    <w:r>
      <w:rPr>
        <w:b/>
      </w:rPr>
      <w:t>Title</w:t>
    </w:r>
    <w:r>
      <w:rPr>
        <w:b/>
      </w:rPr>
      <w:tab/>
    </w:r>
    <w:r>
      <w:rPr>
        <w:b/>
      </w:rPr>
      <w:tab/>
      <w:t>Page</w:t>
    </w:r>
  </w:p>
  <w:p w:rsidR="00CC00BE" w:rsidRPr="00CC00BE" w:rsidRDefault="00CC00BE" w:rsidP="00CC0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BE" w:rsidRDefault="00CC00BE" w:rsidP="00CC00BE">
    <w:pPr>
      <w:pStyle w:val="Header"/>
      <w:rPr>
        <w:b/>
      </w:rPr>
    </w:pPr>
    <w:r>
      <w:t>A.15-09-001  ALJ/SCR/ek4/avs</w:t>
    </w:r>
    <w:r>
      <w:tab/>
    </w:r>
    <w:r>
      <w:tab/>
    </w:r>
    <w:r>
      <w:rPr>
        <w:b/>
      </w:rPr>
      <w:t>PROPOSED DECISION</w:t>
    </w:r>
  </w:p>
  <w:p w:rsidR="00CC00BE" w:rsidRDefault="00CC00BE" w:rsidP="00CC00BE">
    <w:pPr>
      <w:pStyle w:val="Header"/>
      <w:rPr>
        <w:b/>
      </w:rPr>
    </w:pPr>
  </w:p>
  <w:p w:rsidR="00CC00BE" w:rsidRDefault="00CC00BE" w:rsidP="00CC00BE">
    <w:pPr>
      <w:pStyle w:val="Header"/>
      <w:jc w:val="center"/>
      <w:rPr>
        <w:b/>
      </w:rPr>
    </w:pPr>
    <w:r>
      <w:rPr>
        <w:b/>
      </w:rPr>
      <w:t>Table of Contents</w:t>
    </w:r>
  </w:p>
  <w:p w:rsidR="00CC00BE" w:rsidRDefault="00CC00BE" w:rsidP="00CC00BE">
    <w:pPr>
      <w:pStyle w:val="Header"/>
      <w:jc w:val="center"/>
      <w:rPr>
        <w:b/>
      </w:rPr>
    </w:pPr>
  </w:p>
  <w:p w:rsidR="00CC00BE" w:rsidRPr="0010374D" w:rsidRDefault="00CC00BE" w:rsidP="00CC00BE">
    <w:pPr>
      <w:pStyle w:val="Header"/>
      <w:rPr>
        <w:b/>
      </w:rPr>
    </w:pPr>
    <w:r>
      <w:rPr>
        <w:b/>
      </w:rPr>
      <w:t>Title</w:t>
    </w:r>
    <w:r>
      <w:rPr>
        <w:b/>
      </w:rPr>
      <w:tab/>
    </w:r>
    <w:r>
      <w:rPr>
        <w:b/>
      </w:rPr>
      <w:tab/>
      <w:t>Page</w:t>
    </w:r>
  </w:p>
  <w:p w:rsidR="00CC00BE" w:rsidRPr="00CC00BE" w:rsidRDefault="00CC00BE" w:rsidP="00CC00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5" w:rsidRDefault="004025B5">
    <w:pPr>
      <w:pStyle w:val="Header"/>
      <w:rPr>
        <w:b/>
      </w:rPr>
    </w:pPr>
    <w:r>
      <w:t>A.15-09-001  ALJ/SCR/ek4</w:t>
    </w:r>
    <w:r w:rsidR="00CC00BE">
      <w:t>/avs</w:t>
    </w:r>
    <w:r>
      <w:tab/>
    </w:r>
    <w:r>
      <w:tab/>
    </w:r>
    <w:r>
      <w:rPr>
        <w:b/>
      </w:rPr>
      <w:t>PROPOSED DECISION</w:t>
    </w:r>
  </w:p>
  <w:p w:rsidR="004025B5" w:rsidRDefault="004025B5">
    <w:pPr>
      <w:pStyle w:val="Header"/>
      <w:rPr>
        <w:b/>
      </w:rPr>
    </w:pPr>
  </w:p>
  <w:p w:rsidR="004025B5" w:rsidRDefault="004025B5" w:rsidP="0010374D">
    <w:pPr>
      <w:pStyle w:val="Header"/>
      <w:jc w:val="center"/>
      <w:rPr>
        <w:b/>
      </w:rPr>
    </w:pPr>
    <w:r>
      <w:rPr>
        <w:b/>
      </w:rPr>
      <w:t>Table of Contents</w:t>
    </w:r>
  </w:p>
  <w:p w:rsidR="004025B5" w:rsidRDefault="004025B5" w:rsidP="0010374D">
    <w:pPr>
      <w:pStyle w:val="Header"/>
      <w:jc w:val="center"/>
      <w:rPr>
        <w:b/>
      </w:rPr>
    </w:pPr>
  </w:p>
  <w:p w:rsidR="004025B5" w:rsidRPr="0010374D" w:rsidRDefault="004025B5" w:rsidP="0010374D">
    <w:pPr>
      <w:pStyle w:val="Header"/>
      <w:rPr>
        <w:b/>
      </w:rPr>
    </w:pPr>
    <w:r>
      <w:rPr>
        <w:b/>
      </w:rPr>
      <w:t>Title</w:t>
    </w:r>
    <w:r>
      <w:rPr>
        <w:b/>
      </w:rPr>
      <w:tab/>
    </w:r>
    <w:r>
      <w:rPr>
        <w:b/>
      </w:rPr>
      <w:tab/>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5" w:rsidRDefault="004025B5" w:rsidP="0010374D">
    <w:pPr>
      <w:pStyle w:val="Header"/>
      <w:rPr>
        <w:b/>
      </w:rPr>
    </w:pPr>
    <w:r>
      <w:t>A.15-09-001  ALJ/SCR/ek4</w:t>
    </w:r>
    <w:r w:rsidR="001D7166">
      <w:t>/avs</w:t>
    </w:r>
    <w:r>
      <w:tab/>
    </w:r>
    <w:r>
      <w:tab/>
    </w:r>
    <w:r>
      <w:rPr>
        <w:b/>
      </w:rPr>
      <w:t>PROPOSED DECISION</w:t>
    </w:r>
  </w:p>
  <w:p w:rsidR="004025B5" w:rsidRDefault="004025B5" w:rsidP="0010374D">
    <w:pPr>
      <w:pStyle w:val="Header"/>
      <w:rPr>
        <w:b/>
      </w:rPr>
    </w:pPr>
  </w:p>
  <w:p w:rsidR="004025B5" w:rsidRPr="0010374D" w:rsidRDefault="004025B5" w:rsidP="001037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5" w:rsidRDefault="004025B5">
    <w:pPr>
      <w:pStyle w:val="Header"/>
      <w:rPr>
        <w:b/>
      </w:rPr>
    </w:pPr>
    <w:r>
      <w:t>A.15-09-001  ALJ/SCR/ek4</w:t>
    </w:r>
    <w:r w:rsidR="00CC00BE">
      <w:t>/avs</w:t>
    </w:r>
    <w:r>
      <w:tab/>
    </w:r>
    <w:r>
      <w:tab/>
    </w:r>
    <w:r>
      <w:rPr>
        <w:b/>
      </w:rPr>
      <w:t>PROPOSED DECISION</w:t>
    </w:r>
  </w:p>
  <w:p w:rsidR="004025B5" w:rsidRPr="0009474E" w:rsidRDefault="004025B5">
    <w:pPr>
      <w:pStyle w:val="Header"/>
    </w:pPr>
  </w:p>
  <w:p w:rsidR="004025B5" w:rsidRPr="0009474E" w:rsidRDefault="00402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BC05C4"/>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96E6ACC"/>
    <w:multiLevelType w:val="hybridMultilevel"/>
    <w:tmpl w:val="B44EB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455710"/>
    <w:multiLevelType w:val="multilevel"/>
    <w:tmpl w:val="08A6296E"/>
    <w:lvl w:ilvl="0">
      <w:start w:val="1"/>
      <w:numFmt w:val="decimal"/>
      <w:lvlText w:val="%1."/>
      <w:lvlJc w:val="left"/>
      <w:pPr>
        <w:ind w:left="1776" w:hanging="1056"/>
      </w:pPr>
      <w:rPr>
        <w:rFonts w:hint="default"/>
      </w:rPr>
    </w:lvl>
    <w:lvl w:ilvl="1">
      <w:start w:val="2"/>
      <w:numFmt w:val="decimal"/>
      <w:isLgl/>
      <w:lvlText w:val="%1.%2."/>
      <w:lvlJc w:val="left"/>
      <w:pPr>
        <w:ind w:left="1440"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2DD46003"/>
    <w:multiLevelType w:val="singleLevel"/>
    <w:tmpl w:val="408002C8"/>
    <w:lvl w:ilvl="0">
      <w:start w:val="1"/>
      <w:numFmt w:val="decimal"/>
      <w:lvlText w:val="%1."/>
      <w:legacy w:legacy="1" w:legacySpace="144" w:legacyIndent="0"/>
      <w:lvlJc w:val="left"/>
    </w:lvl>
  </w:abstractNum>
  <w:abstractNum w:abstractNumId="4">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6">
    <w:nsid w:val="36E70579"/>
    <w:multiLevelType w:val="singleLevel"/>
    <w:tmpl w:val="1A545556"/>
    <w:lvl w:ilvl="0">
      <w:start w:val="1"/>
      <w:numFmt w:val="decimal"/>
      <w:lvlText w:val="%1."/>
      <w:legacy w:legacy="1" w:legacySpace="144" w:legacyIndent="0"/>
      <w:lvlJc w:val="left"/>
    </w:lvl>
  </w:abstractNum>
  <w:abstractNum w:abstractNumId="7">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092FF8"/>
    <w:multiLevelType w:val="singleLevel"/>
    <w:tmpl w:val="4FD658E0"/>
    <w:lvl w:ilvl="0">
      <w:start w:val="1"/>
      <w:numFmt w:val="decimal"/>
      <w:lvlText w:val="%1."/>
      <w:legacy w:legacy="1" w:legacySpace="144" w:legacyIndent="0"/>
      <w:lvlJc w:val="left"/>
    </w:lvl>
  </w:abstractNum>
  <w:abstractNum w:abstractNumId="9">
    <w:nsid w:val="3F0B548C"/>
    <w:multiLevelType w:val="hybridMultilevel"/>
    <w:tmpl w:val="5BAC44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E02961"/>
    <w:multiLevelType w:val="hybridMultilevel"/>
    <w:tmpl w:val="BEF450CA"/>
    <w:lvl w:ilvl="0" w:tplc="C1BA9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344855"/>
    <w:multiLevelType w:val="hybridMultilevel"/>
    <w:tmpl w:val="BEF450CA"/>
    <w:lvl w:ilvl="0" w:tplc="C1BA9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6646B1"/>
    <w:multiLevelType w:val="hybridMultilevel"/>
    <w:tmpl w:val="BEF450CA"/>
    <w:lvl w:ilvl="0" w:tplc="C1BA9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0"/>
  </w:num>
  <w:num w:numId="5">
    <w:abstractNumId w:val="5"/>
  </w:num>
  <w:num w:numId="6">
    <w:abstractNumId w:val="0"/>
  </w:num>
  <w:num w:numId="7">
    <w:abstractNumId w:val="6"/>
  </w:num>
  <w:num w:numId="8">
    <w:abstractNumId w:val="2"/>
  </w:num>
  <w:num w:numId="9">
    <w:abstractNumId w:val="9"/>
  </w:num>
  <w:num w:numId="10">
    <w:abstractNumId w:val="11"/>
  </w:num>
  <w:num w:numId="11">
    <w:abstractNumId w:val="8"/>
  </w:num>
  <w:num w:numId="12">
    <w:abstractNumId w:val="1"/>
  </w:num>
  <w:num w:numId="13">
    <w:abstractNumId w:val="12"/>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76"/>
    <w:rsid w:val="000002DB"/>
    <w:rsid w:val="00001725"/>
    <w:rsid w:val="00006AB1"/>
    <w:rsid w:val="00020062"/>
    <w:rsid w:val="00044B3F"/>
    <w:rsid w:val="00060366"/>
    <w:rsid w:val="00061B17"/>
    <w:rsid w:val="00067DDB"/>
    <w:rsid w:val="00077D9B"/>
    <w:rsid w:val="00081F96"/>
    <w:rsid w:val="000827D9"/>
    <w:rsid w:val="00083E50"/>
    <w:rsid w:val="000852BC"/>
    <w:rsid w:val="0009156A"/>
    <w:rsid w:val="00091CB8"/>
    <w:rsid w:val="0009474E"/>
    <w:rsid w:val="000979F1"/>
    <w:rsid w:val="000A1B06"/>
    <w:rsid w:val="000A4C38"/>
    <w:rsid w:val="000B1729"/>
    <w:rsid w:val="000B5A05"/>
    <w:rsid w:val="000C023C"/>
    <w:rsid w:val="000C1A23"/>
    <w:rsid w:val="000C4365"/>
    <w:rsid w:val="000C61A2"/>
    <w:rsid w:val="000D4A53"/>
    <w:rsid w:val="000D779A"/>
    <w:rsid w:val="000E0C81"/>
    <w:rsid w:val="000E1D48"/>
    <w:rsid w:val="000E7857"/>
    <w:rsid w:val="000F360B"/>
    <w:rsid w:val="000F779C"/>
    <w:rsid w:val="0010374D"/>
    <w:rsid w:val="001048B2"/>
    <w:rsid w:val="00110360"/>
    <w:rsid w:val="00111A10"/>
    <w:rsid w:val="001155A6"/>
    <w:rsid w:val="00127C43"/>
    <w:rsid w:val="0013279F"/>
    <w:rsid w:val="00133F1B"/>
    <w:rsid w:val="00134BBB"/>
    <w:rsid w:val="00134E7B"/>
    <w:rsid w:val="00135655"/>
    <w:rsid w:val="00144896"/>
    <w:rsid w:val="0015237C"/>
    <w:rsid w:val="001549D3"/>
    <w:rsid w:val="00155C70"/>
    <w:rsid w:val="001615CB"/>
    <w:rsid w:val="00167FF1"/>
    <w:rsid w:val="00174BFB"/>
    <w:rsid w:val="00181249"/>
    <w:rsid w:val="00183040"/>
    <w:rsid w:val="001B19B8"/>
    <w:rsid w:val="001B3CD0"/>
    <w:rsid w:val="001B7CC3"/>
    <w:rsid w:val="001C0E2A"/>
    <w:rsid w:val="001C6BE1"/>
    <w:rsid w:val="001D3237"/>
    <w:rsid w:val="001D50E6"/>
    <w:rsid w:val="001D51CC"/>
    <w:rsid w:val="001D7166"/>
    <w:rsid w:val="001E1D12"/>
    <w:rsid w:val="001E7378"/>
    <w:rsid w:val="001E7806"/>
    <w:rsid w:val="001F0A76"/>
    <w:rsid w:val="001F1B4D"/>
    <w:rsid w:val="001F3D91"/>
    <w:rsid w:val="00200E12"/>
    <w:rsid w:val="00201506"/>
    <w:rsid w:val="00203273"/>
    <w:rsid w:val="002069D1"/>
    <w:rsid w:val="0021768C"/>
    <w:rsid w:val="0022157F"/>
    <w:rsid w:val="002351F2"/>
    <w:rsid w:val="00241C10"/>
    <w:rsid w:val="00244589"/>
    <w:rsid w:val="00251934"/>
    <w:rsid w:val="00252B44"/>
    <w:rsid w:val="002666D2"/>
    <w:rsid w:val="0027052C"/>
    <w:rsid w:val="002816EA"/>
    <w:rsid w:val="00286A08"/>
    <w:rsid w:val="00294B20"/>
    <w:rsid w:val="0029508B"/>
    <w:rsid w:val="002959DF"/>
    <w:rsid w:val="002B2B71"/>
    <w:rsid w:val="002B6DDB"/>
    <w:rsid w:val="002C4920"/>
    <w:rsid w:val="002C76FF"/>
    <w:rsid w:val="002D0CF7"/>
    <w:rsid w:val="002D3A64"/>
    <w:rsid w:val="002D45F5"/>
    <w:rsid w:val="002D4A2D"/>
    <w:rsid w:val="002D6C37"/>
    <w:rsid w:val="002E0356"/>
    <w:rsid w:val="002E1F8A"/>
    <w:rsid w:val="002E340F"/>
    <w:rsid w:val="002F79CD"/>
    <w:rsid w:val="00300396"/>
    <w:rsid w:val="00312506"/>
    <w:rsid w:val="0031347F"/>
    <w:rsid w:val="00322A83"/>
    <w:rsid w:val="00332F6B"/>
    <w:rsid w:val="0033592D"/>
    <w:rsid w:val="003465D7"/>
    <w:rsid w:val="003469C3"/>
    <w:rsid w:val="00346F5D"/>
    <w:rsid w:val="003525B2"/>
    <w:rsid w:val="00354437"/>
    <w:rsid w:val="00361217"/>
    <w:rsid w:val="003651A2"/>
    <w:rsid w:val="00371072"/>
    <w:rsid w:val="00375655"/>
    <w:rsid w:val="00376BF0"/>
    <w:rsid w:val="003853DD"/>
    <w:rsid w:val="00396A4E"/>
    <w:rsid w:val="003A067A"/>
    <w:rsid w:val="003A1A89"/>
    <w:rsid w:val="003A650F"/>
    <w:rsid w:val="003B13B8"/>
    <w:rsid w:val="003C2E4A"/>
    <w:rsid w:val="003C7124"/>
    <w:rsid w:val="003D3971"/>
    <w:rsid w:val="003E2E17"/>
    <w:rsid w:val="003F57B9"/>
    <w:rsid w:val="003F6C49"/>
    <w:rsid w:val="004013D8"/>
    <w:rsid w:val="00401B84"/>
    <w:rsid w:val="00401FFE"/>
    <w:rsid w:val="004025B5"/>
    <w:rsid w:val="00411FC8"/>
    <w:rsid w:val="00413FB6"/>
    <w:rsid w:val="004170B7"/>
    <w:rsid w:val="00422D31"/>
    <w:rsid w:val="00426564"/>
    <w:rsid w:val="00431971"/>
    <w:rsid w:val="0043611E"/>
    <w:rsid w:val="00442915"/>
    <w:rsid w:val="00442B9F"/>
    <w:rsid w:val="00443408"/>
    <w:rsid w:val="00444668"/>
    <w:rsid w:val="00447373"/>
    <w:rsid w:val="00456FDB"/>
    <w:rsid w:val="004620FF"/>
    <w:rsid w:val="004634CB"/>
    <w:rsid w:val="004740A5"/>
    <w:rsid w:val="0047712A"/>
    <w:rsid w:val="00481A16"/>
    <w:rsid w:val="004950AE"/>
    <w:rsid w:val="004957C2"/>
    <w:rsid w:val="004A2FAF"/>
    <w:rsid w:val="004A498E"/>
    <w:rsid w:val="004A4BC0"/>
    <w:rsid w:val="004B1435"/>
    <w:rsid w:val="004C3020"/>
    <w:rsid w:val="004D4959"/>
    <w:rsid w:val="004E0579"/>
    <w:rsid w:val="004F7FD7"/>
    <w:rsid w:val="005016EB"/>
    <w:rsid w:val="005030C4"/>
    <w:rsid w:val="0050407B"/>
    <w:rsid w:val="005119C5"/>
    <w:rsid w:val="00524107"/>
    <w:rsid w:val="00530BF8"/>
    <w:rsid w:val="00530E1D"/>
    <w:rsid w:val="00534F4C"/>
    <w:rsid w:val="00537ABD"/>
    <w:rsid w:val="0054120A"/>
    <w:rsid w:val="005463B5"/>
    <w:rsid w:val="0055222A"/>
    <w:rsid w:val="00562D9D"/>
    <w:rsid w:val="005703F9"/>
    <w:rsid w:val="00572558"/>
    <w:rsid w:val="0057375E"/>
    <w:rsid w:val="00574AEA"/>
    <w:rsid w:val="005761DD"/>
    <w:rsid w:val="00576543"/>
    <w:rsid w:val="005845B0"/>
    <w:rsid w:val="00590693"/>
    <w:rsid w:val="00592645"/>
    <w:rsid w:val="00592733"/>
    <w:rsid w:val="005979B3"/>
    <w:rsid w:val="005A6EC5"/>
    <w:rsid w:val="005B1EC5"/>
    <w:rsid w:val="005B254B"/>
    <w:rsid w:val="005B4598"/>
    <w:rsid w:val="005B4662"/>
    <w:rsid w:val="005C2253"/>
    <w:rsid w:val="005D2EC4"/>
    <w:rsid w:val="005D5207"/>
    <w:rsid w:val="005D62E8"/>
    <w:rsid w:val="005E2F54"/>
    <w:rsid w:val="005F0B65"/>
    <w:rsid w:val="00602697"/>
    <w:rsid w:val="00602FBE"/>
    <w:rsid w:val="0060407B"/>
    <w:rsid w:val="0060435C"/>
    <w:rsid w:val="00605001"/>
    <w:rsid w:val="006124D1"/>
    <w:rsid w:val="00613135"/>
    <w:rsid w:val="006204FE"/>
    <w:rsid w:val="006232AE"/>
    <w:rsid w:val="00630693"/>
    <w:rsid w:val="00631772"/>
    <w:rsid w:val="00631FFD"/>
    <w:rsid w:val="006470BE"/>
    <w:rsid w:val="00651FFD"/>
    <w:rsid w:val="006533A1"/>
    <w:rsid w:val="00656402"/>
    <w:rsid w:val="00657E60"/>
    <w:rsid w:val="0066046E"/>
    <w:rsid w:val="006630EA"/>
    <w:rsid w:val="006670FF"/>
    <w:rsid w:val="00670B2D"/>
    <w:rsid w:val="0067325A"/>
    <w:rsid w:val="00673EC4"/>
    <w:rsid w:val="0067748A"/>
    <w:rsid w:val="0068352C"/>
    <w:rsid w:val="00684FD0"/>
    <w:rsid w:val="0068642E"/>
    <w:rsid w:val="006905F0"/>
    <w:rsid w:val="006C2347"/>
    <w:rsid w:val="006C4F49"/>
    <w:rsid w:val="006C51EF"/>
    <w:rsid w:val="006D13F7"/>
    <w:rsid w:val="006D3BDA"/>
    <w:rsid w:val="006D3F23"/>
    <w:rsid w:val="006D51FD"/>
    <w:rsid w:val="006E14CC"/>
    <w:rsid w:val="006F1F27"/>
    <w:rsid w:val="0070537A"/>
    <w:rsid w:val="007075D5"/>
    <w:rsid w:val="00721A40"/>
    <w:rsid w:val="00723403"/>
    <w:rsid w:val="00732D5A"/>
    <w:rsid w:val="00733722"/>
    <w:rsid w:val="00741A31"/>
    <w:rsid w:val="0074455E"/>
    <w:rsid w:val="00744F08"/>
    <w:rsid w:val="0074503C"/>
    <w:rsid w:val="00751156"/>
    <w:rsid w:val="00751E18"/>
    <w:rsid w:val="0075236A"/>
    <w:rsid w:val="00754D95"/>
    <w:rsid w:val="00757700"/>
    <w:rsid w:val="007657F9"/>
    <w:rsid w:val="0076645E"/>
    <w:rsid w:val="00766893"/>
    <w:rsid w:val="007752CB"/>
    <w:rsid w:val="007809A9"/>
    <w:rsid w:val="00791A02"/>
    <w:rsid w:val="00792A08"/>
    <w:rsid w:val="007943AD"/>
    <w:rsid w:val="00794AEC"/>
    <w:rsid w:val="007B2301"/>
    <w:rsid w:val="007B33F3"/>
    <w:rsid w:val="007C0304"/>
    <w:rsid w:val="007C0BE4"/>
    <w:rsid w:val="007C2C7B"/>
    <w:rsid w:val="007C5ACF"/>
    <w:rsid w:val="007C6731"/>
    <w:rsid w:val="007C70C1"/>
    <w:rsid w:val="007D099A"/>
    <w:rsid w:val="007D273C"/>
    <w:rsid w:val="007D6E97"/>
    <w:rsid w:val="007E6E0C"/>
    <w:rsid w:val="007E72FD"/>
    <w:rsid w:val="007F210E"/>
    <w:rsid w:val="00812F45"/>
    <w:rsid w:val="008158E0"/>
    <w:rsid w:val="00830682"/>
    <w:rsid w:val="008312C2"/>
    <w:rsid w:val="008335E7"/>
    <w:rsid w:val="008373FE"/>
    <w:rsid w:val="008425E9"/>
    <w:rsid w:val="00852ED9"/>
    <w:rsid w:val="00870918"/>
    <w:rsid w:val="00880504"/>
    <w:rsid w:val="00885090"/>
    <w:rsid w:val="008A36B4"/>
    <w:rsid w:val="008B03DD"/>
    <w:rsid w:val="008B0E33"/>
    <w:rsid w:val="008B3941"/>
    <w:rsid w:val="008B4308"/>
    <w:rsid w:val="008B7117"/>
    <w:rsid w:val="008C683A"/>
    <w:rsid w:val="008C6F7B"/>
    <w:rsid w:val="008D3485"/>
    <w:rsid w:val="008D4CA1"/>
    <w:rsid w:val="008E4BF0"/>
    <w:rsid w:val="008E74BA"/>
    <w:rsid w:val="008E7E04"/>
    <w:rsid w:val="00900288"/>
    <w:rsid w:val="00900CB6"/>
    <w:rsid w:val="00903507"/>
    <w:rsid w:val="00910DC4"/>
    <w:rsid w:val="00910EDD"/>
    <w:rsid w:val="00916A02"/>
    <w:rsid w:val="00917DF9"/>
    <w:rsid w:val="00920153"/>
    <w:rsid w:val="0092162C"/>
    <w:rsid w:val="00925C00"/>
    <w:rsid w:val="0092762D"/>
    <w:rsid w:val="00931F0F"/>
    <w:rsid w:val="00934DB8"/>
    <w:rsid w:val="00961259"/>
    <w:rsid w:val="00974B40"/>
    <w:rsid w:val="00976655"/>
    <w:rsid w:val="00983030"/>
    <w:rsid w:val="00987628"/>
    <w:rsid w:val="00990272"/>
    <w:rsid w:val="009948F2"/>
    <w:rsid w:val="009A28A7"/>
    <w:rsid w:val="009A7021"/>
    <w:rsid w:val="009B0C6D"/>
    <w:rsid w:val="009B5969"/>
    <w:rsid w:val="009B743B"/>
    <w:rsid w:val="009C7F0D"/>
    <w:rsid w:val="009D268A"/>
    <w:rsid w:val="009D2F18"/>
    <w:rsid w:val="009D7194"/>
    <w:rsid w:val="009E030C"/>
    <w:rsid w:val="009E1807"/>
    <w:rsid w:val="009F0B36"/>
    <w:rsid w:val="009F4CF2"/>
    <w:rsid w:val="009F4E08"/>
    <w:rsid w:val="009F70F0"/>
    <w:rsid w:val="00A00D3B"/>
    <w:rsid w:val="00A03B75"/>
    <w:rsid w:val="00A03CC6"/>
    <w:rsid w:val="00A06841"/>
    <w:rsid w:val="00A32020"/>
    <w:rsid w:val="00A32948"/>
    <w:rsid w:val="00A331C7"/>
    <w:rsid w:val="00A3354F"/>
    <w:rsid w:val="00A35686"/>
    <w:rsid w:val="00A36E34"/>
    <w:rsid w:val="00A4575B"/>
    <w:rsid w:val="00A473B6"/>
    <w:rsid w:val="00A5175E"/>
    <w:rsid w:val="00A531EA"/>
    <w:rsid w:val="00A556A6"/>
    <w:rsid w:val="00A57BB3"/>
    <w:rsid w:val="00A613BC"/>
    <w:rsid w:val="00A63BEE"/>
    <w:rsid w:val="00A64C2E"/>
    <w:rsid w:val="00A7305E"/>
    <w:rsid w:val="00A87B12"/>
    <w:rsid w:val="00A90478"/>
    <w:rsid w:val="00A94053"/>
    <w:rsid w:val="00AA5D65"/>
    <w:rsid w:val="00AA6C25"/>
    <w:rsid w:val="00AB50F9"/>
    <w:rsid w:val="00AC3B8E"/>
    <w:rsid w:val="00AD0828"/>
    <w:rsid w:val="00AD15B1"/>
    <w:rsid w:val="00AD19E1"/>
    <w:rsid w:val="00AD719B"/>
    <w:rsid w:val="00AE06CB"/>
    <w:rsid w:val="00AE1146"/>
    <w:rsid w:val="00AE362E"/>
    <w:rsid w:val="00AE6CAB"/>
    <w:rsid w:val="00AF2943"/>
    <w:rsid w:val="00AF5EAB"/>
    <w:rsid w:val="00B026A3"/>
    <w:rsid w:val="00B04C35"/>
    <w:rsid w:val="00B05EF8"/>
    <w:rsid w:val="00B10455"/>
    <w:rsid w:val="00B14585"/>
    <w:rsid w:val="00B2038D"/>
    <w:rsid w:val="00B245E4"/>
    <w:rsid w:val="00B26124"/>
    <w:rsid w:val="00B30FF9"/>
    <w:rsid w:val="00B43660"/>
    <w:rsid w:val="00B46F5F"/>
    <w:rsid w:val="00B5388E"/>
    <w:rsid w:val="00B53CF6"/>
    <w:rsid w:val="00B53D9E"/>
    <w:rsid w:val="00B57A91"/>
    <w:rsid w:val="00B6242E"/>
    <w:rsid w:val="00B71117"/>
    <w:rsid w:val="00B722C6"/>
    <w:rsid w:val="00B7522C"/>
    <w:rsid w:val="00B776F1"/>
    <w:rsid w:val="00B819FB"/>
    <w:rsid w:val="00B8401F"/>
    <w:rsid w:val="00B86008"/>
    <w:rsid w:val="00B93390"/>
    <w:rsid w:val="00BB217E"/>
    <w:rsid w:val="00BB43B4"/>
    <w:rsid w:val="00BC06F1"/>
    <w:rsid w:val="00BC45DB"/>
    <w:rsid w:val="00BC4CC0"/>
    <w:rsid w:val="00BC5F08"/>
    <w:rsid w:val="00BE00EB"/>
    <w:rsid w:val="00BE1C76"/>
    <w:rsid w:val="00BE369B"/>
    <w:rsid w:val="00BE526A"/>
    <w:rsid w:val="00BF3E82"/>
    <w:rsid w:val="00BF770C"/>
    <w:rsid w:val="00C001E5"/>
    <w:rsid w:val="00C24F36"/>
    <w:rsid w:val="00C25482"/>
    <w:rsid w:val="00C3736E"/>
    <w:rsid w:val="00C37AF2"/>
    <w:rsid w:val="00C41252"/>
    <w:rsid w:val="00C43884"/>
    <w:rsid w:val="00C5243D"/>
    <w:rsid w:val="00C53CD3"/>
    <w:rsid w:val="00C55957"/>
    <w:rsid w:val="00C611A6"/>
    <w:rsid w:val="00C62D41"/>
    <w:rsid w:val="00C65F18"/>
    <w:rsid w:val="00C71F21"/>
    <w:rsid w:val="00C7518E"/>
    <w:rsid w:val="00C80C4D"/>
    <w:rsid w:val="00C81E27"/>
    <w:rsid w:val="00C8434C"/>
    <w:rsid w:val="00C85DA7"/>
    <w:rsid w:val="00C9654C"/>
    <w:rsid w:val="00CA0B97"/>
    <w:rsid w:val="00CA1455"/>
    <w:rsid w:val="00CA5058"/>
    <w:rsid w:val="00CA68E1"/>
    <w:rsid w:val="00CB0063"/>
    <w:rsid w:val="00CB3641"/>
    <w:rsid w:val="00CB7A70"/>
    <w:rsid w:val="00CC00BE"/>
    <w:rsid w:val="00CC16CB"/>
    <w:rsid w:val="00CC18F1"/>
    <w:rsid w:val="00CC5EFF"/>
    <w:rsid w:val="00CD32DA"/>
    <w:rsid w:val="00CD59A5"/>
    <w:rsid w:val="00CE0040"/>
    <w:rsid w:val="00CE288E"/>
    <w:rsid w:val="00CE3C98"/>
    <w:rsid w:val="00D00262"/>
    <w:rsid w:val="00D00652"/>
    <w:rsid w:val="00D07DD0"/>
    <w:rsid w:val="00D1600F"/>
    <w:rsid w:val="00D172FF"/>
    <w:rsid w:val="00D201E6"/>
    <w:rsid w:val="00D22C3E"/>
    <w:rsid w:val="00D32FB2"/>
    <w:rsid w:val="00D355E1"/>
    <w:rsid w:val="00D42A26"/>
    <w:rsid w:val="00D54921"/>
    <w:rsid w:val="00D57534"/>
    <w:rsid w:val="00D65833"/>
    <w:rsid w:val="00D70825"/>
    <w:rsid w:val="00D76394"/>
    <w:rsid w:val="00D76D41"/>
    <w:rsid w:val="00D76FB8"/>
    <w:rsid w:val="00D8521B"/>
    <w:rsid w:val="00D91040"/>
    <w:rsid w:val="00D963DB"/>
    <w:rsid w:val="00D97EA5"/>
    <w:rsid w:val="00DA15DA"/>
    <w:rsid w:val="00DB7290"/>
    <w:rsid w:val="00DC30E8"/>
    <w:rsid w:val="00DC48BC"/>
    <w:rsid w:val="00DC6587"/>
    <w:rsid w:val="00DD1B55"/>
    <w:rsid w:val="00DD6130"/>
    <w:rsid w:val="00DD6D20"/>
    <w:rsid w:val="00DE2A6D"/>
    <w:rsid w:val="00DE60C6"/>
    <w:rsid w:val="00DF4439"/>
    <w:rsid w:val="00E02A7C"/>
    <w:rsid w:val="00E15303"/>
    <w:rsid w:val="00E24E4B"/>
    <w:rsid w:val="00E36AB6"/>
    <w:rsid w:val="00E40C6C"/>
    <w:rsid w:val="00E42686"/>
    <w:rsid w:val="00E439AD"/>
    <w:rsid w:val="00E47F27"/>
    <w:rsid w:val="00E51FCD"/>
    <w:rsid w:val="00E54712"/>
    <w:rsid w:val="00E62D54"/>
    <w:rsid w:val="00E6615B"/>
    <w:rsid w:val="00E70BA5"/>
    <w:rsid w:val="00E720E2"/>
    <w:rsid w:val="00E8478A"/>
    <w:rsid w:val="00E84999"/>
    <w:rsid w:val="00E901D4"/>
    <w:rsid w:val="00E9623C"/>
    <w:rsid w:val="00E97244"/>
    <w:rsid w:val="00EA2521"/>
    <w:rsid w:val="00EA4381"/>
    <w:rsid w:val="00EB4CBF"/>
    <w:rsid w:val="00EC27C9"/>
    <w:rsid w:val="00ED3168"/>
    <w:rsid w:val="00ED4EA2"/>
    <w:rsid w:val="00ED6CF6"/>
    <w:rsid w:val="00ED7F39"/>
    <w:rsid w:val="00EE4B4A"/>
    <w:rsid w:val="00EF38D3"/>
    <w:rsid w:val="00EF5C84"/>
    <w:rsid w:val="00F007C8"/>
    <w:rsid w:val="00F07E29"/>
    <w:rsid w:val="00F16642"/>
    <w:rsid w:val="00F31AF9"/>
    <w:rsid w:val="00F346AD"/>
    <w:rsid w:val="00F467E3"/>
    <w:rsid w:val="00F65225"/>
    <w:rsid w:val="00F74021"/>
    <w:rsid w:val="00F769C0"/>
    <w:rsid w:val="00F86191"/>
    <w:rsid w:val="00F878A3"/>
    <w:rsid w:val="00FA0E5C"/>
    <w:rsid w:val="00FA0EEC"/>
    <w:rsid w:val="00FA119F"/>
    <w:rsid w:val="00FA229F"/>
    <w:rsid w:val="00FA66DF"/>
    <w:rsid w:val="00FB2E11"/>
    <w:rsid w:val="00FB7597"/>
    <w:rsid w:val="00FC3196"/>
    <w:rsid w:val="00FC3A70"/>
    <w:rsid w:val="00FD7A2C"/>
    <w:rsid w:val="00FE1A20"/>
    <w:rsid w:val="00FF1B88"/>
    <w:rsid w:val="00FF3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31"/>
    <w:rPr>
      <w:rFonts w:ascii="Palatino" w:hAnsi="Palatino"/>
      <w:sz w:val="26"/>
    </w:rPr>
  </w:style>
  <w:style w:type="paragraph" w:styleId="Heading1">
    <w:name w:val="heading 1"/>
    <w:basedOn w:val="Normal"/>
    <w:next w:val="standard"/>
    <w:qFormat/>
    <w:pPr>
      <w:keepNext/>
      <w:numPr>
        <w:numId w:val="6"/>
      </w:numPr>
      <w:spacing w:before="120" w:after="120"/>
      <w:outlineLvl w:val="0"/>
    </w:pPr>
    <w:rPr>
      <w:rFonts w:ascii="Helvetica" w:hAnsi="Helvetica"/>
      <w:b/>
      <w:kern w:val="28"/>
      <w:szCs w:val="26"/>
    </w:rPr>
  </w:style>
  <w:style w:type="paragraph" w:styleId="Heading2">
    <w:name w:val="heading 2"/>
    <w:basedOn w:val="Normal"/>
    <w:next w:val="standard"/>
    <w:link w:val="Heading2Char"/>
    <w:qFormat/>
    <w:pPr>
      <w:keepNext/>
      <w:numPr>
        <w:ilvl w:val="1"/>
        <w:numId w:val="6"/>
      </w:numPr>
      <w:spacing w:before="120" w:after="120"/>
      <w:outlineLvl w:val="1"/>
    </w:pPr>
    <w:rPr>
      <w:rFonts w:ascii="Helvetica" w:hAnsi="Helvetica"/>
      <w:b/>
      <w:szCs w:val="26"/>
    </w:rPr>
  </w:style>
  <w:style w:type="paragraph" w:styleId="Heading3">
    <w:name w:val="heading 3"/>
    <w:basedOn w:val="Normal"/>
    <w:next w:val="standard"/>
    <w:link w:val="Heading3Char"/>
    <w:qFormat/>
    <w:pPr>
      <w:keepNext/>
      <w:numPr>
        <w:ilvl w:val="2"/>
        <w:numId w:val="6"/>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qFormat/>
    <w:pPr>
      <w:keepNext/>
      <w:numPr>
        <w:ilvl w:val="3"/>
        <w:numId w:val="6"/>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6"/>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6"/>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6"/>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6"/>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uiPriority w:val="99"/>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Footnote Text Char2 Char,Footnote Text Char Char Char,Footnote Text Char2 Char Char Char,Footnote Text Char Char Char Char Char,Footnote Text Char2 Char Char Char Char1 Char,Footnote Text Char2,Footnote Text Char Char,fn"/>
    <w:basedOn w:val="Normal"/>
    <w:qFormat/>
    <w:pPr>
      <w:spacing w:after="120"/>
    </w:pPr>
    <w:rPr>
      <w:sz w:val="24"/>
    </w:rPr>
  </w:style>
  <w:style w:type="character" w:styleId="FootnoteReference">
    <w:name w:val="footnote reference"/>
    <w:aliases w:val="o,o + Times New Roman,fr,Style 3,o1,o2,o3,o4,o5,o6,o11,o21,o7"/>
    <w:qFormat/>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uiPriority w:val="99"/>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3"/>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5"/>
      </w:numPr>
    </w:pPr>
    <w:rPr>
      <w:rFonts w:cs="Times New Roman"/>
      <w:bCs w:val="0"/>
      <w:szCs w:val="20"/>
    </w:rPr>
  </w:style>
  <w:style w:type="character" w:styleId="Emphasis">
    <w:name w:val="Emphasis"/>
    <w:basedOn w:val="DefaultParagraphFont"/>
    <w:qFormat/>
    <w:rsid w:val="00134E7B"/>
    <w:rPr>
      <w:i/>
      <w:iCs/>
    </w:rPr>
  </w:style>
  <w:style w:type="table" w:styleId="TableGrid">
    <w:name w:val="Table Grid"/>
    <w:basedOn w:val="TableNormal"/>
    <w:rsid w:val="00A8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64C2E"/>
    <w:rPr>
      <w:rFonts w:ascii="Helvetica" w:hAnsi="Helvetica"/>
      <w:b/>
      <w:sz w:val="26"/>
      <w:szCs w:val="26"/>
    </w:rPr>
  </w:style>
  <w:style w:type="character" w:customStyle="1" w:styleId="Heading3Char">
    <w:name w:val="Heading 3 Char"/>
    <w:basedOn w:val="DefaultParagraphFont"/>
    <w:link w:val="Heading3"/>
    <w:rsid w:val="00A64C2E"/>
    <w:rPr>
      <w:rFonts w:ascii="Helvetica" w:hAnsi="Helvetica"/>
      <w:b/>
      <w:sz w:val="26"/>
      <w:szCs w:val="26"/>
    </w:rPr>
  </w:style>
  <w:style w:type="paragraph" w:styleId="ListParagraph">
    <w:name w:val="List Paragraph"/>
    <w:basedOn w:val="Normal"/>
    <w:uiPriority w:val="34"/>
    <w:qFormat/>
    <w:rsid w:val="00A36E34"/>
    <w:pPr>
      <w:ind w:left="720"/>
      <w:contextualSpacing/>
    </w:pPr>
  </w:style>
  <w:style w:type="character" w:customStyle="1" w:styleId="BodyTextChar">
    <w:name w:val="Body Text Char"/>
    <w:link w:val="BodyText"/>
    <w:rsid w:val="00006AB1"/>
    <w:rPr>
      <w:sz w:val="24"/>
    </w:rPr>
  </w:style>
  <w:style w:type="paragraph" w:customStyle="1" w:styleId="Default">
    <w:name w:val="Default"/>
    <w:rsid w:val="007C0BE4"/>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732D5A"/>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BalloonText">
    <w:name w:val="Balloon Text"/>
    <w:basedOn w:val="Normal"/>
    <w:link w:val="BalloonTextChar"/>
    <w:rsid w:val="00732D5A"/>
    <w:rPr>
      <w:rFonts w:ascii="Tahoma" w:hAnsi="Tahoma" w:cs="Tahoma"/>
      <w:sz w:val="16"/>
      <w:szCs w:val="16"/>
    </w:rPr>
  </w:style>
  <w:style w:type="character" w:customStyle="1" w:styleId="BalloonTextChar">
    <w:name w:val="Balloon Text Char"/>
    <w:basedOn w:val="DefaultParagraphFont"/>
    <w:link w:val="BalloonText"/>
    <w:rsid w:val="00732D5A"/>
    <w:rPr>
      <w:rFonts w:ascii="Tahoma" w:hAnsi="Tahoma" w:cs="Tahoma"/>
      <w:sz w:val="16"/>
      <w:szCs w:val="16"/>
    </w:rPr>
  </w:style>
  <w:style w:type="character" w:customStyle="1" w:styleId="FooterChar">
    <w:name w:val="Footer Char"/>
    <w:basedOn w:val="DefaultParagraphFont"/>
    <w:link w:val="Footer"/>
    <w:uiPriority w:val="99"/>
    <w:rsid w:val="008373FE"/>
    <w:rPr>
      <w:rFonts w:ascii="Palatino" w:hAnsi="Palatino"/>
      <w:sz w:val="26"/>
    </w:rPr>
  </w:style>
  <w:style w:type="character" w:customStyle="1" w:styleId="HeaderChar">
    <w:name w:val="Header Char"/>
    <w:basedOn w:val="DefaultParagraphFont"/>
    <w:link w:val="Header"/>
    <w:uiPriority w:val="99"/>
    <w:rsid w:val="006D51FD"/>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31"/>
    <w:rPr>
      <w:rFonts w:ascii="Palatino" w:hAnsi="Palatino"/>
      <w:sz w:val="26"/>
    </w:rPr>
  </w:style>
  <w:style w:type="paragraph" w:styleId="Heading1">
    <w:name w:val="heading 1"/>
    <w:basedOn w:val="Normal"/>
    <w:next w:val="standard"/>
    <w:qFormat/>
    <w:pPr>
      <w:keepNext/>
      <w:numPr>
        <w:numId w:val="6"/>
      </w:numPr>
      <w:spacing w:before="120" w:after="120"/>
      <w:outlineLvl w:val="0"/>
    </w:pPr>
    <w:rPr>
      <w:rFonts w:ascii="Helvetica" w:hAnsi="Helvetica"/>
      <w:b/>
      <w:kern w:val="28"/>
      <w:szCs w:val="26"/>
    </w:rPr>
  </w:style>
  <w:style w:type="paragraph" w:styleId="Heading2">
    <w:name w:val="heading 2"/>
    <w:basedOn w:val="Normal"/>
    <w:next w:val="standard"/>
    <w:link w:val="Heading2Char"/>
    <w:qFormat/>
    <w:pPr>
      <w:keepNext/>
      <w:numPr>
        <w:ilvl w:val="1"/>
        <w:numId w:val="6"/>
      </w:numPr>
      <w:spacing w:before="120" w:after="120"/>
      <w:outlineLvl w:val="1"/>
    </w:pPr>
    <w:rPr>
      <w:rFonts w:ascii="Helvetica" w:hAnsi="Helvetica"/>
      <w:b/>
      <w:szCs w:val="26"/>
    </w:rPr>
  </w:style>
  <w:style w:type="paragraph" w:styleId="Heading3">
    <w:name w:val="heading 3"/>
    <w:basedOn w:val="Normal"/>
    <w:next w:val="standard"/>
    <w:link w:val="Heading3Char"/>
    <w:qFormat/>
    <w:pPr>
      <w:keepNext/>
      <w:numPr>
        <w:ilvl w:val="2"/>
        <w:numId w:val="6"/>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qFormat/>
    <w:pPr>
      <w:keepNext/>
      <w:numPr>
        <w:ilvl w:val="3"/>
        <w:numId w:val="6"/>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6"/>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6"/>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6"/>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6"/>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uiPriority w:val="99"/>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Footnote Text Char2 Char,Footnote Text Char Char Char,Footnote Text Char2 Char Char Char,Footnote Text Char Char Char Char Char,Footnote Text Char2 Char Char Char Char1 Char,Footnote Text Char2,Footnote Text Char Char,fn"/>
    <w:basedOn w:val="Normal"/>
    <w:qFormat/>
    <w:pPr>
      <w:spacing w:after="120"/>
    </w:pPr>
    <w:rPr>
      <w:sz w:val="24"/>
    </w:rPr>
  </w:style>
  <w:style w:type="character" w:styleId="FootnoteReference">
    <w:name w:val="footnote reference"/>
    <w:aliases w:val="o,o + Times New Roman,fr,Style 3,o1,o2,o3,o4,o5,o6,o11,o21,o7"/>
    <w:qFormat/>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uiPriority w:val="99"/>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3"/>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5"/>
      </w:numPr>
    </w:pPr>
    <w:rPr>
      <w:rFonts w:cs="Times New Roman"/>
      <w:bCs w:val="0"/>
      <w:szCs w:val="20"/>
    </w:rPr>
  </w:style>
  <w:style w:type="character" w:styleId="Emphasis">
    <w:name w:val="Emphasis"/>
    <w:basedOn w:val="DefaultParagraphFont"/>
    <w:qFormat/>
    <w:rsid w:val="00134E7B"/>
    <w:rPr>
      <w:i/>
      <w:iCs/>
    </w:rPr>
  </w:style>
  <w:style w:type="table" w:styleId="TableGrid">
    <w:name w:val="Table Grid"/>
    <w:basedOn w:val="TableNormal"/>
    <w:rsid w:val="00A8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64C2E"/>
    <w:rPr>
      <w:rFonts w:ascii="Helvetica" w:hAnsi="Helvetica"/>
      <w:b/>
      <w:sz w:val="26"/>
      <w:szCs w:val="26"/>
    </w:rPr>
  </w:style>
  <w:style w:type="character" w:customStyle="1" w:styleId="Heading3Char">
    <w:name w:val="Heading 3 Char"/>
    <w:basedOn w:val="DefaultParagraphFont"/>
    <w:link w:val="Heading3"/>
    <w:rsid w:val="00A64C2E"/>
    <w:rPr>
      <w:rFonts w:ascii="Helvetica" w:hAnsi="Helvetica"/>
      <w:b/>
      <w:sz w:val="26"/>
      <w:szCs w:val="26"/>
    </w:rPr>
  </w:style>
  <w:style w:type="paragraph" w:styleId="ListParagraph">
    <w:name w:val="List Paragraph"/>
    <w:basedOn w:val="Normal"/>
    <w:uiPriority w:val="34"/>
    <w:qFormat/>
    <w:rsid w:val="00A36E34"/>
    <w:pPr>
      <w:ind w:left="720"/>
      <w:contextualSpacing/>
    </w:pPr>
  </w:style>
  <w:style w:type="character" w:customStyle="1" w:styleId="BodyTextChar">
    <w:name w:val="Body Text Char"/>
    <w:link w:val="BodyText"/>
    <w:rsid w:val="00006AB1"/>
    <w:rPr>
      <w:sz w:val="24"/>
    </w:rPr>
  </w:style>
  <w:style w:type="paragraph" w:customStyle="1" w:styleId="Default">
    <w:name w:val="Default"/>
    <w:rsid w:val="007C0BE4"/>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732D5A"/>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BalloonText">
    <w:name w:val="Balloon Text"/>
    <w:basedOn w:val="Normal"/>
    <w:link w:val="BalloonTextChar"/>
    <w:rsid w:val="00732D5A"/>
    <w:rPr>
      <w:rFonts w:ascii="Tahoma" w:hAnsi="Tahoma" w:cs="Tahoma"/>
      <w:sz w:val="16"/>
      <w:szCs w:val="16"/>
    </w:rPr>
  </w:style>
  <w:style w:type="character" w:customStyle="1" w:styleId="BalloonTextChar">
    <w:name w:val="Balloon Text Char"/>
    <w:basedOn w:val="DefaultParagraphFont"/>
    <w:link w:val="BalloonText"/>
    <w:rsid w:val="00732D5A"/>
    <w:rPr>
      <w:rFonts w:ascii="Tahoma" w:hAnsi="Tahoma" w:cs="Tahoma"/>
      <w:sz w:val="16"/>
      <w:szCs w:val="16"/>
    </w:rPr>
  </w:style>
  <w:style w:type="character" w:customStyle="1" w:styleId="FooterChar">
    <w:name w:val="Footer Char"/>
    <w:basedOn w:val="DefaultParagraphFont"/>
    <w:link w:val="Footer"/>
    <w:uiPriority w:val="99"/>
    <w:rsid w:val="008373FE"/>
    <w:rPr>
      <w:rFonts w:ascii="Palatino" w:hAnsi="Palatino"/>
      <w:sz w:val="26"/>
    </w:rPr>
  </w:style>
  <w:style w:type="character" w:customStyle="1" w:styleId="HeaderChar">
    <w:name w:val="Header Char"/>
    <w:basedOn w:val="DefaultParagraphFont"/>
    <w:link w:val="Header"/>
    <w:uiPriority w:val="99"/>
    <w:rsid w:val="006D51FD"/>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23">
      <w:bodyDiv w:val="1"/>
      <w:marLeft w:val="0"/>
      <w:marRight w:val="0"/>
      <w:marTop w:val="0"/>
      <w:marBottom w:val="0"/>
      <w:divBdr>
        <w:top w:val="none" w:sz="0" w:space="0" w:color="auto"/>
        <w:left w:val="none" w:sz="0" w:space="0" w:color="auto"/>
        <w:bottom w:val="none" w:sz="0" w:space="0" w:color="auto"/>
        <w:right w:val="none" w:sz="0" w:space="0" w:color="auto"/>
      </w:divBdr>
    </w:div>
    <w:div w:id="120074210">
      <w:bodyDiv w:val="1"/>
      <w:marLeft w:val="0"/>
      <w:marRight w:val="0"/>
      <w:marTop w:val="0"/>
      <w:marBottom w:val="0"/>
      <w:divBdr>
        <w:top w:val="none" w:sz="0" w:space="0" w:color="auto"/>
        <w:left w:val="none" w:sz="0" w:space="0" w:color="auto"/>
        <w:bottom w:val="none" w:sz="0" w:space="0" w:color="auto"/>
        <w:right w:val="none" w:sz="0" w:space="0" w:color="auto"/>
      </w:divBdr>
    </w:div>
    <w:div w:id="622537012">
      <w:bodyDiv w:val="1"/>
      <w:marLeft w:val="0"/>
      <w:marRight w:val="0"/>
      <w:marTop w:val="0"/>
      <w:marBottom w:val="0"/>
      <w:divBdr>
        <w:top w:val="none" w:sz="0" w:space="0" w:color="auto"/>
        <w:left w:val="none" w:sz="0" w:space="0" w:color="auto"/>
        <w:bottom w:val="none" w:sz="0" w:space="0" w:color="auto"/>
        <w:right w:val="none" w:sz="0" w:space="0" w:color="auto"/>
      </w:divBdr>
    </w:div>
    <w:div w:id="805784155">
      <w:bodyDiv w:val="1"/>
      <w:marLeft w:val="0"/>
      <w:marRight w:val="0"/>
      <w:marTop w:val="0"/>
      <w:marBottom w:val="0"/>
      <w:divBdr>
        <w:top w:val="none" w:sz="0" w:space="0" w:color="auto"/>
        <w:left w:val="none" w:sz="0" w:space="0" w:color="auto"/>
        <w:bottom w:val="none" w:sz="0" w:space="0" w:color="auto"/>
        <w:right w:val="none" w:sz="0" w:space="0" w:color="auto"/>
      </w:divBdr>
    </w:div>
    <w:div w:id="1028674969">
      <w:bodyDiv w:val="1"/>
      <w:marLeft w:val="0"/>
      <w:marRight w:val="0"/>
      <w:marTop w:val="0"/>
      <w:marBottom w:val="0"/>
      <w:divBdr>
        <w:top w:val="none" w:sz="0" w:space="0" w:color="auto"/>
        <w:left w:val="none" w:sz="0" w:space="0" w:color="auto"/>
        <w:bottom w:val="none" w:sz="0" w:space="0" w:color="auto"/>
        <w:right w:val="none" w:sz="0" w:space="0" w:color="auto"/>
      </w:divBdr>
    </w:div>
    <w:div w:id="1078986948">
      <w:bodyDiv w:val="1"/>
      <w:marLeft w:val="0"/>
      <w:marRight w:val="0"/>
      <w:marTop w:val="0"/>
      <w:marBottom w:val="0"/>
      <w:divBdr>
        <w:top w:val="none" w:sz="0" w:space="0" w:color="auto"/>
        <w:left w:val="none" w:sz="0" w:space="0" w:color="auto"/>
        <w:bottom w:val="none" w:sz="0" w:space="0" w:color="auto"/>
        <w:right w:val="none" w:sz="0" w:space="0" w:color="auto"/>
      </w:divBdr>
    </w:div>
    <w:div w:id="1201357727">
      <w:bodyDiv w:val="1"/>
      <w:marLeft w:val="0"/>
      <w:marRight w:val="0"/>
      <w:marTop w:val="0"/>
      <w:marBottom w:val="0"/>
      <w:divBdr>
        <w:top w:val="none" w:sz="0" w:space="0" w:color="auto"/>
        <w:left w:val="none" w:sz="0" w:space="0" w:color="auto"/>
        <w:bottom w:val="none" w:sz="0" w:space="0" w:color="auto"/>
        <w:right w:val="none" w:sz="0" w:space="0" w:color="auto"/>
      </w:divBdr>
    </w:div>
    <w:div w:id="19738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members.calbar.ca.gov/fal/MemberSearch/Quick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cr\My%20Documents\My%20Documents\ALJ\ALJ%202012%20Cases\A1204009%20_PGE%202011%20MRTU\5%20A1204009%20Proposed%20Decision\Comment%20Dec.%20(Decimal%20Version%20-%20Mai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35FD-E8AB-4B71-89EB-51A43328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Comment Dec. (Decimal Version - Mailing).dotx</Template>
  <TotalTime>5</TotalTime>
  <Pages>4</Pages>
  <Words>12982</Words>
  <Characters>73999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86808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Roscow, Stephen C.</dc:creator>
  <cp:lastModifiedBy>ECMadmin</cp:lastModifiedBy>
  <cp:revision>5</cp:revision>
  <cp:lastPrinted>2018-09-14T17:05:00Z</cp:lastPrinted>
  <dcterms:created xsi:type="dcterms:W3CDTF">2018-09-14T16:50:00Z</dcterms:created>
  <dcterms:modified xsi:type="dcterms:W3CDTF">2018-09-14T17:05:00Z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oFAAspTNh41gn7ASQphETJ5i+cl1za8KxhrTF3lsCoOyvTtroDDmqdrfHeiKYCX2XHCcpNwbce/uC7DA
RwY/JNZ9QlyAzUFskf5SJ3zQ5YSWi9KWGqV6AAiiYKeGg9zLkceaDXoHdL8B6kvARwY/JNZ9QlyA
zUFskf5SJ3zQ5YSWi9KWGqV6AAiiYCLcZDW5pCA6eYsrTXTRjlpkv9w8baykHOA8UWKIKUqJZiDu
SPPIab/zIuaL6kiqb</vt:lpwstr>
  </property>
  <property fmtid="{D5CDD505-2E9C-101B-9397-08002B2CF9AE}" pid="3" name="MAIL_MSG_ID2">
    <vt:lpwstr>d+c2jYghbeEGTRvzOKskzearHi7kkHHdp0yr1ijq0uf9WHUqfmLOVYWuS+r
TVWXMGjmnn3aDrBrO/XIAtHjczgDf7uuaEe8k906pHx/1TR3</vt:lpwstr>
  </property>
  <property fmtid="{D5CDD505-2E9C-101B-9397-08002B2CF9AE}" pid="4" name="RESPONSE_SENDER_NAME">
    <vt:lpwstr>sAAAUYtyAkeNWR4mxoQ6zFfP6Znr85ENL89bC9TyoNy2kdI=</vt:lpwstr>
  </property>
  <property fmtid="{D5CDD505-2E9C-101B-9397-08002B2CF9AE}" pid="5" name="EMAIL_OWNER_ADDRESS">
    <vt:lpwstr>4AAA9DNYQidmug6ZyMifLcTdT+J4q/4Y+1kq4P8yaLq9F6/For0IxUB0Lw==</vt:lpwstr>
  </property>
</Properties>
</file>