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D4" w:rsidRPr="0027453B" w:rsidRDefault="000D60D4" w:rsidP="0027453B">
      <w:pPr>
        <w:tabs>
          <w:tab w:val="center" w:pos="4680"/>
        </w:tabs>
        <w:suppressAutoHyphens/>
        <w:ind w:right="-720"/>
        <w:rPr>
          <w:b/>
          <w:color w:val="000000"/>
        </w:rPr>
      </w:pPr>
      <w:bookmarkStart w:id="0" w:name="_GoBack"/>
      <w:bookmarkEnd w:id="0"/>
      <w:r>
        <w:rPr>
          <w:color w:val="000000"/>
        </w:rPr>
        <w:t>ALJ/JMO/</w:t>
      </w:r>
      <w:r w:rsidR="003E4C48">
        <w:rPr>
          <w:color w:val="000000"/>
        </w:rPr>
        <w:t>SPT/SJP/</w:t>
      </w:r>
      <w:r>
        <w:rPr>
          <w:color w:val="000000"/>
        </w:rPr>
        <w:t>lil</w:t>
      </w:r>
      <w:r w:rsidR="0027453B">
        <w:rPr>
          <w:color w:val="000000"/>
        </w:rPr>
        <w:t>/avs</w:t>
      </w:r>
      <w:r>
        <w:rPr>
          <w:color w:val="000000"/>
        </w:rPr>
        <w:tab/>
      </w:r>
      <w:r>
        <w:rPr>
          <w:color w:val="000000"/>
        </w:rPr>
        <w:tab/>
      </w:r>
      <w:r w:rsidR="00555D22">
        <w:rPr>
          <w:color w:val="000000"/>
        </w:rPr>
        <w:tab/>
      </w:r>
      <w:r w:rsidR="00555D22">
        <w:rPr>
          <w:b/>
          <w:color w:val="000000"/>
        </w:rPr>
        <w:t>Date of Issuance  10/5/2018</w:t>
      </w:r>
    </w:p>
    <w:p w:rsidR="000D60D4" w:rsidRPr="0027453B" w:rsidRDefault="00DF4A72" w:rsidP="0027453B">
      <w:pPr>
        <w:suppressAutoHyphens/>
        <w:ind w:right="-720"/>
        <w:rPr>
          <w:b/>
          <w:color w:val="000000"/>
        </w:rPr>
      </w:pPr>
      <w:r w:rsidRPr="0027453B">
        <w:rPr>
          <w:b/>
          <w:color w:val="000000"/>
        </w:rPr>
        <w:tab/>
      </w:r>
      <w:r w:rsidRPr="0027453B">
        <w:rPr>
          <w:b/>
          <w:color w:val="000000"/>
        </w:rPr>
        <w:tab/>
      </w:r>
      <w:r w:rsidRPr="0027453B">
        <w:rPr>
          <w:b/>
          <w:color w:val="000000"/>
        </w:rPr>
        <w:tab/>
      </w:r>
      <w:r w:rsidRPr="0027453B">
        <w:rPr>
          <w:b/>
          <w:color w:val="000000"/>
        </w:rPr>
        <w:tab/>
      </w:r>
      <w:r w:rsidRPr="0027453B">
        <w:rPr>
          <w:b/>
          <w:color w:val="000000"/>
        </w:rPr>
        <w:tab/>
      </w:r>
      <w:r w:rsidRPr="0027453B">
        <w:rPr>
          <w:b/>
          <w:color w:val="000000"/>
        </w:rPr>
        <w:tab/>
      </w:r>
      <w:r w:rsidRPr="0027453B">
        <w:rPr>
          <w:b/>
          <w:color w:val="000000"/>
        </w:rPr>
        <w:tab/>
      </w:r>
      <w:r w:rsidRPr="0027453B">
        <w:rPr>
          <w:b/>
          <w:color w:val="000000"/>
        </w:rPr>
        <w:tab/>
      </w:r>
      <w:r w:rsidRPr="0027453B">
        <w:rPr>
          <w:b/>
          <w:color w:val="000000"/>
        </w:rPr>
        <w:tab/>
      </w:r>
      <w:r w:rsidRPr="0027453B">
        <w:rPr>
          <w:b/>
          <w:color w:val="000000"/>
        </w:rPr>
        <w:tab/>
        <w:t xml:space="preserve"> </w:t>
      </w:r>
      <w:r w:rsidR="0027453B" w:rsidRPr="0027453B">
        <w:rPr>
          <w:b/>
          <w:color w:val="000000"/>
        </w:rPr>
        <w:tab/>
      </w:r>
    </w:p>
    <w:p w:rsidR="00DB51CE" w:rsidRPr="0027453B" w:rsidRDefault="00DB51CE" w:rsidP="0027453B">
      <w:pPr>
        <w:suppressAutoHyphens/>
        <w:ind w:right="-540"/>
        <w:jc w:val="right"/>
        <w:rPr>
          <w:b/>
          <w:color w:val="000000"/>
        </w:rPr>
      </w:pPr>
    </w:p>
    <w:p w:rsidR="00A92D0B" w:rsidRDefault="00A92D0B" w:rsidP="00486B08">
      <w:pPr>
        <w:suppressAutoHyphens/>
        <w:ind w:left="900" w:hanging="900"/>
        <w:rPr>
          <w:color w:val="000000"/>
        </w:rPr>
      </w:pPr>
      <w:r w:rsidRPr="007F620E">
        <w:rPr>
          <w:color w:val="000000"/>
        </w:rPr>
        <w:t xml:space="preserve">Decision </w:t>
      </w:r>
      <w:r w:rsidR="00555D22">
        <w:rPr>
          <w:color w:val="000000"/>
        </w:rPr>
        <w:t>18-09-040  September 27, 2018</w:t>
      </w:r>
    </w:p>
    <w:p w:rsidR="00555D22" w:rsidRPr="00486B08" w:rsidRDefault="00555D22" w:rsidP="00486B08">
      <w:pPr>
        <w:suppressAutoHyphens/>
        <w:ind w:left="900" w:hanging="900"/>
        <w:rPr>
          <w:color w:val="000000"/>
        </w:rPr>
      </w:pPr>
    </w:p>
    <w:p w:rsidR="00A92D0B" w:rsidRPr="007F620E" w:rsidRDefault="00A92D0B" w:rsidP="00DF4A72">
      <w:pPr>
        <w:pStyle w:val="titlebar"/>
        <w:jc w:val="left"/>
        <w:rPr>
          <w:rFonts w:ascii="Times New Roman" w:hAnsi="Times New Roman"/>
          <w:color w:val="000000"/>
          <w:sz w:val="24"/>
          <w:szCs w:val="24"/>
        </w:rPr>
      </w:pPr>
    </w:p>
    <w:p w:rsidR="00A92D0B" w:rsidRPr="007A2FCB" w:rsidRDefault="00A92D0B" w:rsidP="007A2FCB">
      <w:pPr>
        <w:pStyle w:val="titlebar"/>
        <w:ind w:right="-990"/>
        <w:jc w:val="left"/>
        <w:rPr>
          <w:rFonts w:ascii="Times New Roman" w:hAnsi="Times New Roman"/>
          <w:color w:val="000000"/>
          <w:sz w:val="22"/>
          <w:szCs w:val="22"/>
        </w:rPr>
      </w:pPr>
      <w:r w:rsidRPr="007A2FCB">
        <w:rPr>
          <w:rFonts w:ascii="Times New Roman" w:hAnsi="Times New Roman"/>
          <w:color w:val="000000"/>
          <w:sz w:val="22"/>
          <w:szCs w:val="22"/>
        </w:rPr>
        <w:t>BEFORE THE PUBLIC UTILITIES COMMISSION OF THE STATE OF CALIFORNIA</w:t>
      </w:r>
    </w:p>
    <w:p w:rsidR="00A92D0B" w:rsidRPr="007F620E" w:rsidRDefault="00A92D0B">
      <w:pPr>
        <w:suppressAutoHyphens/>
        <w:rPr>
          <w:color w:val="000000"/>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5958"/>
        <w:gridCol w:w="2880"/>
      </w:tblGrid>
      <w:tr w:rsidR="00A92D0B" w:rsidRPr="007F620E" w:rsidTr="00DF4A72">
        <w:tc>
          <w:tcPr>
            <w:tcW w:w="5958" w:type="dxa"/>
            <w:shd w:val="clear" w:color="auto" w:fill="auto"/>
          </w:tcPr>
          <w:p w:rsidR="00A92D0B" w:rsidRPr="007F620E" w:rsidRDefault="00E90178" w:rsidP="00DF4A72">
            <w:pPr>
              <w:autoSpaceDE w:val="0"/>
              <w:autoSpaceDN w:val="0"/>
              <w:adjustRightInd w:val="0"/>
              <w:rPr>
                <w:color w:val="000000"/>
              </w:rPr>
            </w:pPr>
            <w:r w:rsidRPr="001E3ECB">
              <w:t>Order Instituting Rulemaking on the Commission’s</w:t>
            </w:r>
            <w:r w:rsidR="00DF4A72">
              <w:t xml:space="preserve"> </w:t>
            </w:r>
            <w:r w:rsidRPr="001E3ECB">
              <w:t>Own Motion to Conduct a Comprehensive</w:t>
            </w:r>
            <w:r w:rsidR="00DF4A72">
              <w:t xml:space="preserve"> </w:t>
            </w:r>
            <w:r w:rsidRPr="001E3ECB">
              <w:t>Examination of Investor Owned Electric Utilities’</w:t>
            </w:r>
            <w:r w:rsidR="00DF4A72">
              <w:t xml:space="preserve"> </w:t>
            </w:r>
            <w:r w:rsidRPr="001E3ECB">
              <w:t>Residential Rate Structures, the Transition to Time</w:t>
            </w:r>
            <w:r w:rsidR="00DF4A72">
              <w:t xml:space="preserve"> </w:t>
            </w:r>
            <w:r w:rsidRPr="001E3ECB">
              <w:t>Varying and Dynamic Rates, and Other Statutory</w:t>
            </w:r>
            <w:r w:rsidR="00DF4A72">
              <w:t xml:space="preserve"> </w:t>
            </w:r>
            <w:r w:rsidRPr="001E3ECB">
              <w:t>Obligations.</w:t>
            </w:r>
          </w:p>
        </w:tc>
        <w:tc>
          <w:tcPr>
            <w:tcW w:w="2880" w:type="dxa"/>
            <w:shd w:val="clear" w:color="auto" w:fill="auto"/>
          </w:tcPr>
          <w:p w:rsidR="00E90178" w:rsidRDefault="00E90178" w:rsidP="00E90178">
            <w:pPr>
              <w:autoSpaceDE w:val="0"/>
              <w:autoSpaceDN w:val="0"/>
              <w:adjustRightInd w:val="0"/>
              <w:jc w:val="center"/>
            </w:pPr>
          </w:p>
          <w:p w:rsidR="00E90178" w:rsidRDefault="00E90178" w:rsidP="00E90178">
            <w:pPr>
              <w:autoSpaceDE w:val="0"/>
              <w:autoSpaceDN w:val="0"/>
              <w:adjustRightInd w:val="0"/>
              <w:jc w:val="center"/>
            </w:pPr>
          </w:p>
          <w:p w:rsidR="00E90178" w:rsidRPr="001E3ECB" w:rsidRDefault="00E90178" w:rsidP="00E90178">
            <w:pPr>
              <w:autoSpaceDE w:val="0"/>
              <w:autoSpaceDN w:val="0"/>
              <w:adjustRightInd w:val="0"/>
              <w:jc w:val="center"/>
            </w:pPr>
            <w:r w:rsidRPr="001E3ECB">
              <w:t>Rulemaking 12-06-013</w:t>
            </w:r>
          </w:p>
          <w:p w:rsidR="00A92D0B" w:rsidRPr="007F620E" w:rsidRDefault="00A92D0B" w:rsidP="00E90178">
            <w:pPr>
              <w:jc w:val="center"/>
              <w:rPr>
                <w:color w:val="000000"/>
              </w:rPr>
            </w:pPr>
          </w:p>
        </w:tc>
      </w:tr>
    </w:tbl>
    <w:p w:rsidR="00FC72B7" w:rsidRPr="007F620E" w:rsidRDefault="00FC72B7">
      <w:pPr>
        <w:jc w:val="center"/>
        <w:rPr>
          <w:b/>
          <w:color w:val="000000"/>
        </w:rPr>
      </w:pPr>
    </w:p>
    <w:p w:rsidR="00282BDF" w:rsidRDefault="00282BDF" w:rsidP="00E90178">
      <w:pPr>
        <w:jc w:val="center"/>
        <w:rPr>
          <w:b/>
          <w:caps/>
          <w:color w:val="000000"/>
        </w:rPr>
      </w:pPr>
      <w:r>
        <w:rPr>
          <w:b/>
          <w:caps/>
          <w:color w:val="000000"/>
        </w:rPr>
        <w:t>DECISION GRANTING</w:t>
      </w:r>
      <w:r w:rsidR="00E90178" w:rsidRPr="001E3ECB">
        <w:rPr>
          <w:b/>
          <w:caps/>
          <w:color w:val="000000"/>
        </w:rPr>
        <w:t xml:space="preserve"> COMPENSATION </w:t>
      </w:r>
      <w:r>
        <w:rPr>
          <w:b/>
          <w:caps/>
          <w:color w:val="000000"/>
        </w:rPr>
        <w:t>TO</w:t>
      </w:r>
      <w:r w:rsidR="00E90178" w:rsidRPr="001E3ECB">
        <w:rPr>
          <w:b/>
          <w:caps/>
          <w:color w:val="000000"/>
        </w:rPr>
        <w:t xml:space="preserve"> </w:t>
      </w:r>
      <w:r w:rsidR="00E90178" w:rsidRPr="00282BDF">
        <w:rPr>
          <w:b/>
          <w:caps/>
          <w:color w:val="000000"/>
        </w:rPr>
        <w:t xml:space="preserve">Consumer </w:t>
      </w:r>
      <w:r w:rsidR="00247DC9">
        <w:rPr>
          <w:b/>
          <w:caps/>
          <w:color w:val="000000"/>
        </w:rPr>
        <w:br/>
      </w:r>
      <w:r w:rsidR="00E90178" w:rsidRPr="00282BDF">
        <w:rPr>
          <w:b/>
          <w:caps/>
          <w:color w:val="000000"/>
        </w:rPr>
        <w:t>Federation of California</w:t>
      </w:r>
      <w:r w:rsidR="00227644">
        <w:rPr>
          <w:b/>
          <w:caps/>
          <w:color w:val="000000"/>
        </w:rPr>
        <w:t xml:space="preserve"> FOUNDATION</w:t>
      </w:r>
      <w:r w:rsidR="00E90178" w:rsidRPr="00282BDF">
        <w:rPr>
          <w:b/>
          <w:caps/>
          <w:color w:val="000000"/>
        </w:rPr>
        <w:t xml:space="preserve"> </w:t>
      </w:r>
      <w:r>
        <w:rPr>
          <w:b/>
          <w:caps/>
          <w:color w:val="000000"/>
        </w:rPr>
        <w:t xml:space="preserve">FOR SUBSTANTIAL </w:t>
      </w:r>
      <w:r w:rsidR="00247DC9">
        <w:rPr>
          <w:b/>
          <w:caps/>
          <w:color w:val="000000"/>
        </w:rPr>
        <w:br/>
      </w:r>
      <w:r>
        <w:rPr>
          <w:b/>
          <w:caps/>
          <w:color w:val="000000"/>
        </w:rPr>
        <w:t xml:space="preserve">CONTRIBUTION TO </w:t>
      </w:r>
      <w:r w:rsidR="00E90178" w:rsidRPr="001E3ECB">
        <w:rPr>
          <w:b/>
          <w:caps/>
          <w:color w:val="000000"/>
        </w:rPr>
        <w:t>DECISION</w:t>
      </w:r>
      <w:r w:rsidR="00247DC9">
        <w:rPr>
          <w:b/>
          <w:caps/>
          <w:color w:val="000000"/>
        </w:rPr>
        <w:t xml:space="preserve"> (D.) </w:t>
      </w:r>
      <w:r>
        <w:rPr>
          <w:b/>
          <w:caps/>
          <w:color w:val="000000"/>
        </w:rPr>
        <w:t>16-09-016 AND d.17-09-036</w:t>
      </w:r>
    </w:p>
    <w:p w:rsidR="00A92D0B" w:rsidRPr="007F620E" w:rsidRDefault="00A92D0B">
      <w:pPr>
        <w:suppressAutoHyphens/>
        <w:rPr>
          <w:color w:val="000000"/>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320"/>
      </w:tblGrid>
      <w:tr w:rsidR="00A92D0B" w:rsidRPr="007F620E" w:rsidTr="00DE18A5">
        <w:tc>
          <w:tcPr>
            <w:tcW w:w="4518" w:type="dxa"/>
            <w:shd w:val="clear" w:color="auto" w:fill="auto"/>
          </w:tcPr>
          <w:p w:rsidR="00A92D0B" w:rsidRPr="00A031F3" w:rsidRDefault="005A63D4" w:rsidP="00A92D0B">
            <w:pPr>
              <w:tabs>
                <w:tab w:val="left" w:pos="1620"/>
                <w:tab w:val="right" w:pos="4500"/>
              </w:tabs>
              <w:spacing w:before="120"/>
              <w:rPr>
                <w:b/>
                <w:color w:val="000000"/>
              </w:rPr>
            </w:pPr>
            <w:r w:rsidRPr="00A031F3">
              <w:rPr>
                <w:b/>
                <w:color w:val="000000"/>
              </w:rPr>
              <w:t>Intervenor</w:t>
            </w:r>
            <w:r w:rsidR="00F63C29" w:rsidRPr="00A031F3">
              <w:rPr>
                <w:b/>
                <w:color w:val="000000"/>
              </w:rPr>
              <w:t>:</w:t>
            </w:r>
            <w:r w:rsidR="00E90178" w:rsidRPr="00A031F3">
              <w:rPr>
                <w:b/>
                <w:color w:val="000000"/>
              </w:rPr>
              <w:t xml:space="preserve"> Consumer Federation of </w:t>
            </w:r>
            <w:r w:rsidR="00E90178" w:rsidRPr="00227644">
              <w:rPr>
                <w:b/>
                <w:color w:val="000000"/>
              </w:rPr>
              <w:t>California</w:t>
            </w:r>
            <w:r w:rsidR="00227644" w:rsidRPr="00227644">
              <w:rPr>
                <w:b/>
                <w:color w:val="000000"/>
              </w:rPr>
              <w:t xml:space="preserve"> </w:t>
            </w:r>
            <w:r w:rsidR="00227644" w:rsidRPr="00B26932">
              <w:rPr>
                <w:b/>
                <w:color w:val="000000"/>
              </w:rPr>
              <w:t>Foundation</w:t>
            </w:r>
            <w:r w:rsidR="00227644">
              <w:rPr>
                <w:rStyle w:val="FootnoteReference"/>
                <w:b/>
                <w:color w:val="000000"/>
              </w:rPr>
              <w:t xml:space="preserve"> </w:t>
            </w:r>
            <w:r w:rsidR="00227644">
              <w:rPr>
                <w:rStyle w:val="FootnoteReference"/>
                <w:b/>
                <w:color w:val="000000"/>
              </w:rPr>
              <w:footnoteReference w:id="1"/>
            </w:r>
          </w:p>
        </w:tc>
        <w:tc>
          <w:tcPr>
            <w:tcW w:w="4320" w:type="dxa"/>
            <w:shd w:val="clear" w:color="auto" w:fill="auto"/>
          </w:tcPr>
          <w:p w:rsidR="00A92D0B" w:rsidRPr="00A031F3" w:rsidRDefault="00A92D0B" w:rsidP="00DF4A72">
            <w:pPr>
              <w:tabs>
                <w:tab w:val="left" w:pos="1872"/>
                <w:tab w:val="right" w:pos="3672"/>
              </w:tabs>
              <w:spacing w:before="120"/>
              <w:rPr>
                <w:b/>
                <w:color w:val="000000"/>
              </w:rPr>
            </w:pPr>
            <w:r w:rsidRPr="00A031F3">
              <w:rPr>
                <w:b/>
                <w:color w:val="000000"/>
              </w:rPr>
              <w:t>For contribution to D</w:t>
            </w:r>
            <w:r w:rsidR="00DE3A5D" w:rsidRPr="00A031F3">
              <w:rPr>
                <w:b/>
                <w:color w:val="000000"/>
              </w:rPr>
              <w:t>ecision (D.)</w:t>
            </w:r>
            <w:r w:rsidR="00E90178" w:rsidRPr="00A031F3">
              <w:rPr>
                <w:b/>
                <w:color w:val="000000"/>
              </w:rPr>
              <w:t>:</w:t>
            </w:r>
            <w:r w:rsidR="00DE18A5">
              <w:rPr>
                <w:b/>
                <w:color w:val="000000"/>
              </w:rPr>
              <w:t xml:space="preserve"> </w:t>
            </w:r>
            <w:r w:rsidR="00DE3A5D" w:rsidRPr="00A031F3">
              <w:rPr>
                <w:b/>
                <w:color w:val="000000"/>
              </w:rPr>
              <w:t xml:space="preserve"> </w:t>
            </w:r>
            <w:r w:rsidR="00292243">
              <w:rPr>
                <w:b/>
                <w:color w:val="000000"/>
              </w:rPr>
              <w:t>D.16-09-016, D.</w:t>
            </w:r>
            <w:r w:rsidR="00E90178" w:rsidRPr="00A031F3">
              <w:rPr>
                <w:b/>
                <w:color w:val="000000"/>
              </w:rPr>
              <w:t>17-09-036</w:t>
            </w:r>
          </w:p>
        </w:tc>
      </w:tr>
      <w:tr w:rsidR="00A92D0B" w:rsidRPr="007F620E" w:rsidTr="00DE18A5">
        <w:tc>
          <w:tcPr>
            <w:tcW w:w="4518" w:type="dxa"/>
            <w:shd w:val="clear" w:color="auto" w:fill="auto"/>
          </w:tcPr>
          <w:p w:rsidR="00A92D0B" w:rsidRPr="007F620E" w:rsidRDefault="00A92D0B" w:rsidP="00A94C77">
            <w:pPr>
              <w:tabs>
                <w:tab w:val="left" w:pos="1620"/>
                <w:tab w:val="right" w:pos="4500"/>
              </w:tabs>
              <w:spacing w:before="120"/>
              <w:rPr>
                <w:b/>
                <w:color w:val="000000"/>
                <w:u w:val="single"/>
              </w:rPr>
            </w:pPr>
            <w:r w:rsidRPr="007F620E">
              <w:rPr>
                <w:b/>
                <w:color w:val="000000"/>
              </w:rPr>
              <w:t>Claimed:</w:t>
            </w:r>
            <w:r w:rsidR="00F63C29" w:rsidRPr="007F620E">
              <w:rPr>
                <w:b/>
                <w:color w:val="000000"/>
              </w:rPr>
              <w:t xml:space="preserve"> </w:t>
            </w:r>
            <w:r w:rsidR="00FC72B7" w:rsidRPr="007F620E">
              <w:rPr>
                <w:b/>
                <w:color w:val="000000"/>
              </w:rPr>
              <w:t xml:space="preserve"> $</w:t>
            </w:r>
            <w:r w:rsidR="00057413">
              <w:rPr>
                <w:b/>
                <w:color w:val="000000"/>
              </w:rPr>
              <w:t>99,053.50</w:t>
            </w:r>
            <w:r w:rsidR="00057413">
              <w:rPr>
                <w:rStyle w:val="FootnoteReference"/>
                <w:b/>
                <w:color w:val="000000"/>
              </w:rPr>
              <w:footnoteReference w:id="2"/>
            </w:r>
          </w:p>
        </w:tc>
        <w:tc>
          <w:tcPr>
            <w:tcW w:w="4320" w:type="dxa"/>
            <w:tcBorders>
              <w:bottom w:val="single" w:sz="4" w:space="0" w:color="auto"/>
            </w:tcBorders>
            <w:shd w:val="clear" w:color="auto" w:fill="auto"/>
          </w:tcPr>
          <w:p w:rsidR="00A92D0B" w:rsidRPr="007F620E" w:rsidRDefault="00A92D0B" w:rsidP="00E27777">
            <w:pPr>
              <w:tabs>
                <w:tab w:val="left" w:pos="1872"/>
                <w:tab w:val="right" w:pos="3672"/>
              </w:tabs>
              <w:spacing w:before="120"/>
              <w:rPr>
                <w:b/>
                <w:color w:val="000000"/>
                <w:u w:val="single"/>
              </w:rPr>
            </w:pPr>
            <w:r w:rsidRPr="007F620E">
              <w:rPr>
                <w:b/>
                <w:color w:val="000000"/>
              </w:rPr>
              <w:t>Awarded:</w:t>
            </w:r>
            <w:r w:rsidR="00FC72B7" w:rsidRPr="007F620E">
              <w:rPr>
                <w:b/>
                <w:color w:val="000000"/>
              </w:rPr>
              <w:t xml:space="preserve">  </w:t>
            </w:r>
            <w:r w:rsidR="00995F69" w:rsidRPr="00995F69">
              <w:rPr>
                <w:b/>
                <w:color w:val="000000"/>
              </w:rPr>
              <w:t>$</w:t>
            </w:r>
            <w:r w:rsidR="00074A3B">
              <w:rPr>
                <w:b/>
                <w:color w:val="000000"/>
              </w:rPr>
              <w:t>54,085.00</w:t>
            </w:r>
          </w:p>
        </w:tc>
      </w:tr>
      <w:tr w:rsidR="00A92D0B" w:rsidRPr="007F620E" w:rsidTr="00DE18A5">
        <w:tc>
          <w:tcPr>
            <w:tcW w:w="4518" w:type="dxa"/>
            <w:shd w:val="clear" w:color="auto" w:fill="auto"/>
          </w:tcPr>
          <w:p w:rsidR="00A92D0B" w:rsidRPr="007F620E" w:rsidRDefault="00A92D0B" w:rsidP="00A92D0B">
            <w:pPr>
              <w:tabs>
                <w:tab w:val="left" w:pos="3060"/>
                <w:tab w:val="right" w:pos="4500"/>
              </w:tabs>
              <w:spacing w:before="120"/>
              <w:rPr>
                <w:b/>
                <w:color w:val="000000"/>
                <w:u w:val="single"/>
              </w:rPr>
            </w:pPr>
            <w:r w:rsidRPr="007F620E">
              <w:rPr>
                <w:b/>
                <w:color w:val="000000"/>
              </w:rPr>
              <w:t xml:space="preserve">Assigned Commissioner:  </w:t>
            </w:r>
            <w:r w:rsidR="00E90178" w:rsidRPr="001E3ECB">
              <w:rPr>
                <w:color w:val="000000"/>
              </w:rPr>
              <w:t>Michael Picker</w:t>
            </w:r>
          </w:p>
        </w:tc>
        <w:tc>
          <w:tcPr>
            <w:tcW w:w="4320" w:type="dxa"/>
            <w:shd w:val="clear" w:color="auto" w:fill="auto"/>
          </w:tcPr>
          <w:p w:rsidR="00A92D0B" w:rsidRPr="007F620E" w:rsidRDefault="00A92D0B" w:rsidP="00A92D0B">
            <w:pPr>
              <w:tabs>
                <w:tab w:val="left" w:pos="1872"/>
                <w:tab w:val="right" w:pos="3672"/>
              </w:tabs>
              <w:spacing w:before="120"/>
              <w:rPr>
                <w:b/>
                <w:color w:val="000000"/>
                <w:u w:val="single"/>
              </w:rPr>
            </w:pPr>
            <w:r w:rsidRPr="007F620E">
              <w:rPr>
                <w:b/>
                <w:color w:val="000000"/>
              </w:rPr>
              <w:t>Assigned ALJ</w:t>
            </w:r>
            <w:r w:rsidR="005816B3">
              <w:rPr>
                <w:b/>
                <w:color w:val="000000"/>
              </w:rPr>
              <w:t>s</w:t>
            </w:r>
            <w:r w:rsidRPr="007F620E">
              <w:rPr>
                <w:b/>
                <w:color w:val="000000"/>
              </w:rPr>
              <w:t>:</w:t>
            </w:r>
            <w:r w:rsidR="00F63C29" w:rsidRPr="007F620E">
              <w:rPr>
                <w:b/>
                <w:color w:val="000000"/>
              </w:rPr>
              <w:t xml:space="preserve">  </w:t>
            </w:r>
            <w:r w:rsidR="00B55032">
              <w:t xml:space="preserve">Jeanne McKinney, </w:t>
            </w:r>
            <w:r w:rsidR="00230463">
              <w:t>S. </w:t>
            </w:r>
            <w:r w:rsidR="00C31E15">
              <w:t xml:space="preserve">Pat Tsen, and </w:t>
            </w:r>
            <w:r w:rsidR="00B55032">
              <w:t>Sophia Park</w:t>
            </w:r>
          </w:p>
        </w:tc>
      </w:tr>
    </w:tbl>
    <w:p w:rsidR="00A92D0B" w:rsidRPr="007F620E" w:rsidRDefault="00A92D0B">
      <w:pPr>
        <w:rPr>
          <w:color w:val="000000"/>
        </w:rPr>
      </w:pPr>
    </w:p>
    <w:p w:rsidR="00A92D0B" w:rsidRPr="007F620E" w:rsidRDefault="00A92D0B" w:rsidP="00282BDF">
      <w:pPr>
        <w:rPr>
          <w:color w:val="000000"/>
        </w:rPr>
      </w:pPr>
      <w:r w:rsidRPr="007F620E">
        <w:rPr>
          <w:b/>
          <w:color w:val="000000"/>
        </w:rPr>
        <w:t>PART I:  PROCEDURAL ISSUES</w:t>
      </w:r>
    </w:p>
    <w:p w:rsidR="00A92D0B" w:rsidRPr="007F620E" w:rsidRDefault="00A92D0B">
      <w:pPr>
        <w:rPr>
          <w:color w:val="000000"/>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130"/>
      </w:tblGrid>
      <w:tr w:rsidR="00A92D0B" w:rsidRPr="007F620E" w:rsidTr="00DE18A5">
        <w:tc>
          <w:tcPr>
            <w:tcW w:w="3708" w:type="dxa"/>
            <w:shd w:val="clear" w:color="auto" w:fill="auto"/>
          </w:tcPr>
          <w:p w:rsidR="00A92D0B" w:rsidRPr="007F620E" w:rsidRDefault="00A92D0B" w:rsidP="00915118">
            <w:pPr>
              <w:rPr>
                <w:b/>
                <w:color w:val="000000"/>
              </w:rPr>
            </w:pPr>
            <w:r w:rsidRPr="007F620E">
              <w:rPr>
                <w:b/>
                <w:color w:val="000000"/>
              </w:rPr>
              <w:t xml:space="preserve">A.  Brief </w:t>
            </w:r>
            <w:r w:rsidR="00A319DE" w:rsidRPr="007F620E">
              <w:rPr>
                <w:b/>
                <w:color w:val="000000"/>
              </w:rPr>
              <w:t>d</w:t>
            </w:r>
            <w:r w:rsidRPr="007F620E">
              <w:rPr>
                <w:b/>
                <w:color w:val="000000"/>
              </w:rPr>
              <w:t xml:space="preserve">escription of Decision: </w:t>
            </w:r>
          </w:p>
        </w:tc>
        <w:tc>
          <w:tcPr>
            <w:tcW w:w="5130" w:type="dxa"/>
            <w:shd w:val="clear" w:color="auto" w:fill="auto"/>
          </w:tcPr>
          <w:p w:rsidR="00E975FE" w:rsidRDefault="00E975FE" w:rsidP="00E975FE">
            <w:pPr>
              <w:pStyle w:val="Default"/>
              <w:ind w:left="-41"/>
              <w:rPr>
                <w:rFonts w:ascii="Times New Roman" w:hAnsi="Times New Roman" w:cs="Times New Roman"/>
              </w:rPr>
            </w:pPr>
            <w:r>
              <w:rPr>
                <w:rFonts w:ascii="Times New Roman" w:hAnsi="Times New Roman" w:cs="Times New Roman"/>
              </w:rPr>
              <w:t xml:space="preserve">D. 16-09-016: </w:t>
            </w:r>
            <w:r w:rsidRPr="000874CE">
              <w:rPr>
                <w:rFonts w:ascii="Times New Roman" w:hAnsi="Times New Roman" w:cs="Times New Roman"/>
              </w:rPr>
              <w:t>Decision on the Requirements of California Public Utilities Code §745 for Default Time-Of-Use (TOU) Rates for Residential Customers.</w:t>
            </w:r>
          </w:p>
          <w:p w:rsidR="00E975FE" w:rsidRDefault="00E975FE" w:rsidP="00E975FE">
            <w:pPr>
              <w:pStyle w:val="Default"/>
              <w:ind w:left="-41"/>
              <w:rPr>
                <w:rFonts w:ascii="Times New Roman" w:hAnsi="Times New Roman" w:cs="Times New Roman"/>
              </w:rPr>
            </w:pPr>
          </w:p>
          <w:p w:rsidR="00A92D0B" w:rsidRPr="007F620E" w:rsidRDefault="00E975FE" w:rsidP="00E975FE">
            <w:pPr>
              <w:rPr>
                <w:color w:val="000000"/>
              </w:rPr>
            </w:pPr>
            <w:r>
              <w:t xml:space="preserve">D. 17-09-036: </w:t>
            </w:r>
            <w:r w:rsidRPr="000874CE">
              <w:t>Decision Adopting Findings Required Pursuant to Public Utilities Code 745 For Implementing Residential Time-of-Use Rates.</w:t>
            </w:r>
          </w:p>
        </w:tc>
      </w:tr>
    </w:tbl>
    <w:p w:rsidR="00A92D0B" w:rsidRPr="007F620E" w:rsidRDefault="00A92D0B">
      <w:pPr>
        <w:rPr>
          <w:color w:val="000000"/>
        </w:rPr>
      </w:pPr>
    </w:p>
    <w:p w:rsidR="00A92D0B" w:rsidRPr="007F620E" w:rsidRDefault="005A63D4">
      <w:pPr>
        <w:numPr>
          <w:ilvl w:val="0"/>
          <w:numId w:val="5"/>
        </w:numPr>
        <w:rPr>
          <w:b/>
          <w:color w:val="000000"/>
        </w:rPr>
      </w:pPr>
      <w:r w:rsidRPr="007F620E">
        <w:rPr>
          <w:b/>
          <w:color w:val="000000"/>
        </w:rPr>
        <w:t xml:space="preserve">Intervenor </w:t>
      </w:r>
      <w:r w:rsidR="00A92D0B" w:rsidRPr="007F620E">
        <w:rPr>
          <w:b/>
          <w:color w:val="000000"/>
        </w:rPr>
        <w:t xml:space="preserve">must satisfy intervenor compensation </w:t>
      </w:r>
      <w:r w:rsidR="00DE3A5D" w:rsidRPr="007F620E">
        <w:rPr>
          <w:b/>
          <w:color w:val="000000"/>
        </w:rPr>
        <w:t>requirements set forth in Pub. Util.</w:t>
      </w:r>
      <w:r w:rsidR="00A92D0B" w:rsidRPr="007F620E">
        <w:rPr>
          <w:b/>
          <w:color w:val="000000"/>
        </w:rPr>
        <w:t xml:space="preserve"> Code §§ 1801-1812:</w:t>
      </w:r>
    </w:p>
    <w:p w:rsidR="00A92D0B" w:rsidRPr="007F620E" w:rsidRDefault="00A92D0B">
      <w:pPr>
        <w:tabs>
          <w:tab w:val="left" w:pos="360"/>
        </w:tabs>
        <w:rPr>
          <w:color w:val="000000"/>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070"/>
        <w:gridCol w:w="2250"/>
      </w:tblGrid>
      <w:tr w:rsidR="00A92D0B" w:rsidRPr="007F620E" w:rsidTr="00DE18A5">
        <w:tc>
          <w:tcPr>
            <w:tcW w:w="4518" w:type="dxa"/>
            <w:tcBorders>
              <w:bottom w:val="single" w:sz="4" w:space="0" w:color="auto"/>
            </w:tcBorders>
            <w:shd w:val="clear" w:color="auto" w:fill="auto"/>
          </w:tcPr>
          <w:p w:rsidR="00A92D0B" w:rsidRPr="007F620E" w:rsidRDefault="00A92D0B" w:rsidP="00A92D0B">
            <w:pPr>
              <w:tabs>
                <w:tab w:val="left" w:pos="360"/>
              </w:tabs>
              <w:spacing w:before="120"/>
              <w:jc w:val="center"/>
              <w:rPr>
                <w:color w:val="000000"/>
              </w:rPr>
            </w:pPr>
          </w:p>
        </w:tc>
        <w:tc>
          <w:tcPr>
            <w:tcW w:w="2070" w:type="dxa"/>
            <w:tcBorders>
              <w:bottom w:val="single" w:sz="4" w:space="0" w:color="auto"/>
            </w:tcBorders>
            <w:shd w:val="clear" w:color="auto" w:fill="auto"/>
          </w:tcPr>
          <w:p w:rsidR="00A92D0B" w:rsidRPr="007F620E" w:rsidRDefault="005A63D4" w:rsidP="00A92D0B">
            <w:pPr>
              <w:tabs>
                <w:tab w:val="left" w:pos="360"/>
              </w:tabs>
              <w:spacing w:before="120"/>
              <w:jc w:val="center"/>
              <w:rPr>
                <w:b/>
                <w:color w:val="000000"/>
              </w:rPr>
            </w:pPr>
            <w:r w:rsidRPr="007F620E">
              <w:rPr>
                <w:b/>
                <w:color w:val="000000"/>
              </w:rPr>
              <w:t>Intervenor</w:t>
            </w:r>
          </w:p>
        </w:tc>
        <w:tc>
          <w:tcPr>
            <w:tcW w:w="2250" w:type="dxa"/>
            <w:tcBorders>
              <w:bottom w:val="single" w:sz="4" w:space="0" w:color="auto"/>
            </w:tcBorders>
            <w:shd w:val="clear" w:color="auto" w:fill="auto"/>
          </w:tcPr>
          <w:p w:rsidR="00A92D0B" w:rsidRPr="007F620E" w:rsidRDefault="00A92D0B" w:rsidP="00A92D0B">
            <w:pPr>
              <w:tabs>
                <w:tab w:val="left" w:pos="360"/>
              </w:tabs>
              <w:spacing w:before="120"/>
              <w:jc w:val="center"/>
              <w:rPr>
                <w:b/>
                <w:color w:val="000000"/>
              </w:rPr>
            </w:pPr>
            <w:r w:rsidRPr="007F620E">
              <w:rPr>
                <w:b/>
                <w:color w:val="000000"/>
              </w:rPr>
              <w:t>CPUC Verified</w:t>
            </w:r>
          </w:p>
        </w:tc>
      </w:tr>
      <w:tr w:rsidR="00A92D0B" w:rsidRPr="007F620E" w:rsidTr="00DE18A5">
        <w:tc>
          <w:tcPr>
            <w:tcW w:w="8838" w:type="dxa"/>
            <w:gridSpan w:val="3"/>
            <w:tcBorders>
              <w:top w:val="single" w:sz="4" w:space="0" w:color="auto"/>
              <w:left w:val="single" w:sz="4" w:space="0" w:color="auto"/>
              <w:bottom w:val="single" w:sz="4" w:space="0" w:color="auto"/>
              <w:right w:val="single" w:sz="4" w:space="0" w:color="auto"/>
            </w:tcBorders>
            <w:shd w:val="clear" w:color="auto" w:fill="E6E6E6"/>
          </w:tcPr>
          <w:p w:rsidR="00A92D0B" w:rsidRPr="007F620E" w:rsidRDefault="00A92D0B" w:rsidP="00A92D0B">
            <w:pPr>
              <w:tabs>
                <w:tab w:val="left" w:pos="360"/>
              </w:tabs>
              <w:spacing w:before="60"/>
              <w:jc w:val="center"/>
              <w:rPr>
                <w:b/>
              </w:rPr>
            </w:pPr>
            <w:r w:rsidRPr="007F620E">
              <w:rPr>
                <w:b/>
              </w:rPr>
              <w:lastRenderedPageBreak/>
              <w:t>Timely filing of notice of intent to claim compensation (NOI) (§ 1804(a)):</w:t>
            </w:r>
          </w:p>
        </w:tc>
      </w:tr>
      <w:tr w:rsidR="00A92D0B" w:rsidRPr="007F620E" w:rsidTr="00DE18A5">
        <w:tc>
          <w:tcPr>
            <w:tcW w:w="4518" w:type="dxa"/>
            <w:tcBorders>
              <w:top w:val="single" w:sz="4" w:space="0" w:color="auto"/>
            </w:tcBorders>
            <w:shd w:val="clear" w:color="auto" w:fill="auto"/>
          </w:tcPr>
          <w:p w:rsidR="00A92D0B" w:rsidRPr="007F620E" w:rsidRDefault="00FC72B7" w:rsidP="00ED6B6B">
            <w:pPr>
              <w:tabs>
                <w:tab w:val="left" w:pos="360"/>
              </w:tabs>
              <w:spacing w:before="120"/>
              <w:ind w:left="360" w:hanging="360"/>
              <w:rPr>
                <w:color w:val="000000"/>
              </w:rPr>
            </w:pPr>
            <w:r w:rsidRPr="007F620E">
              <w:rPr>
                <w:color w:val="000000"/>
              </w:rPr>
              <w:t xml:space="preserve"> </w:t>
            </w:r>
            <w:r w:rsidR="00A92D0B" w:rsidRPr="007F620E">
              <w:rPr>
                <w:color w:val="000000"/>
              </w:rPr>
              <w:t>1.  Date of Prehearing Conference:</w:t>
            </w:r>
          </w:p>
        </w:tc>
        <w:tc>
          <w:tcPr>
            <w:tcW w:w="2070" w:type="dxa"/>
            <w:tcBorders>
              <w:top w:val="single" w:sz="4" w:space="0" w:color="auto"/>
            </w:tcBorders>
            <w:shd w:val="clear" w:color="auto" w:fill="auto"/>
          </w:tcPr>
          <w:p w:rsidR="00A92D0B" w:rsidRPr="001A1A76" w:rsidRDefault="00E975FE" w:rsidP="00E975FE">
            <w:pPr>
              <w:tabs>
                <w:tab w:val="left" w:pos="360"/>
              </w:tabs>
              <w:spacing w:before="120"/>
              <w:ind w:left="-23"/>
              <w:rPr>
                <w:color w:val="000000"/>
              </w:rPr>
            </w:pPr>
            <w:r w:rsidRPr="001A1A76">
              <w:rPr>
                <w:color w:val="000000"/>
              </w:rPr>
              <w:t>October 2, 2012</w:t>
            </w:r>
          </w:p>
        </w:tc>
        <w:tc>
          <w:tcPr>
            <w:tcW w:w="2250" w:type="dxa"/>
            <w:tcBorders>
              <w:top w:val="single" w:sz="4" w:space="0" w:color="auto"/>
            </w:tcBorders>
            <w:shd w:val="clear" w:color="auto" w:fill="auto"/>
          </w:tcPr>
          <w:p w:rsidR="00A92D0B" w:rsidRPr="007F620E" w:rsidRDefault="00320388" w:rsidP="00995F69">
            <w:pPr>
              <w:tabs>
                <w:tab w:val="left" w:pos="360"/>
              </w:tabs>
              <w:spacing w:before="120"/>
              <w:rPr>
                <w:color w:val="000000"/>
              </w:rPr>
            </w:pPr>
            <w:r>
              <w:rPr>
                <w:color w:val="000000"/>
              </w:rPr>
              <w:t>October 24, 201</w:t>
            </w:r>
            <w:r w:rsidR="00995F69">
              <w:rPr>
                <w:color w:val="000000"/>
              </w:rPr>
              <w:t>2</w:t>
            </w:r>
          </w:p>
        </w:tc>
      </w:tr>
      <w:tr w:rsidR="00A92D0B" w:rsidRPr="007F620E" w:rsidTr="00DE18A5">
        <w:tc>
          <w:tcPr>
            <w:tcW w:w="4518" w:type="dxa"/>
            <w:shd w:val="clear" w:color="auto" w:fill="auto"/>
          </w:tcPr>
          <w:p w:rsidR="00A92D0B" w:rsidRPr="007F620E" w:rsidRDefault="00FC72B7" w:rsidP="00915118">
            <w:pPr>
              <w:tabs>
                <w:tab w:val="left" w:pos="360"/>
              </w:tabs>
              <w:spacing w:before="120"/>
              <w:ind w:left="360" w:hanging="360"/>
              <w:rPr>
                <w:color w:val="000000"/>
              </w:rPr>
            </w:pPr>
            <w:r w:rsidRPr="007F620E">
              <w:rPr>
                <w:color w:val="000000"/>
              </w:rPr>
              <w:t xml:space="preserve"> </w:t>
            </w:r>
            <w:r w:rsidR="00A92D0B" w:rsidRPr="007F620E">
              <w:rPr>
                <w:color w:val="000000"/>
              </w:rPr>
              <w:t xml:space="preserve">2.  Other </w:t>
            </w:r>
            <w:r w:rsidR="00A319DE" w:rsidRPr="007F620E">
              <w:rPr>
                <w:color w:val="000000"/>
              </w:rPr>
              <w:t>s</w:t>
            </w:r>
            <w:r w:rsidR="00A92D0B" w:rsidRPr="007F620E">
              <w:rPr>
                <w:color w:val="000000"/>
              </w:rPr>
              <w:t xml:space="preserve">pecified </w:t>
            </w:r>
            <w:r w:rsidR="00A319DE" w:rsidRPr="007F620E">
              <w:rPr>
                <w:color w:val="000000"/>
              </w:rPr>
              <w:t>d</w:t>
            </w:r>
            <w:r w:rsidR="00A92D0B" w:rsidRPr="007F620E">
              <w:rPr>
                <w:color w:val="000000"/>
              </w:rPr>
              <w:t>ate for NOI:</w:t>
            </w:r>
          </w:p>
        </w:tc>
        <w:tc>
          <w:tcPr>
            <w:tcW w:w="2070" w:type="dxa"/>
            <w:shd w:val="clear" w:color="auto" w:fill="auto"/>
          </w:tcPr>
          <w:p w:rsidR="00E975FE" w:rsidRPr="001A1A76" w:rsidRDefault="00E975FE" w:rsidP="00E975FE">
            <w:pPr>
              <w:tabs>
                <w:tab w:val="left" w:pos="360"/>
              </w:tabs>
              <w:spacing w:before="120"/>
              <w:rPr>
                <w:color w:val="000000"/>
              </w:rPr>
            </w:pPr>
            <w:r w:rsidRPr="001A1A76">
              <w:rPr>
                <w:color w:val="000000"/>
              </w:rPr>
              <w:t>N/A</w:t>
            </w:r>
          </w:p>
        </w:tc>
        <w:tc>
          <w:tcPr>
            <w:tcW w:w="2250" w:type="dxa"/>
            <w:shd w:val="clear" w:color="auto" w:fill="auto"/>
          </w:tcPr>
          <w:p w:rsidR="00A92D0B" w:rsidRPr="007F620E" w:rsidRDefault="00A92D0B" w:rsidP="00A92D0B">
            <w:pPr>
              <w:tabs>
                <w:tab w:val="left" w:pos="360"/>
              </w:tabs>
              <w:spacing w:before="120"/>
              <w:rPr>
                <w:color w:val="000000"/>
              </w:rPr>
            </w:pPr>
          </w:p>
        </w:tc>
      </w:tr>
      <w:tr w:rsidR="00A92D0B" w:rsidRPr="007F620E" w:rsidTr="00DE18A5">
        <w:tc>
          <w:tcPr>
            <w:tcW w:w="4518" w:type="dxa"/>
            <w:shd w:val="clear" w:color="auto" w:fill="auto"/>
          </w:tcPr>
          <w:p w:rsidR="00A92D0B" w:rsidRPr="007F620E" w:rsidRDefault="00FC72B7" w:rsidP="00915118">
            <w:pPr>
              <w:tabs>
                <w:tab w:val="left" w:pos="360"/>
              </w:tabs>
              <w:spacing w:before="120"/>
              <w:ind w:left="360" w:hanging="360"/>
              <w:rPr>
                <w:color w:val="000000"/>
              </w:rPr>
            </w:pPr>
            <w:r w:rsidRPr="007F620E">
              <w:rPr>
                <w:color w:val="000000"/>
              </w:rPr>
              <w:t xml:space="preserve"> </w:t>
            </w:r>
            <w:r w:rsidR="00A92D0B" w:rsidRPr="007F620E">
              <w:rPr>
                <w:color w:val="000000"/>
              </w:rPr>
              <w:t xml:space="preserve">3.  Date NOI </w:t>
            </w:r>
            <w:r w:rsidR="00A319DE" w:rsidRPr="007F620E">
              <w:rPr>
                <w:color w:val="000000"/>
              </w:rPr>
              <w:t>f</w:t>
            </w:r>
            <w:r w:rsidR="00A92D0B" w:rsidRPr="007F620E">
              <w:rPr>
                <w:color w:val="000000"/>
              </w:rPr>
              <w:t>iled:</w:t>
            </w:r>
          </w:p>
        </w:tc>
        <w:tc>
          <w:tcPr>
            <w:tcW w:w="2070" w:type="dxa"/>
            <w:tcBorders>
              <w:bottom w:val="single" w:sz="4" w:space="0" w:color="auto"/>
            </w:tcBorders>
            <w:shd w:val="clear" w:color="auto" w:fill="auto"/>
          </w:tcPr>
          <w:p w:rsidR="00A92D0B" w:rsidRPr="001A1A76" w:rsidRDefault="00E975FE" w:rsidP="00E975FE">
            <w:pPr>
              <w:tabs>
                <w:tab w:val="left" w:pos="360"/>
              </w:tabs>
              <w:spacing w:before="120"/>
              <w:rPr>
                <w:color w:val="000000"/>
              </w:rPr>
            </w:pPr>
            <w:r w:rsidRPr="001A1A76">
              <w:rPr>
                <w:color w:val="000000"/>
              </w:rPr>
              <w:t>November 20, 2012</w:t>
            </w:r>
          </w:p>
        </w:tc>
        <w:tc>
          <w:tcPr>
            <w:tcW w:w="2250" w:type="dxa"/>
            <w:tcBorders>
              <w:bottom w:val="single" w:sz="4" w:space="0" w:color="auto"/>
            </w:tcBorders>
            <w:shd w:val="clear" w:color="auto" w:fill="auto"/>
          </w:tcPr>
          <w:p w:rsidR="00A92D0B" w:rsidRPr="007F620E" w:rsidRDefault="00320388" w:rsidP="00A92D0B">
            <w:pPr>
              <w:tabs>
                <w:tab w:val="left" w:pos="360"/>
              </w:tabs>
              <w:spacing w:before="120"/>
              <w:rPr>
                <w:color w:val="000000"/>
              </w:rPr>
            </w:pPr>
            <w:r>
              <w:rPr>
                <w:color w:val="000000"/>
              </w:rPr>
              <w:t>Verified</w:t>
            </w:r>
          </w:p>
        </w:tc>
      </w:tr>
      <w:tr w:rsidR="00A92D0B" w:rsidRPr="007F620E" w:rsidTr="00DE18A5">
        <w:tc>
          <w:tcPr>
            <w:tcW w:w="6588" w:type="dxa"/>
            <w:gridSpan w:val="2"/>
            <w:tcBorders>
              <w:bottom w:val="single" w:sz="4" w:space="0" w:color="auto"/>
            </w:tcBorders>
            <w:shd w:val="clear" w:color="auto" w:fill="auto"/>
          </w:tcPr>
          <w:p w:rsidR="00A92D0B" w:rsidRPr="007F620E" w:rsidRDefault="00FC72B7" w:rsidP="00A92D0B">
            <w:pPr>
              <w:tabs>
                <w:tab w:val="left" w:pos="360"/>
              </w:tabs>
              <w:spacing w:before="120"/>
              <w:ind w:left="360" w:hanging="360"/>
              <w:rPr>
                <w:color w:val="000000"/>
              </w:rPr>
            </w:pPr>
            <w:r w:rsidRPr="007F620E">
              <w:rPr>
                <w:color w:val="000000"/>
              </w:rPr>
              <w:t xml:space="preserve"> </w:t>
            </w:r>
            <w:r w:rsidR="00A92D0B" w:rsidRPr="007F620E">
              <w:rPr>
                <w:color w:val="000000"/>
              </w:rPr>
              <w:t xml:space="preserve">4. </w:t>
            </w:r>
            <w:r w:rsidRPr="007F620E">
              <w:rPr>
                <w:color w:val="000000"/>
              </w:rPr>
              <w:t xml:space="preserve"> </w:t>
            </w:r>
            <w:r w:rsidR="00A92D0B" w:rsidRPr="007F620E">
              <w:rPr>
                <w:color w:val="000000"/>
              </w:rPr>
              <w:t>Was the NOI timely filed?</w:t>
            </w:r>
          </w:p>
        </w:tc>
        <w:tc>
          <w:tcPr>
            <w:tcW w:w="2250" w:type="dxa"/>
            <w:tcBorders>
              <w:bottom w:val="single" w:sz="4" w:space="0" w:color="auto"/>
            </w:tcBorders>
            <w:shd w:val="clear" w:color="auto" w:fill="auto"/>
          </w:tcPr>
          <w:p w:rsidR="00A92D0B" w:rsidRPr="007F620E" w:rsidRDefault="00320388" w:rsidP="00A92D0B">
            <w:pPr>
              <w:tabs>
                <w:tab w:val="left" w:pos="360"/>
              </w:tabs>
              <w:spacing w:before="120"/>
              <w:rPr>
                <w:color w:val="000000"/>
              </w:rPr>
            </w:pPr>
            <w:r>
              <w:rPr>
                <w:color w:val="000000"/>
              </w:rPr>
              <w:t>Yes</w:t>
            </w:r>
          </w:p>
        </w:tc>
      </w:tr>
      <w:tr w:rsidR="00A92D0B" w:rsidRPr="007F620E" w:rsidTr="00DE18A5">
        <w:tc>
          <w:tcPr>
            <w:tcW w:w="8838" w:type="dxa"/>
            <w:gridSpan w:val="3"/>
            <w:tcBorders>
              <w:top w:val="single" w:sz="4" w:space="0" w:color="auto"/>
              <w:left w:val="single" w:sz="4" w:space="0" w:color="auto"/>
              <w:bottom w:val="single" w:sz="4" w:space="0" w:color="auto"/>
              <w:right w:val="single" w:sz="4" w:space="0" w:color="auto"/>
            </w:tcBorders>
            <w:shd w:val="clear" w:color="auto" w:fill="E6E6E6"/>
          </w:tcPr>
          <w:p w:rsidR="00A92D0B" w:rsidRPr="007F620E" w:rsidRDefault="00A92D0B" w:rsidP="00230463">
            <w:pPr>
              <w:keepNext/>
              <w:keepLines/>
              <w:tabs>
                <w:tab w:val="left" w:pos="360"/>
              </w:tabs>
              <w:spacing w:before="60"/>
              <w:jc w:val="center"/>
              <w:rPr>
                <w:b/>
                <w:color w:val="000000"/>
              </w:rPr>
            </w:pPr>
            <w:r w:rsidRPr="007F620E">
              <w:rPr>
                <w:b/>
                <w:color w:val="000000"/>
              </w:rPr>
              <w:t xml:space="preserve">Showing of </w:t>
            </w:r>
            <w:r w:rsidR="00F63C29" w:rsidRPr="007F620E">
              <w:rPr>
                <w:b/>
                <w:color w:val="000000"/>
              </w:rPr>
              <w:t xml:space="preserve">eligible </w:t>
            </w:r>
            <w:r w:rsidRPr="007F620E">
              <w:rPr>
                <w:b/>
                <w:color w:val="000000"/>
              </w:rPr>
              <w:t xml:space="preserve">customer </w:t>
            </w:r>
            <w:r w:rsidR="00F63C29" w:rsidRPr="007F620E">
              <w:rPr>
                <w:b/>
                <w:color w:val="000000"/>
              </w:rPr>
              <w:t xml:space="preserve">status (§ 1802(b) or eligible local government entity </w:t>
            </w:r>
            <w:r w:rsidR="00ED6B6B">
              <w:rPr>
                <w:b/>
                <w:color w:val="000000"/>
              </w:rPr>
              <w:t>status</w:t>
            </w:r>
            <w:r w:rsidR="00230463">
              <w:rPr>
                <w:b/>
                <w:color w:val="000000"/>
              </w:rPr>
              <w:t xml:space="preserve"> </w:t>
            </w:r>
            <w:r w:rsidR="00F63C29" w:rsidRPr="007F620E">
              <w:rPr>
                <w:b/>
                <w:color w:val="000000"/>
              </w:rPr>
              <w:t>(§§ 1802(d), 1802.4)</w:t>
            </w:r>
            <w:r w:rsidRPr="007F620E">
              <w:rPr>
                <w:b/>
                <w:color w:val="000000"/>
              </w:rPr>
              <w:t>:</w:t>
            </w:r>
          </w:p>
        </w:tc>
      </w:tr>
      <w:tr w:rsidR="00A92D0B" w:rsidRPr="007F620E" w:rsidTr="00DE18A5">
        <w:tc>
          <w:tcPr>
            <w:tcW w:w="4518" w:type="dxa"/>
            <w:tcBorders>
              <w:top w:val="single" w:sz="4" w:space="0" w:color="auto"/>
            </w:tcBorders>
            <w:shd w:val="clear" w:color="auto" w:fill="auto"/>
          </w:tcPr>
          <w:p w:rsidR="00A92D0B" w:rsidRPr="007F620E" w:rsidRDefault="00FC72B7" w:rsidP="007E71C3">
            <w:pPr>
              <w:keepNext/>
              <w:keepLines/>
              <w:spacing w:before="120"/>
              <w:ind w:left="360" w:hanging="360"/>
              <w:rPr>
                <w:color w:val="000000"/>
              </w:rPr>
            </w:pPr>
            <w:r w:rsidRPr="007F620E">
              <w:rPr>
                <w:color w:val="000000"/>
              </w:rPr>
              <w:t xml:space="preserve"> </w:t>
            </w:r>
            <w:r w:rsidR="00A92D0B" w:rsidRPr="007F620E">
              <w:rPr>
                <w:color w:val="000000"/>
              </w:rPr>
              <w:t xml:space="preserve">5.  Based on ALJ ruling issued in proceeding </w:t>
            </w:r>
            <w:r w:rsidR="00E3786F" w:rsidRPr="007F620E">
              <w:rPr>
                <w:color w:val="000000"/>
              </w:rPr>
              <w:t xml:space="preserve">  </w:t>
            </w:r>
            <w:r w:rsidR="00A92D0B" w:rsidRPr="007F620E">
              <w:rPr>
                <w:color w:val="000000"/>
              </w:rPr>
              <w:t>number:</w:t>
            </w:r>
          </w:p>
        </w:tc>
        <w:tc>
          <w:tcPr>
            <w:tcW w:w="2070" w:type="dxa"/>
            <w:tcBorders>
              <w:top w:val="single" w:sz="4" w:space="0" w:color="auto"/>
            </w:tcBorders>
            <w:shd w:val="clear" w:color="auto" w:fill="auto"/>
          </w:tcPr>
          <w:p w:rsidR="00A92D0B" w:rsidRPr="007F620E" w:rsidRDefault="00E975FE" w:rsidP="007E71C3">
            <w:pPr>
              <w:keepNext/>
              <w:keepLines/>
              <w:tabs>
                <w:tab w:val="left" w:pos="360"/>
              </w:tabs>
              <w:spacing w:before="120"/>
              <w:ind w:left="360" w:hanging="360"/>
              <w:rPr>
                <w:color w:val="000000"/>
              </w:rPr>
            </w:pPr>
            <w:r>
              <w:rPr>
                <w:color w:val="000000"/>
              </w:rPr>
              <w:t>R. 12-06-013</w:t>
            </w:r>
          </w:p>
        </w:tc>
        <w:tc>
          <w:tcPr>
            <w:tcW w:w="2250" w:type="dxa"/>
            <w:tcBorders>
              <w:top w:val="single" w:sz="4" w:space="0" w:color="auto"/>
            </w:tcBorders>
            <w:shd w:val="clear" w:color="auto" w:fill="auto"/>
          </w:tcPr>
          <w:p w:rsidR="00A92D0B" w:rsidRPr="007F620E" w:rsidRDefault="00320388" w:rsidP="007E71C3">
            <w:pPr>
              <w:keepNext/>
              <w:keepLines/>
              <w:tabs>
                <w:tab w:val="left" w:pos="360"/>
              </w:tabs>
              <w:spacing w:before="120"/>
              <w:rPr>
                <w:color w:val="000000"/>
              </w:rPr>
            </w:pPr>
            <w:r>
              <w:rPr>
                <w:color w:val="000000"/>
              </w:rPr>
              <w:t>Verified</w:t>
            </w:r>
          </w:p>
        </w:tc>
      </w:tr>
      <w:tr w:rsidR="00A92D0B" w:rsidRPr="007F620E" w:rsidTr="00DE18A5">
        <w:tc>
          <w:tcPr>
            <w:tcW w:w="4518" w:type="dxa"/>
            <w:shd w:val="clear" w:color="auto" w:fill="auto"/>
          </w:tcPr>
          <w:p w:rsidR="00A92D0B" w:rsidRPr="007F620E" w:rsidRDefault="00FC72B7" w:rsidP="00FC72B7">
            <w:pPr>
              <w:tabs>
                <w:tab w:val="left" w:pos="360"/>
              </w:tabs>
              <w:spacing w:before="120"/>
              <w:ind w:left="360" w:hanging="360"/>
              <w:rPr>
                <w:color w:val="000000"/>
              </w:rPr>
            </w:pPr>
            <w:r w:rsidRPr="007F620E">
              <w:rPr>
                <w:color w:val="000000"/>
              </w:rPr>
              <w:t xml:space="preserve"> </w:t>
            </w:r>
            <w:r w:rsidR="00A92D0B" w:rsidRPr="007F620E">
              <w:rPr>
                <w:color w:val="000000"/>
              </w:rPr>
              <w:t>6.  Date of ALJ ruling:</w:t>
            </w:r>
          </w:p>
        </w:tc>
        <w:tc>
          <w:tcPr>
            <w:tcW w:w="2070" w:type="dxa"/>
            <w:shd w:val="clear" w:color="auto" w:fill="auto"/>
          </w:tcPr>
          <w:p w:rsidR="00A92D0B" w:rsidRPr="007F620E" w:rsidRDefault="00E975FE" w:rsidP="00A92D0B">
            <w:pPr>
              <w:tabs>
                <w:tab w:val="left" w:pos="360"/>
              </w:tabs>
              <w:spacing w:before="120"/>
              <w:ind w:left="360" w:hanging="360"/>
              <w:rPr>
                <w:color w:val="000000"/>
              </w:rPr>
            </w:pPr>
            <w:r>
              <w:rPr>
                <w:color w:val="000000"/>
              </w:rPr>
              <w:t>February 25, 2013</w:t>
            </w:r>
          </w:p>
        </w:tc>
        <w:tc>
          <w:tcPr>
            <w:tcW w:w="2250" w:type="dxa"/>
            <w:shd w:val="clear" w:color="auto" w:fill="auto"/>
          </w:tcPr>
          <w:p w:rsidR="00A92D0B" w:rsidRPr="007F620E" w:rsidRDefault="00320388" w:rsidP="00A92D0B">
            <w:pPr>
              <w:tabs>
                <w:tab w:val="left" w:pos="360"/>
              </w:tabs>
              <w:spacing w:before="120"/>
              <w:rPr>
                <w:color w:val="000000"/>
              </w:rPr>
            </w:pPr>
            <w:r>
              <w:rPr>
                <w:color w:val="000000"/>
              </w:rPr>
              <w:t>Verified</w:t>
            </w:r>
          </w:p>
        </w:tc>
      </w:tr>
      <w:tr w:rsidR="00A92D0B" w:rsidRPr="007F620E" w:rsidTr="00DE18A5">
        <w:tc>
          <w:tcPr>
            <w:tcW w:w="4518" w:type="dxa"/>
            <w:shd w:val="clear" w:color="auto" w:fill="auto"/>
          </w:tcPr>
          <w:p w:rsidR="00A92D0B" w:rsidRPr="007F620E" w:rsidRDefault="00FC72B7" w:rsidP="00FC72B7">
            <w:pPr>
              <w:tabs>
                <w:tab w:val="left" w:pos="360"/>
              </w:tabs>
              <w:spacing w:before="120"/>
              <w:ind w:left="360" w:hanging="360"/>
              <w:rPr>
                <w:color w:val="000000"/>
              </w:rPr>
            </w:pPr>
            <w:r w:rsidRPr="007F620E">
              <w:rPr>
                <w:color w:val="000000"/>
              </w:rPr>
              <w:t xml:space="preserve"> </w:t>
            </w:r>
            <w:r w:rsidR="00A92D0B" w:rsidRPr="007F620E">
              <w:rPr>
                <w:color w:val="000000"/>
              </w:rPr>
              <w:t>7.  Based on another CPUC determination (specify):</w:t>
            </w:r>
          </w:p>
        </w:tc>
        <w:tc>
          <w:tcPr>
            <w:tcW w:w="2070" w:type="dxa"/>
            <w:tcBorders>
              <w:bottom w:val="single" w:sz="4" w:space="0" w:color="auto"/>
            </w:tcBorders>
            <w:shd w:val="clear" w:color="auto" w:fill="auto"/>
          </w:tcPr>
          <w:p w:rsidR="00A92D0B" w:rsidRPr="007F620E" w:rsidRDefault="00E975FE" w:rsidP="00A92D0B">
            <w:pPr>
              <w:tabs>
                <w:tab w:val="left" w:pos="360"/>
              </w:tabs>
              <w:spacing w:before="120"/>
              <w:ind w:left="360" w:hanging="360"/>
              <w:rPr>
                <w:color w:val="000000"/>
              </w:rPr>
            </w:pPr>
            <w:r>
              <w:rPr>
                <w:color w:val="000000"/>
              </w:rPr>
              <w:t>N/A</w:t>
            </w:r>
          </w:p>
        </w:tc>
        <w:tc>
          <w:tcPr>
            <w:tcW w:w="2250" w:type="dxa"/>
            <w:tcBorders>
              <w:bottom w:val="single" w:sz="4" w:space="0" w:color="auto"/>
            </w:tcBorders>
            <w:shd w:val="clear" w:color="auto" w:fill="auto"/>
          </w:tcPr>
          <w:p w:rsidR="00A92D0B" w:rsidRPr="007F620E" w:rsidRDefault="00A92D0B" w:rsidP="00A92D0B">
            <w:pPr>
              <w:tabs>
                <w:tab w:val="left" w:pos="360"/>
              </w:tabs>
              <w:spacing w:before="120"/>
              <w:rPr>
                <w:color w:val="000000"/>
              </w:rPr>
            </w:pPr>
          </w:p>
        </w:tc>
      </w:tr>
      <w:tr w:rsidR="00A92D0B" w:rsidRPr="007F620E" w:rsidTr="00DE18A5">
        <w:tc>
          <w:tcPr>
            <w:tcW w:w="6588" w:type="dxa"/>
            <w:gridSpan w:val="2"/>
            <w:tcBorders>
              <w:bottom w:val="single" w:sz="4" w:space="0" w:color="auto"/>
            </w:tcBorders>
            <w:shd w:val="clear" w:color="auto" w:fill="auto"/>
          </w:tcPr>
          <w:p w:rsidR="00A92D0B" w:rsidRPr="007F620E" w:rsidRDefault="00FC72B7" w:rsidP="00ED6B6B">
            <w:pPr>
              <w:tabs>
                <w:tab w:val="left" w:pos="360"/>
              </w:tabs>
              <w:spacing w:before="120"/>
              <w:ind w:left="360" w:hanging="360"/>
              <w:rPr>
                <w:color w:val="000000"/>
              </w:rPr>
            </w:pPr>
            <w:r w:rsidRPr="007F620E">
              <w:rPr>
                <w:color w:val="000000"/>
              </w:rPr>
              <w:t xml:space="preserve"> </w:t>
            </w:r>
            <w:r w:rsidR="00A92D0B" w:rsidRPr="007F620E">
              <w:rPr>
                <w:color w:val="000000"/>
              </w:rPr>
              <w:t xml:space="preserve">8. </w:t>
            </w:r>
            <w:r w:rsidRPr="007F620E">
              <w:rPr>
                <w:color w:val="000000"/>
              </w:rPr>
              <w:t xml:space="preserve"> </w:t>
            </w:r>
            <w:r w:rsidR="00A92D0B" w:rsidRPr="007F620E">
              <w:rPr>
                <w:color w:val="000000"/>
              </w:rPr>
              <w:t xml:space="preserve">Has the </w:t>
            </w:r>
            <w:r w:rsidR="005A63D4" w:rsidRPr="007F620E">
              <w:rPr>
                <w:color w:val="000000"/>
              </w:rPr>
              <w:t xml:space="preserve">Intervenor </w:t>
            </w:r>
            <w:r w:rsidR="00A92D0B" w:rsidRPr="007F620E">
              <w:rPr>
                <w:color w:val="000000"/>
              </w:rPr>
              <w:t xml:space="preserve">demonstrated </w:t>
            </w:r>
            <w:r w:rsidR="00A92D0B" w:rsidRPr="00ED6B6B">
              <w:t>customer</w:t>
            </w:r>
            <w:r w:rsidR="00A92D0B" w:rsidRPr="007F620E">
              <w:rPr>
                <w:color w:val="000000"/>
              </w:rPr>
              <w:t xml:space="preserve"> </w:t>
            </w:r>
            <w:r w:rsidR="00ED6B6B">
              <w:rPr>
                <w:color w:val="000000"/>
              </w:rPr>
              <w:t>status or eligible government entity status</w:t>
            </w:r>
            <w:r w:rsidR="00A92D0B" w:rsidRPr="007F620E">
              <w:rPr>
                <w:color w:val="000000"/>
              </w:rPr>
              <w:t>?</w:t>
            </w:r>
          </w:p>
        </w:tc>
        <w:tc>
          <w:tcPr>
            <w:tcW w:w="2250" w:type="dxa"/>
            <w:tcBorders>
              <w:bottom w:val="single" w:sz="4" w:space="0" w:color="auto"/>
            </w:tcBorders>
            <w:shd w:val="clear" w:color="auto" w:fill="auto"/>
          </w:tcPr>
          <w:p w:rsidR="00A92D0B" w:rsidRPr="007F620E" w:rsidRDefault="00320388" w:rsidP="00A92D0B">
            <w:pPr>
              <w:tabs>
                <w:tab w:val="left" w:pos="360"/>
              </w:tabs>
              <w:spacing w:before="120"/>
              <w:rPr>
                <w:color w:val="000000"/>
              </w:rPr>
            </w:pPr>
            <w:r>
              <w:rPr>
                <w:color w:val="000000"/>
              </w:rPr>
              <w:t>Verified</w:t>
            </w:r>
          </w:p>
        </w:tc>
      </w:tr>
      <w:tr w:rsidR="00A92D0B" w:rsidRPr="007F620E" w:rsidTr="00DE18A5">
        <w:tc>
          <w:tcPr>
            <w:tcW w:w="8838" w:type="dxa"/>
            <w:gridSpan w:val="3"/>
            <w:tcBorders>
              <w:top w:val="single" w:sz="4" w:space="0" w:color="auto"/>
              <w:left w:val="single" w:sz="4" w:space="0" w:color="auto"/>
              <w:bottom w:val="single" w:sz="4" w:space="0" w:color="auto"/>
              <w:right w:val="single" w:sz="4" w:space="0" w:color="auto"/>
            </w:tcBorders>
            <w:shd w:val="clear" w:color="auto" w:fill="E6E6E6"/>
          </w:tcPr>
          <w:p w:rsidR="00A92D0B" w:rsidRPr="007F620E" w:rsidRDefault="00A92D0B" w:rsidP="00ED6B6B">
            <w:pPr>
              <w:tabs>
                <w:tab w:val="left" w:pos="360"/>
              </w:tabs>
              <w:spacing w:before="60"/>
              <w:jc w:val="center"/>
              <w:rPr>
                <w:color w:val="000000"/>
              </w:rPr>
            </w:pPr>
            <w:r w:rsidRPr="007F620E">
              <w:rPr>
                <w:b/>
                <w:color w:val="000000"/>
              </w:rPr>
              <w:t>Showing of “significant</w:t>
            </w:r>
            <w:r w:rsidR="00F63C29" w:rsidRPr="007F620E">
              <w:rPr>
                <w:b/>
                <w:color w:val="000000"/>
              </w:rPr>
              <w:t xml:space="preserve"> financial hardship” (§1802(</w:t>
            </w:r>
            <w:r w:rsidR="00175865">
              <w:rPr>
                <w:b/>
                <w:color w:val="000000"/>
              </w:rPr>
              <w:t>h</w:t>
            </w:r>
            <w:r w:rsidR="00F63C29" w:rsidRPr="007F620E">
              <w:rPr>
                <w:b/>
                <w:color w:val="000000"/>
              </w:rPr>
              <w:t xml:space="preserve">) or </w:t>
            </w:r>
            <w:r w:rsidR="00ED6B6B" w:rsidRPr="007F620E">
              <w:rPr>
                <w:b/>
                <w:color w:val="000000"/>
              </w:rPr>
              <w:t>§</w:t>
            </w:r>
            <w:r w:rsidR="00F63C29" w:rsidRPr="007F620E">
              <w:rPr>
                <w:b/>
                <w:color w:val="000000"/>
              </w:rPr>
              <w:t>1803.1(b))</w:t>
            </w:r>
          </w:p>
        </w:tc>
      </w:tr>
      <w:tr w:rsidR="00A92D0B" w:rsidRPr="007F620E" w:rsidTr="00DE18A5">
        <w:tc>
          <w:tcPr>
            <w:tcW w:w="4518" w:type="dxa"/>
            <w:tcBorders>
              <w:top w:val="single" w:sz="4" w:space="0" w:color="auto"/>
            </w:tcBorders>
            <w:shd w:val="clear" w:color="auto" w:fill="auto"/>
          </w:tcPr>
          <w:p w:rsidR="00A92D0B" w:rsidRPr="007F620E" w:rsidRDefault="00FC72B7" w:rsidP="00E3786F">
            <w:pPr>
              <w:tabs>
                <w:tab w:val="left" w:pos="315"/>
              </w:tabs>
              <w:spacing w:before="120"/>
              <w:ind w:left="360" w:hanging="360"/>
              <w:rPr>
                <w:color w:val="000000"/>
              </w:rPr>
            </w:pPr>
            <w:r w:rsidRPr="007F620E">
              <w:rPr>
                <w:color w:val="000000"/>
              </w:rPr>
              <w:t xml:space="preserve"> </w:t>
            </w:r>
            <w:r w:rsidR="00A92D0B" w:rsidRPr="007F620E">
              <w:rPr>
                <w:color w:val="000000"/>
              </w:rPr>
              <w:t>9.  Based on ALJ ruling issued in proceeding number:</w:t>
            </w:r>
          </w:p>
        </w:tc>
        <w:tc>
          <w:tcPr>
            <w:tcW w:w="2070" w:type="dxa"/>
            <w:tcBorders>
              <w:top w:val="single" w:sz="4" w:space="0" w:color="auto"/>
            </w:tcBorders>
            <w:shd w:val="clear" w:color="auto" w:fill="auto"/>
          </w:tcPr>
          <w:p w:rsidR="00A92D0B" w:rsidRPr="007F620E" w:rsidRDefault="00E975FE" w:rsidP="00E975FE">
            <w:pPr>
              <w:tabs>
                <w:tab w:val="left" w:pos="360"/>
              </w:tabs>
              <w:spacing w:before="120"/>
              <w:ind w:firstLine="67"/>
              <w:rPr>
                <w:color w:val="000000"/>
              </w:rPr>
            </w:pPr>
            <w:r>
              <w:rPr>
                <w:color w:val="000000"/>
              </w:rPr>
              <w:t>R. 12-06-013</w:t>
            </w:r>
          </w:p>
        </w:tc>
        <w:tc>
          <w:tcPr>
            <w:tcW w:w="2250" w:type="dxa"/>
            <w:tcBorders>
              <w:top w:val="single" w:sz="4" w:space="0" w:color="auto"/>
            </w:tcBorders>
            <w:shd w:val="clear" w:color="auto" w:fill="auto"/>
          </w:tcPr>
          <w:p w:rsidR="00A92D0B" w:rsidRPr="007F620E" w:rsidRDefault="00320388" w:rsidP="00A92D0B">
            <w:pPr>
              <w:tabs>
                <w:tab w:val="left" w:pos="360"/>
              </w:tabs>
              <w:spacing w:before="120"/>
              <w:rPr>
                <w:color w:val="000000"/>
              </w:rPr>
            </w:pPr>
            <w:r>
              <w:rPr>
                <w:color w:val="000000"/>
              </w:rPr>
              <w:t>Verified</w:t>
            </w:r>
          </w:p>
        </w:tc>
      </w:tr>
      <w:tr w:rsidR="00A92D0B" w:rsidRPr="007F620E" w:rsidTr="00DE18A5">
        <w:tc>
          <w:tcPr>
            <w:tcW w:w="4518" w:type="dxa"/>
            <w:shd w:val="clear" w:color="auto" w:fill="auto"/>
          </w:tcPr>
          <w:p w:rsidR="00A92D0B" w:rsidRPr="007F620E" w:rsidRDefault="00A92D0B" w:rsidP="00A92D0B">
            <w:pPr>
              <w:tabs>
                <w:tab w:val="left" w:pos="315"/>
              </w:tabs>
              <w:spacing w:before="120"/>
              <w:ind w:left="360" w:hanging="360"/>
              <w:rPr>
                <w:color w:val="000000"/>
              </w:rPr>
            </w:pPr>
            <w:r w:rsidRPr="007F620E">
              <w:rPr>
                <w:color w:val="000000"/>
              </w:rPr>
              <w:t>10.</w:t>
            </w:r>
            <w:r w:rsidRPr="007F620E">
              <w:rPr>
                <w:color w:val="000000"/>
              </w:rPr>
              <w:tab/>
            </w:r>
            <w:r w:rsidR="00FC72B7" w:rsidRPr="007F620E">
              <w:rPr>
                <w:color w:val="000000"/>
              </w:rPr>
              <w:t xml:space="preserve"> </w:t>
            </w:r>
            <w:r w:rsidRPr="007F620E">
              <w:rPr>
                <w:color w:val="000000"/>
              </w:rPr>
              <w:t>Date of ALJ ruling:</w:t>
            </w:r>
          </w:p>
        </w:tc>
        <w:tc>
          <w:tcPr>
            <w:tcW w:w="2070" w:type="dxa"/>
            <w:shd w:val="clear" w:color="auto" w:fill="auto"/>
          </w:tcPr>
          <w:p w:rsidR="00A92D0B" w:rsidRPr="007F620E" w:rsidRDefault="00E975FE" w:rsidP="00E975FE">
            <w:pPr>
              <w:tabs>
                <w:tab w:val="left" w:pos="360"/>
              </w:tabs>
              <w:spacing w:before="120"/>
              <w:ind w:firstLine="67"/>
              <w:rPr>
                <w:color w:val="000000"/>
              </w:rPr>
            </w:pPr>
            <w:r>
              <w:rPr>
                <w:color w:val="000000"/>
              </w:rPr>
              <w:t>February 25, 2013</w:t>
            </w:r>
          </w:p>
        </w:tc>
        <w:tc>
          <w:tcPr>
            <w:tcW w:w="2250" w:type="dxa"/>
            <w:shd w:val="clear" w:color="auto" w:fill="auto"/>
          </w:tcPr>
          <w:p w:rsidR="00A92D0B" w:rsidRPr="007F620E" w:rsidRDefault="00320388" w:rsidP="00A92D0B">
            <w:pPr>
              <w:tabs>
                <w:tab w:val="left" w:pos="360"/>
              </w:tabs>
              <w:spacing w:before="120"/>
              <w:rPr>
                <w:color w:val="000000"/>
              </w:rPr>
            </w:pPr>
            <w:r>
              <w:rPr>
                <w:color w:val="000000"/>
              </w:rPr>
              <w:t>Verified</w:t>
            </w:r>
          </w:p>
        </w:tc>
      </w:tr>
      <w:tr w:rsidR="00357F1A" w:rsidRPr="007F620E" w:rsidTr="00DE18A5">
        <w:tc>
          <w:tcPr>
            <w:tcW w:w="4518" w:type="dxa"/>
            <w:shd w:val="clear" w:color="auto" w:fill="auto"/>
          </w:tcPr>
          <w:p w:rsidR="00357F1A" w:rsidRPr="007F620E" w:rsidRDefault="00357F1A" w:rsidP="00357F1A">
            <w:pPr>
              <w:tabs>
                <w:tab w:val="left" w:pos="315"/>
              </w:tabs>
              <w:spacing w:before="120"/>
              <w:ind w:left="360" w:hanging="360"/>
              <w:rPr>
                <w:color w:val="000000"/>
              </w:rPr>
            </w:pPr>
            <w:r w:rsidRPr="007F620E">
              <w:rPr>
                <w:color w:val="000000"/>
              </w:rPr>
              <w:t>11. Based on another CPUC determination (specify):</w:t>
            </w:r>
          </w:p>
        </w:tc>
        <w:tc>
          <w:tcPr>
            <w:tcW w:w="2070" w:type="dxa"/>
            <w:shd w:val="clear" w:color="auto" w:fill="auto"/>
          </w:tcPr>
          <w:p w:rsidR="00357F1A" w:rsidRPr="007F620E" w:rsidRDefault="00E975FE" w:rsidP="00E975FE">
            <w:pPr>
              <w:tabs>
                <w:tab w:val="left" w:pos="360"/>
              </w:tabs>
              <w:spacing w:before="120"/>
              <w:ind w:firstLine="67"/>
              <w:rPr>
                <w:color w:val="000000"/>
              </w:rPr>
            </w:pPr>
            <w:r>
              <w:rPr>
                <w:color w:val="000000"/>
              </w:rPr>
              <w:t>N/A</w:t>
            </w:r>
          </w:p>
        </w:tc>
        <w:tc>
          <w:tcPr>
            <w:tcW w:w="2250" w:type="dxa"/>
            <w:shd w:val="clear" w:color="auto" w:fill="auto"/>
          </w:tcPr>
          <w:p w:rsidR="00357F1A" w:rsidRPr="007F620E" w:rsidRDefault="00357F1A" w:rsidP="00A92D0B">
            <w:pPr>
              <w:tabs>
                <w:tab w:val="left" w:pos="360"/>
              </w:tabs>
              <w:spacing w:before="120"/>
              <w:rPr>
                <w:color w:val="000000"/>
              </w:rPr>
            </w:pPr>
          </w:p>
        </w:tc>
      </w:tr>
      <w:tr w:rsidR="00A92D0B" w:rsidRPr="007F620E" w:rsidTr="00DE18A5">
        <w:tc>
          <w:tcPr>
            <w:tcW w:w="6588" w:type="dxa"/>
            <w:gridSpan w:val="2"/>
            <w:tcBorders>
              <w:bottom w:val="single" w:sz="4" w:space="0" w:color="auto"/>
            </w:tcBorders>
            <w:shd w:val="clear" w:color="auto" w:fill="auto"/>
          </w:tcPr>
          <w:p w:rsidR="00A92D0B" w:rsidRPr="007F620E" w:rsidRDefault="00230463" w:rsidP="00230463">
            <w:pPr>
              <w:tabs>
                <w:tab w:val="left" w:pos="360"/>
              </w:tabs>
              <w:spacing w:before="120"/>
              <w:ind w:left="360" w:hanging="360"/>
              <w:rPr>
                <w:color w:val="000000"/>
              </w:rPr>
            </w:pPr>
            <w:r>
              <w:rPr>
                <w:color w:val="000000"/>
              </w:rPr>
              <w:t xml:space="preserve">12. </w:t>
            </w:r>
            <w:r w:rsidR="00A92D0B" w:rsidRPr="007F620E">
              <w:rPr>
                <w:color w:val="000000"/>
              </w:rPr>
              <w:t>Has the</w:t>
            </w:r>
            <w:r w:rsidR="00A319DE" w:rsidRPr="007F620E">
              <w:rPr>
                <w:color w:val="000000"/>
              </w:rPr>
              <w:t xml:space="preserve"> </w:t>
            </w:r>
            <w:r w:rsidR="005A63D4" w:rsidRPr="007F620E">
              <w:rPr>
                <w:color w:val="000000"/>
              </w:rPr>
              <w:t>Intervenor</w:t>
            </w:r>
            <w:r w:rsidR="00A92D0B" w:rsidRPr="007F620E">
              <w:rPr>
                <w:color w:val="000000"/>
              </w:rPr>
              <w:t xml:space="preserve"> demonstrated significant financial hardship?</w:t>
            </w:r>
          </w:p>
        </w:tc>
        <w:tc>
          <w:tcPr>
            <w:tcW w:w="2250" w:type="dxa"/>
            <w:tcBorders>
              <w:bottom w:val="single" w:sz="4" w:space="0" w:color="auto"/>
            </w:tcBorders>
            <w:shd w:val="clear" w:color="auto" w:fill="auto"/>
          </w:tcPr>
          <w:p w:rsidR="00A92D0B" w:rsidRPr="007F620E" w:rsidRDefault="00320388" w:rsidP="00A92D0B">
            <w:pPr>
              <w:tabs>
                <w:tab w:val="left" w:pos="360"/>
              </w:tabs>
              <w:spacing w:before="120"/>
              <w:rPr>
                <w:color w:val="000000"/>
              </w:rPr>
            </w:pPr>
            <w:r>
              <w:rPr>
                <w:color w:val="000000"/>
              </w:rPr>
              <w:t>Yes</w:t>
            </w:r>
          </w:p>
        </w:tc>
      </w:tr>
      <w:tr w:rsidR="00A92D0B" w:rsidRPr="007F620E" w:rsidTr="00DE18A5">
        <w:tc>
          <w:tcPr>
            <w:tcW w:w="8838" w:type="dxa"/>
            <w:gridSpan w:val="3"/>
            <w:tcBorders>
              <w:top w:val="single" w:sz="4" w:space="0" w:color="auto"/>
              <w:left w:val="single" w:sz="4" w:space="0" w:color="auto"/>
              <w:bottom w:val="single" w:sz="4" w:space="0" w:color="auto"/>
              <w:right w:val="single" w:sz="4" w:space="0" w:color="auto"/>
            </w:tcBorders>
            <w:shd w:val="clear" w:color="auto" w:fill="E6E6E6"/>
          </w:tcPr>
          <w:p w:rsidR="00A92D0B" w:rsidRPr="007F620E" w:rsidRDefault="00A92D0B" w:rsidP="00A92D0B">
            <w:pPr>
              <w:tabs>
                <w:tab w:val="left" w:pos="360"/>
              </w:tabs>
              <w:spacing w:before="60"/>
              <w:jc w:val="center"/>
              <w:rPr>
                <w:color w:val="000000"/>
              </w:rPr>
            </w:pPr>
            <w:r w:rsidRPr="007F620E">
              <w:rPr>
                <w:b/>
                <w:color w:val="000000"/>
              </w:rPr>
              <w:t>Timely request for compensation (§ 1804(c)):</w:t>
            </w:r>
          </w:p>
        </w:tc>
      </w:tr>
      <w:tr w:rsidR="00E975FE" w:rsidRPr="007F620E" w:rsidTr="00DE18A5">
        <w:tc>
          <w:tcPr>
            <w:tcW w:w="4518" w:type="dxa"/>
            <w:tcBorders>
              <w:top w:val="single" w:sz="4" w:space="0" w:color="auto"/>
            </w:tcBorders>
            <w:shd w:val="clear" w:color="auto" w:fill="auto"/>
          </w:tcPr>
          <w:p w:rsidR="00E975FE" w:rsidRPr="007F620E" w:rsidRDefault="00230463" w:rsidP="00E975FE">
            <w:pPr>
              <w:keepNext/>
              <w:tabs>
                <w:tab w:val="left" w:pos="612"/>
              </w:tabs>
              <w:spacing w:before="120"/>
              <w:ind w:left="360" w:hanging="360"/>
              <w:rPr>
                <w:color w:val="000000"/>
              </w:rPr>
            </w:pPr>
            <w:r>
              <w:rPr>
                <w:color w:val="000000"/>
              </w:rPr>
              <w:t xml:space="preserve">13. </w:t>
            </w:r>
            <w:r w:rsidR="00E975FE" w:rsidRPr="007F620E">
              <w:rPr>
                <w:color w:val="000000"/>
              </w:rPr>
              <w:t>Identify Final Decision:</w:t>
            </w:r>
          </w:p>
        </w:tc>
        <w:tc>
          <w:tcPr>
            <w:tcW w:w="2070" w:type="dxa"/>
            <w:tcBorders>
              <w:top w:val="single" w:sz="4" w:space="0" w:color="auto"/>
            </w:tcBorders>
            <w:shd w:val="clear" w:color="auto" w:fill="auto"/>
          </w:tcPr>
          <w:p w:rsidR="00E975FE" w:rsidRPr="001E3ECB" w:rsidRDefault="00E975FE" w:rsidP="00E975FE">
            <w:pPr>
              <w:rPr>
                <w:color w:val="000000"/>
              </w:rPr>
            </w:pPr>
            <w:r>
              <w:rPr>
                <w:color w:val="000000"/>
              </w:rPr>
              <w:t>D1609016, D1709036</w:t>
            </w:r>
          </w:p>
        </w:tc>
        <w:tc>
          <w:tcPr>
            <w:tcW w:w="2250" w:type="dxa"/>
            <w:tcBorders>
              <w:top w:val="single" w:sz="4" w:space="0" w:color="auto"/>
            </w:tcBorders>
            <w:shd w:val="clear" w:color="auto" w:fill="auto"/>
          </w:tcPr>
          <w:p w:rsidR="00E975FE" w:rsidRPr="007F620E" w:rsidRDefault="00320388" w:rsidP="00282BDF">
            <w:pPr>
              <w:tabs>
                <w:tab w:val="left" w:pos="360"/>
              </w:tabs>
              <w:spacing w:before="120"/>
              <w:rPr>
                <w:color w:val="000000"/>
              </w:rPr>
            </w:pPr>
            <w:r>
              <w:rPr>
                <w:color w:val="000000"/>
              </w:rPr>
              <w:t>Verified</w:t>
            </w:r>
          </w:p>
        </w:tc>
      </w:tr>
      <w:tr w:rsidR="00E975FE" w:rsidRPr="007F620E" w:rsidTr="00DE18A5">
        <w:tc>
          <w:tcPr>
            <w:tcW w:w="4518" w:type="dxa"/>
            <w:shd w:val="clear" w:color="auto" w:fill="auto"/>
          </w:tcPr>
          <w:p w:rsidR="00E975FE" w:rsidRPr="007F620E" w:rsidRDefault="00230463" w:rsidP="00E975FE">
            <w:pPr>
              <w:keepNext/>
              <w:tabs>
                <w:tab w:val="left" w:pos="612"/>
              </w:tabs>
              <w:spacing w:before="120"/>
              <w:ind w:left="360" w:hanging="360"/>
              <w:rPr>
                <w:color w:val="000000"/>
              </w:rPr>
            </w:pPr>
            <w:r>
              <w:rPr>
                <w:color w:val="000000"/>
              </w:rPr>
              <w:t xml:space="preserve">14. </w:t>
            </w:r>
            <w:r w:rsidR="00E975FE" w:rsidRPr="007F620E">
              <w:rPr>
                <w:color w:val="000000"/>
              </w:rPr>
              <w:t xml:space="preserve">Date of issuance of Final Order or Decision:    </w:t>
            </w:r>
          </w:p>
        </w:tc>
        <w:tc>
          <w:tcPr>
            <w:tcW w:w="2070" w:type="dxa"/>
            <w:shd w:val="clear" w:color="auto" w:fill="auto"/>
          </w:tcPr>
          <w:p w:rsidR="00E975FE" w:rsidRPr="001E3ECB" w:rsidRDefault="00E975FE" w:rsidP="00E975FE">
            <w:pPr>
              <w:tabs>
                <w:tab w:val="left" w:pos="360"/>
              </w:tabs>
              <w:spacing w:before="120"/>
            </w:pPr>
            <w:r>
              <w:t>September 19, 2016, October 2, 2017.</w:t>
            </w:r>
          </w:p>
        </w:tc>
        <w:tc>
          <w:tcPr>
            <w:tcW w:w="2250" w:type="dxa"/>
            <w:shd w:val="clear" w:color="auto" w:fill="auto"/>
          </w:tcPr>
          <w:p w:rsidR="00E975FE" w:rsidRPr="007F620E" w:rsidRDefault="00320388" w:rsidP="00E975FE">
            <w:pPr>
              <w:tabs>
                <w:tab w:val="left" w:pos="360"/>
              </w:tabs>
              <w:spacing w:before="120"/>
              <w:rPr>
                <w:color w:val="000000"/>
              </w:rPr>
            </w:pPr>
            <w:r>
              <w:rPr>
                <w:color w:val="000000"/>
              </w:rPr>
              <w:t>Verified</w:t>
            </w:r>
          </w:p>
        </w:tc>
      </w:tr>
      <w:tr w:rsidR="00E975FE" w:rsidRPr="007F620E" w:rsidTr="00DE18A5">
        <w:tc>
          <w:tcPr>
            <w:tcW w:w="4518" w:type="dxa"/>
            <w:shd w:val="clear" w:color="auto" w:fill="auto"/>
          </w:tcPr>
          <w:p w:rsidR="00E975FE" w:rsidRPr="007F620E" w:rsidRDefault="00230463" w:rsidP="00E975FE">
            <w:pPr>
              <w:keepNext/>
              <w:tabs>
                <w:tab w:val="left" w:pos="612"/>
              </w:tabs>
              <w:spacing w:before="120"/>
              <w:ind w:left="360" w:hanging="360"/>
              <w:rPr>
                <w:color w:val="000000"/>
              </w:rPr>
            </w:pPr>
            <w:r>
              <w:rPr>
                <w:color w:val="000000"/>
              </w:rPr>
              <w:t xml:space="preserve">15. </w:t>
            </w:r>
            <w:r w:rsidR="00E975FE" w:rsidRPr="007F620E">
              <w:rPr>
                <w:color w:val="000000"/>
              </w:rPr>
              <w:t>File date of compensation request:</w:t>
            </w:r>
          </w:p>
        </w:tc>
        <w:tc>
          <w:tcPr>
            <w:tcW w:w="2070" w:type="dxa"/>
            <w:shd w:val="clear" w:color="auto" w:fill="auto"/>
          </w:tcPr>
          <w:p w:rsidR="00E975FE" w:rsidRPr="001E3ECB" w:rsidRDefault="00E975FE" w:rsidP="00E975FE">
            <w:pPr>
              <w:tabs>
                <w:tab w:val="left" w:pos="360"/>
              </w:tabs>
              <w:spacing w:before="120"/>
            </w:pPr>
            <w:r>
              <w:t>November 27, 2017.</w:t>
            </w:r>
          </w:p>
        </w:tc>
        <w:tc>
          <w:tcPr>
            <w:tcW w:w="2250" w:type="dxa"/>
            <w:shd w:val="clear" w:color="auto" w:fill="auto"/>
          </w:tcPr>
          <w:p w:rsidR="00E975FE" w:rsidRPr="007F620E" w:rsidRDefault="00320388" w:rsidP="00E975FE">
            <w:pPr>
              <w:tabs>
                <w:tab w:val="left" w:pos="360"/>
              </w:tabs>
              <w:spacing w:before="120"/>
              <w:rPr>
                <w:color w:val="000000"/>
              </w:rPr>
            </w:pPr>
            <w:r>
              <w:rPr>
                <w:color w:val="000000"/>
              </w:rPr>
              <w:t>December 1, 2017</w:t>
            </w:r>
            <w:r w:rsidR="00A031F3">
              <w:rPr>
                <w:color w:val="000000"/>
              </w:rPr>
              <w:t xml:space="preserve"> and </w:t>
            </w:r>
            <w:r w:rsidR="00995F69">
              <w:rPr>
                <w:color w:val="000000"/>
              </w:rPr>
              <w:t xml:space="preserve">amended </w:t>
            </w:r>
            <w:r w:rsidR="00A031F3">
              <w:rPr>
                <w:color w:val="000000"/>
              </w:rPr>
              <w:t xml:space="preserve">on </w:t>
            </w:r>
            <w:r w:rsidR="00995F69">
              <w:rPr>
                <w:color w:val="000000"/>
              </w:rPr>
              <w:t xml:space="preserve">March 5, 2018 </w:t>
            </w:r>
          </w:p>
        </w:tc>
      </w:tr>
      <w:tr w:rsidR="00A92D0B" w:rsidRPr="007F620E" w:rsidTr="00DE18A5">
        <w:tc>
          <w:tcPr>
            <w:tcW w:w="6588" w:type="dxa"/>
            <w:gridSpan w:val="2"/>
            <w:shd w:val="clear" w:color="auto" w:fill="auto"/>
          </w:tcPr>
          <w:p w:rsidR="00A92D0B" w:rsidRPr="007F620E" w:rsidRDefault="00A92D0B" w:rsidP="00FC72B7">
            <w:pPr>
              <w:tabs>
                <w:tab w:val="left" w:pos="360"/>
              </w:tabs>
              <w:spacing w:before="120"/>
              <w:ind w:left="360" w:hanging="360"/>
              <w:rPr>
                <w:color w:val="000000"/>
              </w:rPr>
            </w:pPr>
            <w:r w:rsidRPr="007F620E">
              <w:rPr>
                <w:color w:val="000000"/>
              </w:rPr>
              <w:t>16. Was the request for compensation timely?</w:t>
            </w:r>
          </w:p>
        </w:tc>
        <w:tc>
          <w:tcPr>
            <w:tcW w:w="2250" w:type="dxa"/>
            <w:shd w:val="clear" w:color="auto" w:fill="auto"/>
          </w:tcPr>
          <w:p w:rsidR="00A92D0B" w:rsidRPr="007F620E" w:rsidRDefault="00320388" w:rsidP="00E27777">
            <w:pPr>
              <w:tabs>
                <w:tab w:val="left" w:pos="360"/>
              </w:tabs>
              <w:spacing w:before="120"/>
              <w:rPr>
                <w:color w:val="000000"/>
              </w:rPr>
            </w:pPr>
            <w:r w:rsidRPr="00E731FA">
              <w:t>Verified</w:t>
            </w:r>
          </w:p>
        </w:tc>
      </w:tr>
    </w:tbl>
    <w:p w:rsidR="00A92D0B" w:rsidRPr="007F620E" w:rsidRDefault="00A92D0B">
      <w:pPr>
        <w:tabs>
          <w:tab w:val="left" w:pos="360"/>
        </w:tabs>
        <w:rPr>
          <w:b/>
          <w:color w:val="000000"/>
        </w:rPr>
      </w:pPr>
    </w:p>
    <w:p w:rsidR="00A92D0B" w:rsidRPr="007F620E" w:rsidRDefault="00A92D0B">
      <w:pPr>
        <w:rPr>
          <w:color w:val="000000"/>
        </w:rPr>
      </w:pPr>
      <w:r w:rsidRPr="007F620E">
        <w:rPr>
          <w:b/>
          <w:color w:val="000000"/>
        </w:rPr>
        <w:t xml:space="preserve">PART II:  SUBSTANTIAL CONTRIBUTION </w:t>
      </w:r>
    </w:p>
    <w:p w:rsidR="00A92D0B" w:rsidRPr="007F620E" w:rsidRDefault="00A92D0B">
      <w:pPr>
        <w:rPr>
          <w:color w:val="000000"/>
        </w:rPr>
      </w:pPr>
    </w:p>
    <w:p w:rsidR="00A92D0B" w:rsidRPr="007F620E" w:rsidRDefault="00D075B1">
      <w:pPr>
        <w:numPr>
          <w:ilvl w:val="0"/>
          <w:numId w:val="1"/>
        </w:numPr>
        <w:tabs>
          <w:tab w:val="clear" w:pos="900"/>
          <w:tab w:val="num" w:pos="360"/>
        </w:tabs>
        <w:spacing w:after="120"/>
        <w:ind w:left="360"/>
        <w:rPr>
          <w:b/>
          <w:color w:val="000000"/>
        </w:rPr>
      </w:pPr>
      <w:r w:rsidRPr="007F620E">
        <w:rPr>
          <w:b/>
          <w:color w:val="000000"/>
        </w:rPr>
        <w:t xml:space="preserve">Did the </w:t>
      </w:r>
      <w:r w:rsidR="005A63D4" w:rsidRPr="007F620E">
        <w:rPr>
          <w:b/>
          <w:color w:val="000000"/>
        </w:rPr>
        <w:t>Intervenor</w:t>
      </w:r>
      <w:r w:rsidRPr="007F620E">
        <w:rPr>
          <w:b/>
          <w:color w:val="000000"/>
        </w:rPr>
        <w:t xml:space="preserve"> substantially contribute to the final decision</w:t>
      </w:r>
      <w:r w:rsidR="00A92D0B" w:rsidRPr="007F620E">
        <w:rPr>
          <w:b/>
          <w:color w:val="000000"/>
        </w:rPr>
        <w:t xml:space="preserve"> (</w:t>
      </w:r>
      <w:r w:rsidR="00A92D0B" w:rsidRPr="007F620E">
        <w:rPr>
          <w:b/>
          <w:i/>
          <w:color w:val="000000"/>
        </w:rPr>
        <w:t>see</w:t>
      </w:r>
      <w:r w:rsidR="00A92D0B" w:rsidRPr="007F620E">
        <w:rPr>
          <w:b/>
          <w:color w:val="000000"/>
        </w:rPr>
        <w:t xml:space="preserve"> § 1802(</w:t>
      </w:r>
      <w:r w:rsidR="00ED6B6B">
        <w:rPr>
          <w:b/>
          <w:color w:val="000000"/>
        </w:rPr>
        <w:t>j</w:t>
      </w:r>
      <w:r w:rsidR="00A92D0B" w:rsidRPr="007F620E">
        <w:rPr>
          <w:b/>
          <w:color w:val="000000"/>
        </w:rPr>
        <w:t xml:space="preserve">), </w:t>
      </w:r>
      <w:r w:rsidR="001E77CF" w:rsidRPr="007F620E">
        <w:rPr>
          <w:b/>
          <w:color w:val="000000"/>
        </w:rPr>
        <w:br/>
      </w:r>
      <w:r w:rsidR="00A92D0B" w:rsidRPr="007F620E">
        <w:rPr>
          <w:b/>
          <w:color w:val="000000"/>
        </w:rPr>
        <w:t>§ 1803(a)</w:t>
      </w:r>
      <w:r w:rsidR="00F30DA8" w:rsidRPr="007F620E">
        <w:rPr>
          <w:b/>
          <w:color w:val="000000"/>
        </w:rPr>
        <w:t>,</w:t>
      </w:r>
      <w:r w:rsidR="00A92D0B" w:rsidRPr="007F620E">
        <w:rPr>
          <w:b/>
          <w:color w:val="000000"/>
        </w:rPr>
        <w:t xml:space="preserve"> </w:t>
      </w:r>
      <w:r w:rsidR="00ED6B6B">
        <w:rPr>
          <w:b/>
          <w:color w:val="000000"/>
        </w:rPr>
        <w:t xml:space="preserve">1803.1(a) </w:t>
      </w:r>
      <w:r w:rsidR="00F30DA8" w:rsidRPr="007F620E">
        <w:rPr>
          <w:b/>
          <w:color w:val="000000"/>
        </w:rPr>
        <w:t>and</w:t>
      </w:r>
      <w:r w:rsidR="00A92D0B" w:rsidRPr="007F620E">
        <w:rPr>
          <w:b/>
          <w:color w:val="000000"/>
        </w:rPr>
        <w:t xml:space="preserve"> D.98-04-059).  </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0"/>
        <w:gridCol w:w="2250"/>
      </w:tblGrid>
      <w:tr w:rsidR="006937DC" w:rsidRPr="007F620E" w:rsidTr="00DE18A5">
        <w:tc>
          <w:tcPr>
            <w:tcW w:w="4428" w:type="dxa"/>
            <w:tcBorders>
              <w:bottom w:val="single" w:sz="4" w:space="0" w:color="auto"/>
            </w:tcBorders>
            <w:shd w:val="pct12" w:color="auto" w:fill="auto"/>
          </w:tcPr>
          <w:p w:rsidR="00A92D0B" w:rsidRPr="00FE33EC" w:rsidRDefault="00D075B1" w:rsidP="00A92D0B">
            <w:pPr>
              <w:spacing w:before="120"/>
              <w:jc w:val="center"/>
              <w:rPr>
                <w:b/>
                <w:color w:val="000000"/>
              </w:rPr>
            </w:pPr>
            <w:r w:rsidRPr="00FE33EC">
              <w:rPr>
                <w:b/>
                <w:color w:val="000000"/>
              </w:rPr>
              <w:lastRenderedPageBreak/>
              <w:t>Intervenor’s Claimed Contribution(s)</w:t>
            </w:r>
          </w:p>
        </w:tc>
        <w:tc>
          <w:tcPr>
            <w:tcW w:w="2160" w:type="dxa"/>
            <w:tcBorders>
              <w:bottom w:val="single" w:sz="4" w:space="0" w:color="auto"/>
            </w:tcBorders>
            <w:shd w:val="pct12" w:color="auto" w:fill="auto"/>
          </w:tcPr>
          <w:p w:rsidR="00A92D0B" w:rsidRPr="004F74FC" w:rsidRDefault="00A92D0B" w:rsidP="00D075B1">
            <w:pPr>
              <w:spacing w:before="120"/>
              <w:jc w:val="center"/>
              <w:rPr>
                <w:b/>
                <w:color w:val="000000"/>
                <w:sz w:val="22"/>
                <w:szCs w:val="22"/>
              </w:rPr>
            </w:pPr>
            <w:r w:rsidRPr="004F74FC">
              <w:rPr>
                <w:b/>
                <w:color w:val="000000"/>
                <w:sz w:val="22"/>
                <w:szCs w:val="22"/>
              </w:rPr>
              <w:t xml:space="preserve">Specific References to </w:t>
            </w:r>
            <w:r w:rsidR="00D075B1" w:rsidRPr="004F74FC">
              <w:rPr>
                <w:b/>
                <w:color w:val="000000"/>
                <w:sz w:val="22"/>
                <w:szCs w:val="22"/>
              </w:rPr>
              <w:t>Intervenor’s Claimed Contribution(s)</w:t>
            </w:r>
          </w:p>
        </w:tc>
        <w:tc>
          <w:tcPr>
            <w:tcW w:w="2250" w:type="dxa"/>
            <w:shd w:val="pct12" w:color="auto" w:fill="auto"/>
          </w:tcPr>
          <w:p w:rsidR="00A92D0B" w:rsidRPr="007F620E" w:rsidRDefault="00D075B1" w:rsidP="00A92D0B">
            <w:pPr>
              <w:spacing w:before="120"/>
              <w:jc w:val="center"/>
              <w:rPr>
                <w:b/>
                <w:color w:val="000000"/>
              </w:rPr>
            </w:pPr>
            <w:r w:rsidRPr="007F620E">
              <w:rPr>
                <w:b/>
                <w:color w:val="000000"/>
              </w:rPr>
              <w:t>CPUC Discussion</w:t>
            </w:r>
          </w:p>
        </w:tc>
      </w:tr>
      <w:tr w:rsidR="006937DC" w:rsidRPr="007F620E" w:rsidTr="00DE18A5">
        <w:tc>
          <w:tcPr>
            <w:tcW w:w="4428" w:type="dxa"/>
            <w:shd w:val="clear" w:color="auto" w:fill="auto"/>
          </w:tcPr>
          <w:p w:rsidR="00A92D0B" w:rsidRPr="00FE33EC" w:rsidRDefault="00A92D0B" w:rsidP="00B03EB0">
            <w:pPr>
              <w:spacing w:before="120"/>
              <w:rPr>
                <w:color w:val="000000"/>
              </w:rPr>
            </w:pPr>
            <w:r w:rsidRPr="00FE33EC">
              <w:rPr>
                <w:color w:val="000000"/>
              </w:rPr>
              <w:t>1.</w:t>
            </w:r>
            <w:r w:rsidR="00B03EB0" w:rsidRPr="00FE33EC">
              <w:rPr>
                <w:color w:val="000000"/>
              </w:rPr>
              <w:t xml:space="preserve"> S</w:t>
            </w:r>
            <w:r w:rsidR="00AE5540" w:rsidRPr="00FE33EC">
              <w:rPr>
                <w:color w:val="000000"/>
              </w:rPr>
              <w:t>ection 745 Issues</w:t>
            </w:r>
          </w:p>
          <w:p w:rsidR="002E0670" w:rsidRPr="00FE33EC" w:rsidRDefault="001C2D6B" w:rsidP="002E0670">
            <w:pPr>
              <w:pStyle w:val="ListParagraph"/>
              <w:numPr>
                <w:ilvl w:val="0"/>
                <w:numId w:val="8"/>
              </w:numPr>
              <w:spacing w:before="120"/>
              <w:rPr>
                <w:rFonts w:ascii="Times New Roman" w:hAnsi="Times New Roman"/>
                <w:color w:val="000000"/>
                <w:sz w:val="24"/>
                <w:szCs w:val="24"/>
              </w:rPr>
            </w:pPr>
            <w:r w:rsidRPr="00FE33EC">
              <w:rPr>
                <w:rFonts w:ascii="Times New Roman" w:hAnsi="Times New Roman"/>
                <w:color w:val="000000"/>
                <w:sz w:val="24"/>
                <w:szCs w:val="24"/>
              </w:rPr>
              <w:t>CFC argued that the residential tenure requirements for seniors living at a particular customer location had not been fully established, and sho</w:t>
            </w:r>
            <w:r w:rsidR="00886589" w:rsidRPr="00FE33EC">
              <w:rPr>
                <w:rFonts w:ascii="Times New Roman" w:hAnsi="Times New Roman"/>
                <w:color w:val="000000"/>
                <w:sz w:val="24"/>
                <w:szCs w:val="24"/>
              </w:rPr>
              <w:t xml:space="preserve">uld be during the proceeding. </w:t>
            </w:r>
          </w:p>
          <w:p w:rsidR="00CF644B" w:rsidRPr="00FE33EC" w:rsidRDefault="00CF644B" w:rsidP="002E0670">
            <w:pPr>
              <w:spacing w:before="120"/>
              <w:rPr>
                <w:color w:val="000000"/>
              </w:rPr>
            </w:pPr>
          </w:p>
          <w:p w:rsidR="00CF644B" w:rsidRPr="00FE33EC" w:rsidRDefault="00CF644B" w:rsidP="002E0670">
            <w:pPr>
              <w:spacing w:before="120"/>
              <w:rPr>
                <w:color w:val="000000"/>
              </w:rPr>
            </w:pPr>
          </w:p>
          <w:p w:rsidR="00F84EBC" w:rsidRPr="00FE33EC" w:rsidRDefault="00F84EBC" w:rsidP="002E0670">
            <w:pPr>
              <w:spacing w:before="120"/>
              <w:rPr>
                <w:color w:val="000000"/>
              </w:rPr>
            </w:pPr>
          </w:p>
          <w:p w:rsidR="00F84EBC" w:rsidRPr="00FE33EC" w:rsidRDefault="00F84EBC" w:rsidP="002E0670">
            <w:pPr>
              <w:spacing w:before="120"/>
              <w:rPr>
                <w:color w:val="000000"/>
              </w:rPr>
            </w:pPr>
          </w:p>
          <w:p w:rsidR="00544CC6" w:rsidRPr="00FE33EC" w:rsidRDefault="00544CC6" w:rsidP="002E0670">
            <w:pPr>
              <w:spacing w:before="120"/>
              <w:rPr>
                <w:color w:val="000000"/>
              </w:rPr>
            </w:pPr>
          </w:p>
          <w:p w:rsidR="00544CC6" w:rsidRPr="00FE33EC" w:rsidRDefault="00544CC6" w:rsidP="002E0670">
            <w:pPr>
              <w:spacing w:before="120"/>
              <w:rPr>
                <w:color w:val="000000"/>
              </w:rPr>
            </w:pPr>
          </w:p>
          <w:p w:rsidR="00544CC6" w:rsidRPr="00FE33EC" w:rsidRDefault="00544CC6" w:rsidP="002E0670">
            <w:pPr>
              <w:spacing w:before="120"/>
              <w:rPr>
                <w:color w:val="000000"/>
              </w:rPr>
            </w:pPr>
          </w:p>
          <w:p w:rsidR="00926921" w:rsidRPr="00FE33EC" w:rsidRDefault="00926921" w:rsidP="002E0670">
            <w:pPr>
              <w:spacing w:before="120"/>
              <w:rPr>
                <w:color w:val="000000"/>
              </w:rPr>
            </w:pPr>
          </w:p>
          <w:p w:rsidR="00926921" w:rsidRPr="00FE33EC" w:rsidRDefault="00926921" w:rsidP="002E0670">
            <w:pPr>
              <w:spacing w:before="120"/>
              <w:rPr>
                <w:color w:val="000000"/>
              </w:rPr>
            </w:pPr>
          </w:p>
          <w:p w:rsidR="00926921" w:rsidRPr="00FE33EC" w:rsidRDefault="00926921" w:rsidP="002E0670">
            <w:pPr>
              <w:spacing w:before="120"/>
              <w:rPr>
                <w:color w:val="000000"/>
              </w:rPr>
            </w:pPr>
          </w:p>
          <w:p w:rsidR="00926921" w:rsidRPr="00FE33EC" w:rsidRDefault="00926921" w:rsidP="002E0670">
            <w:pPr>
              <w:spacing w:before="120"/>
              <w:rPr>
                <w:color w:val="000000"/>
              </w:rPr>
            </w:pPr>
          </w:p>
          <w:p w:rsidR="004A7F5C" w:rsidRPr="00FE33EC" w:rsidRDefault="004A7F5C" w:rsidP="002E0670">
            <w:pPr>
              <w:spacing w:before="120"/>
              <w:rPr>
                <w:color w:val="000000"/>
              </w:rPr>
            </w:pPr>
          </w:p>
          <w:p w:rsidR="004A7F5C" w:rsidRPr="00FE33EC" w:rsidRDefault="004A7F5C" w:rsidP="002E0670">
            <w:pPr>
              <w:spacing w:before="120"/>
              <w:rPr>
                <w:color w:val="000000"/>
              </w:rPr>
            </w:pPr>
          </w:p>
          <w:p w:rsidR="004A7F5C" w:rsidRPr="00FE33EC" w:rsidRDefault="004A7F5C" w:rsidP="002E0670">
            <w:pPr>
              <w:spacing w:before="120"/>
              <w:rPr>
                <w:color w:val="000000"/>
              </w:rPr>
            </w:pPr>
          </w:p>
          <w:p w:rsidR="00FE33EC" w:rsidRPr="00FE33EC" w:rsidRDefault="00FE33EC" w:rsidP="002E0670">
            <w:pPr>
              <w:spacing w:before="120"/>
              <w:rPr>
                <w:color w:val="000000"/>
              </w:rPr>
            </w:pPr>
          </w:p>
          <w:p w:rsidR="00FE33EC" w:rsidRPr="00FE33EC" w:rsidRDefault="00FE33EC" w:rsidP="002E0670">
            <w:pPr>
              <w:spacing w:before="120"/>
              <w:rPr>
                <w:color w:val="000000"/>
              </w:rPr>
            </w:pPr>
          </w:p>
          <w:p w:rsidR="00CF3987" w:rsidRPr="00FE33EC" w:rsidRDefault="00CF3987" w:rsidP="00212323">
            <w:pPr>
              <w:pStyle w:val="ListParagraph"/>
              <w:numPr>
                <w:ilvl w:val="0"/>
                <w:numId w:val="8"/>
              </w:numPr>
              <w:spacing w:before="120"/>
              <w:rPr>
                <w:rFonts w:ascii="Times New Roman" w:hAnsi="Times New Roman"/>
                <w:color w:val="000000"/>
                <w:sz w:val="24"/>
                <w:szCs w:val="24"/>
              </w:rPr>
            </w:pPr>
            <w:r w:rsidRPr="00FE33EC">
              <w:rPr>
                <w:rFonts w:ascii="Times New Roman" w:hAnsi="Times New Roman"/>
                <w:color w:val="000000"/>
                <w:sz w:val="24"/>
                <w:szCs w:val="24"/>
              </w:rPr>
              <w:t xml:space="preserve">CFC argued that bill protection is only really effective if </w:t>
            </w:r>
            <w:r w:rsidR="00212323" w:rsidRPr="00FE33EC">
              <w:rPr>
                <w:rFonts w:ascii="Times New Roman" w:hAnsi="Times New Roman"/>
                <w:color w:val="000000"/>
                <w:sz w:val="24"/>
                <w:szCs w:val="24"/>
              </w:rPr>
              <w:t>the participation rate (</w:t>
            </w:r>
            <w:r w:rsidR="00A36929" w:rsidRPr="00FE33EC">
              <w:rPr>
                <w:rFonts w:ascii="Times New Roman" w:hAnsi="Times New Roman"/>
                <w:color w:val="000000"/>
                <w:sz w:val="24"/>
                <w:szCs w:val="24"/>
              </w:rPr>
              <w:t>enrollees</w:t>
            </w:r>
            <w:r w:rsidR="00212323" w:rsidRPr="00FE33EC">
              <w:rPr>
                <w:rFonts w:ascii="Times New Roman" w:hAnsi="Times New Roman"/>
                <w:color w:val="000000"/>
                <w:sz w:val="24"/>
                <w:szCs w:val="24"/>
              </w:rPr>
              <w:t xml:space="preserve"> as a % of </w:t>
            </w:r>
            <w:r w:rsidRPr="00FE33EC">
              <w:rPr>
                <w:rFonts w:ascii="Times New Roman" w:hAnsi="Times New Roman"/>
                <w:color w:val="000000"/>
                <w:sz w:val="24"/>
                <w:szCs w:val="24"/>
              </w:rPr>
              <w:t>eligible customers</w:t>
            </w:r>
            <w:r w:rsidR="00212323" w:rsidRPr="00FE33EC">
              <w:rPr>
                <w:rFonts w:ascii="Times New Roman" w:hAnsi="Times New Roman"/>
                <w:color w:val="000000"/>
                <w:sz w:val="24"/>
                <w:szCs w:val="24"/>
              </w:rPr>
              <w:t>) is sufficiently high.  CFC recommended improved ou</w:t>
            </w:r>
            <w:r w:rsidR="00886589" w:rsidRPr="00FE33EC">
              <w:rPr>
                <w:rFonts w:ascii="Times New Roman" w:hAnsi="Times New Roman"/>
                <w:color w:val="000000"/>
                <w:sz w:val="24"/>
                <w:szCs w:val="24"/>
              </w:rPr>
              <w:t xml:space="preserve">treach to improve enrollment. </w:t>
            </w:r>
          </w:p>
          <w:p w:rsidR="00205CE2" w:rsidRPr="00FE33EC" w:rsidRDefault="00205CE2" w:rsidP="000905FF">
            <w:pPr>
              <w:spacing w:before="120"/>
              <w:rPr>
                <w:color w:val="000000"/>
              </w:rPr>
            </w:pPr>
          </w:p>
          <w:p w:rsidR="000905FF" w:rsidRPr="00FE33EC" w:rsidRDefault="000905FF" w:rsidP="000905FF">
            <w:pPr>
              <w:spacing w:before="120"/>
              <w:rPr>
                <w:color w:val="000000"/>
              </w:rPr>
            </w:pPr>
          </w:p>
          <w:p w:rsidR="000905FF" w:rsidRPr="00DF4A72" w:rsidRDefault="000905FF" w:rsidP="00DF4A72">
            <w:pPr>
              <w:spacing w:before="120"/>
              <w:rPr>
                <w:color w:val="000000"/>
              </w:rPr>
            </w:pPr>
          </w:p>
          <w:p w:rsidR="000905FF" w:rsidRPr="00FE33EC" w:rsidRDefault="000905FF" w:rsidP="000905FF">
            <w:pPr>
              <w:spacing w:before="120"/>
              <w:rPr>
                <w:color w:val="000000"/>
              </w:rPr>
            </w:pPr>
          </w:p>
          <w:p w:rsidR="002B438C" w:rsidRPr="00FE33EC" w:rsidRDefault="002B438C" w:rsidP="000905FF">
            <w:pPr>
              <w:spacing w:before="120"/>
              <w:rPr>
                <w:color w:val="000000"/>
              </w:rPr>
            </w:pPr>
          </w:p>
          <w:p w:rsidR="002B438C" w:rsidRPr="00FE33EC" w:rsidRDefault="002B438C" w:rsidP="000905FF">
            <w:pPr>
              <w:spacing w:before="120"/>
              <w:rPr>
                <w:color w:val="000000"/>
              </w:rPr>
            </w:pPr>
          </w:p>
          <w:p w:rsidR="007672F2" w:rsidRPr="00FE33EC" w:rsidRDefault="007672F2" w:rsidP="000905FF">
            <w:pPr>
              <w:spacing w:before="120"/>
              <w:rPr>
                <w:color w:val="000000"/>
              </w:rPr>
            </w:pPr>
          </w:p>
          <w:p w:rsidR="007672F2" w:rsidRPr="00FE33EC" w:rsidRDefault="007672F2" w:rsidP="000905FF">
            <w:pPr>
              <w:spacing w:before="120"/>
              <w:rPr>
                <w:color w:val="000000"/>
              </w:rPr>
            </w:pPr>
          </w:p>
          <w:p w:rsidR="007672F2" w:rsidRPr="00FE33EC" w:rsidRDefault="007672F2" w:rsidP="000905FF">
            <w:pPr>
              <w:spacing w:before="120"/>
              <w:rPr>
                <w:color w:val="000000"/>
              </w:rPr>
            </w:pPr>
          </w:p>
          <w:p w:rsidR="007672F2" w:rsidRPr="00FE33EC" w:rsidRDefault="007672F2" w:rsidP="000905FF">
            <w:pPr>
              <w:spacing w:before="120"/>
              <w:rPr>
                <w:color w:val="000000"/>
              </w:rPr>
            </w:pPr>
          </w:p>
          <w:p w:rsidR="007672F2" w:rsidRPr="00FE33EC" w:rsidRDefault="007672F2" w:rsidP="000905FF">
            <w:pPr>
              <w:spacing w:before="120"/>
              <w:rPr>
                <w:color w:val="000000"/>
              </w:rPr>
            </w:pPr>
          </w:p>
          <w:p w:rsidR="007672F2" w:rsidRPr="00FE33EC" w:rsidRDefault="007672F2" w:rsidP="000905FF">
            <w:pPr>
              <w:spacing w:before="120"/>
              <w:rPr>
                <w:color w:val="000000"/>
              </w:rPr>
            </w:pPr>
          </w:p>
          <w:p w:rsidR="002960F9" w:rsidRPr="00FE33EC" w:rsidRDefault="002960F9" w:rsidP="000905FF">
            <w:pPr>
              <w:spacing w:before="120"/>
              <w:rPr>
                <w:color w:val="000000"/>
              </w:rPr>
            </w:pPr>
          </w:p>
          <w:p w:rsidR="002960F9" w:rsidRPr="00FE33EC" w:rsidRDefault="002960F9" w:rsidP="000905FF">
            <w:pPr>
              <w:spacing w:before="120"/>
              <w:rPr>
                <w:color w:val="000000"/>
              </w:rPr>
            </w:pPr>
          </w:p>
          <w:p w:rsidR="002960F9" w:rsidRPr="00FE33EC" w:rsidRDefault="002960F9" w:rsidP="000905FF">
            <w:pPr>
              <w:spacing w:before="120"/>
              <w:rPr>
                <w:color w:val="000000"/>
              </w:rPr>
            </w:pPr>
          </w:p>
          <w:p w:rsidR="0094590C" w:rsidRPr="00FE33EC" w:rsidRDefault="0094590C" w:rsidP="000905FF">
            <w:pPr>
              <w:spacing w:before="120"/>
              <w:rPr>
                <w:color w:val="000000"/>
              </w:rPr>
            </w:pPr>
          </w:p>
          <w:p w:rsidR="0094590C" w:rsidRPr="00FE33EC" w:rsidRDefault="0094590C" w:rsidP="000905FF">
            <w:pPr>
              <w:spacing w:before="120"/>
              <w:rPr>
                <w:color w:val="000000"/>
              </w:rPr>
            </w:pPr>
          </w:p>
          <w:p w:rsidR="0094590C" w:rsidRPr="00FE33EC" w:rsidRDefault="0094590C" w:rsidP="000905FF">
            <w:pPr>
              <w:spacing w:before="120"/>
              <w:rPr>
                <w:color w:val="000000"/>
              </w:rPr>
            </w:pPr>
          </w:p>
          <w:p w:rsidR="0094590C" w:rsidRDefault="0094590C" w:rsidP="000905FF">
            <w:pPr>
              <w:spacing w:before="120"/>
              <w:rPr>
                <w:color w:val="000000"/>
              </w:rPr>
            </w:pPr>
          </w:p>
          <w:p w:rsidR="00EF1E60" w:rsidRPr="00FE33EC" w:rsidRDefault="00EF1E60" w:rsidP="000905FF">
            <w:pPr>
              <w:spacing w:before="120"/>
              <w:rPr>
                <w:color w:val="000000"/>
              </w:rPr>
            </w:pPr>
          </w:p>
          <w:p w:rsidR="00C870CC" w:rsidRPr="00FE33EC" w:rsidRDefault="00C870CC" w:rsidP="00010418">
            <w:pPr>
              <w:pStyle w:val="ListParagraph"/>
              <w:numPr>
                <w:ilvl w:val="0"/>
                <w:numId w:val="8"/>
              </w:numPr>
              <w:spacing w:before="120"/>
              <w:rPr>
                <w:rFonts w:ascii="Times New Roman" w:hAnsi="Times New Roman"/>
                <w:color w:val="000000"/>
                <w:sz w:val="24"/>
                <w:szCs w:val="24"/>
              </w:rPr>
            </w:pPr>
            <w:r w:rsidRPr="00FE33EC">
              <w:rPr>
                <w:rFonts w:ascii="Times New Roman" w:hAnsi="Times New Roman"/>
                <w:color w:val="000000"/>
                <w:sz w:val="24"/>
                <w:szCs w:val="24"/>
              </w:rPr>
              <w:t xml:space="preserve">CFC recommended added Section 745 analysis, to evaluate "unreasonable hardship."  </w:t>
            </w:r>
            <w:r w:rsidR="00010418" w:rsidRPr="00FE33EC">
              <w:rPr>
                <w:rFonts w:ascii="Times New Roman" w:hAnsi="Times New Roman"/>
                <w:color w:val="000000"/>
                <w:sz w:val="24"/>
                <w:szCs w:val="24"/>
              </w:rPr>
              <w:t xml:space="preserve">The additional analysis should examine whether the Nexant finding of limited seniors' response to TOU is actually a </w:t>
            </w:r>
            <w:r w:rsidR="00A36929" w:rsidRPr="00FE33EC">
              <w:rPr>
                <w:rFonts w:ascii="Times New Roman" w:hAnsi="Times New Roman"/>
                <w:color w:val="000000"/>
                <w:sz w:val="24"/>
                <w:szCs w:val="24"/>
              </w:rPr>
              <w:t>low-income</w:t>
            </w:r>
            <w:r w:rsidR="00010418" w:rsidRPr="00FE33EC">
              <w:rPr>
                <w:rFonts w:ascii="Times New Roman" w:hAnsi="Times New Roman"/>
                <w:color w:val="000000"/>
                <w:sz w:val="24"/>
                <w:szCs w:val="24"/>
              </w:rPr>
              <w:t xml:space="preserve"> effect--rather than an age effect.  </w:t>
            </w:r>
          </w:p>
          <w:p w:rsidR="000E61A7" w:rsidRPr="00FE33EC" w:rsidRDefault="000E61A7" w:rsidP="000E61A7">
            <w:pPr>
              <w:spacing w:before="120"/>
              <w:rPr>
                <w:color w:val="000000"/>
              </w:rPr>
            </w:pPr>
          </w:p>
          <w:p w:rsidR="000E61A7" w:rsidRPr="00FE33EC" w:rsidRDefault="000E61A7" w:rsidP="000E61A7">
            <w:pPr>
              <w:spacing w:before="120"/>
              <w:rPr>
                <w:color w:val="000000"/>
              </w:rPr>
            </w:pPr>
          </w:p>
          <w:p w:rsidR="007672F2" w:rsidRPr="00FE33EC" w:rsidRDefault="007672F2" w:rsidP="000E61A7">
            <w:pPr>
              <w:spacing w:before="120"/>
              <w:rPr>
                <w:color w:val="000000"/>
              </w:rPr>
            </w:pPr>
          </w:p>
          <w:p w:rsidR="006E5EFE" w:rsidRPr="00FE33EC" w:rsidRDefault="006E5EFE" w:rsidP="000E61A7">
            <w:pPr>
              <w:spacing w:before="120"/>
              <w:rPr>
                <w:color w:val="000000"/>
              </w:rPr>
            </w:pPr>
          </w:p>
          <w:p w:rsidR="006E5EFE" w:rsidRPr="00FE33EC" w:rsidRDefault="006E5EFE" w:rsidP="000E61A7">
            <w:pPr>
              <w:spacing w:before="120"/>
              <w:rPr>
                <w:color w:val="000000"/>
              </w:rPr>
            </w:pPr>
          </w:p>
          <w:p w:rsidR="00A7449F" w:rsidRPr="00FE33EC" w:rsidRDefault="00A7449F" w:rsidP="000E61A7">
            <w:pPr>
              <w:spacing w:before="120"/>
              <w:rPr>
                <w:color w:val="000000"/>
              </w:rPr>
            </w:pPr>
          </w:p>
          <w:p w:rsidR="00A7449F" w:rsidRPr="00FE33EC" w:rsidRDefault="00A7449F" w:rsidP="000E61A7">
            <w:pPr>
              <w:spacing w:before="120"/>
              <w:rPr>
                <w:color w:val="000000"/>
              </w:rPr>
            </w:pPr>
          </w:p>
          <w:p w:rsidR="00A7449F" w:rsidRPr="00FE33EC" w:rsidRDefault="00A7449F" w:rsidP="000E61A7">
            <w:pPr>
              <w:spacing w:before="120"/>
              <w:rPr>
                <w:color w:val="000000"/>
              </w:rPr>
            </w:pPr>
          </w:p>
          <w:p w:rsidR="00A7449F" w:rsidRPr="00FE33EC" w:rsidRDefault="00A7449F" w:rsidP="000E61A7">
            <w:pPr>
              <w:spacing w:before="120"/>
              <w:rPr>
                <w:color w:val="000000"/>
              </w:rPr>
            </w:pPr>
          </w:p>
          <w:p w:rsidR="0094590C" w:rsidRDefault="0094590C" w:rsidP="000E61A7">
            <w:pPr>
              <w:spacing w:before="120"/>
              <w:rPr>
                <w:color w:val="000000"/>
              </w:rPr>
            </w:pPr>
          </w:p>
          <w:p w:rsidR="004B488F" w:rsidRPr="00FE33EC" w:rsidRDefault="004B488F" w:rsidP="000E61A7">
            <w:pPr>
              <w:spacing w:before="120"/>
              <w:rPr>
                <w:color w:val="000000"/>
              </w:rPr>
            </w:pPr>
          </w:p>
          <w:p w:rsidR="00010418" w:rsidRPr="00FE33EC" w:rsidRDefault="00010418" w:rsidP="00886589">
            <w:pPr>
              <w:pStyle w:val="ListParagraph"/>
              <w:numPr>
                <w:ilvl w:val="0"/>
                <w:numId w:val="8"/>
              </w:numPr>
              <w:spacing w:before="120"/>
              <w:rPr>
                <w:rFonts w:ascii="Times New Roman" w:hAnsi="Times New Roman"/>
                <w:color w:val="000000"/>
                <w:sz w:val="24"/>
                <w:szCs w:val="24"/>
              </w:rPr>
            </w:pPr>
            <w:r w:rsidRPr="00FE33EC">
              <w:rPr>
                <w:rFonts w:ascii="Times New Roman" w:hAnsi="Times New Roman"/>
                <w:color w:val="000000"/>
                <w:sz w:val="24"/>
                <w:szCs w:val="24"/>
              </w:rPr>
              <w:t xml:space="preserve"> </w:t>
            </w:r>
            <w:r w:rsidR="00F0128F" w:rsidRPr="00FE33EC">
              <w:rPr>
                <w:rFonts w:ascii="Times New Roman" w:hAnsi="Times New Roman"/>
                <w:color w:val="000000"/>
                <w:sz w:val="24"/>
                <w:szCs w:val="24"/>
              </w:rPr>
              <w:t>CFC recommended that the Nexant "Health Index" be adopted as an adjunct metric for hardship--for health hardship.  Doing so would provide a more rounded perspective on customer stress, than solely relying o</w:t>
            </w:r>
            <w:r w:rsidR="00886589" w:rsidRPr="00FE33EC">
              <w:rPr>
                <w:rFonts w:ascii="Times New Roman" w:hAnsi="Times New Roman"/>
                <w:color w:val="000000"/>
                <w:sz w:val="24"/>
                <w:szCs w:val="24"/>
              </w:rPr>
              <w:t xml:space="preserve">n an economic hardship metric. </w:t>
            </w:r>
          </w:p>
        </w:tc>
        <w:tc>
          <w:tcPr>
            <w:tcW w:w="2160" w:type="dxa"/>
            <w:shd w:val="clear" w:color="auto" w:fill="auto"/>
          </w:tcPr>
          <w:p w:rsidR="00A92D0B" w:rsidRPr="004F74FC" w:rsidRDefault="002E0670" w:rsidP="00A92D0B">
            <w:pPr>
              <w:spacing w:before="120"/>
              <w:rPr>
                <w:color w:val="000000"/>
                <w:sz w:val="22"/>
                <w:szCs w:val="22"/>
              </w:rPr>
            </w:pPr>
            <w:r w:rsidRPr="004F74FC">
              <w:rPr>
                <w:color w:val="000000"/>
                <w:sz w:val="22"/>
                <w:szCs w:val="22"/>
              </w:rPr>
              <w:lastRenderedPageBreak/>
              <w:t xml:space="preserve">PHC Statement of CFC as Requested in the </w:t>
            </w:r>
            <w:r w:rsidR="0078256B" w:rsidRPr="004F74FC">
              <w:rPr>
                <w:color w:val="000000"/>
                <w:sz w:val="22"/>
                <w:szCs w:val="22"/>
              </w:rPr>
              <w:t>Requested in the Sep. 30, 2016 ALJ’s Ruling Inviting PHC Statements and Setting Next Steps Following the September 12, 2016 ME&amp;O Workshop</w:t>
            </w:r>
            <w:r w:rsidRPr="004F74FC">
              <w:rPr>
                <w:color w:val="000000"/>
                <w:sz w:val="22"/>
                <w:szCs w:val="22"/>
              </w:rPr>
              <w:t>, p.</w:t>
            </w:r>
            <w:r w:rsidR="00886589" w:rsidRPr="004F74FC">
              <w:rPr>
                <w:color w:val="000000"/>
                <w:sz w:val="22"/>
                <w:szCs w:val="22"/>
              </w:rPr>
              <w:t>3</w:t>
            </w:r>
          </w:p>
          <w:p w:rsidR="00926921" w:rsidRPr="004F74FC" w:rsidRDefault="00F84EBC" w:rsidP="00A92D0B">
            <w:pPr>
              <w:spacing w:before="120"/>
              <w:rPr>
                <w:color w:val="000000"/>
                <w:sz w:val="22"/>
                <w:szCs w:val="22"/>
              </w:rPr>
            </w:pPr>
            <w:r w:rsidRPr="004F74FC">
              <w:rPr>
                <w:color w:val="000000"/>
                <w:sz w:val="22"/>
                <w:szCs w:val="22"/>
              </w:rPr>
              <w:t>Opening Brief of CFC as Requested in the Oct. 15, 2015 ALJ Sc</w:t>
            </w:r>
            <w:r w:rsidR="00247DC9">
              <w:rPr>
                <w:color w:val="000000"/>
                <w:sz w:val="22"/>
                <w:szCs w:val="22"/>
              </w:rPr>
              <w:t>oping Memo and Ruling for Phase </w:t>
            </w:r>
            <w:r w:rsidRPr="004F74FC">
              <w:rPr>
                <w:color w:val="000000"/>
                <w:sz w:val="22"/>
                <w:szCs w:val="22"/>
              </w:rPr>
              <w:t>3, pp.</w:t>
            </w:r>
            <w:r w:rsidR="00544CC6" w:rsidRPr="004F74FC">
              <w:rPr>
                <w:color w:val="000000"/>
                <w:sz w:val="22"/>
                <w:szCs w:val="22"/>
              </w:rPr>
              <w:t xml:space="preserve"> </w:t>
            </w:r>
            <w:r w:rsidRPr="004F74FC">
              <w:rPr>
                <w:color w:val="000000"/>
                <w:sz w:val="22"/>
                <w:szCs w:val="22"/>
              </w:rPr>
              <w:t>2-3.</w:t>
            </w:r>
          </w:p>
          <w:p w:rsidR="00926921" w:rsidRPr="004F74FC" w:rsidRDefault="00926921" w:rsidP="00A92D0B">
            <w:pPr>
              <w:spacing w:before="120"/>
              <w:rPr>
                <w:color w:val="000000"/>
                <w:sz w:val="22"/>
                <w:szCs w:val="22"/>
              </w:rPr>
            </w:pPr>
            <w:r w:rsidRPr="004F74FC">
              <w:rPr>
                <w:color w:val="000000"/>
                <w:sz w:val="22"/>
                <w:szCs w:val="22"/>
              </w:rPr>
              <w:t>Comments of CFC on the PD on the Requirements of CA Public Utilities Code Section 745 for Default TOU Rates for Residential Customers, pp. 2-4.</w:t>
            </w:r>
          </w:p>
          <w:p w:rsidR="004A7F5C" w:rsidRPr="004F74FC" w:rsidRDefault="004A7F5C" w:rsidP="00A92D0B">
            <w:pPr>
              <w:spacing w:before="120"/>
              <w:rPr>
                <w:color w:val="000000"/>
                <w:sz w:val="22"/>
                <w:szCs w:val="22"/>
              </w:rPr>
            </w:pPr>
            <w:r w:rsidRPr="004F74FC">
              <w:rPr>
                <w:color w:val="000000"/>
                <w:sz w:val="22"/>
                <w:szCs w:val="22"/>
              </w:rPr>
              <w:t>Opening Brief of CFC on the Commission’s Examination of PUCode Section 745 Issues, pp. 1-2.</w:t>
            </w:r>
          </w:p>
          <w:p w:rsidR="00FE33EC" w:rsidRPr="004F74FC" w:rsidRDefault="00247DC9" w:rsidP="00A92D0B">
            <w:pPr>
              <w:spacing w:before="120"/>
              <w:rPr>
                <w:color w:val="000000"/>
                <w:sz w:val="22"/>
                <w:szCs w:val="22"/>
              </w:rPr>
            </w:pPr>
            <w:r>
              <w:rPr>
                <w:color w:val="000000"/>
                <w:sz w:val="22"/>
                <w:szCs w:val="22"/>
              </w:rPr>
              <w:t>D.16-09-016, pp. 10</w:t>
            </w:r>
            <w:r>
              <w:rPr>
                <w:color w:val="000000"/>
                <w:sz w:val="22"/>
                <w:szCs w:val="22"/>
              </w:rPr>
              <w:noBreakHyphen/>
            </w:r>
            <w:r w:rsidR="00FE33EC" w:rsidRPr="004F74FC">
              <w:rPr>
                <w:color w:val="000000"/>
                <w:sz w:val="22"/>
                <w:szCs w:val="22"/>
              </w:rPr>
              <w:t>11.</w:t>
            </w:r>
          </w:p>
          <w:p w:rsidR="00FE33EC" w:rsidRDefault="00EF1E60" w:rsidP="00A92D0B">
            <w:pPr>
              <w:spacing w:before="120"/>
              <w:rPr>
                <w:color w:val="000000"/>
                <w:sz w:val="22"/>
                <w:szCs w:val="22"/>
              </w:rPr>
            </w:pPr>
            <w:r>
              <w:rPr>
                <w:color w:val="000000"/>
                <w:sz w:val="22"/>
                <w:szCs w:val="22"/>
              </w:rPr>
              <w:t>D. 17-09-036, p. 11.</w:t>
            </w:r>
          </w:p>
          <w:p w:rsidR="00EF1E60" w:rsidRPr="004F74FC" w:rsidRDefault="00EF1E60" w:rsidP="00A92D0B">
            <w:pPr>
              <w:spacing w:before="120"/>
              <w:rPr>
                <w:color w:val="000000"/>
                <w:sz w:val="22"/>
                <w:szCs w:val="22"/>
              </w:rPr>
            </w:pPr>
          </w:p>
          <w:p w:rsidR="002E0670" w:rsidRPr="004F74FC" w:rsidRDefault="00205CE2" w:rsidP="00A92D0B">
            <w:pPr>
              <w:spacing w:before="120"/>
              <w:rPr>
                <w:color w:val="000000"/>
                <w:sz w:val="22"/>
                <w:szCs w:val="22"/>
              </w:rPr>
            </w:pPr>
            <w:r w:rsidRPr="004F74FC">
              <w:rPr>
                <w:color w:val="000000"/>
                <w:sz w:val="22"/>
                <w:szCs w:val="22"/>
              </w:rPr>
              <w:t xml:space="preserve">PHC Statement of CFC as Requested in the Requested in the Sep. 30, 2016 ALJ’s Ruling Inviting PHC Statements and Setting Next Steps </w:t>
            </w:r>
            <w:r w:rsidRPr="004F74FC">
              <w:rPr>
                <w:color w:val="000000"/>
                <w:sz w:val="22"/>
                <w:szCs w:val="22"/>
              </w:rPr>
              <w:lastRenderedPageBreak/>
              <w:t>Following the September 12, 2016 ME&amp;O Workshop, pp. 1-2.</w:t>
            </w:r>
          </w:p>
          <w:p w:rsidR="002B438C" w:rsidRPr="004F74FC" w:rsidRDefault="002B438C" w:rsidP="00A92D0B">
            <w:pPr>
              <w:spacing w:before="120"/>
              <w:rPr>
                <w:color w:val="000000"/>
                <w:sz w:val="22"/>
                <w:szCs w:val="22"/>
              </w:rPr>
            </w:pPr>
            <w:r w:rsidRPr="004F74FC">
              <w:rPr>
                <w:color w:val="000000"/>
                <w:sz w:val="22"/>
                <w:szCs w:val="22"/>
              </w:rPr>
              <w:t>Opening Brief of CFC as Requested in the Oct. 15, 2015 ALJ Scoping Memo and Ruling for Phase 3, pp. 2-3.</w:t>
            </w:r>
          </w:p>
          <w:p w:rsidR="00926921" w:rsidRPr="004F74FC" w:rsidRDefault="007672F2" w:rsidP="00A92D0B">
            <w:pPr>
              <w:spacing w:before="120"/>
              <w:rPr>
                <w:color w:val="000000"/>
                <w:sz w:val="22"/>
                <w:szCs w:val="22"/>
              </w:rPr>
            </w:pPr>
            <w:r w:rsidRPr="004F74FC">
              <w:rPr>
                <w:color w:val="000000"/>
                <w:sz w:val="22"/>
                <w:szCs w:val="22"/>
              </w:rPr>
              <w:t>Comments of CFC on the PD on the Requirements of CA Public Utilities Code Section 745 for Default TOU Rates for Residential Customers, pp. 5-6.</w:t>
            </w:r>
          </w:p>
          <w:p w:rsidR="002960F9" w:rsidRPr="004F74FC" w:rsidRDefault="002960F9" w:rsidP="00A92D0B">
            <w:pPr>
              <w:spacing w:before="120"/>
              <w:rPr>
                <w:color w:val="000000"/>
                <w:sz w:val="22"/>
                <w:szCs w:val="22"/>
              </w:rPr>
            </w:pPr>
            <w:r w:rsidRPr="004F74FC">
              <w:rPr>
                <w:color w:val="000000"/>
                <w:sz w:val="22"/>
                <w:szCs w:val="22"/>
              </w:rPr>
              <w:t>Opening Brief of CFC on the Commission’s Examination of P</w:t>
            </w:r>
            <w:r w:rsidR="00DF4A72">
              <w:rPr>
                <w:color w:val="000000"/>
                <w:sz w:val="22"/>
                <w:szCs w:val="22"/>
              </w:rPr>
              <w:t>UCode Section 745 Issues, pp. 2</w:t>
            </w:r>
            <w:r w:rsidR="00DF4A72">
              <w:rPr>
                <w:color w:val="000000"/>
                <w:sz w:val="22"/>
                <w:szCs w:val="22"/>
              </w:rPr>
              <w:noBreakHyphen/>
            </w:r>
            <w:r w:rsidRPr="004F74FC">
              <w:rPr>
                <w:color w:val="000000"/>
                <w:sz w:val="22"/>
                <w:szCs w:val="22"/>
              </w:rPr>
              <w:t>4.</w:t>
            </w:r>
          </w:p>
          <w:p w:rsidR="0094590C" w:rsidRPr="004F74FC" w:rsidRDefault="0094590C" w:rsidP="00A92D0B">
            <w:pPr>
              <w:spacing w:before="120"/>
              <w:rPr>
                <w:color w:val="000000"/>
                <w:sz w:val="22"/>
                <w:szCs w:val="22"/>
              </w:rPr>
            </w:pPr>
            <w:r w:rsidRPr="004F74FC">
              <w:rPr>
                <w:color w:val="000000"/>
                <w:sz w:val="22"/>
                <w:szCs w:val="22"/>
              </w:rPr>
              <w:t>Opening Comments of CFC on the PD Adopting Findings Required Pursuant to PUCode Section 745 for Implementing Residential TOU Rates, p. 2.</w:t>
            </w:r>
          </w:p>
          <w:p w:rsidR="0094590C" w:rsidRDefault="004F74FC" w:rsidP="00A92D0B">
            <w:pPr>
              <w:spacing w:before="120"/>
              <w:rPr>
                <w:color w:val="000000"/>
                <w:sz w:val="22"/>
                <w:szCs w:val="22"/>
              </w:rPr>
            </w:pPr>
            <w:r w:rsidRPr="004F74FC">
              <w:rPr>
                <w:color w:val="000000"/>
                <w:sz w:val="22"/>
                <w:szCs w:val="22"/>
              </w:rPr>
              <w:t>D.16-09-016</w:t>
            </w:r>
            <w:r>
              <w:rPr>
                <w:color w:val="000000"/>
                <w:sz w:val="22"/>
                <w:szCs w:val="22"/>
              </w:rPr>
              <w:t>, pp. 8-9.</w:t>
            </w:r>
          </w:p>
          <w:p w:rsidR="00C15BDF" w:rsidRPr="004F74FC" w:rsidRDefault="00C15BDF" w:rsidP="00A92D0B">
            <w:pPr>
              <w:spacing w:before="120"/>
              <w:rPr>
                <w:color w:val="000000"/>
                <w:sz w:val="22"/>
                <w:szCs w:val="22"/>
              </w:rPr>
            </w:pPr>
            <w:r>
              <w:rPr>
                <w:color w:val="000000"/>
                <w:sz w:val="22"/>
                <w:szCs w:val="22"/>
              </w:rPr>
              <w:t>D. 17-09-036, p. 15-17.</w:t>
            </w:r>
          </w:p>
          <w:p w:rsidR="000E61A7" w:rsidRPr="004F74FC" w:rsidRDefault="000E61A7" w:rsidP="00A92D0B">
            <w:pPr>
              <w:spacing w:before="120"/>
              <w:rPr>
                <w:color w:val="000000"/>
                <w:sz w:val="22"/>
                <w:szCs w:val="22"/>
              </w:rPr>
            </w:pPr>
            <w:r w:rsidRPr="004F74FC">
              <w:rPr>
                <w:color w:val="000000"/>
                <w:sz w:val="22"/>
                <w:szCs w:val="22"/>
              </w:rPr>
              <w:t>Opening Brief of CFC as Requested in the Oct. 15, 2015 ALJ Sc</w:t>
            </w:r>
            <w:r w:rsidR="00247DC9">
              <w:rPr>
                <w:color w:val="000000"/>
                <w:sz w:val="22"/>
                <w:szCs w:val="22"/>
              </w:rPr>
              <w:t>oping Memo and Ruling for Phase </w:t>
            </w:r>
            <w:r w:rsidRPr="004F74FC">
              <w:rPr>
                <w:color w:val="000000"/>
                <w:sz w:val="22"/>
                <w:szCs w:val="22"/>
              </w:rPr>
              <w:t xml:space="preserve">3, pp. 2-4. </w:t>
            </w:r>
          </w:p>
          <w:p w:rsidR="000E61A7" w:rsidRPr="004F74FC" w:rsidRDefault="006E5EFE" w:rsidP="00A92D0B">
            <w:pPr>
              <w:spacing w:before="120"/>
              <w:rPr>
                <w:color w:val="000000"/>
                <w:sz w:val="22"/>
                <w:szCs w:val="22"/>
              </w:rPr>
            </w:pPr>
            <w:r w:rsidRPr="004F74FC">
              <w:rPr>
                <w:color w:val="000000"/>
                <w:sz w:val="22"/>
                <w:szCs w:val="22"/>
              </w:rPr>
              <w:t xml:space="preserve">Comments of CFC on the PD on the Requirements of CA Public Utilities Code Section 745 for </w:t>
            </w:r>
            <w:r w:rsidRPr="004F74FC">
              <w:rPr>
                <w:color w:val="000000"/>
                <w:sz w:val="22"/>
                <w:szCs w:val="22"/>
              </w:rPr>
              <w:lastRenderedPageBreak/>
              <w:t>Default TOU Rates for Residential Customers, pp. 2-3, 6.</w:t>
            </w:r>
          </w:p>
          <w:p w:rsidR="00926921" w:rsidRPr="004F74FC" w:rsidRDefault="00886589" w:rsidP="00A92D0B">
            <w:pPr>
              <w:spacing w:before="120"/>
              <w:rPr>
                <w:color w:val="000000"/>
                <w:sz w:val="22"/>
                <w:szCs w:val="22"/>
              </w:rPr>
            </w:pPr>
            <w:r w:rsidRPr="004F74FC">
              <w:rPr>
                <w:color w:val="000000"/>
                <w:sz w:val="22"/>
                <w:szCs w:val="22"/>
              </w:rPr>
              <w:t>CFC PD Comment, pp.</w:t>
            </w:r>
            <w:r w:rsidR="00596C28" w:rsidRPr="004F74FC">
              <w:rPr>
                <w:color w:val="000000"/>
                <w:sz w:val="22"/>
                <w:szCs w:val="22"/>
              </w:rPr>
              <w:t xml:space="preserve"> </w:t>
            </w:r>
            <w:r w:rsidRPr="004F74FC">
              <w:rPr>
                <w:color w:val="000000"/>
                <w:sz w:val="22"/>
                <w:szCs w:val="22"/>
              </w:rPr>
              <w:t>2,</w:t>
            </w:r>
            <w:r w:rsidR="00596C28" w:rsidRPr="004F74FC">
              <w:rPr>
                <w:color w:val="000000"/>
                <w:sz w:val="22"/>
                <w:szCs w:val="22"/>
              </w:rPr>
              <w:t xml:space="preserve"> </w:t>
            </w:r>
            <w:r w:rsidRPr="004F74FC">
              <w:rPr>
                <w:color w:val="000000"/>
                <w:sz w:val="22"/>
                <w:szCs w:val="22"/>
              </w:rPr>
              <w:t xml:space="preserve">3 </w:t>
            </w:r>
          </w:p>
          <w:p w:rsidR="00A7449F" w:rsidRDefault="00A7449F" w:rsidP="00A92D0B">
            <w:pPr>
              <w:spacing w:before="120"/>
              <w:rPr>
                <w:color w:val="000000"/>
                <w:sz w:val="22"/>
                <w:szCs w:val="22"/>
              </w:rPr>
            </w:pPr>
            <w:r w:rsidRPr="004F74FC">
              <w:rPr>
                <w:color w:val="000000"/>
                <w:sz w:val="22"/>
                <w:szCs w:val="22"/>
              </w:rPr>
              <w:t>Opening Brief of CFC on the Commission’s Examination of PUCode Section 745 Issues, pp. 1-2.</w:t>
            </w:r>
          </w:p>
          <w:p w:rsidR="00F64466" w:rsidRDefault="00CF4B14" w:rsidP="00A92D0B">
            <w:pPr>
              <w:spacing w:before="120"/>
              <w:rPr>
                <w:color w:val="000000"/>
                <w:sz w:val="22"/>
                <w:szCs w:val="22"/>
              </w:rPr>
            </w:pPr>
            <w:r w:rsidRPr="004F74FC">
              <w:rPr>
                <w:color w:val="000000"/>
                <w:sz w:val="22"/>
                <w:szCs w:val="22"/>
              </w:rPr>
              <w:t>D.16-09-016, pp.</w:t>
            </w:r>
            <w:r w:rsidR="00247DC9">
              <w:rPr>
                <w:color w:val="000000"/>
                <w:sz w:val="22"/>
                <w:szCs w:val="22"/>
              </w:rPr>
              <w:t> 10</w:t>
            </w:r>
            <w:r w:rsidR="00247DC9">
              <w:rPr>
                <w:color w:val="000000"/>
                <w:sz w:val="22"/>
                <w:szCs w:val="22"/>
              </w:rPr>
              <w:noBreakHyphen/>
            </w:r>
            <w:r>
              <w:rPr>
                <w:color w:val="000000"/>
                <w:sz w:val="22"/>
                <w:szCs w:val="22"/>
              </w:rPr>
              <w:t>11. 15-17.</w:t>
            </w:r>
          </w:p>
          <w:p w:rsidR="004B488F" w:rsidRDefault="00247DC9" w:rsidP="00A92D0B">
            <w:pPr>
              <w:spacing w:before="120"/>
              <w:rPr>
                <w:color w:val="000000"/>
                <w:sz w:val="22"/>
                <w:szCs w:val="22"/>
              </w:rPr>
            </w:pPr>
            <w:r>
              <w:rPr>
                <w:color w:val="000000"/>
                <w:sz w:val="22"/>
                <w:szCs w:val="22"/>
              </w:rPr>
              <w:t>D. 17-09-036, p. 7</w:t>
            </w:r>
            <w:r>
              <w:rPr>
                <w:color w:val="000000"/>
                <w:sz w:val="22"/>
                <w:szCs w:val="22"/>
              </w:rPr>
              <w:noBreakHyphen/>
            </w:r>
            <w:r w:rsidR="004B488F">
              <w:rPr>
                <w:color w:val="000000"/>
                <w:sz w:val="22"/>
                <w:szCs w:val="22"/>
              </w:rPr>
              <w:t>11.</w:t>
            </w:r>
          </w:p>
          <w:p w:rsidR="00CF4B14" w:rsidRPr="004F74FC" w:rsidRDefault="00CF4B14" w:rsidP="00A92D0B">
            <w:pPr>
              <w:spacing w:before="120"/>
              <w:rPr>
                <w:color w:val="000000"/>
                <w:sz w:val="22"/>
                <w:szCs w:val="22"/>
              </w:rPr>
            </w:pPr>
          </w:p>
          <w:p w:rsidR="00886589" w:rsidRPr="004F74FC" w:rsidRDefault="00552248" w:rsidP="00A92D0B">
            <w:pPr>
              <w:spacing w:before="120"/>
              <w:rPr>
                <w:color w:val="000000"/>
                <w:sz w:val="22"/>
                <w:szCs w:val="22"/>
              </w:rPr>
            </w:pPr>
            <w:r w:rsidRPr="004F74FC">
              <w:rPr>
                <w:color w:val="000000"/>
                <w:sz w:val="22"/>
                <w:szCs w:val="22"/>
              </w:rPr>
              <w:t>Opening Brief of CFC as Requested in the Oct. 15, 2015 ALJ Sc</w:t>
            </w:r>
            <w:r w:rsidR="00247DC9">
              <w:rPr>
                <w:color w:val="000000"/>
                <w:sz w:val="22"/>
                <w:szCs w:val="22"/>
              </w:rPr>
              <w:t>oping Memo and Ruling for Phase </w:t>
            </w:r>
            <w:r w:rsidRPr="004F74FC">
              <w:rPr>
                <w:color w:val="000000"/>
                <w:sz w:val="22"/>
                <w:szCs w:val="22"/>
              </w:rPr>
              <w:t>3, p. 5.</w:t>
            </w:r>
          </w:p>
          <w:p w:rsidR="00886589" w:rsidRDefault="0094590C" w:rsidP="00A92D0B">
            <w:pPr>
              <w:spacing w:before="120"/>
              <w:rPr>
                <w:color w:val="000000"/>
                <w:sz w:val="22"/>
                <w:szCs w:val="22"/>
              </w:rPr>
            </w:pPr>
            <w:r w:rsidRPr="004F74FC">
              <w:rPr>
                <w:color w:val="000000"/>
                <w:sz w:val="22"/>
                <w:szCs w:val="22"/>
              </w:rPr>
              <w:t xml:space="preserve">Opening Comments of CFC on the PD Adopting Findings Required Pursuant to PUCode Section 745 for Implementing Residential TOU Rates, </w:t>
            </w:r>
            <w:r w:rsidR="00886589" w:rsidRPr="004F74FC">
              <w:rPr>
                <w:color w:val="000000"/>
                <w:sz w:val="22"/>
                <w:szCs w:val="22"/>
              </w:rPr>
              <w:t>p.4</w:t>
            </w:r>
          </w:p>
          <w:p w:rsidR="00F64466" w:rsidRDefault="00F64466" w:rsidP="00A92D0B">
            <w:pPr>
              <w:spacing w:before="120"/>
              <w:rPr>
                <w:color w:val="000000"/>
                <w:sz w:val="22"/>
                <w:szCs w:val="22"/>
              </w:rPr>
            </w:pPr>
            <w:r w:rsidRPr="004F74FC">
              <w:rPr>
                <w:color w:val="000000"/>
                <w:sz w:val="22"/>
                <w:szCs w:val="22"/>
              </w:rPr>
              <w:t>D.16-09-016, pp.</w:t>
            </w:r>
            <w:r w:rsidR="00247DC9">
              <w:rPr>
                <w:color w:val="000000"/>
                <w:sz w:val="22"/>
                <w:szCs w:val="22"/>
              </w:rPr>
              <w:t> 14</w:t>
            </w:r>
            <w:r w:rsidR="00247DC9">
              <w:rPr>
                <w:color w:val="000000"/>
                <w:sz w:val="22"/>
                <w:szCs w:val="22"/>
              </w:rPr>
              <w:noBreakHyphen/>
            </w:r>
            <w:r>
              <w:rPr>
                <w:color w:val="000000"/>
                <w:sz w:val="22"/>
                <w:szCs w:val="22"/>
              </w:rPr>
              <w:t>17.</w:t>
            </w:r>
          </w:p>
          <w:p w:rsidR="00EF1E60" w:rsidRPr="004F74FC" w:rsidRDefault="00EF1E60" w:rsidP="00A92D0B">
            <w:pPr>
              <w:spacing w:before="120"/>
              <w:rPr>
                <w:color w:val="000000"/>
                <w:sz w:val="22"/>
                <w:szCs w:val="22"/>
              </w:rPr>
            </w:pPr>
            <w:r>
              <w:rPr>
                <w:color w:val="000000"/>
                <w:sz w:val="22"/>
                <w:szCs w:val="22"/>
              </w:rPr>
              <w:t>D. 17-09-036, p.</w:t>
            </w:r>
            <w:r w:rsidR="00247DC9">
              <w:rPr>
                <w:color w:val="000000"/>
                <w:sz w:val="22"/>
                <w:szCs w:val="22"/>
              </w:rPr>
              <w:t> </w:t>
            </w:r>
            <w:r w:rsidR="00073AEA">
              <w:rPr>
                <w:color w:val="000000"/>
                <w:sz w:val="22"/>
                <w:szCs w:val="22"/>
              </w:rPr>
              <w:t>9,</w:t>
            </w:r>
            <w:r w:rsidR="00247DC9">
              <w:rPr>
                <w:color w:val="000000"/>
                <w:sz w:val="22"/>
                <w:szCs w:val="22"/>
              </w:rPr>
              <w:t> </w:t>
            </w:r>
            <w:r>
              <w:rPr>
                <w:color w:val="000000"/>
                <w:sz w:val="22"/>
                <w:szCs w:val="22"/>
              </w:rPr>
              <w:t>30.</w:t>
            </w:r>
          </w:p>
        </w:tc>
        <w:tc>
          <w:tcPr>
            <w:tcW w:w="2250" w:type="dxa"/>
            <w:shd w:val="clear" w:color="auto" w:fill="auto"/>
          </w:tcPr>
          <w:p w:rsidR="002E0670" w:rsidRDefault="00320388" w:rsidP="00A92D0B">
            <w:pPr>
              <w:spacing w:before="120"/>
              <w:rPr>
                <w:color w:val="000000"/>
              </w:rPr>
            </w:pPr>
            <w:r>
              <w:rPr>
                <w:color w:val="000000"/>
              </w:rPr>
              <w:lastRenderedPageBreak/>
              <w:t>Verified</w:t>
            </w:r>
            <w:r w:rsidR="00ED6217">
              <w:rPr>
                <w:color w:val="000000"/>
              </w:rPr>
              <w:t xml:space="preserve">; However, </w:t>
            </w:r>
            <w:r w:rsidR="00227644" w:rsidRPr="00325E92">
              <w:rPr>
                <w:color w:val="000000"/>
              </w:rPr>
              <w:t>CFC Foundation</w:t>
            </w:r>
            <w:r w:rsidR="00227644">
              <w:rPr>
                <w:color w:val="000000"/>
              </w:rPr>
              <w:t xml:space="preserve">’s </w:t>
            </w:r>
            <w:r w:rsidR="00ED6217">
              <w:rPr>
                <w:color w:val="000000"/>
              </w:rPr>
              <w:t xml:space="preserve">contributions to D.16-09-016 were duplicative of contributions made by other intervenors such as Center for Accessible Technology, The Utility Reform Network, and Utility Consumers Action Network. This duplication is underscored by the fact that the only reference to CFC </w:t>
            </w:r>
            <w:r w:rsidR="00770C19" w:rsidRPr="00325E92">
              <w:rPr>
                <w:color w:val="000000"/>
              </w:rPr>
              <w:t>Foundation</w:t>
            </w:r>
            <w:r w:rsidR="00770C19">
              <w:rPr>
                <w:color w:val="000000"/>
              </w:rPr>
              <w:t xml:space="preserve"> </w:t>
            </w:r>
            <w:r w:rsidR="00ED6217">
              <w:rPr>
                <w:color w:val="000000"/>
              </w:rPr>
              <w:t>in the discussion sections of D.16-09-016 states that “numerous parties (TURN, CforAT, UCAN, CFC) objected to the exclusion of customers who are eligible but not enrolled in these programs.”  In addition, the following references did not appear to be relevant:</w:t>
            </w:r>
            <w:r w:rsidR="00ED6217">
              <w:rPr>
                <w:color w:val="000000"/>
              </w:rPr>
              <w:br/>
            </w:r>
            <w:r w:rsidR="00ED6217" w:rsidRPr="004F74FC">
              <w:rPr>
                <w:color w:val="000000"/>
                <w:sz w:val="22"/>
                <w:szCs w:val="22"/>
              </w:rPr>
              <w:t>Opening Brief of CFC on the Commission’s Examination of PUCode Section 745 Issues, pp. 1-2</w:t>
            </w:r>
            <w:r w:rsidR="00ED6217">
              <w:rPr>
                <w:color w:val="000000"/>
                <w:sz w:val="22"/>
                <w:szCs w:val="22"/>
              </w:rPr>
              <w:t xml:space="preserve"> (notably, CFC cites “Nexant findings” yet, </w:t>
            </w:r>
            <w:r w:rsidR="00ED6217">
              <w:rPr>
                <w:color w:val="000000"/>
                <w:sz w:val="22"/>
                <w:szCs w:val="22"/>
              </w:rPr>
              <w:lastRenderedPageBreak/>
              <w:t>at the time this brief was filed</w:t>
            </w:r>
            <w:r w:rsidR="00904C4B">
              <w:rPr>
                <w:color w:val="000000"/>
                <w:sz w:val="22"/>
                <w:szCs w:val="22"/>
              </w:rPr>
              <w:t>,</w:t>
            </w:r>
            <w:r w:rsidR="00ED6217">
              <w:rPr>
                <w:color w:val="000000"/>
                <w:sz w:val="22"/>
                <w:szCs w:val="22"/>
              </w:rPr>
              <w:t xml:space="preserve"> Nexant had not made any findings); D.16-09-016, 10-11.</w:t>
            </w:r>
          </w:p>
          <w:p w:rsidR="00ED6217" w:rsidRDefault="00ED6217" w:rsidP="00A92D0B">
            <w:pPr>
              <w:spacing w:before="120"/>
              <w:rPr>
                <w:color w:val="000000"/>
              </w:rPr>
            </w:pPr>
          </w:p>
          <w:p w:rsidR="00ED6217" w:rsidRDefault="00ED6217" w:rsidP="00A92D0B">
            <w:pPr>
              <w:spacing w:before="120"/>
              <w:rPr>
                <w:color w:val="000000"/>
              </w:rPr>
            </w:pPr>
          </w:p>
          <w:p w:rsidR="00ED6217" w:rsidRDefault="00ED6217" w:rsidP="00A92D0B">
            <w:pPr>
              <w:spacing w:before="120"/>
              <w:rPr>
                <w:color w:val="000000"/>
              </w:rPr>
            </w:pPr>
          </w:p>
          <w:p w:rsidR="00ED6217" w:rsidRDefault="00ED6217" w:rsidP="00A92D0B">
            <w:pPr>
              <w:spacing w:before="120"/>
              <w:rPr>
                <w:color w:val="000000"/>
              </w:rPr>
            </w:pPr>
          </w:p>
          <w:p w:rsidR="00ED6217" w:rsidRDefault="00ED6217" w:rsidP="00A92D0B">
            <w:pPr>
              <w:spacing w:before="120"/>
              <w:rPr>
                <w:color w:val="000000"/>
              </w:rPr>
            </w:pPr>
          </w:p>
          <w:p w:rsidR="00ED6217" w:rsidRDefault="00ED6217" w:rsidP="00A92D0B">
            <w:pPr>
              <w:spacing w:before="120"/>
              <w:rPr>
                <w:color w:val="000000"/>
              </w:rPr>
            </w:pPr>
          </w:p>
          <w:p w:rsidR="00ED6217" w:rsidRDefault="00ED6217" w:rsidP="00A92D0B">
            <w:pPr>
              <w:spacing w:before="120"/>
              <w:rPr>
                <w:color w:val="000000"/>
              </w:rPr>
            </w:pPr>
          </w:p>
          <w:p w:rsidR="00ED6217" w:rsidRDefault="00ED6217" w:rsidP="00A92D0B">
            <w:pPr>
              <w:spacing w:before="120"/>
              <w:rPr>
                <w:color w:val="000000"/>
              </w:rPr>
            </w:pPr>
          </w:p>
          <w:p w:rsidR="00ED6217" w:rsidRDefault="00ED6217" w:rsidP="00A92D0B">
            <w:pPr>
              <w:spacing w:before="120"/>
              <w:rPr>
                <w:color w:val="000000"/>
              </w:rPr>
            </w:pPr>
          </w:p>
          <w:p w:rsidR="00ED6217" w:rsidRDefault="00ED6217" w:rsidP="00A92D0B">
            <w:pPr>
              <w:spacing w:before="120"/>
              <w:rPr>
                <w:color w:val="000000"/>
              </w:rPr>
            </w:pPr>
          </w:p>
          <w:p w:rsidR="00ED6217" w:rsidRDefault="00ED6217" w:rsidP="00A92D0B">
            <w:pPr>
              <w:spacing w:before="120"/>
              <w:rPr>
                <w:color w:val="000000"/>
              </w:rPr>
            </w:pPr>
          </w:p>
          <w:p w:rsidR="00ED6217" w:rsidRDefault="00ED6217" w:rsidP="00A92D0B">
            <w:pPr>
              <w:spacing w:before="120"/>
              <w:rPr>
                <w:color w:val="000000"/>
              </w:rPr>
            </w:pPr>
          </w:p>
          <w:p w:rsidR="00ED6217" w:rsidRDefault="00ED6217" w:rsidP="00A92D0B">
            <w:pPr>
              <w:spacing w:before="120"/>
              <w:rPr>
                <w:color w:val="000000"/>
              </w:rPr>
            </w:pPr>
          </w:p>
          <w:p w:rsidR="00ED6217" w:rsidRDefault="00ED6217" w:rsidP="00A92D0B">
            <w:pPr>
              <w:spacing w:before="120"/>
              <w:rPr>
                <w:color w:val="000000"/>
              </w:rPr>
            </w:pPr>
          </w:p>
          <w:p w:rsidR="00ED6217" w:rsidRDefault="00ED6217" w:rsidP="00A92D0B">
            <w:pPr>
              <w:spacing w:before="120"/>
              <w:rPr>
                <w:color w:val="000000"/>
              </w:rPr>
            </w:pPr>
          </w:p>
          <w:p w:rsidR="00ED6217" w:rsidRDefault="00ED6217" w:rsidP="00A92D0B">
            <w:pPr>
              <w:spacing w:before="120"/>
              <w:rPr>
                <w:color w:val="000000"/>
              </w:rPr>
            </w:pPr>
          </w:p>
          <w:p w:rsidR="00ED6217" w:rsidRPr="007F620E" w:rsidRDefault="00ED6217" w:rsidP="00A92D0B">
            <w:pPr>
              <w:spacing w:before="120"/>
              <w:rPr>
                <w:color w:val="000000"/>
              </w:rPr>
            </w:pPr>
          </w:p>
        </w:tc>
      </w:tr>
      <w:tr w:rsidR="006937DC" w:rsidRPr="007F620E" w:rsidTr="00DE18A5">
        <w:tc>
          <w:tcPr>
            <w:tcW w:w="4428" w:type="dxa"/>
            <w:shd w:val="clear" w:color="auto" w:fill="auto"/>
          </w:tcPr>
          <w:p w:rsidR="00A92D0B" w:rsidRPr="00FE33EC" w:rsidRDefault="00A92D0B" w:rsidP="00A92D0B">
            <w:pPr>
              <w:spacing w:before="120"/>
              <w:rPr>
                <w:color w:val="000000"/>
              </w:rPr>
            </w:pPr>
            <w:r w:rsidRPr="00FE33EC">
              <w:rPr>
                <w:color w:val="000000"/>
              </w:rPr>
              <w:lastRenderedPageBreak/>
              <w:t>2.</w:t>
            </w:r>
            <w:r w:rsidR="00B03EB0" w:rsidRPr="00FE33EC">
              <w:rPr>
                <w:color w:val="000000"/>
              </w:rPr>
              <w:t xml:space="preserve"> </w:t>
            </w:r>
            <w:r w:rsidR="00AE5540" w:rsidRPr="00FE33EC">
              <w:rPr>
                <w:color w:val="000000"/>
              </w:rPr>
              <w:t>CARE</w:t>
            </w:r>
          </w:p>
          <w:p w:rsidR="00010418" w:rsidRPr="00FE33EC" w:rsidRDefault="00010418" w:rsidP="0095306D">
            <w:pPr>
              <w:pStyle w:val="ListParagraph"/>
              <w:numPr>
                <w:ilvl w:val="0"/>
                <w:numId w:val="9"/>
              </w:numPr>
              <w:spacing w:before="120"/>
              <w:rPr>
                <w:rFonts w:ascii="Times New Roman" w:hAnsi="Times New Roman"/>
                <w:color w:val="000000"/>
                <w:sz w:val="24"/>
                <w:szCs w:val="24"/>
              </w:rPr>
            </w:pPr>
            <w:r w:rsidRPr="00FE33EC">
              <w:rPr>
                <w:rFonts w:ascii="Times New Roman" w:hAnsi="Times New Roman"/>
                <w:color w:val="000000"/>
                <w:sz w:val="24"/>
                <w:szCs w:val="24"/>
              </w:rPr>
              <w:t xml:space="preserve">CFC </w:t>
            </w:r>
            <w:r w:rsidR="0095306D" w:rsidRPr="00FE33EC">
              <w:rPr>
                <w:rFonts w:ascii="Times New Roman" w:hAnsi="Times New Roman"/>
                <w:color w:val="000000"/>
                <w:sz w:val="24"/>
                <w:szCs w:val="24"/>
              </w:rPr>
              <w:t>recommended future program assessments also evaluate impacts on those whose incomes just exceed CARE boundaries.  Those customers may have some of the</w:t>
            </w:r>
            <w:r w:rsidR="00886589" w:rsidRPr="00FE33EC">
              <w:rPr>
                <w:rFonts w:ascii="Times New Roman" w:hAnsi="Times New Roman"/>
                <w:color w:val="000000"/>
                <w:sz w:val="24"/>
                <w:szCs w:val="24"/>
              </w:rPr>
              <w:t xml:space="preserve"> harshest impacts due to TOU.  </w:t>
            </w:r>
          </w:p>
          <w:p w:rsidR="002E0670" w:rsidRPr="00FE33EC" w:rsidRDefault="002E0670" w:rsidP="002E0670">
            <w:pPr>
              <w:spacing w:before="120"/>
              <w:rPr>
                <w:color w:val="000000"/>
              </w:rPr>
            </w:pPr>
          </w:p>
          <w:p w:rsidR="002E0670" w:rsidRPr="00FE33EC" w:rsidRDefault="002E0670" w:rsidP="002E0670">
            <w:pPr>
              <w:spacing w:before="120"/>
              <w:rPr>
                <w:color w:val="000000"/>
              </w:rPr>
            </w:pPr>
          </w:p>
          <w:p w:rsidR="002E0670" w:rsidRPr="00FE33EC" w:rsidRDefault="002E0670" w:rsidP="002E0670">
            <w:pPr>
              <w:spacing w:before="120"/>
              <w:rPr>
                <w:color w:val="000000"/>
              </w:rPr>
            </w:pPr>
          </w:p>
          <w:p w:rsidR="000445E4" w:rsidRPr="00FE33EC" w:rsidRDefault="000445E4" w:rsidP="002E0670">
            <w:pPr>
              <w:spacing w:before="120"/>
              <w:rPr>
                <w:color w:val="000000"/>
              </w:rPr>
            </w:pPr>
          </w:p>
          <w:p w:rsidR="004A7F5C" w:rsidRPr="00FE33EC" w:rsidRDefault="004A7F5C" w:rsidP="002E0670">
            <w:pPr>
              <w:spacing w:before="120"/>
              <w:rPr>
                <w:color w:val="000000"/>
              </w:rPr>
            </w:pPr>
          </w:p>
          <w:p w:rsidR="004A7F5C" w:rsidRPr="00FE33EC" w:rsidRDefault="004A7F5C" w:rsidP="002E0670">
            <w:pPr>
              <w:spacing w:before="120"/>
              <w:rPr>
                <w:color w:val="000000"/>
              </w:rPr>
            </w:pPr>
          </w:p>
          <w:p w:rsidR="004A7F5C" w:rsidRPr="00FE33EC" w:rsidRDefault="004A7F5C" w:rsidP="002E0670">
            <w:pPr>
              <w:spacing w:before="120"/>
              <w:rPr>
                <w:color w:val="000000"/>
              </w:rPr>
            </w:pPr>
          </w:p>
          <w:p w:rsidR="004A7F5C" w:rsidRPr="00FE33EC" w:rsidRDefault="004A7F5C" w:rsidP="002E0670">
            <w:pPr>
              <w:spacing w:before="120"/>
              <w:rPr>
                <w:color w:val="000000"/>
              </w:rPr>
            </w:pPr>
          </w:p>
          <w:p w:rsidR="0094590C" w:rsidRPr="00FE33EC" w:rsidRDefault="0094590C" w:rsidP="002E0670">
            <w:pPr>
              <w:spacing w:before="120"/>
              <w:rPr>
                <w:color w:val="000000"/>
              </w:rPr>
            </w:pPr>
          </w:p>
          <w:p w:rsidR="0094590C" w:rsidRPr="00FE33EC" w:rsidRDefault="0094590C" w:rsidP="002E0670">
            <w:pPr>
              <w:spacing w:before="120"/>
              <w:rPr>
                <w:color w:val="000000"/>
              </w:rPr>
            </w:pPr>
          </w:p>
          <w:p w:rsidR="0094590C" w:rsidRPr="00FE33EC" w:rsidRDefault="0094590C" w:rsidP="002E0670">
            <w:pPr>
              <w:spacing w:before="120"/>
              <w:rPr>
                <w:color w:val="000000"/>
              </w:rPr>
            </w:pPr>
          </w:p>
          <w:p w:rsidR="0094590C" w:rsidRPr="00FE33EC" w:rsidRDefault="0094590C" w:rsidP="002E0670">
            <w:pPr>
              <w:spacing w:before="120"/>
              <w:rPr>
                <w:color w:val="000000"/>
              </w:rPr>
            </w:pPr>
          </w:p>
          <w:p w:rsidR="0094590C" w:rsidRDefault="0094590C" w:rsidP="002E0670">
            <w:pPr>
              <w:spacing w:before="120"/>
              <w:rPr>
                <w:color w:val="000000"/>
              </w:rPr>
            </w:pPr>
          </w:p>
          <w:p w:rsidR="00073AEA" w:rsidRPr="00FE33EC" w:rsidRDefault="00073AEA" w:rsidP="002E0670">
            <w:pPr>
              <w:spacing w:before="120"/>
              <w:rPr>
                <w:color w:val="000000"/>
              </w:rPr>
            </w:pPr>
          </w:p>
          <w:p w:rsidR="004D5DDF" w:rsidRPr="00FE33EC" w:rsidRDefault="004D5DDF" w:rsidP="00886589">
            <w:pPr>
              <w:pStyle w:val="ListParagraph"/>
              <w:numPr>
                <w:ilvl w:val="0"/>
                <w:numId w:val="9"/>
              </w:numPr>
              <w:spacing w:before="120"/>
              <w:rPr>
                <w:rFonts w:ascii="Times New Roman" w:hAnsi="Times New Roman"/>
                <w:color w:val="000000"/>
                <w:sz w:val="24"/>
                <w:szCs w:val="24"/>
              </w:rPr>
            </w:pPr>
            <w:r w:rsidRPr="00FE33EC">
              <w:rPr>
                <w:rFonts w:ascii="Times New Roman" w:hAnsi="Times New Roman"/>
                <w:color w:val="000000"/>
                <w:sz w:val="24"/>
                <w:szCs w:val="24"/>
              </w:rPr>
              <w:t>CFC proposed the Commission consider future exclusions for those outside CARE eligibility, but whose calculated energ</w:t>
            </w:r>
            <w:r w:rsidR="00886589" w:rsidRPr="00FE33EC">
              <w:rPr>
                <w:rFonts w:ascii="Times New Roman" w:hAnsi="Times New Roman"/>
                <w:color w:val="000000"/>
                <w:sz w:val="24"/>
                <w:szCs w:val="24"/>
              </w:rPr>
              <w:t xml:space="preserve">y burden would justify relief. </w:t>
            </w:r>
          </w:p>
        </w:tc>
        <w:tc>
          <w:tcPr>
            <w:tcW w:w="2160" w:type="dxa"/>
            <w:shd w:val="clear" w:color="auto" w:fill="auto"/>
          </w:tcPr>
          <w:p w:rsidR="00886589" w:rsidRPr="004F74FC" w:rsidRDefault="002E0670" w:rsidP="00A92D0B">
            <w:pPr>
              <w:spacing w:before="120"/>
              <w:rPr>
                <w:color w:val="000000"/>
                <w:sz w:val="22"/>
                <w:szCs w:val="22"/>
              </w:rPr>
            </w:pPr>
            <w:r w:rsidRPr="004F74FC">
              <w:rPr>
                <w:color w:val="000000"/>
                <w:sz w:val="22"/>
                <w:szCs w:val="22"/>
              </w:rPr>
              <w:lastRenderedPageBreak/>
              <w:t>8/17/15 PHC Statement of CFC as Requested in the August 6, 2015 ALJ Ruling Inviting Comments, pp. 1-2.</w:t>
            </w:r>
          </w:p>
          <w:p w:rsidR="00886589" w:rsidRPr="004F74FC" w:rsidRDefault="000445E4" w:rsidP="00A92D0B">
            <w:pPr>
              <w:spacing w:before="120"/>
              <w:rPr>
                <w:color w:val="000000"/>
                <w:sz w:val="22"/>
                <w:szCs w:val="22"/>
              </w:rPr>
            </w:pPr>
            <w:r w:rsidRPr="004F74FC">
              <w:rPr>
                <w:color w:val="000000"/>
                <w:sz w:val="22"/>
                <w:szCs w:val="22"/>
              </w:rPr>
              <w:t>Opening Brief of CFC as Requested in the Oct. 15, 2015 ALJ Sc</w:t>
            </w:r>
            <w:r w:rsidR="00247DC9">
              <w:rPr>
                <w:color w:val="000000"/>
                <w:sz w:val="22"/>
                <w:szCs w:val="22"/>
              </w:rPr>
              <w:t xml:space="preserve">oping Memo </w:t>
            </w:r>
            <w:r w:rsidR="00247DC9">
              <w:rPr>
                <w:color w:val="000000"/>
                <w:sz w:val="22"/>
                <w:szCs w:val="22"/>
              </w:rPr>
              <w:lastRenderedPageBreak/>
              <w:t>and Ruling for Phase </w:t>
            </w:r>
            <w:r w:rsidRPr="004F74FC">
              <w:rPr>
                <w:color w:val="000000"/>
                <w:sz w:val="22"/>
                <w:szCs w:val="22"/>
              </w:rPr>
              <w:t>3, pp. 2-3.</w:t>
            </w:r>
          </w:p>
          <w:p w:rsidR="004A7F5C" w:rsidRPr="004F74FC" w:rsidRDefault="004A7F5C" w:rsidP="004A7F5C">
            <w:pPr>
              <w:spacing w:before="120"/>
              <w:rPr>
                <w:color w:val="000000"/>
                <w:sz w:val="22"/>
                <w:szCs w:val="22"/>
              </w:rPr>
            </w:pPr>
            <w:r w:rsidRPr="004F74FC">
              <w:rPr>
                <w:color w:val="000000"/>
                <w:sz w:val="22"/>
                <w:szCs w:val="22"/>
              </w:rPr>
              <w:t>Comments of CFC on the PD on the Requirements of CA Public Utilities Code Section 745 for Default TOU Rates for Residential Customers, pp. 4-5.</w:t>
            </w:r>
          </w:p>
          <w:p w:rsidR="0094590C" w:rsidRPr="004F74FC" w:rsidRDefault="0094590C" w:rsidP="00A92D0B">
            <w:pPr>
              <w:spacing w:before="120"/>
              <w:rPr>
                <w:color w:val="000000"/>
                <w:sz w:val="22"/>
                <w:szCs w:val="22"/>
              </w:rPr>
            </w:pPr>
            <w:r w:rsidRPr="004F74FC">
              <w:rPr>
                <w:color w:val="000000"/>
                <w:sz w:val="22"/>
                <w:szCs w:val="22"/>
              </w:rPr>
              <w:t xml:space="preserve">Opening Comments of CFC on the PD Adopting Findings Required Pursuant to PUCode Section 745 for Implementing Residential TOU Rates, p. 4. </w:t>
            </w:r>
          </w:p>
          <w:p w:rsidR="00921FD3" w:rsidRDefault="00961CC5" w:rsidP="00A92D0B">
            <w:pPr>
              <w:spacing w:before="120"/>
              <w:rPr>
                <w:color w:val="000000"/>
                <w:sz w:val="22"/>
                <w:szCs w:val="22"/>
              </w:rPr>
            </w:pPr>
            <w:r w:rsidRPr="004F74FC">
              <w:rPr>
                <w:color w:val="000000"/>
                <w:sz w:val="22"/>
                <w:szCs w:val="22"/>
              </w:rPr>
              <w:t>D.16-09-016, pp.</w:t>
            </w:r>
            <w:r>
              <w:rPr>
                <w:color w:val="000000"/>
                <w:sz w:val="22"/>
                <w:szCs w:val="22"/>
              </w:rPr>
              <w:t>7-9.</w:t>
            </w:r>
          </w:p>
          <w:p w:rsidR="00073AEA" w:rsidRPr="004F74FC" w:rsidRDefault="00073AEA" w:rsidP="00A92D0B">
            <w:pPr>
              <w:spacing w:before="120"/>
              <w:rPr>
                <w:color w:val="000000"/>
                <w:sz w:val="22"/>
                <w:szCs w:val="22"/>
              </w:rPr>
            </w:pPr>
            <w:r>
              <w:rPr>
                <w:color w:val="000000"/>
                <w:sz w:val="22"/>
                <w:szCs w:val="22"/>
              </w:rPr>
              <w:t>D. 17-09-036, p. 33.</w:t>
            </w:r>
          </w:p>
          <w:p w:rsidR="00921FD3" w:rsidRPr="004F74FC" w:rsidRDefault="00921FD3" w:rsidP="00A92D0B">
            <w:pPr>
              <w:spacing w:before="120"/>
              <w:rPr>
                <w:color w:val="000000"/>
                <w:sz w:val="22"/>
                <w:szCs w:val="22"/>
              </w:rPr>
            </w:pPr>
          </w:p>
          <w:p w:rsidR="00886589" w:rsidRPr="004F74FC" w:rsidRDefault="0082477E" w:rsidP="00A92D0B">
            <w:pPr>
              <w:spacing w:before="120"/>
              <w:rPr>
                <w:color w:val="000000"/>
                <w:sz w:val="22"/>
                <w:szCs w:val="22"/>
              </w:rPr>
            </w:pPr>
            <w:r w:rsidRPr="004F74FC">
              <w:rPr>
                <w:color w:val="000000"/>
                <w:sz w:val="22"/>
                <w:szCs w:val="22"/>
              </w:rPr>
              <w:t>Opening Brief of CFC on the Commission’s Examination of PUCode Section 745 Issues, pp</w:t>
            </w:r>
            <w:r w:rsidR="00310C58" w:rsidRPr="004F74FC">
              <w:rPr>
                <w:color w:val="000000"/>
                <w:sz w:val="22"/>
                <w:szCs w:val="22"/>
              </w:rPr>
              <w:t>.</w:t>
            </w:r>
            <w:r w:rsidRPr="004F74FC">
              <w:rPr>
                <w:color w:val="000000"/>
                <w:sz w:val="22"/>
                <w:szCs w:val="22"/>
              </w:rPr>
              <w:t xml:space="preserve"> 2-5.</w:t>
            </w:r>
          </w:p>
          <w:p w:rsidR="00A92D0B" w:rsidRDefault="0094590C" w:rsidP="00A92D0B">
            <w:pPr>
              <w:spacing w:before="120"/>
              <w:rPr>
                <w:color w:val="000000"/>
                <w:sz w:val="22"/>
                <w:szCs w:val="22"/>
              </w:rPr>
            </w:pPr>
            <w:r w:rsidRPr="004F74FC">
              <w:rPr>
                <w:color w:val="000000"/>
                <w:sz w:val="22"/>
                <w:szCs w:val="22"/>
              </w:rPr>
              <w:t xml:space="preserve">Opening Comments of CFC on the PD Adopting Findings Required Pursuant to PUCode Section 745 for Implementing Residential TOU Rates, </w:t>
            </w:r>
            <w:r w:rsidR="00886589" w:rsidRPr="004F74FC">
              <w:rPr>
                <w:color w:val="000000"/>
                <w:sz w:val="22"/>
                <w:szCs w:val="22"/>
              </w:rPr>
              <w:t>p.4</w:t>
            </w:r>
          </w:p>
          <w:p w:rsidR="00EF1E60" w:rsidRDefault="003A48AA" w:rsidP="00A92D0B">
            <w:pPr>
              <w:spacing w:before="120"/>
              <w:rPr>
                <w:color w:val="000000"/>
                <w:sz w:val="22"/>
                <w:szCs w:val="22"/>
              </w:rPr>
            </w:pPr>
            <w:r w:rsidRPr="004F74FC">
              <w:rPr>
                <w:color w:val="000000"/>
                <w:sz w:val="22"/>
                <w:szCs w:val="22"/>
              </w:rPr>
              <w:t>D.16-09-016, pp.</w:t>
            </w:r>
            <w:r>
              <w:rPr>
                <w:color w:val="000000"/>
                <w:sz w:val="22"/>
                <w:szCs w:val="22"/>
              </w:rPr>
              <w:t xml:space="preserve"> 14, 22.</w:t>
            </w:r>
          </w:p>
          <w:p w:rsidR="00073AEA" w:rsidRPr="004F74FC" w:rsidRDefault="00230463" w:rsidP="00A92D0B">
            <w:pPr>
              <w:spacing w:before="120"/>
              <w:rPr>
                <w:color w:val="000000"/>
                <w:sz w:val="22"/>
                <w:szCs w:val="22"/>
              </w:rPr>
            </w:pPr>
            <w:r>
              <w:rPr>
                <w:color w:val="000000"/>
                <w:sz w:val="22"/>
                <w:szCs w:val="22"/>
              </w:rPr>
              <w:t>D. 17-09-036, pp. 20</w:t>
            </w:r>
            <w:r>
              <w:rPr>
                <w:color w:val="000000"/>
                <w:sz w:val="22"/>
                <w:szCs w:val="22"/>
              </w:rPr>
              <w:noBreakHyphen/>
            </w:r>
            <w:r w:rsidR="00073AEA">
              <w:rPr>
                <w:color w:val="000000"/>
                <w:sz w:val="22"/>
                <w:szCs w:val="22"/>
              </w:rPr>
              <w:t>23.</w:t>
            </w:r>
          </w:p>
        </w:tc>
        <w:tc>
          <w:tcPr>
            <w:tcW w:w="2250" w:type="dxa"/>
            <w:shd w:val="clear" w:color="auto" w:fill="auto"/>
          </w:tcPr>
          <w:p w:rsidR="00E9534A" w:rsidRPr="007F620E" w:rsidRDefault="00282BDF" w:rsidP="00E9534A">
            <w:pPr>
              <w:spacing w:before="120"/>
              <w:rPr>
                <w:color w:val="000000"/>
              </w:rPr>
            </w:pPr>
            <w:r>
              <w:rPr>
                <w:color w:val="000000"/>
              </w:rPr>
              <w:lastRenderedPageBreak/>
              <w:t>V</w:t>
            </w:r>
            <w:r w:rsidR="00320388">
              <w:rPr>
                <w:color w:val="000000"/>
              </w:rPr>
              <w:t>erified</w:t>
            </w:r>
            <w:r w:rsidR="00ED6217">
              <w:rPr>
                <w:color w:val="000000"/>
              </w:rPr>
              <w:t xml:space="preserve">.  However, </w:t>
            </w:r>
            <w:r w:rsidR="00227644" w:rsidRPr="00325E92">
              <w:rPr>
                <w:color w:val="000000"/>
              </w:rPr>
              <w:t>CFC Foundation</w:t>
            </w:r>
            <w:r w:rsidR="00ED6217">
              <w:rPr>
                <w:color w:val="000000"/>
              </w:rPr>
              <w:t xml:space="preserve">’s contributions to D.16-09-016 were duplicative of arguments by other intervenors.  For example, TURN provided detailed argument for why </w:t>
            </w:r>
            <w:r w:rsidR="00ED6217">
              <w:rPr>
                <w:color w:val="000000"/>
              </w:rPr>
              <w:lastRenderedPageBreak/>
              <w:t xml:space="preserve">these customers should be studied.  In contrast, </w:t>
            </w:r>
            <w:r w:rsidR="00227644" w:rsidRPr="00325E92">
              <w:rPr>
                <w:color w:val="000000"/>
              </w:rPr>
              <w:t>CFC Foundation</w:t>
            </w:r>
            <w:r w:rsidR="00227644" w:rsidDel="00227644">
              <w:rPr>
                <w:color w:val="000000"/>
              </w:rPr>
              <w:t xml:space="preserve"> </w:t>
            </w:r>
            <w:r w:rsidR="00ED6217">
              <w:rPr>
                <w:color w:val="000000"/>
              </w:rPr>
              <w:t xml:space="preserve">provided a few paragaphs.  </w:t>
            </w:r>
            <w:r w:rsidR="00E9534A">
              <w:rPr>
                <w:color w:val="000000"/>
              </w:rPr>
              <w:t>Regarding the categories of customers that should be studied to comply with Section 745(c)(2), D.16-09-016 states, “CforAT, ORA, UCAN and TURN, agree that CARE and FERA customers are “economically vulnerable,” but they argue such as construction is too narrow.”  (D.16-09-016 at 7).  Regarding using “energy burden” as a test under Section 745(d) and 745(2), D.16-09-016 quotes TURN.  (D.16-</w:t>
            </w:r>
            <w:r w:rsidR="00B444B1">
              <w:rPr>
                <w:color w:val="000000"/>
              </w:rPr>
              <w:t>09-016 at 22).</w:t>
            </w:r>
          </w:p>
        </w:tc>
      </w:tr>
    </w:tbl>
    <w:p w:rsidR="00A92D0B" w:rsidRPr="007F620E" w:rsidRDefault="00A92D0B">
      <w:pPr>
        <w:rPr>
          <w:color w:val="000000"/>
        </w:rPr>
      </w:pPr>
    </w:p>
    <w:p w:rsidR="00A92D0B" w:rsidRPr="007F620E" w:rsidRDefault="00A92D0B" w:rsidP="00DE3A5D">
      <w:pPr>
        <w:keepNext/>
        <w:keepLines/>
        <w:numPr>
          <w:ilvl w:val="0"/>
          <w:numId w:val="1"/>
        </w:numPr>
        <w:tabs>
          <w:tab w:val="clear" w:pos="900"/>
          <w:tab w:val="num" w:pos="360"/>
        </w:tabs>
        <w:spacing w:after="120"/>
        <w:ind w:left="360"/>
        <w:rPr>
          <w:b/>
          <w:color w:val="000000"/>
        </w:rPr>
      </w:pPr>
      <w:r w:rsidRPr="007F620E">
        <w:rPr>
          <w:b/>
          <w:color w:val="000000"/>
        </w:rPr>
        <w:lastRenderedPageBreak/>
        <w:t xml:space="preserve">Duplication of Effort (§ 1801.3(f) </w:t>
      </w:r>
      <w:r w:rsidR="00F30DA8" w:rsidRPr="007F620E">
        <w:rPr>
          <w:b/>
          <w:color w:val="000000"/>
        </w:rPr>
        <w:t xml:space="preserve">and § </w:t>
      </w:r>
      <w:r w:rsidRPr="007F620E">
        <w:rPr>
          <w:b/>
          <w:color w:val="000000"/>
        </w:rPr>
        <w:t>1802.5):</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530"/>
        <w:gridCol w:w="2070"/>
      </w:tblGrid>
      <w:tr w:rsidR="00A92D0B" w:rsidRPr="007F620E" w:rsidTr="00DE18A5">
        <w:tc>
          <w:tcPr>
            <w:tcW w:w="5148" w:type="dxa"/>
            <w:shd w:val="clear" w:color="auto" w:fill="auto"/>
          </w:tcPr>
          <w:p w:rsidR="00A92D0B" w:rsidRPr="007F620E" w:rsidRDefault="00A92D0B" w:rsidP="00DE3A5D">
            <w:pPr>
              <w:keepNext/>
              <w:keepLines/>
              <w:spacing w:before="120"/>
              <w:rPr>
                <w:color w:val="000000"/>
              </w:rPr>
            </w:pPr>
          </w:p>
        </w:tc>
        <w:tc>
          <w:tcPr>
            <w:tcW w:w="1530" w:type="dxa"/>
            <w:tcBorders>
              <w:bottom w:val="single" w:sz="4" w:space="0" w:color="auto"/>
            </w:tcBorders>
            <w:shd w:val="clear" w:color="auto" w:fill="auto"/>
          </w:tcPr>
          <w:p w:rsidR="00A92D0B" w:rsidRPr="007F620E" w:rsidRDefault="005A63D4" w:rsidP="00DE3A5D">
            <w:pPr>
              <w:keepNext/>
              <w:keepLines/>
              <w:spacing w:before="120"/>
              <w:jc w:val="center"/>
              <w:rPr>
                <w:b/>
                <w:color w:val="000000"/>
              </w:rPr>
            </w:pPr>
            <w:r w:rsidRPr="007F620E">
              <w:rPr>
                <w:b/>
                <w:color w:val="000000"/>
              </w:rPr>
              <w:t>Interveno</w:t>
            </w:r>
            <w:r w:rsidR="00204E3A" w:rsidRPr="007F620E">
              <w:rPr>
                <w:b/>
                <w:color w:val="000000"/>
              </w:rPr>
              <w:t>r</w:t>
            </w:r>
            <w:r w:rsidRPr="007F620E">
              <w:rPr>
                <w:b/>
                <w:color w:val="000000"/>
              </w:rPr>
              <w:t xml:space="preserve">’s </w:t>
            </w:r>
            <w:r w:rsidR="00D075B1" w:rsidRPr="007F620E">
              <w:rPr>
                <w:b/>
                <w:color w:val="000000"/>
              </w:rPr>
              <w:t>Assertion</w:t>
            </w:r>
          </w:p>
        </w:tc>
        <w:tc>
          <w:tcPr>
            <w:tcW w:w="2070" w:type="dxa"/>
            <w:shd w:val="clear" w:color="auto" w:fill="auto"/>
          </w:tcPr>
          <w:p w:rsidR="00A92D0B" w:rsidRPr="007F620E" w:rsidRDefault="00A92D0B" w:rsidP="00D075B1">
            <w:pPr>
              <w:keepNext/>
              <w:keepLines/>
              <w:spacing w:before="120"/>
              <w:jc w:val="center"/>
              <w:rPr>
                <w:b/>
                <w:color w:val="000000"/>
              </w:rPr>
            </w:pPr>
            <w:r w:rsidRPr="007F620E">
              <w:rPr>
                <w:b/>
                <w:color w:val="000000"/>
              </w:rPr>
              <w:t xml:space="preserve">CPUC </w:t>
            </w:r>
            <w:r w:rsidR="00D075B1" w:rsidRPr="007F620E">
              <w:rPr>
                <w:b/>
                <w:color w:val="000000"/>
              </w:rPr>
              <w:t>Discussion</w:t>
            </w:r>
          </w:p>
        </w:tc>
      </w:tr>
      <w:tr w:rsidR="00A92D0B" w:rsidRPr="007F620E" w:rsidTr="00DE18A5">
        <w:tc>
          <w:tcPr>
            <w:tcW w:w="5148" w:type="dxa"/>
            <w:shd w:val="clear" w:color="auto" w:fill="auto"/>
          </w:tcPr>
          <w:p w:rsidR="00A92D0B" w:rsidRPr="007F620E" w:rsidRDefault="00A92D0B" w:rsidP="00DE3A5D">
            <w:pPr>
              <w:keepNext/>
              <w:keepLines/>
              <w:spacing w:before="120"/>
              <w:ind w:left="360" w:hanging="360"/>
              <w:rPr>
                <w:b/>
                <w:color w:val="000000"/>
              </w:rPr>
            </w:pPr>
            <w:r w:rsidRPr="007F620E">
              <w:rPr>
                <w:b/>
                <w:color w:val="000000"/>
              </w:rPr>
              <w:t>a.</w:t>
            </w:r>
            <w:r w:rsidRPr="007F620E">
              <w:rPr>
                <w:b/>
                <w:color w:val="000000"/>
              </w:rPr>
              <w:tab/>
            </w:r>
            <w:r w:rsidRPr="007F620E">
              <w:rPr>
                <w:b/>
              </w:rPr>
              <w:t xml:space="preserve">Was the </w:t>
            </w:r>
            <w:r w:rsidR="00B55CCD" w:rsidRPr="007F620E">
              <w:rPr>
                <w:b/>
              </w:rPr>
              <w:t xml:space="preserve">Office </w:t>
            </w:r>
            <w:r w:rsidRPr="007F620E">
              <w:rPr>
                <w:b/>
              </w:rPr>
              <w:t>of Ratepayer Advocates (</w:t>
            </w:r>
            <w:r w:rsidR="00003A49" w:rsidRPr="007F620E">
              <w:rPr>
                <w:b/>
              </w:rPr>
              <w:t>ORA</w:t>
            </w:r>
            <w:r w:rsidRPr="007F620E">
              <w:rPr>
                <w:b/>
              </w:rPr>
              <w:t>) a party to the proceeding</w:t>
            </w:r>
            <w:r w:rsidRPr="007F620E">
              <w:rPr>
                <w:b/>
                <w:color w:val="000000"/>
              </w:rPr>
              <w:t>?</w:t>
            </w:r>
          </w:p>
        </w:tc>
        <w:tc>
          <w:tcPr>
            <w:tcW w:w="1530" w:type="dxa"/>
            <w:shd w:val="clear" w:color="auto" w:fill="auto"/>
          </w:tcPr>
          <w:p w:rsidR="00A92D0B" w:rsidRPr="00282BDF" w:rsidRDefault="00AE5540" w:rsidP="00DE3A5D">
            <w:pPr>
              <w:keepNext/>
              <w:keepLines/>
              <w:spacing w:before="120"/>
              <w:rPr>
                <w:color w:val="000000"/>
              </w:rPr>
            </w:pPr>
            <w:r w:rsidRPr="00282BDF">
              <w:rPr>
                <w:color w:val="000000"/>
              </w:rPr>
              <w:t>Yes</w:t>
            </w:r>
          </w:p>
        </w:tc>
        <w:tc>
          <w:tcPr>
            <w:tcW w:w="2070" w:type="dxa"/>
            <w:shd w:val="clear" w:color="auto" w:fill="auto"/>
          </w:tcPr>
          <w:p w:rsidR="00A92D0B" w:rsidRPr="00282BDF" w:rsidRDefault="00282BDF" w:rsidP="00DE3A5D">
            <w:pPr>
              <w:keepNext/>
              <w:keepLines/>
              <w:spacing w:before="120"/>
              <w:rPr>
                <w:color w:val="000000"/>
              </w:rPr>
            </w:pPr>
            <w:r>
              <w:rPr>
                <w:color w:val="000000"/>
              </w:rPr>
              <w:t>V</w:t>
            </w:r>
            <w:r w:rsidR="00320388" w:rsidRPr="00282BDF">
              <w:rPr>
                <w:color w:val="000000"/>
              </w:rPr>
              <w:t>erified</w:t>
            </w:r>
          </w:p>
        </w:tc>
      </w:tr>
      <w:tr w:rsidR="00A92D0B" w:rsidRPr="007F620E" w:rsidTr="00DE18A5">
        <w:tc>
          <w:tcPr>
            <w:tcW w:w="5148" w:type="dxa"/>
            <w:shd w:val="clear" w:color="auto" w:fill="auto"/>
          </w:tcPr>
          <w:p w:rsidR="00A92D0B" w:rsidRPr="007F620E" w:rsidRDefault="00A92D0B" w:rsidP="00A92D0B">
            <w:pPr>
              <w:tabs>
                <w:tab w:val="left" w:pos="360"/>
              </w:tabs>
              <w:spacing w:before="120"/>
              <w:ind w:left="360" w:hanging="360"/>
              <w:rPr>
                <w:b/>
                <w:color w:val="000000"/>
              </w:rPr>
            </w:pPr>
            <w:r w:rsidRPr="007F620E">
              <w:rPr>
                <w:b/>
                <w:color w:val="000000"/>
              </w:rPr>
              <w:t>b.</w:t>
            </w:r>
            <w:r w:rsidRPr="007F620E">
              <w:rPr>
                <w:b/>
                <w:color w:val="000000"/>
              </w:rPr>
              <w:tab/>
              <w:t xml:space="preserve">Were there other parties to the proceeding with positions similar to yours? </w:t>
            </w:r>
          </w:p>
        </w:tc>
        <w:tc>
          <w:tcPr>
            <w:tcW w:w="1530" w:type="dxa"/>
            <w:shd w:val="clear" w:color="auto" w:fill="auto"/>
          </w:tcPr>
          <w:p w:rsidR="00A92D0B" w:rsidRPr="00282BDF" w:rsidRDefault="00AE5540" w:rsidP="00A92D0B">
            <w:pPr>
              <w:spacing w:before="120"/>
              <w:rPr>
                <w:color w:val="000000"/>
              </w:rPr>
            </w:pPr>
            <w:r w:rsidRPr="00282BDF">
              <w:rPr>
                <w:color w:val="000000"/>
              </w:rPr>
              <w:t>Yes</w:t>
            </w:r>
          </w:p>
        </w:tc>
        <w:tc>
          <w:tcPr>
            <w:tcW w:w="2070" w:type="dxa"/>
            <w:shd w:val="clear" w:color="auto" w:fill="auto"/>
          </w:tcPr>
          <w:p w:rsidR="00A92D0B" w:rsidRPr="00282BDF" w:rsidRDefault="00282BDF" w:rsidP="00A92D0B">
            <w:pPr>
              <w:spacing w:before="120"/>
              <w:rPr>
                <w:color w:val="000000"/>
              </w:rPr>
            </w:pPr>
            <w:r>
              <w:rPr>
                <w:color w:val="000000"/>
              </w:rPr>
              <w:t>V</w:t>
            </w:r>
            <w:r w:rsidR="00320388" w:rsidRPr="00282BDF">
              <w:rPr>
                <w:color w:val="000000"/>
              </w:rPr>
              <w:t>erified</w:t>
            </w:r>
          </w:p>
        </w:tc>
      </w:tr>
      <w:tr w:rsidR="00A92D0B" w:rsidRPr="007F620E" w:rsidTr="00DE18A5">
        <w:tc>
          <w:tcPr>
            <w:tcW w:w="6678" w:type="dxa"/>
            <w:gridSpan w:val="2"/>
            <w:shd w:val="clear" w:color="auto" w:fill="auto"/>
          </w:tcPr>
          <w:p w:rsidR="00A92D0B" w:rsidRPr="007F620E" w:rsidRDefault="00A92D0B" w:rsidP="00A92D0B">
            <w:pPr>
              <w:spacing w:before="120"/>
              <w:ind w:left="360" w:hanging="360"/>
              <w:rPr>
                <w:b/>
                <w:color w:val="000000"/>
              </w:rPr>
            </w:pPr>
            <w:r w:rsidRPr="007F620E">
              <w:rPr>
                <w:b/>
                <w:color w:val="000000"/>
              </w:rPr>
              <w:t>c.</w:t>
            </w:r>
            <w:r w:rsidRPr="007F620E">
              <w:rPr>
                <w:b/>
                <w:color w:val="000000"/>
              </w:rPr>
              <w:tab/>
              <w:t>If so, provide name of other parties:</w:t>
            </w:r>
          </w:p>
          <w:p w:rsidR="00A92D0B" w:rsidRPr="00282BDF" w:rsidRDefault="00AE5540" w:rsidP="00230463">
            <w:pPr>
              <w:spacing w:before="120"/>
              <w:ind w:left="360"/>
              <w:rPr>
                <w:color w:val="000000"/>
              </w:rPr>
            </w:pPr>
            <w:r w:rsidRPr="00282BDF">
              <w:rPr>
                <w:color w:val="000000"/>
              </w:rPr>
              <w:t>TURN</w:t>
            </w:r>
          </w:p>
        </w:tc>
        <w:tc>
          <w:tcPr>
            <w:tcW w:w="2070" w:type="dxa"/>
            <w:shd w:val="clear" w:color="auto" w:fill="auto"/>
          </w:tcPr>
          <w:p w:rsidR="00A92D0B" w:rsidRPr="00282BDF" w:rsidRDefault="00282BDF" w:rsidP="00A92D0B">
            <w:pPr>
              <w:spacing w:before="120"/>
              <w:rPr>
                <w:color w:val="000000"/>
              </w:rPr>
            </w:pPr>
            <w:r>
              <w:rPr>
                <w:color w:val="000000"/>
              </w:rPr>
              <w:t>Verified</w:t>
            </w:r>
          </w:p>
        </w:tc>
      </w:tr>
      <w:tr w:rsidR="00A92D0B" w:rsidRPr="007F620E" w:rsidTr="00DE18A5">
        <w:tc>
          <w:tcPr>
            <w:tcW w:w="6678" w:type="dxa"/>
            <w:gridSpan w:val="2"/>
            <w:shd w:val="clear" w:color="auto" w:fill="auto"/>
          </w:tcPr>
          <w:p w:rsidR="00A92D0B" w:rsidRPr="007F620E" w:rsidRDefault="00A92D0B" w:rsidP="00A92D0B">
            <w:pPr>
              <w:tabs>
                <w:tab w:val="left" w:pos="360"/>
              </w:tabs>
              <w:spacing w:before="120"/>
              <w:ind w:left="360" w:hanging="360"/>
              <w:rPr>
                <w:b/>
                <w:color w:val="000000"/>
              </w:rPr>
            </w:pPr>
            <w:r w:rsidRPr="007F620E">
              <w:rPr>
                <w:b/>
                <w:color w:val="000000"/>
              </w:rPr>
              <w:t>d.</w:t>
            </w:r>
            <w:r w:rsidRPr="007F620E">
              <w:rPr>
                <w:b/>
                <w:color w:val="000000"/>
              </w:rPr>
              <w:tab/>
            </w:r>
            <w:r w:rsidR="00D075B1" w:rsidRPr="007F620E">
              <w:rPr>
                <w:b/>
                <w:color w:val="000000"/>
              </w:rPr>
              <w:t xml:space="preserve">Intervenor’s </w:t>
            </w:r>
            <w:r w:rsidR="00A319DE" w:rsidRPr="007F620E">
              <w:rPr>
                <w:b/>
                <w:color w:val="000000"/>
              </w:rPr>
              <w:t>c</w:t>
            </w:r>
            <w:r w:rsidR="00D075B1" w:rsidRPr="007F620E">
              <w:rPr>
                <w:b/>
                <w:color w:val="000000"/>
              </w:rPr>
              <w:t xml:space="preserve">laim of </w:t>
            </w:r>
            <w:r w:rsidR="00A319DE" w:rsidRPr="007F620E">
              <w:rPr>
                <w:b/>
                <w:color w:val="000000"/>
              </w:rPr>
              <w:t>n</w:t>
            </w:r>
            <w:r w:rsidR="00D075B1" w:rsidRPr="007F620E">
              <w:rPr>
                <w:b/>
                <w:color w:val="000000"/>
              </w:rPr>
              <w:t>on-</w:t>
            </w:r>
            <w:r w:rsidR="00A319DE" w:rsidRPr="007F620E">
              <w:rPr>
                <w:b/>
                <w:color w:val="000000"/>
              </w:rPr>
              <w:t>d</w:t>
            </w:r>
            <w:r w:rsidR="00D075B1" w:rsidRPr="007F620E">
              <w:rPr>
                <w:b/>
                <w:color w:val="000000"/>
              </w:rPr>
              <w:t>uplication:</w:t>
            </w:r>
          </w:p>
          <w:p w:rsidR="00AE5540" w:rsidRPr="001E3ECB" w:rsidRDefault="00AE5540" w:rsidP="00AE5540">
            <w:pPr>
              <w:tabs>
                <w:tab w:val="left" w:pos="360"/>
              </w:tabs>
              <w:spacing w:before="120"/>
              <w:ind w:left="360"/>
              <w:rPr>
                <w:color w:val="000000"/>
              </w:rPr>
            </w:pPr>
            <w:r w:rsidRPr="001E3ECB">
              <w:rPr>
                <w:color w:val="000000"/>
              </w:rPr>
              <w:t xml:space="preserve">CFC took positions in this matter that reflect its consumer protection mission. While the IOUs and other entities with business interests in the various aspect of demand response were more concerned with the costs and expenses relating to profit and loss, CFC steadfastly fought for residential consumers. </w:t>
            </w:r>
          </w:p>
          <w:p w:rsidR="00AE5540" w:rsidRPr="001E3ECB" w:rsidRDefault="00AE5540" w:rsidP="00AE5540">
            <w:pPr>
              <w:tabs>
                <w:tab w:val="left" w:pos="360"/>
              </w:tabs>
              <w:spacing w:before="120"/>
              <w:ind w:left="360" w:hanging="360"/>
              <w:rPr>
                <w:color w:val="000000"/>
              </w:rPr>
            </w:pPr>
            <w:r w:rsidRPr="001E3ECB">
              <w:rPr>
                <w:color w:val="000000"/>
              </w:rPr>
              <w:tab/>
              <w:t>CFC communicated with parties on several occasions to discuss strategy and positions taken. Non-duplication was also discussed.</w:t>
            </w:r>
          </w:p>
          <w:p w:rsidR="00A92D0B" w:rsidRPr="007F620E" w:rsidRDefault="00AE5540" w:rsidP="00AE5540">
            <w:pPr>
              <w:tabs>
                <w:tab w:val="left" w:pos="360"/>
              </w:tabs>
              <w:spacing w:before="120"/>
              <w:ind w:left="360" w:hanging="360"/>
              <w:rPr>
                <w:b/>
                <w:color w:val="000000"/>
              </w:rPr>
            </w:pPr>
            <w:r w:rsidRPr="001E3ECB">
              <w:rPr>
                <w:color w:val="000000"/>
              </w:rPr>
              <w:tab/>
              <w:t>The specific concerns of CFC and other intervenors were sufficiently divergent that there was very little overlap in positions taken on the issues.</w:t>
            </w:r>
          </w:p>
        </w:tc>
        <w:tc>
          <w:tcPr>
            <w:tcW w:w="2070" w:type="dxa"/>
            <w:shd w:val="clear" w:color="auto" w:fill="auto"/>
          </w:tcPr>
          <w:p w:rsidR="00A92D0B" w:rsidRPr="007D5AD0" w:rsidRDefault="00B444B1" w:rsidP="007D5AD0">
            <w:pPr>
              <w:spacing w:before="120"/>
              <w:ind w:left="-18" w:firstLine="18"/>
              <w:rPr>
                <w:sz w:val="23"/>
                <w:szCs w:val="23"/>
              </w:rPr>
            </w:pPr>
            <w:r>
              <w:rPr>
                <w:color w:val="000000"/>
              </w:rPr>
              <w:t>False.  As described above, CforAT, TURN, UCAN and ORA all focused on residential consumers.</w:t>
            </w:r>
            <w:r w:rsidR="00E95069">
              <w:rPr>
                <w:color w:val="000000"/>
              </w:rPr>
              <w:t xml:space="preserve"> It is difficult to understand why </w:t>
            </w:r>
            <w:r w:rsidR="00227644" w:rsidRPr="00325E92">
              <w:rPr>
                <w:color w:val="000000"/>
              </w:rPr>
              <w:t>CFC Foundation</w:t>
            </w:r>
            <w:r w:rsidR="00227644" w:rsidDel="00227644">
              <w:rPr>
                <w:color w:val="000000"/>
              </w:rPr>
              <w:t xml:space="preserve"> </w:t>
            </w:r>
            <w:r w:rsidR="00E95069">
              <w:rPr>
                <w:color w:val="000000"/>
              </w:rPr>
              <w:t xml:space="preserve">continues to disregard the contributions of other consumer advocates. The extent of duplication is remarkable and suggests that </w:t>
            </w:r>
            <w:r w:rsidR="00227644" w:rsidRPr="00325E92">
              <w:rPr>
                <w:color w:val="000000"/>
              </w:rPr>
              <w:t>CFC Foundation</w:t>
            </w:r>
            <w:r w:rsidR="00227644" w:rsidDel="00227644">
              <w:rPr>
                <w:color w:val="000000"/>
              </w:rPr>
              <w:t xml:space="preserve"> </w:t>
            </w:r>
            <w:r w:rsidR="00E95069">
              <w:rPr>
                <w:color w:val="000000"/>
              </w:rPr>
              <w:t xml:space="preserve">did not make any real effort to prevent duplication and instead takes credit for the contributions of others.  This is particularly disappointing because </w:t>
            </w:r>
            <w:r w:rsidR="00227644" w:rsidRPr="00325E92">
              <w:rPr>
                <w:color w:val="000000"/>
              </w:rPr>
              <w:t>CFC Foundation</w:t>
            </w:r>
            <w:r w:rsidR="00227644" w:rsidDel="00227644">
              <w:rPr>
                <w:color w:val="000000"/>
              </w:rPr>
              <w:t xml:space="preserve"> </w:t>
            </w:r>
            <w:r w:rsidR="00E95069">
              <w:rPr>
                <w:color w:val="000000"/>
              </w:rPr>
              <w:t xml:space="preserve">should be aware of the existence of the other parties </w:t>
            </w:r>
            <w:r w:rsidR="00E95069">
              <w:rPr>
                <w:color w:val="000000"/>
              </w:rPr>
              <w:lastRenderedPageBreak/>
              <w:t xml:space="preserve">because it was </w:t>
            </w:r>
            <w:r>
              <w:rPr>
                <w:color w:val="000000"/>
              </w:rPr>
              <w:t xml:space="preserve">expressly noted </w:t>
            </w:r>
            <w:r w:rsidR="00E95069">
              <w:rPr>
                <w:color w:val="000000"/>
              </w:rPr>
              <w:t xml:space="preserve">in D.17-09-033 (Granting Compensation to CFC for D.15-07-001 and D.14-06-029).  There we identified other active consumer groups (Greenlining, CforAT and UCAN) and noted that </w:t>
            </w:r>
            <w:r w:rsidR="007D5AD0">
              <w:rPr>
                <w:color w:val="000000"/>
              </w:rPr>
              <w:t>“</w:t>
            </w:r>
            <w:r w:rsidR="00E95069">
              <w:rPr>
                <w:sz w:val="23"/>
                <w:szCs w:val="23"/>
              </w:rPr>
              <w:t>it is false to state that other parties were merely interested in profit margins.</w:t>
            </w:r>
            <w:r w:rsidR="007D5AD0">
              <w:rPr>
                <w:sz w:val="23"/>
                <w:szCs w:val="23"/>
              </w:rPr>
              <w:t>” (D.17-09-033 at 6).</w:t>
            </w:r>
          </w:p>
        </w:tc>
      </w:tr>
    </w:tbl>
    <w:p w:rsidR="00A92D0B" w:rsidRPr="007F620E" w:rsidRDefault="00A92D0B">
      <w:pPr>
        <w:rPr>
          <w:color w:val="000000"/>
        </w:rPr>
      </w:pPr>
    </w:p>
    <w:p w:rsidR="00A92D0B" w:rsidRPr="007F620E" w:rsidRDefault="00A92D0B" w:rsidP="00282BDF">
      <w:pPr>
        <w:numPr>
          <w:ilvl w:val="0"/>
          <w:numId w:val="1"/>
        </w:numPr>
        <w:tabs>
          <w:tab w:val="clear" w:pos="900"/>
          <w:tab w:val="num" w:pos="360"/>
        </w:tabs>
        <w:spacing w:after="240"/>
        <w:ind w:left="360"/>
        <w:rPr>
          <w:b/>
          <w:color w:val="000000"/>
        </w:rPr>
      </w:pPr>
      <w:r w:rsidRPr="007F620E">
        <w:rPr>
          <w:b/>
          <w:color w:val="000000"/>
        </w:rPr>
        <w:t>Additional Comments on Part II:</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5679"/>
        <w:gridCol w:w="2160"/>
      </w:tblGrid>
      <w:tr w:rsidR="00963EEF" w:rsidRPr="007F620E" w:rsidTr="00DE18A5">
        <w:trPr>
          <w:trHeight w:val="750"/>
        </w:trPr>
        <w:tc>
          <w:tcPr>
            <w:tcW w:w="999" w:type="dxa"/>
            <w:tcBorders>
              <w:bottom w:val="single" w:sz="4" w:space="0" w:color="auto"/>
            </w:tcBorders>
            <w:shd w:val="clear" w:color="auto" w:fill="auto"/>
          </w:tcPr>
          <w:p w:rsidR="00963EEF" w:rsidRPr="007F620E" w:rsidRDefault="00963EEF" w:rsidP="00A92D0B">
            <w:pPr>
              <w:tabs>
                <w:tab w:val="left" w:pos="360"/>
              </w:tabs>
              <w:spacing w:before="120"/>
              <w:jc w:val="center"/>
              <w:rPr>
                <w:b/>
                <w:color w:val="000000"/>
              </w:rPr>
            </w:pPr>
            <w:r w:rsidRPr="007F620E">
              <w:rPr>
                <w:b/>
                <w:color w:val="000000"/>
              </w:rPr>
              <w:t>#</w:t>
            </w:r>
          </w:p>
        </w:tc>
        <w:tc>
          <w:tcPr>
            <w:tcW w:w="5679" w:type="dxa"/>
            <w:tcBorders>
              <w:bottom w:val="single" w:sz="4" w:space="0" w:color="auto"/>
            </w:tcBorders>
            <w:shd w:val="clear" w:color="auto" w:fill="auto"/>
          </w:tcPr>
          <w:p w:rsidR="00963EEF" w:rsidRPr="007F620E" w:rsidRDefault="00963EEF" w:rsidP="00A92D0B">
            <w:pPr>
              <w:tabs>
                <w:tab w:val="left" w:pos="360"/>
              </w:tabs>
              <w:spacing w:before="120"/>
              <w:jc w:val="center"/>
              <w:rPr>
                <w:b/>
                <w:color w:val="000000"/>
              </w:rPr>
            </w:pPr>
            <w:r w:rsidRPr="007F620E">
              <w:rPr>
                <w:b/>
                <w:color w:val="000000"/>
              </w:rPr>
              <w:t>Intervenor’s Comment</w:t>
            </w:r>
          </w:p>
        </w:tc>
        <w:tc>
          <w:tcPr>
            <w:tcW w:w="2160" w:type="dxa"/>
            <w:shd w:val="clear" w:color="auto" w:fill="auto"/>
          </w:tcPr>
          <w:p w:rsidR="00963EEF" w:rsidRPr="007F620E" w:rsidRDefault="00963EEF" w:rsidP="00A92D0B">
            <w:pPr>
              <w:tabs>
                <w:tab w:val="left" w:pos="360"/>
              </w:tabs>
              <w:spacing w:before="120"/>
              <w:jc w:val="center"/>
              <w:rPr>
                <w:b/>
                <w:color w:val="000000"/>
              </w:rPr>
            </w:pPr>
            <w:r w:rsidRPr="007F620E">
              <w:rPr>
                <w:b/>
                <w:color w:val="000000"/>
              </w:rPr>
              <w:t>CPUC Discussion</w:t>
            </w:r>
          </w:p>
        </w:tc>
      </w:tr>
      <w:tr w:rsidR="00963EEF" w:rsidRPr="007F620E" w:rsidTr="00DE18A5">
        <w:trPr>
          <w:trHeight w:val="447"/>
        </w:trPr>
        <w:tc>
          <w:tcPr>
            <w:tcW w:w="999" w:type="dxa"/>
            <w:shd w:val="clear" w:color="auto" w:fill="auto"/>
          </w:tcPr>
          <w:p w:rsidR="00963EEF" w:rsidRPr="007F620E" w:rsidRDefault="00BC59DB" w:rsidP="00A92D0B">
            <w:pPr>
              <w:tabs>
                <w:tab w:val="left" w:pos="360"/>
              </w:tabs>
              <w:spacing w:before="120"/>
              <w:rPr>
                <w:color w:val="000000"/>
              </w:rPr>
            </w:pPr>
            <w:r>
              <w:rPr>
                <w:color w:val="000000"/>
              </w:rPr>
              <w:t xml:space="preserve">Part II-A: 1 and 2. </w:t>
            </w:r>
          </w:p>
        </w:tc>
        <w:tc>
          <w:tcPr>
            <w:tcW w:w="5679" w:type="dxa"/>
            <w:shd w:val="clear" w:color="auto" w:fill="auto"/>
          </w:tcPr>
          <w:p w:rsidR="00963EEF" w:rsidRPr="007F620E" w:rsidRDefault="00BC59DB" w:rsidP="00A92D0B">
            <w:pPr>
              <w:tabs>
                <w:tab w:val="left" w:pos="360"/>
              </w:tabs>
              <w:spacing w:before="120"/>
              <w:rPr>
                <w:color w:val="000000"/>
              </w:rPr>
            </w:pPr>
            <w:r>
              <w:rPr>
                <w:color w:val="000000"/>
              </w:rPr>
              <w:t xml:space="preserve">There is a great deal of overlap with both 745 and ME&amp;O issues throughout this proceeding. All ME&amp;O references here are to work on 745 issues, discussion, and contribution. Actual hours related to ME&amp;O work will be claimed in a separate compensation request once there is a final decision on that issue. </w:t>
            </w:r>
          </w:p>
        </w:tc>
        <w:tc>
          <w:tcPr>
            <w:tcW w:w="2160" w:type="dxa"/>
            <w:shd w:val="clear" w:color="auto" w:fill="auto"/>
          </w:tcPr>
          <w:p w:rsidR="00963EEF" w:rsidRPr="007F620E" w:rsidRDefault="00282BDF" w:rsidP="00A92D0B">
            <w:pPr>
              <w:tabs>
                <w:tab w:val="left" w:pos="360"/>
              </w:tabs>
              <w:spacing w:before="120"/>
              <w:rPr>
                <w:color w:val="000000"/>
              </w:rPr>
            </w:pPr>
            <w:r>
              <w:rPr>
                <w:color w:val="000000"/>
              </w:rPr>
              <w:t>V</w:t>
            </w:r>
            <w:r w:rsidR="00320388">
              <w:rPr>
                <w:color w:val="000000"/>
              </w:rPr>
              <w:t>erified</w:t>
            </w:r>
          </w:p>
        </w:tc>
      </w:tr>
    </w:tbl>
    <w:p w:rsidR="00A92D0B" w:rsidRDefault="00A92D0B" w:rsidP="00282BDF">
      <w:pPr>
        <w:tabs>
          <w:tab w:val="left" w:pos="1440"/>
        </w:tabs>
        <w:spacing w:after="120"/>
        <w:rPr>
          <w:color w:val="000000"/>
        </w:rPr>
      </w:pPr>
    </w:p>
    <w:p w:rsidR="00B312DA" w:rsidRPr="007F620E" w:rsidRDefault="00A92D0B">
      <w:pPr>
        <w:tabs>
          <w:tab w:val="left" w:pos="1260"/>
        </w:tabs>
        <w:ind w:left="1260" w:hanging="1260"/>
        <w:rPr>
          <w:b/>
          <w:color w:val="000000"/>
        </w:rPr>
      </w:pPr>
      <w:r w:rsidRPr="007F620E">
        <w:rPr>
          <w:b/>
          <w:color w:val="000000"/>
        </w:rPr>
        <w:t>PART III:</w:t>
      </w:r>
      <w:r w:rsidRPr="007F620E">
        <w:rPr>
          <w:b/>
          <w:color w:val="000000"/>
        </w:rPr>
        <w:tab/>
        <w:t xml:space="preserve">REASONABLENESS OF REQUESTED COMPENSATION </w:t>
      </w:r>
    </w:p>
    <w:p w:rsidR="00A92D0B" w:rsidRPr="007F620E" w:rsidRDefault="00A92D0B">
      <w:pPr>
        <w:rPr>
          <w:color w:val="000000"/>
        </w:rPr>
      </w:pPr>
    </w:p>
    <w:p w:rsidR="00A92D0B" w:rsidRPr="007F620E" w:rsidRDefault="00A92D0B">
      <w:pPr>
        <w:numPr>
          <w:ilvl w:val="0"/>
          <w:numId w:val="2"/>
        </w:numPr>
        <w:tabs>
          <w:tab w:val="clear" w:pos="900"/>
          <w:tab w:val="num" w:pos="360"/>
        </w:tabs>
        <w:spacing w:after="120"/>
        <w:ind w:left="360"/>
        <w:rPr>
          <w:b/>
          <w:color w:val="000000"/>
        </w:rPr>
      </w:pPr>
      <w:r w:rsidRPr="007F620E">
        <w:rPr>
          <w:b/>
          <w:color w:val="000000"/>
        </w:rPr>
        <w:t xml:space="preserve">General Claim of Reasonableness </w:t>
      </w:r>
      <w:r w:rsidR="00F30DA8" w:rsidRPr="007F620E">
        <w:rPr>
          <w:b/>
          <w:color w:val="000000"/>
        </w:rPr>
        <w:t xml:space="preserve">(§ </w:t>
      </w:r>
      <w:r w:rsidRPr="007F620E">
        <w:rPr>
          <w:b/>
          <w:color w:val="000000"/>
        </w:rPr>
        <w:t xml:space="preserve">1801 </w:t>
      </w:r>
      <w:r w:rsidR="00F30DA8" w:rsidRPr="007F620E">
        <w:rPr>
          <w:b/>
          <w:color w:val="000000"/>
        </w:rPr>
        <w:t>and §</w:t>
      </w:r>
      <w:r w:rsidRPr="007F620E">
        <w:rPr>
          <w:b/>
          <w:color w:val="000000"/>
        </w:rPr>
        <w:t xml:space="preserve"> 1806):</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8"/>
        <w:gridCol w:w="2160"/>
      </w:tblGrid>
      <w:tr w:rsidR="00A92D0B" w:rsidRPr="007F620E" w:rsidTr="00DE18A5">
        <w:tc>
          <w:tcPr>
            <w:tcW w:w="6678" w:type="dxa"/>
            <w:tcBorders>
              <w:bottom w:val="single" w:sz="4" w:space="0" w:color="auto"/>
            </w:tcBorders>
            <w:shd w:val="clear" w:color="auto" w:fill="auto"/>
          </w:tcPr>
          <w:p w:rsidR="008310DC" w:rsidRPr="008310DC" w:rsidRDefault="008310DC" w:rsidP="008310DC">
            <w:pPr>
              <w:rPr>
                <w:color w:val="000000"/>
              </w:rPr>
            </w:pPr>
            <w:r>
              <w:rPr>
                <w:b/>
                <w:color w:val="000000"/>
              </w:rPr>
              <w:t>a. I</w:t>
            </w:r>
            <w:r w:rsidR="00D075B1" w:rsidRPr="008310DC">
              <w:rPr>
                <w:b/>
                <w:color w:val="000000"/>
              </w:rPr>
              <w:t xml:space="preserve">ntervenor’s </w:t>
            </w:r>
            <w:r w:rsidR="00A319DE" w:rsidRPr="008310DC">
              <w:rPr>
                <w:b/>
                <w:color w:val="000000"/>
              </w:rPr>
              <w:t>c</w:t>
            </w:r>
            <w:r w:rsidR="00D075B1" w:rsidRPr="008310DC">
              <w:rPr>
                <w:b/>
                <w:color w:val="000000"/>
              </w:rPr>
              <w:t xml:space="preserve">laim of </w:t>
            </w:r>
            <w:r w:rsidR="00A319DE" w:rsidRPr="008310DC">
              <w:rPr>
                <w:b/>
                <w:color w:val="000000"/>
              </w:rPr>
              <w:t>c</w:t>
            </w:r>
            <w:r w:rsidR="00D075B1" w:rsidRPr="008310DC">
              <w:rPr>
                <w:b/>
                <w:color w:val="000000"/>
              </w:rPr>
              <w:t xml:space="preserve">ost </w:t>
            </w:r>
            <w:r w:rsidR="00A319DE" w:rsidRPr="008310DC">
              <w:rPr>
                <w:b/>
                <w:color w:val="000000"/>
              </w:rPr>
              <w:t>r</w:t>
            </w:r>
            <w:r w:rsidR="00D075B1" w:rsidRPr="008310DC">
              <w:rPr>
                <w:b/>
                <w:color w:val="000000"/>
              </w:rPr>
              <w:t>easonableness:</w:t>
            </w:r>
            <w:r w:rsidRPr="008310DC">
              <w:rPr>
                <w:color w:val="000000"/>
              </w:rPr>
              <w:t xml:space="preserve"> </w:t>
            </w:r>
          </w:p>
          <w:p w:rsidR="00A92D0B" w:rsidRDefault="008310DC" w:rsidP="00BC59DB">
            <w:pPr>
              <w:rPr>
                <w:color w:val="000000"/>
              </w:rPr>
            </w:pPr>
            <w:r w:rsidRPr="007A57E6">
              <w:rPr>
                <w:color w:val="000000"/>
              </w:rPr>
              <w:t>There will be monetary benefits for ratepayers based on CFC’s participation, although it is difficult to estimate a specific amount of monetary benefits. Some of the CFC’s contributions adopted by the final decision will result in a clearer</w:t>
            </w:r>
            <w:r>
              <w:rPr>
                <w:color w:val="000000"/>
              </w:rPr>
              <w:t xml:space="preserve"> Section 745</w:t>
            </w:r>
            <w:r w:rsidRPr="007A57E6">
              <w:rPr>
                <w:color w:val="000000"/>
              </w:rPr>
              <w:t xml:space="preserve"> </w:t>
            </w:r>
            <w:r>
              <w:rPr>
                <w:color w:val="000000"/>
              </w:rPr>
              <w:t>rule which</w:t>
            </w:r>
            <w:r w:rsidRPr="007A57E6">
              <w:rPr>
                <w:color w:val="000000"/>
              </w:rPr>
              <w:t xml:space="preserve"> will, in part, help to </w:t>
            </w:r>
            <w:r>
              <w:rPr>
                <w:color w:val="000000"/>
              </w:rPr>
              <w:t>provide some customers with services and stability during and after the shift to Time of Use</w:t>
            </w:r>
            <w:r w:rsidRPr="007A57E6">
              <w:rPr>
                <w:color w:val="000000"/>
              </w:rPr>
              <w:t>.</w:t>
            </w:r>
            <w:r>
              <w:rPr>
                <w:color w:val="000000"/>
              </w:rPr>
              <w:t xml:space="preserve">  </w:t>
            </w:r>
          </w:p>
          <w:p w:rsidR="008310DC" w:rsidRPr="007F620E" w:rsidRDefault="008310DC" w:rsidP="00BC59DB">
            <w:pPr>
              <w:rPr>
                <w:b/>
                <w:color w:val="000000"/>
              </w:rPr>
            </w:pPr>
          </w:p>
        </w:tc>
        <w:tc>
          <w:tcPr>
            <w:tcW w:w="2160" w:type="dxa"/>
            <w:shd w:val="clear" w:color="auto" w:fill="auto"/>
          </w:tcPr>
          <w:p w:rsidR="00A92D0B" w:rsidRPr="007F620E" w:rsidRDefault="00A92D0B" w:rsidP="00A92D0B">
            <w:pPr>
              <w:pBdr>
                <w:bottom w:val="single" w:sz="12" w:space="1" w:color="auto"/>
              </w:pBdr>
              <w:spacing w:before="120"/>
              <w:jc w:val="center"/>
              <w:rPr>
                <w:b/>
                <w:color w:val="000000"/>
              </w:rPr>
            </w:pPr>
            <w:r w:rsidRPr="007F620E">
              <w:rPr>
                <w:b/>
                <w:color w:val="000000"/>
              </w:rPr>
              <w:t xml:space="preserve">CPUC </w:t>
            </w:r>
            <w:r w:rsidR="00D075B1" w:rsidRPr="007F620E">
              <w:rPr>
                <w:b/>
                <w:color w:val="000000"/>
              </w:rPr>
              <w:t>Discussion</w:t>
            </w:r>
          </w:p>
          <w:p w:rsidR="00D075B1" w:rsidRPr="00282BDF" w:rsidRDefault="00282BDF" w:rsidP="00282BDF">
            <w:pPr>
              <w:spacing w:before="120"/>
              <w:rPr>
                <w:color w:val="000000"/>
              </w:rPr>
            </w:pPr>
            <w:r w:rsidRPr="00282BDF">
              <w:rPr>
                <w:color w:val="000000"/>
              </w:rPr>
              <w:t>V</w:t>
            </w:r>
            <w:r w:rsidR="00320388" w:rsidRPr="00282BDF">
              <w:rPr>
                <w:color w:val="000000"/>
              </w:rPr>
              <w:t>erified</w:t>
            </w:r>
          </w:p>
        </w:tc>
      </w:tr>
      <w:tr w:rsidR="00A92D0B" w:rsidRPr="007F620E" w:rsidTr="00DE18A5">
        <w:tc>
          <w:tcPr>
            <w:tcW w:w="6678" w:type="dxa"/>
            <w:shd w:val="clear" w:color="auto" w:fill="auto"/>
          </w:tcPr>
          <w:p w:rsidR="00A92D0B" w:rsidRPr="007F620E" w:rsidRDefault="00A92D0B">
            <w:pPr>
              <w:rPr>
                <w:b/>
                <w:color w:val="000000"/>
              </w:rPr>
            </w:pPr>
            <w:r w:rsidRPr="007F620E">
              <w:rPr>
                <w:b/>
                <w:color w:val="000000"/>
              </w:rPr>
              <w:t xml:space="preserve">b. Reasonableness of </w:t>
            </w:r>
            <w:r w:rsidR="00A319DE" w:rsidRPr="007F620E">
              <w:rPr>
                <w:b/>
                <w:color w:val="000000"/>
              </w:rPr>
              <w:t>h</w:t>
            </w:r>
            <w:r w:rsidRPr="007F620E">
              <w:rPr>
                <w:b/>
                <w:color w:val="000000"/>
              </w:rPr>
              <w:t xml:space="preserve">ours </w:t>
            </w:r>
            <w:r w:rsidR="00A319DE" w:rsidRPr="007F620E">
              <w:rPr>
                <w:b/>
                <w:color w:val="000000"/>
              </w:rPr>
              <w:t>c</w:t>
            </w:r>
            <w:r w:rsidRPr="007F620E">
              <w:rPr>
                <w:b/>
                <w:color w:val="000000"/>
              </w:rPr>
              <w:t>laimed</w:t>
            </w:r>
            <w:r w:rsidR="00A319DE" w:rsidRPr="007F620E">
              <w:rPr>
                <w:b/>
                <w:color w:val="000000"/>
              </w:rPr>
              <w:t>:</w:t>
            </w:r>
          </w:p>
          <w:p w:rsidR="00AE5540" w:rsidRDefault="00AE5540" w:rsidP="00AE5540">
            <w:pPr>
              <w:rPr>
                <w:color w:val="000000"/>
              </w:rPr>
            </w:pPr>
            <w:r w:rsidRPr="001E3ECB">
              <w:rPr>
                <w:color w:val="000000"/>
              </w:rPr>
              <w:lastRenderedPageBreak/>
              <w:t>CFC worked diligently throughout the process to only spend a reasonable and prudent amount of time</w:t>
            </w:r>
          </w:p>
          <w:p w:rsidR="00A03CE6" w:rsidRPr="001E3ECB" w:rsidRDefault="00A03CE6" w:rsidP="00AE5540">
            <w:pPr>
              <w:rPr>
                <w:color w:val="000000"/>
              </w:rPr>
            </w:pPr>
          </w:p>
          <w:p w:rsidR="00A92D0B" w:rsidRPr="007F620E" w:rsidRDefault="00AE5540" w:rsidP="00873FC0">
            <w:pPr>
              <w:rPr>
                <w:color w:val="000000"/>
              </w:rPr>
            </w:pPr>
            <w:r w:rsidRPr="001E3ECB">
              <w:rPr>
                <w:color w:val="000000"/>
              </w:rPr>
              <w:t>Throughout, CFC has been very conservative in recording hours in this case. On many occasions a white paper or study referred to, or a cite in</w:t>
            </w:r>
            <w:r>
              <w:rPr>
                <w:color w:val="000000"/>
              </w:rPr>
              <w:t>,</w:t>
            </w:r>
            <w:r w:rsidRPr="001E3ECB">
              <w:rPr>
                <w:color w:val="000000"/>
              </w:rPr>
              <w:t xml:space="preserve"> the numerous documents generated, would lead CFC counsel into vast areas of research and reports. This was done in order to master the subject matter, which in turn is required if CFC is to add value to </w:t>
            </w:r>
            <w:r w:rsidRPr="00BE1D1B">
              <w:rPr>
                <w:color w:val="000000"/>
              </w:rPr>
              <w:t>these various matters. However, we were very conservative in claiming hours relating to our research. CFC has, in terms of this matter specifically, made a consci</w:t>
            </w:r>
            <w:r w:rsidR="00873FC0" w:rsidRPr="00BE1D1B">
              <w:rPr>
                <w:color w:val="000000"/>
              </w:rPr>
              <w:t>ous</w:t>
            </w:r>
            <w:r w:rsidRPr="00BE1D1B">
              <w:rPr>
                <w:color w:val="000000"/>
              </w:rPr>
              <w:t xml:space="preserve"> decision to refrain from requesting compensation relating to m</w:t>
            </w:r>
            <w:r w:rsidRPr="00BE1D1B">
              <w:t>ost – but not all - of the general research which was engaged in while this matter was</w:t>
            </w:r>
            <w:r w:rsidRPr="001E3ECB">
              <w:t xml:space="preserve"> pending.</w:t>
            </w:r>
          </w:p>
        </w:tc>
        <w:tc>
          <w:tcPr>
            <w:tcW w:w="2160" w:type="dxa"/>
            <w:shd w:val="clear" w:color="auto" w:fill="auto"/>
          </w:tcPr>
          <w:p w:rsidR="00A92D0B" w:rsidRPr="007F620E" w:rsidRDefault="00227644" w:rsidP="001401E4">
            <w:pPr>
              <w:spacing w:before="120"/>
              <w:rPr>
                <w:color w:val="000000"/>
              </w:rPr>
            </w:pPr>
            <w:r w:rsidRPr="00325E92">
              <w:rPr>
                <w:color w:val="000000"/>
              </w:rPr>
              <w:lastRenderedPageBreak/>
              <w:t>CFC Foundation</w:t>
            </w:r>
            <w:r w:rsidDel="00227644">
              <w:rPr>
                <w:color w:val="000000"/>
              </w:rPr>
              <w:t xml:space="preserve"> </w:t>
            </w:r>
            <w:r w:rsidR="00995F69">
              <w:rPr>
                <w:color w:val="000000"/>
              </w:rPr>
              <w:lastRenderedPageBreak/>
              <w:t>did not make a reasonable showing in its claim of non-duplication</w:t>
            </w:r>
            <w:r w:rsidR="007D5AD0">
              <w:rPr>
                <w:color w:val="000000"/>
              </w:rPr>
              <w:t xml:space="preserve">.  </w:t>
            </w:r>
            <w:r w:rsidR="00995F69">
              <w:rPr>
                <w:color w:val="000000"/>
              </w:rPr>
              <w:t xml:space="preserve">Therefore, </w:t>
            </w:r>
            <w:r w:rsidR="001401E4">
              <w:rPr>
                <w:color w:val="000000"/>
              </w:rPr>
              <w:t>the hours claimed are</w:t>
            </w:r>
            <w:r w:rsidR="00995F69">
              <w:rPr>
                <w:color w:val="000000"/>
              </w:rPr>
              <w:t xml:space="preserve"> not entirely reasonable and ha</w:t>
            </w:r>
            <w:r w:rsidR="001401E4">
              <w:rPr>
                <w:color w:val="000000"/>
              </w:rPr>
              <w:t>ve</w:t>
            </w:r>
            <w:r w:rsidR="00995F69">
              <w:rPr>
                <w:color w:val="000000"/>
              </w:rPr>
              <w:t xml:space="preserve"> been adjusted accordingly. With the adjustment, the hours claimed are reasonable. </w:t>
            </w:r>
          </w:p>
        </w:tc>
      </w:tr>
      <w:tr w:rsidR="00A92D0B" w:rsidRPr="007F620E" w:rsidTr="00DE18A5">
        <w:tc>
          <w:tcPr>
            <w:tcW w:w="6678" w:type="dxa"/>
            <w:shd w:val="clear" w:color="auto" w:fill="auto"/>
          </w:tcPr>
          <w:p w:rsidR="00A92D0B" w:rsidRPr="00BE1D1B" w:rsidRDefault="00A92D0B">
            <w:pPr>
              <w:rPr>
                <w:b/>
                <w:color w:val="000000"/>
              </w:rPr>
            </w:pPr>
            <w:r w:rsidRPr="00BE1D1B">
              <w:rPr>
                <w:b/>
                <w:color w:val="000000"/>
              </w:rPr>
              <w:lastRenderedPageBreak/>
              <w:t xml:space="preserve">c. Allocation of </w:t>
            </w:r>
            <w:r w:rsidR="00A319DE" w:rsidRPr="00BE1D1B">
              <w:rPr>
                <w:b/>
                <w:color w:val="000000"/>
              </w:rPr>
              <w:t>h</w:t>
            </w:r>
            <w:r w:rsidRPr="00BE1D1B">
              <w:rPr>
                <w:b/>
                <w:color w:val="000000"/>
              </w:rPr>
              <w:t xml:space="preserve">ours by </w:t>
            </w:r>
            <w:r w:rsidR="00A319DE" w:rsidRPr="00BE1D1B">
              <w:rPr>
                <w:b/>
                <w:color w:val="000000"/>
              </w:rPr>
              <w:t>i</w:t>
            </w:r>
            <w:r w:rsidRPr="00BE1D1B">
              <w:rPr>
                <w:b/>
                <w:color w:val="000000"/>
              </w:rPr>
              <w:t>ssue</w:t>
            </w:r>
            <w:r w:rsidR="00A319DE" w:rsidRPr="00BE1D1B">
              <w:rPr>
                <w:b/>
                <w:color w:val="000000"/>
              </w:rPr>
              <w:t>:</w:t>
            </w:r>
          </w:p>
          <w:p w:rsidR="00AE5540" w:rsidRPr="00BE1D1B" w:rsidRDefault="00AE5540" w:rsidP="00873FC0">
            <w:pPr>
              <w:tabs>
                <w:tab w:val="left" w:pos="7020"/>
              </w:tabs>
              <w:rPr>
                <w:color w:val="000000"/>
              </w:rPr>
            </w:pPr>
            <w:r w:rsidRPr="00BE1D1B">
              <w:rPr>
                <w:color w:val="000000"/>
              </w:rPr>
              <w:t xml:space="preserve">This proceeding </w:t>
            </w:r>
            <w:r w:rsidR="00BE1D1B" w:rsidRPr="00BE1D1B">
              <w:rPr>
                <w:color w:val="000000"/>
              </w:rPr>
              <w:t>is</w:t>
            </w:r>
            <w:r w:rsidRPr="00BE1D1B">
              <w:rPr>
                <w:color w:val="000000"/>
              </w:rPr>
              <w:t xml:space="preserve"> vast, long, and</w:t>
            </w:r>
            <w:r w:rsidR="00112890" w:rsidRPr="00BE1D1B">
              <w:rPr>
                <w:color w:val="000000"/>
              </w:rPr>
              <w:t xml:space="preserve"> </w:t>
            </w:r>
            <w:r w:rsidRPr="00BE1D1B">
              <w:rPr>
                <w:color w:val="000000"/>
              </w:rPr>
              <w:t xml:space="preserve">touched upon a number of evolving topics. Issues altered over time. </w:t>
            </w:r>
            <w:r w:rsidRPr="00BE1D1B">
              <w:rPr>
                <w:color w:val="000000"/>
              </w:rPr>
              <w:br/>
            </w:r>
            <w:r w:rsidRPr="00BE1D1B">
              <w:rPr>
                <w:color w:val="000000"/>
              </w:rPr>
              <w:br/>
            </w:r>
            <w:r w:rsidRPr="00BE1D1B">
              <w:rPr>
                <w:b/>
                <w:color w:val="000000"/>
              </w:rPr>
              <w:t>Issues and Sub-issues:</w:t>
            </w:r>
          </w:p>
          <w:p w:rsidR="00AE5540" w:rsidRPr="00BE1D1B" w:rsidRDefault="00AE5540" w:rsidP="00873FC0">
            <w:pPr>
              <w:tabs>
                <w:tab w:val="left" w:pos="6979"/>
              </w:tabs>
            </w:pPr>
            <w:bookmarkStart w:id="1" w:name="OLE_LINK3"/>
            <w:r w:rsidRPr="00BE1D1B">
              <w:rPr>
                <w:color w:val="000000"/>
              </w:rPr>
              <w:t>GP: Where preparation and work was required but not necessarily attributable to one issue or another.</w:t>
            </w:r>
          </w:p>
          <w:p w:rsidR="00AE5540" w:rsidRPr="00BE1D1B" w:rsidRDefault="00AE5540" w:rsidP="00873FC0">
            <w:pPr>
              <w:tabs>
                <w:tab w:val="left" w:pos="702"/>
                <w:tab w:val="left" w:pos="6979"/>
              </w:tabs>
              <w:rPr>
                <w:color w:val="000000"/>
              </w:rPr>
            </w:pPr>
            <w:r w:rsidRPr="00BE1D1B">
              <w:rPr>
                <w:color w:val="000000"/>
              </w:rPr>
              <w:t>W: Workshops</w:t>
            </w:r>
          </w:p>
          <w:p w:rsidR="00AE5540" w:rsidRPr="00BE1D1B" w:rsidRDefault="00AE5540" w:rsidP="00873FC0">
            <w:pPr>
              <w:tabs>
                <w:tab w:val="left" w:pos="702"/>
                <w:tab w:val="left" w:pos="6979"/>
              </w:tabs>
              <w:rPr>
                <w:color w:val="000000"/>
              </w:rPr>
            </w:pPr>
            <w:r w:rsidRPr="00BE1D1B">
              <w:rPr>
                <w:color w:val="000000"/>
              </w:rPr>
              <w:t xml:space="preserve">745: </w:t>
            </w:r>
            <w:r w:rsidR="00562070" w:rsidRPr="00BE1D1B">
              <w:rPr>
                <w:color w:val="000000"/>
              </w:rPr>
              <w:t xml:space="preserve">Subjects covered in </w:t>
            </w:r>
            <w:r w:rsidRPr="00BE1D1B">
              <w:rPr>
                <w:color w:val="000000"/>
              </w:rPr>
              <w:t>Section 745 of the Public Utilities Code</w:t>
            </w:r>
            <w:r w:rsidRPr="00BE1D1B">
              <w:t xml:space="preserve">. </w:t>
            </w:r>
          </w:p>
          <w:p w:rsidR="00AE5540" w:rsidRPr="006E171A" w:rsidRDefault="00AE5540" w:rsidP="00873FC0">
            <w:pPr>
              <w:tabs>
                <w:tab w:val="left" w:pos="702"/>
                <w:tab w:val="left" w:pos="6979"/>
              </w:tabs>
              <w:rPr>
                <w:color w:val="000000"/>
              </w:rPr>
            </w:pPr>
            <w:r w:rsidRPr="006E171A">
              <w:rPr>
                <w:color w:val="000000"/>
              </w:rPr>
              <w:t xml:space="preserve">CARE: </w:t>
            </w:r>
            <w:r w:rsidR="00562070" w:rsidRPr="006E171A">
              <w:rPr>
                <w:color w:val="000000"/>
              </w:rPr>
              <w:t>I</w:t>
            </w:r>
            <w:r w:rsidRPr="006E171A">
              <w:rPr>
                <w:color w:val="000000"/>
              </w:rPr>
              <w:t>ssues involving CARE, low-income, other programs.</w:t>
            </w:r>
            <w:bookmarkEnd w:id="1"/>
          </w:p>
          <w:p w:rsidR="00A92D0B" w:rsidRPr="007F620E" w:rsidRDefault="00AE5540" w:rsidP="00C97AB2">
            <w:pPr>
              <w:rPr>
                <w:b/>
                <w:color w:val="000000"/>
              </w:rPr>
            </w:pPr>
            <w:r w:rsidRPr="006E171A">
              <w:rPr>
                <w:color w:val="000000"/>
              </w:rPr>
              <w:t xml:space="preserve">#: </w:t>
            </w:r>
            <w:r w:rsidRPr="006E171A">
              <w:t xml:space="preserve">Where time entries cannot easily be identified with a specific activity code. For these entries, the allocation of time spent on activities can be broken down as such: </w:t>
            </w:r>
            <w:r w:rsidR="004C7C4B" w:rsidRPr="006E171A">
              <w:t>745=</w:t>
            </w:r>
            <w:r w:rsidR="006E171A">
              <w:t>75</w:t>
            </w:r>
            <w:r w:rsidRPr="006E171A">
              <w:t>%;</w:t>
            </w:r>
            <w:r w:rsidR="004C7C4B" w:rsidRPr="006E171A">
              <w:t xml:space="preserve"> CARE=</w:t>
            </w:r>
            <w:r w:rsidR="006E171A">
              <w:t>16</w:t>
            </w:r>
            <w:r w:rsidR="00C97AB2" w:rsidRPr="006E171A">
              <w:t>%</w:t>
            </w:r>
            <w:r w:rsidR="006E171A">
              <w:t>; GP=9</w:t>
            </w:r>
            <w:r w:rsidR="006E171A" w:rsidRPr="006E171A">
              <w:t>%</w:t>
            </w:r>
          </w:p>
        </w:tc>
        <w:tc>
          <w:tcPr>
            <w:tcW w:w="2160" w:type="dxa"/>
            <w:shd w:val="clear" w:color="auto" w:fill="auto"/>
          </w:tcPr>
          <w:p w:rsidR="00A92D0B" w:rsidRPr="007F620E" w:rsidRDefault="00282BDF" w:rsidP="00A92D0B">
            <w:pPr>
              <w:spacing w:before="120"/>
              <w:rPr>
                <w:color w:val="000000"/>
              </w:rPr>
            </w:pPr>
            <w:r>
              <w:rPr>
                <w:color w:val="000000"/>
              </w:rPr>
              <w:t>V</w:t>
            </w:r>
            <w:r w:rsidR="00320388">
              <w:rPr>
                <w:color w:val="000000"/>
              </w:rPr>
              <w:t>erified</w:t>
            </w:r>
          </w:p>
        </w:tc>
      </w:tr>
    </w:tbl>
    <w:p w:rsidR="00A92D0B" w:rsidRPr="00A03CE6" w:rsidRDefault="00A92D0B" w:rsidP="00A03CE6">
      <w:pPr>
        <w:numPr>
          <w:ilvl w:val="0"/>
          <w:numId w:val="2"/>
        </w:numPr>
        <w:tabs>
          <w:tab w:val="clear" w:pos="900"/>
          <w:tab w:val="num" w:pos="360"/>
        </w:tabs>
        <w:spacing w:before="240" w:after="240"/>
        <w:ind w:left="360"/>
        <w:rPr>
          <w:b/>
          <w:color w:val="000000"/>
        </w:rPr>
      </w:pPr>
      <w:r w:rsidRPr="00A03CE6">
        <w:rPr>
          <w:b/>
          <w:color w:val="000000"/>
        </w:rPr>
        <w:t>Specific Claim:</w:t>
      </w:r>
      <w:r w:rsidR="00D075B1" w:rsidRPr="00A03CE6">
        <w:rPr>
          <w:b/>
          <w:color w:val="000000"/>
        </w:rPr>
        <w:t>*</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24"/>
        <w:gridCol w:w="720"/>
        <w:gridCol w:w="360"/>
        <w:gridCol w:w="450"/>
        <w:gridCol w:w="846"/>
        <w:gridCol w:w="504"/>
        <w:gridCol w:w="1116"/>
        <w:gridCol w:w="1044"/>
        <w:gridCol w:w="396"/>
        <w:gridCol w:w="1080"/>
        <w:gridCol w:w="900"/>
        <w:gridCol w:w="1314"/>
      </w:tblGrid>
      <w:tr w:rsidR="00A92D0B" w:rsidRPr="007F620E" w:rsidTr="003A4AF5">
        <w:trPr>
          <w:jc w:val="center"/>
        </w:trPr>
        <w:tc>
          <w:tcPr>
            <w:tcW w:w="6894" w:type="dxa"/>
            <w:gridSpan w:val="10"/>
            <w:tcBorders>
              <w:bottom w:val="single" w:sz="4" w:space="0" w:color="auto"/>
              <w:right w:val="single" w:sz="24" w:space="0" w:color="auto"/>
            </w:tcBorders>
            <w:shd w:val="clear" w:color="auto" w:fill="auto"/>
          </w:tcPr>
          <w:p w:rsidR="00A92D0B" w:rsidRPr="007F620E" w:rsidRDefault="00A92D0B" w:rsidP="00DE3A5D">
            <w:pPr>
              <w:keepNext/>
              <w:keepLines/>
              <w:spacing w:before="60" w:after="60"/>
              <w:jc w:val="center"/>
              <w:rPr>
                <w:b/>
                <w:smallCaps/>
                <w:color w:val="000000"/>
              </w:rPr>
            </w:pPr>
            <w:r w:rsidRPr="007F620E">
              <w:rPr>
                <w:b/>
                <w:smallCaps/>
                <w:color w:val="000000"/>
              </w:rPr>
              <w:t>Claimed</w:t>
            </w:r>
          </w:p>
        </w:tc>
        <w:tc>
          <w:tcPr>
            <w:tcW w:w="3294" w:type="dxa"/>
            <w:gridSpan w:val="3"/>
            <w:tcBorders>
              <w:left w:val="single" w:sz="24" w:space="0" w:color="auto"/>
              <w:bottom w:val="single" w:sz="4" w:space="0" w:color="auto"/>
            </w:tcBorders>
            <w:shd w:val="clear" w:color="auto" w:fill="auto"/>
          </w:tcPr>
          <w:p w:rsidR="00A92D0B" w:rsidRPr="007F620E" w:rsidRDefault="00A92D0B" w:rsidP="00DE3A5D">
            <w:pPr>
              <w:keepNext/>
              <w:keepLines/>
              <w:spacing w:before="60" w:after="60"/>
              <w:jc w:val="center"/>
              <w:rPr>
                <w:b/>
                <w:smallCaps/>
                <w:color w:val="000000"/>
              </w:rPr>
            </w:pPr>
            <w:r w:rsidRPr="007F620E">
              <w:rPr>
                <w:b/>
                <w:smallCaps/>
                <w:color w:val="000000"/>
              </w:rPr>
              <w:t>CPUC Award</w:t>
            </w:r>
          </w:p>
        </w:tc>
      </w:tr>
      <w:tr w:rsidR="00A92D0B" w:rsidRPr="007F620E" w:rsidTr="004961DE">
        <w:trPr>
          <w:jc w:val="center"/>
        </w:trPr>
        <w:tc>
          <w:tcPr>
            <w:tcW w:w="10188" w:type="dxa"/>
            <w:gridSpan w:val="13"/>
            <w:tcBorders>
              <w:top w:val="single" w:sz="4" w:space="0" w:color="auto"/>
              <w:left w:val="single" w:sz="4" w:space="0" w:color="auto"/>
              <w:bottom w:val="single" w:sz="4" w:space="0" w:color="auto"/>
              <w:right w:val="single" w:sz="4" w:space="0" w:color="auto"/>
            </w:tcBorders>
            <w:shd w:val="clear" w:color="auto" w:fill="E6E6E6"/>
          </w:tcPr>
          <w:p w:rsidR="00A92D0B" w:rsidRPr="007F620E" w:rsidRDefault="00A92D0B" w:rsidP="00DE3A5D">
            <w:pPr>
              <w:keepNext/>
              <w:keepLines/>
              <w:spacing w:before="60" w:after="60"/>
              <w:jc w:val="center"/>
              <w:rPr>
                <w:b/>
              </w:rPr>
            </w:pPr>
            <w:r w:rsidRPr="007F620E">
              <w:rPr>
                <w:b/>
              </w:rPr>
              <w:t>ATTORNEY, EXPERT, AND ADVOCATE FEES</w:t>
            </w:r>
          </w:p>
        </w:tc>
      </w:tr>
      <w:tr w:rsidR="00A92D0B" w:rsidRPr="00260518" w:rsidTr="003A4AF5">
        <w:trPr>
          <w:jc w:val="center"/>
        </w:trPr>
        <w:tc>
          <w:tcPr>
            <w:tcW w:w="1134" w:type="dxa"/>
            <w:tcBorders>
              <w:top w:val="single" w:sz="4" w:space="0" w:color="auto"/>
              <w:bottom w:val="single" w:sz="4" w:space="0" w:color="auto"/>
            </w:tcBorders>
            <w:shd w:val="clear" w:color="auto" w:fill="auto"/>
            <w:vAlign w:val="bottom"/>
          </w:tcPr>
          <w:p w:rsidR="00A92D0B" w:rsidRPr="00260518" w:rsidRDefault="00A92D0B" w:rsidP="00DE3A5D">
            <w:pPr>
              <w:keepNext/>
              <w:keepLines/>
              <w:spacing w:before="60" w:after="60"/>
              <w:jc w:val="center"/>
              <w:rPr>
                <w:b/>
                <w:color w:val="000000"/>
                <w:sz w:val="22"/>
                <w:szCs w:val="22"/>
              </w:rPr>
            </w:pPr>
            <w:r w:rsidRPr="00260518">
              <w:rPr>
                <w:b/>
                <w:color w:val="000000"/>
                <w:sz w:val="22"/>
                <w:szCs w:val="22"/>
              </w:rPr>
              <w:t>Item</w:t>
            </w:r>
          </w:p>
        </w:tc>
        <w:tc>
          <w:tcPr>
            <w:tcW w:w="1044" w:type="dxa"/>
            <w:gridSpan w:val="2"/>
            <w:tcBorders>
              <w:top w:val="single" w:sz="4" w:space="0" w:color="auto"/>
              <w:bottom w:val="single" w:sz="4" w:space="0" w:color="auto"/>
            </w:tcBorders>
            <w:shd w:val="clear" w:color="auto" w:fill="auto"/>
            <w:vAlign w:val="bottom"/>
          </w:tcPr>
          <w:p w:rsidR="00A92D0B" w:rsidRPr="00260518" w:rsidRDefault="00A92D0B" w:rsidP="00DE3A5D">
            <w:pPr>
              <w:keepNext/>
              <w:keepLines/>
              <w:spacing w:before="60" w:after="60"/>
              <w:jc w:val="center"/>
              <w:rPr>
                <w:b/>
                <w:color w:val="000000"/>
                <w:sz w:val="22"/>
                <w:szCs w:val="22"/>
              </w:rPr>
            </w:pPr>
            <w:r w:rsidRPr="00260518">
              <w:rPr>
                <w:b/>
                <w:color w:val="000000"/>
                <w:sz w:val="22"/>
                <w:szCs w:val="22"/>
              </w:rPr>
              <w:t>Year</w:t>
            </w:r>
          </w:p>
        </w:tc>
        <w:tc>
          <w:tcPr>
            <w:tcW w:w="810" w:type="dxa"/>
            <w:gridSpan w:val="2"/>
            <w:tcBorders>
              <w:top w:val="single" w:sz="4" w:space="0" w:color="auto"/>
              <w:bottom w:val="single" w:sz="4" w:space="0" w:color="auto"/>
            </w:tcBorders>
            <w:shd w:val="clear" w:color="auto" w:fill="auto"/>
            <w:vAlign w:val="bottom"/>
          </w:tcPr>
          <w:p w:rsidR="00A92D0B" w:rsidRPr="00260518" w:rsidRDefault="00A92D0B" w:rsidP="00DE3A5D">
            <w:pPr>
              <w:keepNext/>
              <w:keepLines/>
              <w:spacing w:before="60" w:after="60"/>
              <w:jc w:val="center"/>
              <w:rPr>
                <w:b/>
                <w:color w:val="000000"/>
                <w:sz w:val="22"/>
                <w:szCs w:val="22"/>
              </w:rPr>
            </w:pPr>
            <w:r w:rsidRPr="00260518">
              <w:rPr>
                <w:b/>
                <w:color w:val="000000"/>
                <w:sz w:val="22"/>
                <w:szCs w:val="22"/>
              </w:rPr>
              <w:t>Hours</w:t>
            </w:r>
          </w:p>
        </w:tc>
        <w:tc>
          <w:tcPr>
            <w:tcW w:w="846" w:type="dxa"/>
            <w:tcBorders>
              <w:top w:val="single" w:sz="4" w:space="0" w:color="auto"/>
              <w:bottom w:val="single" w:sz="4" w:space="0" w:color="auto"/>
            </w:tcBorders>
            <w:shd w:val="clear" w:color="auto" w:fill="auto"/>
            <w:vAlign w:val="bottom"/>
          </w:tcPr>
          <w:p w:rsidR="00A92D0B" w:rsidRPr="00260518" w:rsidRDefault="00A92D0B" w:rsidP="00DE3A5D">
            <w:pPr>
              <w:keepNext/>
              <w:keepLines/>
              <w:spacing w:before="60" w:after="60"/>
              <w:jc w:val="center"/>
              <w:rPr>
                <w:b/>
                <w:color w:val="000000"/>
                <w:sz w:val="22"/>
                <w:szCs w:val="22"/>
              </w:rPr>
            </w:pPr>
            <w:r w:rsidRPr="00260518">
              <w:rPr>
                <w:b/>
                <w:color w:val="000000"/>
                <w:sz w:val="22"/>
                <w:szCs w:val="22"/>
              </w:rPr>
              <w:t>Rate</w:t>
            </w:r>
            <w:r w:rsidR="00E3786F" w:rsidRPr="00260518">
              <w:rPr>
                <w:b/>
                <w:color w:val="000000"/>
                <w:sz w:val="22"/>
                <w:szCs w:val="22"/>
              </w:rPr>
              <w:t xml:space="preserve"> $</w:t>
            </w:r>
          </w:p>
        </w:tc>
        <w:tc>
          <w:tcPr>
            <w:tcW w:w="1620" w:type="dxa"/>
            <w:gridSpan w:val="2"/>
            <w:tcBorders>
              <w:top w:val="single" w:sz="4" w:space="0" w:color="auto"/>
              <w:bottom w:val="single" w:sz="4" w:space="0" w:color="auto"/>
              <w:right w:val="single" w:sz="4" w:space="0" w:color="auto"/>
            </w:tcBorders>
            <w:shd w:val="clear" w:color="auto" w:fill="auto"/>
            <w:vAlign w:val="bottom"/>
          </w:tcPr>
          <w:p w:rsidR="00A92D0B" w:rsidRPr="00260518" w:rsidRDefault="00A92D0B" w:rsidP="00DE3A5D">
            <w:pPr>
              <w:keepNext/>
              <w:keepLines/>
              <w:spacing w:before="60" w:after="60"/>
              <w:jc w:val="center"/>
              <w:rPr>
                <w:b/>
                <w:color w:val="000000"/>
                <w:sz w:val="22"/>
                <w:szCs w:val="22"/>
              </w:rPr>
            </w:pPr>
            <w:r w:rsidRPr="00260518">
              <w:rPr>
                <w:b/>
                <w:color w:val="000000"/>
                <w:sz w:val="22"/>
                <w:szCs w:val="22"/>
              </w:rPr>
              <w:t>Basis for Rate*</w:t>
            </w:r>
          </w:p>
        </w:tc>
        <w:tc>
          <w:tcPr>
            <w:tcW w:w="1440" w:type="dxa"/>
            <w:gridSpan w:val="2"/>
            <w:tcBorders>
              <w:top w:val="single" w:sz="4" w:space="0" w:color="auto"/>
              <w:left w:val="single" w:sz="4" w:space="0" w:color="auto"/>
              <w:bottom w:val="single" w:sz="4" w:space="0" w:color="auto"/>
              <w:right w:val="single" w:sz="24" w:space="0" w:color="auto"/>
            </w:tcBorders>
            <w:shd w:val="clear" w:color="auto" w:fill="auto"/>
            <w:vAlign w:val="bottom"/>
          </w:tcPr>
          <w:p w:rsidR="00A92D0B" w:rsidRPr="00260518" w:rsidRDefault="00A92D0B" w:rsidP="00DE3A5D">
            <w:pPr>
              <w:keepNext/>
              <w:keepLines/>
              <w:spacing w:before="60" w:after="60"/>
              <w:jc w:val="center"/>
              <w:rPr>
                <w:b/>
                <w:color w:val="000000"/>
                <w:sz w:val="22"/>
                <w:szCs w:val="22"/>
              </w:rPr>
            </w:pPr>
            <w:r w:rsidRPr="00260518">
              <w:rPr>
                <w:b/>
                <w:color w:val="000000"/>
                <w:sz w:val="22"/>
                <w:szCs w:val="22"/>
              </w:rPr>
              <w:t>Total $</w:t>
            </w:r>
          </w:p>
        </w:tc>
        <w:tc>
          <w:tcPr>
            <w:tcW w:w="1080" w:type="dxa"/>
            <w:tcBorders>
              <w:top w:val="single" w:sz="4" w:space="0" w:color="auto"/>
              <w:left w:val="single" w:sz="4" w:space="0" w:color="auto"/>
            </w:tcBorders>
            <w:shd w:val="clear" w:color="auto" w:fill="auto"/>
            <w:vAlign w:val="bottom"/>
          </w:tcPr>
          <w:p w:rsidR="00A92D0B" w:rsidRPr="00260518" w:rsidRDefault="00A92D0B" w:rsidP="00DE3A5D">
            <w:pPr>
              <w:keepNext/>
              <w:keepLines/>
              <w:spacing w:before="60" w:after="60"/>
              <w:jc w:val="center"/>
              <w:rPr>
                <w:b/>
                <w:color w:val="000000"/>
                <w:sz w:val="22"/>
                <w:szCs w:val="22"/>
              </w:rPr>
            </w:pPr>
            <w:r w:rsidRPr="00260518">
              <w:rPr>
                <w:b/>
                <w:color w:val="000000"/>
                <w:sz w:val="22"/>
                <w:szCs w:val="22"/>
              </w:rPr>
              <w:t>Hours</w:t>
            </w:r>
          </w:p>
        </w:tc>
        <w:tc>
          <w:tcPr>
            <w:tcW w:w="900" w:type="dxa"/>
            <w:tcBorders>
              <w:top w:val="single" w:sz="4" w:space="0" w:color="auto"/>
            </w:tcBorders>
            <w:shd w:val="clear" w:color="auto" w:fill="auto"/>
            <w:vAlign w:val="bottom"/>
          </w:tcPr>
          <w:p w:rsidR="00A92D0B" w:rsidRPr="00260518" w:rsidRDefault="00A92D0B" w:rsidP="00DE3A5D">
            <w:pPr>
              <w:keepNext/>
              <w:keepLines/>
              <w:spacing w:before="60" w:after="60"/>
              <w:jc w:val="center"/>
              <w:rPr>
                <w:b/>
                <w:color w:val="000000"/>
                <w:sz w:val="22"/>
                <w:szCs w:val="22"/>
              </w:rPr>
            </w:pPr>
            <w:r w:rsidRPr="00260518">
              <w:rPr>
                <w:b/>
                <w:color w:val="000000"/>
                <w:sz w:val="22"/>
                <w:szCs w:val="22"/>
              </w:rPr>
              <w:t>Rate</w:t>
            </w:r>
            <w:r w:rsidR="00E3786F" w:rsidRPr="00260518">
              <w:rPr>
                <w:b/>
                <w:color w:val="000000"/>
                <w:sz w:val="22"/>
                <w:szCs w:val="22"/>
              </w:rPr>
              <w:t xml:space="preserve"> $</w:t>
            </w:r>
          </w:p>
        </w:tc>
        <w:tc>
          <w:tcPr>
            <w:tcW w:w="1314" w:type="dxa"/>
            <w:tcBorders>
              <w:top w:val="single" w:sz="4" w:space="0" w:color="auto"/>
            </w:tcBorders>
            <w:shd w:val="clear" w:color="auto" w:fill="auto"/>
            <w:vAlign w:val="bottom"/>
          </w:tcPr>
          <w:p w:rsidR="00A92D0B" w:rsidRPr="00260518" w:rsidRDefault="00A92D0B" w:rsidP="00DE3A5D">
            <w:pPr>
              <w:keepNext/>
              <w:keepLines/>
              <w:spacing w:before="60" w:after="60"/>
              <w:jc w:val="center"/>
              <w:rPr>
                <w:b/>
                <w:color w:val="000000"/>
                <w:sz w:val="22"/>
                <w:szCs w:val="22"/>
              </w:rPr>
            </w:pPr>
            <w:r w:rsidRPr="00260518">
              <w:rPr>
                <w:b/>
                <w:color w:val="000000"/>
                <w:sz w:val="22"/>
                <w:szCs w:val="22"/>
              </w:rPr>
              <w:t>Total $</w:t>
            </w:r>
          </w:p>
        </w:tc>
      </w:tr>
      <w:tr w:rsidR="00AE5540" w:rsidRPr="007F620E" w:rsidTr="003A4AF5">
        <w:trPr>
          <w:jc w:val="center"/>
        </w:trPr>
        <w:tc>
          <w:tcPr>
            <w:tcW w:w="1134" w:type="dxa"/>
            <w:shd w:val="clear" w:color="auto" w:fill="auto"/>
          </w:tcPr>
          <w:p w:rsidR="00AE5540" w:rsidRPr="001E3ECB" w:rsidRDefault="00AE5540" w:rsidP="00AE5540">
            <w:pPr>
              <w:spacing w:before="60" w:after="60"/>
              <w:rPr>
                <w:color w:val="000000"/>
              </w:rPr>
            </w:pPr>
            <w:r w:rsidRPr="001E3ECB">
              <w:rPr>
                <w:color w:val="000000"/>
              </w:rPr>
              <w:t>Nicole Johnson</w:t>
            </w:r>
          </w:p>
        </w:tc>
        <w:tc>
          <w:tcPr>
            <w:tcW w:w="1044" w:type="dxa"/>
            <w:gridSpan w:val="2"/>
            <w:shd w:val="clear" w:color="auto" w:fill="auto"/>
          </w:tcPr>
          <w:p w:rsidR="00AE5540" w:rsidRPr="001E3ECB" w:rsidRDefault="00A029A8" w:rsidP="00AE5540">
            <w:pPr>
              <w:spacing w:before="60" w:after="60"/>
              <w:jc w:val="center"/>
              <w:rPr>
                <w:color w:val="000000"/>
              </w:rPr>
            </w:pPr>
            <w:r>
              <w:rPr>
                <w:color w:val="000000"/>
              </w:rPr>
              <w:t>201</w:t>
            </w:r>
            <w:r w:rsidR="00C33D87">
              <w:rPr>
                <w:color w:val="000000"/>
              </w:rPr>
              <w:t>5</w:t>
            </w:r>
          </w:p>
        </w:tc>
        <w:tc>
          <w:tcPr>
            <w:tcW w:w="810" w:type="dxa"/>
            <w:gridSpan w:val="2"/>
            <w:shd w:val="clear" w:color="auto" w:fill="auto"/>
          </w:tcPr>
          <w:p w:rsidR="00AE5540" w:rsidRPr="00025219" w:rsidRDefault="00C33D87" w:rsidP="00B26932">
            <w:pPr>
              <w:spacing w:before="60" w:after="60"/>
              <w:jc w:val="center"/>
              <w:rPr>
                <w:color w:val="000000"/>
              </w:rPr>
            </w:pPr>
            <w:r w:rsidRPr="00025219">
              <w:rPr>
                <w:color w:val="000000"/>
              </w:rPr>
              <w:t>52.1</w:t>
            </w:r>
          </w:p>
        </w:tc>
        <w:tc>
          <w:tcPr>
            <w:tcW w:w="846" w:type="dxa"/>
            <w:shd w:val="clear" w:color="auto" w:fill="auto"/>
          </w:tcPr>
          <w:p w:rsidR="00AE5540" w:rsidRPr="00025219" w:rsidRDefault="00312DBE" w:rsidP="00C33D87">
            <w:pPr>
              <w:spacing w:before="60" w:after="60"/>
              <w:jc w:val="center"/>
              <w:rPr>
                <w:color w:val="000000"/>
              </w:rPr>
            </w:pPr>
            <w:r>
              <w:rPr>
                <w:color w:val="000000"/>
              </w:rPr>
              <w:t>$</w:t>
            </w:r>
            <w:r w:rsidR="00C33D87" w:rsidRPr="00025219">
              <w:rPr>
                <w:color w:val="000000"/>
              </w:rPr>
              <w:t>300</w:t>
            </w:r>
            <w:r w:rsidR="00536D4A" w:rsidRPr="00025219">
              <w:rPr>
                <w:color w:val="000000"/>
              </w:rPr>
              <w:t xml:space="preserve"> </w:t>
            </w:r>
          </w:p>
        </w:tc>
        <w:tc>
          <w:tcPr>
            <w:tcW w:w="1620" w:type="dxa"/>
            <w:gridSpan w:val="2"/>
            <w:tcBorders>
              <w:right w:val="single" w:sz="4" w:space="0" w:color="auto"/>
            </w:tcBorders>
            <w:shd w:val="clear" w:color="auto" w:fill="auto"/>
          </w:tcPr>
          <w:p w:rsidR="00AE5540" w:rsidRPr="00025219" w:rsidRDefault="00C33D87" w:rsidP="00B26932">
            <w:pPr>
              <w:spacing w:before="60" w:after="60"/>
              <w:jc w:val="center"/>
              <w:rPr>
                <w:color w:val="000000"/>
              </w:rPr>
            </w:pPr>
            <w:r w:rsidRPr="00025219">
              <w:rPr>
                <w:color w:val="000000"/>
              </w:rPr>
              <w:t>Resolution ALJ-308</w:t>
            </w:r>
          </w:p>
        </w:tc>
        <w:tc>
          <w:tcPr>
            <w:tcW w:w="1440" w:type="dxa"/>
            <w:gridSpan w:val="2"/>
            <w:tcBorders>
              <w:top w:val="single" w:sz="4" w:space="0" w:color="auto"/>
              <w:left w:val="single" w:sz="4" w:space="0" w:color="auto"/>
              <w:bottom w:val="single" w:sz="4" w:space="0" w:color="auto"/>
              <w:right w:val="single" w:sz="24" w:space="0" w:color="auto"/>
            </w:tcBorders>
            <w:shd w:val="clear" w:color="auto" w:fill="auto"/>
          </w:tcPr>
          <w:p w:rsidR="00AE5540" w:rsidRPr="00025219" w:rsidRDefault="00312DBE" w:rsidP="00B26932">
            <w:pPr>
              <w:spacing w:before="60" w:after="60"/>
              <w:jc w:val="right"/>
              <w:rPr>
                <w:color w:val="000000"/>
              </w:rPr>
            </w:pPr>
            <w:r>
              <w:rPr>
                <w:color w:val="000000"/>
              </w:rPr>
              <w:t>$</w:t>
            </w:r>
            <w:r w:rsidR="00C33D87" w:rsidRPr="00025219">
              <w:rPr>
                <w:color w:val="000000"/>
              </w:rPr>
              <w:t>15,630</w:t>
            </w:r>
          </w:p>
        </w:tc>
        <w:tc>
          <w:tcPr>
            <w:tcW w:w="1080" w:type="dxa"/>
            <w:tcBorders>
              <w:left w:val="single" w:sz="4" w:space="0" w:color="auto"/>
            </w:tcBorders>
            <w:shd w:val="clear" w:color="auto" w:fill="auto"/>
          </w:tcPr>
          <w:p w:rsidR="00AE5540" w:rsidRPr="007F620E" w:rsidRDefault="007D5AD0" w:rsidP="00B26932">
            <w:pPr>
              <w:spacing w:before="60" w:after="60"/>
              <w:jc w:val="center"/>
              <w:rPr>
                <w:color w:val="000000"/>
              </w:rPr>
            </w:pPr>
            <w:r>
              <w:rPr>
                <w:color w:val="000000"/>
              </w:rPr>
              <w:t>27</w:t>
            </w:r>
          </w:p>
        </w:tc>
        <w:tc>
          <w:tcPr>
            <w:tcW w:w="900" w:type="dxa"/>
            <w:shd w:val="clear" w:color="auto" w:fill="auto"/>
          </w:tcPr>
          <w:p w:rsidR="00AE5540" w:rsidRPr="007F620E" w:rsidRDefault="00E27777" w:rsidP="00B26932">
            <w:pPr>
              <w:spacing w:before="60" w:after="60"/>
              <w:jc w:val="right"/>
              <w:rPr>
                <w:color w:val="000000"/>
              </w:rPr>
            </w:pPr>
            <w:r>
              <w:rPr>
                <w:color w:val="000000"/>
              </w:rPr>
              <w:t>$</w:t>
            </w:r>
            <w:r w:rsidR="00320388">
              <w:rPr>
                <w:color w:val="000000"/>
              </w:rPr>
              <w:t>300</w:t>
            </w:r>
          </w:p>
        </w:tc>
        <w:tc>
          <w:tcPr>
            <w:tcW w:w="1314" w:type="dxa"/>
            <w:shd w:val="clear" w:color="auto" w:fill="auto"/>
          </w:tcPr>
          <w:p w:rsidR="00AE5540" w:rsidRPr="007F620E" w:rsidRDefault="007D5AD0">
            <w:pPr>
              <w:spacing w:before="60" w:after="60"/>
              <w:jc w:val="right"/>
              <w:rPr>
                <w:color w:val="000000"/>
              </w:rPr>
            </w:pPr>
            <w:r>
              <w:rPr>
                <w:color w:val="000000"/>
              </w:rPr>
              <w:t>$8,100</w:t>
            </w:r>
          </w:p>
        </w:tc>
      </w:tr>
      <w:tr w:rsidR="00C33D87" w:rsidRPr="007F620E" w:rsidTr="003A4AF5">
        <w:trPr>
          <w:jc w:val="center"/>
        </w:trPr>
        <w:tc>
          <w:tcPr>
            <w:tcW w:w="1134" w:type="dxa"/>
            <w:shd w:val="clear" w:color="auto" w:fill="auto"/>
          </w:tcPr>
          <w:p w:rsidR="00C33D87" w:rsidRDefault="00C33D87" w:rsidP="00AE5540">
            <w:pPr>
              <w:spacing w:before="60" w:after="60"/>
              <w:rPr>
                <w:color w:val="000000"/>
              </w:rPr>
            </w:pPr>
            <w:r>
              <w:rPr>
                <w:color w:val="000000"/>
              </w:rPr>
              <w:t>Nicole Johnson</w:t>
            </w:r>
          </w:p>
        </w:tc>
        <w:tc>
          <w:tcPr>
            <w:tcW w:w="1044" w:type="dxa"/>
            <w:gridSpan w:val="2"/>
            <w:shd w:val="clear" w:color="auto" w:fill="auto"/>
          </w:tcPr>
          <w:p w:rsidR="00C33D87" w:rsidRDefault="00C33D87" w:rsidP="00AE5540">
            <w:pPr>
              <w:spacing w:before="60" w:after="60"/>
              <w:jc w:val="center"/>
              <w:rPr>
                <w:color w:val="000000"/>
              </w:rPr>
            </w:pPr>
            <w:r>
              <w:rPr>
                <w:color w:val="000000"/>
              </w:rPr>
              <w:t>2016</w:t>
            </w:r>
          </w:p>
        </w:tc>
        <w:tc>
          <w:tcPr>
            <w:tcW w:w="810" w:type="dxa"/>
            <w:gridSpan w:val="2"/>
            <w:shd w:val="clear" w:color="auto" w:fill="auto"/>
          </w:tcPr>
          <w:p w:rsidR="00C33D87" w:rsidRPr="00025219" w:rsidRDefault="00C33D87" w:rsidP="00B26932">
            <w:pPr>
              <w:spacing w:before="60" w:after="60"/>
              <w:jc w:val="center"/>
              <w:rPr>
                <w:color w:val="000000"/>
              </w:rPr>
            </w:pPr>
            <w:r w:rsidRPr="00025219">
              <w:rPr>
                <w:color w:val="000000"/>
              </w:rPr>
              <w:t>85</w:t>
            </w:r>
          </w:p>
        </w:tc>
        <w:tc>
          <w:tcPr>
            <w:tcW w:w="846" w:type="dxa"/>
            <w:shd w:val="clear" w:color="auto" w:fill="auto"/>
          </w:tcPr>
          <w:p w:rsidR="00C33D87" w:rsidRPr="00025219" w:rsidRDefault="00312DBE" w:rsidP="00AE5540">
            <w:pPr>
              <w:spacing w:before="60" w:after="60"/>
              <w:jc w:val="center"/>
              <w:rPr>
                <w:color w:val="000000"/>
              </w:rPr>
            </w:pPr>
            <w:r>
              <w:rPr>
                <w:color w:val="000000"/>
              </w:rPr>
              <w:t>$</w:t>
            </w:r>
            <w:r w:rsidR="00C33D87" w:rsidRPr="00025219">
              <w:rPr>
                <w:color w:val="000000"/>
              </w:rPr>
              <w:t>305</w:t>
            </w:r>
          </w:p>
        </w:tc>
        <w:tc>
          <w:tcPr>
            <w:tcW w:w="1620" w:type="dxa"/>
            <w:gridSpan w:val="2"/>
            <w:tcBorders>
              <w:right w:val="single" w:sz="4" w:space="0" w:color="auto"/>
            </w:tcBorders>
            <w:shd w:val="clear" w:color="auto" w:fill="auto"/>
          </w:tcPr>
          <w:p w:rsidR="00C33D87" w:rsidRPr="00025219" w:rsidRDefault="00C33D87" w:rsidP="00B26932">
            <w:pPr>
              <w:spacing w:before="60" w:after="60"/>
              <w:jc w:val="center"/>
              <w:rPr>
                <w:color w:val="000000"/>
              </w:rPr>
            </w:pPr>
            <w:r w:rsidRPr="00025219">
              <w:rPr>
                <w:color w:val="000000"/>
              </w:rPr>
              <w:t>Resolution ALJ-329</w:t>
            </w:r>
          </w:p>
        </w:tc>
        <w:tc>
          <w:tcPr>
            <w:tcW w:w="1440" w:type="dxa"/>
            <w:gridSpan w:val="2"/>
            <w:tcBorders>
              <w:top w:val="single" w:sz="4" w:space="0" w:color="auto"/>
              <w:left w:val="single" w:sz="4" w:space="0" w:color="auto"/>
              <w:bottom w:val="single" w:sz="4" w:space="0" w:color="auto"/>
              <w:right w:val="single" w:sz="24" w:space="0" w:color="auto"/>
            </w:tcBorders>
            <w:shd w:val="clear" w:color="auto" w:fill="auto"/>
          </w:tcPr>
          <w:p w:rsidR="00C33D87" w:rsidRPr="00025219" w:rsidRDefault="00312DBE" w:rsidP="00B26932">
            <w:pPr>
              <w:spacing w:before="60" w:after="60"/>
              <w:jc w:val="right"/>
              <w:rPr>
                <w:color w:val="000000"/>
              </w:rPr>
            </w:pPr>
            <w:r>
              <w:rPr>
                <w:color w:val="000000"/>
              </w:rPr>
              <w:t>$</w:t>
            </w:r>
            <w:r w:rsidR="009E3F96">
              <w:rPr>
                <w:color w:val="000000"/>
              </w:rPr>
              <w:t>25,925</w:t>
            </w:r>
          </w:p>
        </w:tc>
        <w:tc>
          <w:tcPr>
            <w:tcW w:w="1080" w:type="dxa"/>
            <w:tcBorders>
              <w:left w:val="single" w:sz="4" w:space="0" w:color="auto"/>
            </w:tcBorders>
            <w:shd w:val="clear" w:color="auto" w:fill="auto"/>
          </w:tcPr>
          <w:p w:rsidR="00C33D87" w:rsidRPr="007F620E" w:rsidRDefault="007D5AD0" w:rsidP="00B26932">
            <w:pPr>
              <w:spacing w:before="60" w:after="60"/>
              <w:jc w:val="center"/>
              <w:rPr>
                <w:color w:val="000000"/>
              </w:rPr>
            </w:pPr>
            <w:r>
              <w:rPr>
                <w:color w:val="000000"/>
              </w:rPr>
              <w:t>43</w:t>
            </w:r>
          </w:p>
        </w:tc>
        <w:tc>
          <w:tcPr>
            <w:tcW w:w="900" w:type="dxa"/>
            <w:shd w:val="clear" w:color="auto" w:fill="auto"/>
          </w:tcPr>
          <w:p w:rsidR="00C33D87" w:rsidRPr="007F620E" w:rsidRDefault="00E27777" w:rsidP="00B26932">
            <w:pPr>
              <w:spacing w:before="60" w:after="60"/>
              <w:jc w:val="right"/>
              <w:rPr>
                <w:color w:val="000000"/>
              </w:rPr>
            </w:pPr>
            <w:r>
              <w:rPr>
                <w:color w:val="000000"/>
              </w:rPr>
              <w:t>$</w:t>
            </w:r>
            <w:r w:rsidR="00320388">
              <w:rPr>
                <w:color w:val="000000"/>
              </w:rPr>
              <w:t>305</w:t>
            </w:r>
          </w:p>
        </w:tc>
        <w:tc>
          <w:tcPr>
            <w:tcW w:w="1314" w:type="dxa"/>
            <w:shd w:val="clear" w:color="auto" w:fill="auto"/>
          </w:tcPr>
          <w:p w:rsidR="00C33D87" w:rsidRPr="007F620E" w:rsidRDefault="00A00B0A">
            <w:pPr>
              <w:spacing w:before="60" w:after="60"/>
              <w:jc w:val="right"/>
              <w:rPr>
                <w:color w:val="000000"/>
              </w:rPr>
            </w:pPr>
            <w:r>
              <w:rPr>
                <w:color w:val="000000"/>
              </w:rPr>
              <w:t>$</w:t>
            </w:r>
            <w:r w:rsidR="007D5AD0">
              <w:rPr>
                <w:color w:val="000000"/>
              </w:rPr>
              <w:t>13,115.00</w:t>
            </w:r>
          </w:p>
        </w:tc>
      </w:tr>
      <w:tr w:rsidR="00C33D87" w:rsidRPr="007F620E" w:rsidTr="003A4AF5">
        <w:trPr>
          <w:jc w:val="center"/>
        </w:trPr>
        <w:tc>
          <w:tcPr>
            <w:tcW w:w="1134" w:type="dxa"/>
            <w:shd w:val="clear" w:color="auto" w:fill="auto"/>
          </w:tcPr>
          <w:p w:rsidR="00C33D87" w:rsidRDefault="00C33D87" w:rsidP="00AE5540">
            <w:pPr>
              <w:spacing w:before="60" w:after="60"/>
              <w:rPr>
                <w:color w:val="000000"/>
              </w:rPr>
            </w:pPr>
            <w:r>
              <w:rPr>
                <w:color w:val="000000"/>
              </w:rPr>
              <w:t>Nicole Johnson</w:t>
            </w:r>
          </w:p>
        </w:tc>
        <w:tc>
          <w:tcPr>
            <w:tcW w:w="1044" w:type="dxa"/>
            <w:gridSpan w:val="2"/>
            <w:shd w:val="clear" w:color="auto" w:fill="auto"/>
          </w:tcPr>
          <w:p w:rsidR="00C33D87" w:rsidRDefault="00C33D87" w:rsidP="00AE5540">
            <w:pPr>
              <w:spacing w:before="60" w:after="60"/>
              <w:jc w:val="center"/>
              <w:rPr>
                <w:color w:val="000000"/>
              </w:rPr>
            </w:pPr>
            <w:r>
              <w:rPr>
                <w:color w:val="000000"/>
              </w:rPr>
              <w:t>2017</w:t>
            </w:r>
          </w:p>
        </w:tc>
        <w:tc>
          <w:tcPr>
            <w:tcW w:w="810" w:type="dxa"/>
            <w:gridSpan w:val="2"/>
            <w:shd w:val="clear" w:color="auto" w:fill="auto"/>
          </w:tcPr>
          <w:p w:rsidR="00C33D87" w:rsidRPr="00025219" w:rsidRDefault="00C33D87" w:rsidP="00B26932">
            <w:pPr>
              <w:spacing w:before="60" w:after="60"/>
              <w:jc w:val="center"/>
              <w:rPr>
                <w:color w:val="000000"/>
              </w:rPr>
            </w:pPr>
            <w:r w:rsidRPr="00025219">
              <w:rPr>
                <w:color w:val="000000"/>
              </w:rPr>
              <w:t>132.7</w:t>
            </w:r>
          </w:p>
        </w:tc>
        <w:tc>
          <w:tcPr>
            <w:tcW w:w="846" w:type="dxa"/>
            <w:shd w:val="clear" w:color="auto" w:fill="auto"/>
          </w:tcPr>
          <w:p w:rsidR="00C33D87" w:rsidRPr="00025219" w:rsidRDefault="00312DBE" w:rsidP="00AE5540">
            <w:pPr>
              <w:spacing w:before="60" w:after="60"/>
              <w:jc w:val="center"/>
              <w:rPr>
                <w:color w:val="000000"/>
              </w:rPr>
            </w:pPr>
            <w:r>
              <w:rPr>
                <w:color w:val="000000"/>
              </w:rPr>
              <w:t>$</w:t>
            </w:r>
            <w:r w:rsidR="00C33D87" w:rsidRPr="00025219">
              <w:rPr>
                <w:color w:val="000000"/>
              </w:rPr>
              <w:t>310</w:t>
            </w:r>
          </w:p>
        </w:tc>
        <w:tc>
          <w:tcPr>
            <w:tcW w:w="1620" w:type="dxa"/>
            <w:gridSpan w:val="2"/>
            <w:tcBorders>
              <w:right w:val="single" w:sz="4" w:space="0" w:color="auto"/>
            </w:tcBorders>
            <w:shd w:val="clear" w:color="auto" w:fill="auto"/>
          </w:tcPr>
          <w:p w:rsidR="00C33D87" w:rsidRPr="00025219" w:rsidRDefault="00C33D87" w:rsidP="00B26932">
            <w:pPr>
              <w:spacing w:before="60" w:after="60"/>
              <w:jc w:val="center"/>
              <w:rPr>
                <w:color w:val="000000"/>
              </w:rPr>
            </w:pPr>
            <w:r w:rsidRPr="00025219">
              <w:rPr>
                <w:color w:val="000000"/>
              </w:rPr>
              <w:t>Resolution ALJ-329</w:t>
            </w:r>
          </w:p>
        </w:tc>
        <w:tc>
          <w:tcPr>
            <w:tcW w:w="1440" w:type="dxa"/>
            <w:gridSpan w:val="2"/>
            <w:tcBorders>
              <w:top w:val="single" w:sz="4" w:space="0" w:color="auto"/>
              <w:left w:val="single" w:sz="4" w:space="0" w:color="auto"/>
              <w:bottom w:val="single" w:sz="4" w:space="0" w:color="auto"/>
              <w:right w:val="single" w:sz="24" w:space="0" w:color="auto"/>
            </w:tcBorders>
            <w:shd w:val="clear" w:color="auto" w:fill="auto"/>
          </w:tcPr>
          <w:p w:rsidR="00C33D87" w:rsidRPr="00025219" w:rsidRDefault="00312DBE" w:rsidP="00B26932">
            <w:pPr>
              <w:spacing w:before="60" w:after="60"/>
              <w:jc w:val="right"/>
              <w:rPr>
                <w:color w:val="000000"/>
              </w:rPr>
            </w:pPr>
            <w:r>
              <w:rPr>
                <w:color w:val="000000"/>
              </w:rPr>
              <w:t>$</w:t>
            </w:r>
            <w:r w:rsidR="009E3F96">
              <w:rPr>
                <w:color w:val="000000"/>
              </w:rPr>
              <w:t>41,137</w:t>
            </w:r>
          </w:p>
        </w:tc>
        <w:tc>
          <w:tcPr>
            <w:tcW w:w="1080" w:type="dxa"/>
            <w:tcBorders>
              <w:left w:val="single" w:sz="4" w:space="0" w:color="auto"/>
            </w:tcBorders>
            <w:shd w:val="clear" w:color="auto" w:fill="auto"/>
          </w:tcPr>
          <w:p w:rsidR="00C33D87" w:rsidRPr="007F620E" w:rsidRDefault="007D5AD0" w:rsidP="00B26932">
            <w:pPr>
              <w:spacing w:before="60" w:after="60"/>
              <w:jc w:val="center"/>
              <w:rPr>
                <w:color w:val="000000"/>
              </w:rPr>
            </w:pPr>
            <w:r>
              <w:rPr>
                <w:color w:val="000000"/>
              </w:rPr>
              <w:t>75</w:t>
            </w:r>
          </w:p>
        </w:tc>
        <w:tc>
          <w:tcPr>
            <w:tcW w:w="900" w:type="dxa"/>
            <w:shd w:val="clear" w:color="auto" w:fill="auto"/>
          </w:tcPr>
          <w:p w:rsidR="00C33D87" w:rsidRPr="007F620E" w:rsidRDefault="00E27777" w:rsidP="00B26932">
            <w:pPr>
              <w:spacing w:before="60" w:after="60"/>
              <w:jc w:val="right"/>
              <w:rPr>
                <w:color w:val="000000"/>
              </w:rPr>
            </w:pPr>
            <w:r>
              <w:rPr>
                <w:color w:val="000000"/>
              </w:rPr>
              <w:t>$</w:t>
            </w:r>
            <w:r w:rsidR="00320388">
              <w:rPr>
                <w:color w:val="000000"/>
              </w:rPr>
              <w:t>310</w:t>
            </w:r>
          </w:p>
        </w:tc>
        <w:tc>
          <w:tcPr>
            <w:tcW w:w="1314" w:type="dxa"/>
            <w:shd w:val="clear" w:color="auto" w:fill="auto"/>
          </w:tcPr>
          <w:p w:rsidR="00C33D87" w:rsidRPr="007F620E" w:rsidRDefault="00A00B0A">
            <w:pPr>
              <w:spacing w:before="60" w:after="60"/>
              <w:jc w:val="right"/>
              <w:rPr>
                <w:color w:val="000000"/>
              </w:rPr>
            </w:pPr>
            <w:r>
              <w:rPr>
                <w:color w:val="000000"/>
              </w:rPr>
              <w:t>$</w:t>
            </w:r>
            <w:r w:rsidR="007D5AD0">
              <w:rPr>
                <w:color w:val="000000"/>
              </w:rPr>
              <w:t>23,250.00</w:t>
            </w:r>
          </w:p>
        </w:tc>
      </w:tr>
      <w:tr w:rsidR="00AE5540" w:rsidRPr="007F620E" w:rsidTr="003A4AF5">
        <w:trPr>
          <w:jc w:val="center"/>
        </w:trPr>
        <w:tc>
          <w:tcPr>
            <w:tcW w:w="1134" w:type="dxa"/>
            <w:shd w:val="clear" w:color="auto" w:fill="auto"/>
          </w:tcPr>
          <w:p w:rsidR="00AE5540" w:rsidRPr="001E3ECB" w:rsidRDefault="00AE5540" w:rsidP="00AE5540">
            <w:pPr>
              <w:spacing w:before="60" w:after="60"/>
              <w:rPr>
                <w:color w:val="000000"/>
              </w:rPr>
            </w:pPr>
            <w:r>
              <w:rPr>
                <w:color w:val="000000"/>
              </w:rPr>
              <w:lastRenderedPageBreak/>
              <w:t>Tony Roberts</w:t>
            </w:r>
          </w:p>
        </w:tc>
        <w:tc>
          <w:tcPr>
            <w:tcW w:w="1044" w:type="dxa"/>
            <w:gridSpan w:val="2"/>
            <w:shd w:val="clear" w:color="auto" w:fill="auto"/>
          </w:tcPr>
          <w:p w:rsidR="00AE5540" w:rsidRPr="001E3ECB" w:rsidRDefault="00AE5540" w:rsidP="00AE5540">
            <w:pPr>
              <w:spacing w:before="60" w:after="60"/>
              <w:jc w:val="center"/>
              <w:rPr>
                <w:color w:val="000000"/>
              </w:rPr>
            </w:pPr>
            <w:r>
              <w:rPr>
                <w:color w:val="000000"/>
              </w:rPr>
              <w:t>2017</w:t>
            </w:r>
          </w:p>
        </w:tc>
        <w:tc>
          <w:tcPr>
            <w:tcW w:w="810" w:type="dxa"/>
            <w:gridSpan w:val="2"/>
            <w:shd w:val="clear" w:color="auto" w:fill="auto"/>
          </w:tcPr>
          <w:p w:rsidR="00AE5540" w:rsidRPr="00025219" w:rsidRDefault="00536D4A" w:rsidP="00AE5540">
            <w:pPr>
              <w:spacing w:before="60" w:after="60"/>
              <w:jc w:val="right"/>
              <w:rPr>
                <w:color w:val="000000"/>
              </w:rPr>
            </w:pPr>
            <w:r w:rsidRPr="00025219">
              <w:rPr>
                <w:color w:val="000000"/>
              </w:rPr>
              <w:t>52.1</w:t>
            </w:r>
          </w:p>
        </w:tc>
        <w:tc>
          <w:tcPr>
            <w:tcW w:w="846" w:type="dxa"/>
            <w:shd w:val="clear" w:color="auto" w:fill="auto"/>
          </w:tcPr>
          <w:p w:rsidR="00AE5540" w:rsidRPr="00025219" w:rsidRDefault="00312DBE" w:rsidP="00B26932">
            <w:pPr>
              <w:spacing w:before="60" w:after="60"/>
              <w:jc w:val="both"/>
              <w:rPr>
                <w:color w:val="000000"/>
              </w:rPr>
            </w:pPr>
            <w:r>
              <w:rPr>
                <w:color w:val="000000"/>
              </w:rPr>
              <w:t>$</w:t>
            </w:r>
            <w:r w:rsidR="00AE5540" w:rsidRPr="00025219">
              <w:rPr>
                <w:color w:val="000000"/>
              </w:rPr>
              <w:t>275</w:t>
            </w:r>
          </w:p>
        </w:tc>
        <w:tc>
          <w:tcPr>
            <w:tcW w:w="1620" w:type="dxa"/>
            <w:gridSpan w:val="2"/>
            <w:tcBorders>
              <w:right w:val="single" w:sz="4" w:space="0" w:color="auto"/>
            </w:tcBorders>
            <w:shd w:val="clear" w:color="auto" w:fill="auto"/>
          </w:tcPr>
          <w:p w:rsidR="00AE5540" w:rsidRPr="00025219" w:rsidRDefault="00025219" w:rsidP="00B26932">
            <w:pPr>
              <w:spacing w:before="60" w:after="60"/>
              <w:jc w:val="center"/>
              <w:rPr>
                <w:color w:val="000000"/>
              </w:rPr>
            </w:pPr>
            <w:r w:rsidRPr="00025219">
              <w:rPr>
                <w:color w:val="000000"/>
              </w:rPr>
              <w:t>See Sec.C, Item #5</w:t>
            </w:r>
          </w:p>
        </w:tc>
        <w:tc>
          <w:tcPr>
            <w:tcW w:w="1440" w:type="dxa"/>
            <w:gridSpan w:val="2"/>
            <w:tcBorders>
              <w:top w:val="single" w:sz="4" w:space="0" w:color="auto"/>
              <w:left w:val="single" w:sz="4" w:space="0" w:color="auto"/>
              <w:bottom w:val="single" w:sz="4" w:space="0" w:color="auto"/>
              <w:right w:val="single" w:sz="24" w:space="0" w:color="auto"/>
            </w:tcBorders>
            <w:shd w:val="clear" w:color="auto" w:fill="auto"/>
          </w:tcPr>
          <w:p w:rsidR="00AE5540" w:rsidRPr="00025219" w:rsidRDefault="00A94C77" w:rsidP="00744B00">
            <w:pPr>
              <w:spacing w:before="60" w:after="60"/>
              <w:jc w:val="center"/>
              <w:rPr>
                <w:color w:val="000000"/>
              </w:rPr>
            </w:pPr>
            <w:r>
              <w:rPr>
                <w:color w:val="000000"/>
              </w:rPr>
              <w:t>$14,</w:t>
            </w:r>
            <w:r w:rsidR="00744B00">
              <w:rPr>
                <w:color w:val="000000"/>
              </w:rPr>
              <w:t>327.50</w:t>
            </w:r>
            <w:r w:rsidR="00744B00">
              <w:rPr>
                <w:rStyle w:val="FootnoteReference"/>
                <w:color w:val="000000"/>
              </w:rPr>
              <w:footnoteReference w:id="3"/>
            </w:r>
          </w:p>
        </w:tc>
        <w:tc>
          <w:tcPr>
            <w:tcW w:w="1080" w:type="dxa"/>
            <w:tcBorders>
              <w:left w:val="single" w:sz="4" w:space="0" w:color="auto"/>
            </w:tcBorders>
            <w:shd w:val="clear" w:color="auto" w:fill="auto"/>
          </w:tcPr>
          <w:p w:rsidR="00AE5540" w:rsidRPr="007F620E" w:rsidRDefault="007D5AD0" w:rsidP="003A4AF5">
            <w:pPr>
              <w:spacing w:before="60" w:after="60"/>
              <w:jc w:val="right"/>
              <w:rPr>
                <w:color w:val="000000"/>
              </w:rPr>
            </w:pPr>
            <w:r>
              <w:rPr>
                <w:color w:val="000000"/>
              </w:rPr>
              <w:t>35</w:t>
            </w:r>
          </w:p>
        </w:tc>
        <w:tc>
          <w:tcPr>
            <w:tcW w:w="900" w:type="dxa"/>
            <w:shd w:val="clear" w:color="auto" w:fill="auto"/>
          </w:tcPr>
          <w:p w:rsidR="00AE5540" w:rsidRPr="007F620E" w:rsidRDefault="00E27777" w:rsidP="00AE5540">
            <w:pPr>
              <w:spacing w:before="60" w:after="60"/>
              <w:jc w:val="center"/>
              <w:rPr>
                <w:color w:val="000000"/>
              </w:rPr>
            </w:pPr>
            <w:r>
              <w:rPr>
                <w:color w:val="000000"/>
              </w:rPr>
              <w:t>$240</w:t>
            </w:r>
            <w:r w:rsidR="00292265">
              <w:rPr>
                <w:rStyle w:val="FootnoteReference"/>
                <w:color w:val="000000"/>
              </w:rPr>
              <w:footnoteReference w:id="4"/>
            </w:r>
          </w:p>
        </w:tc>
        <w:tc>
          <w:tcPr>
            <w:tcW w:w="1314" w:type="dxa"/>
            <w:shd w:val="clear" w:color="auto" w:fill="auto"/>
          </w:tcPr>
          <w:p w:rsidR="00AE5540" w:rsidRPr="007F620E" w:rsidRDefault="00A00B0A" w:rsidP="00E27777">
            <w:pPr>
              <w:spacing w:before="60" w:after="60"/>
              <w:jc w:val="right"/>
              <w:rPr>
                <w:color w:val="000000"/>
              </w:rPr>
            </w:pPr>
            <w:r>
              <w:rPr>
                <w:color w:val="000000"/>
              </w:rPr>
              <w:t>$</w:t>
            </w:r>
            <w:r w:rsidR="007D5AD0">
              <w:rPr>
                <w:color w:val="000000"/>
              </w:rPr>
              <w:t>8,400</w:t>
            </w:r>
            <w:r w:rsidR="00E27777">
              <w:rPr>
                <w:color w:val="000000"/>
              </w:rPr>
              <w:t>.00</w:t>
            </w:r>
          </w:p>
        </w:tc>
      </w:tr>
      <w:tr w:rsidR="00E3786F" w:rsidRPr="007F620E" w:rsidTr="003A4AF5">
        <w:trPr>
          <w:jc w:val="center"/>
        </w:trPr>
        <w:tc>
          <w:tcPr>
            <w:tcW w:w="6894" w:type="dxa"/>
            <w:gridSpan w:val="10"/>
            <w:tcBorders>
              <w:bottom w:val="single" w:sz="4" w:space="0" w:color="auto"/>
              <w:right w:val="single" w:sz="24" w:space="0" w:color="auto"/>
            </w:tcBorders>
            <w:shd w:val="clear" w:color="auto" w:fill="auto"/>
            <w:vAlign w:val="bottom"/>
          </w:tcPr>
          <w:p w:rsidR="00E3786F" w:rsidRPr="00374FD1" w:rsidRDefault="00E3786F" w:rsidP="00744B00">
            <w:pPr>
              <w:tabs>
                <w:tab w:val="left" w:pos="957"/>
              </w:tabs>
              <w:spacing w:before="60" w:after="60"/>
              <w:ind w:right="1152"/>
              <w:jc w:val="right"/>
              <w:rPr>
                <w:b/>
                <w:i/>
                <w:color w:val="000000"/>
              </w:rPr>
            </w:pPr>
            <w:r w:rsidRPr="007F620E">
              <w:rPr>
                <w:b/>
                <w:i/>
                <w:color w:val="000000"/>
              </w:rPr>
              <w:t xml:space="preserve">Subtotal: </w:t>
            </w:r>
            <w:r w:rsidR="003A4AF5">
              <w:rPr>
                <w:b/>
                <w:i/>
                <w:color w:val="000000"/>
              </w:rPr>
              <w:t xml:space="preserve"> $</w:t>
            </w:r>
            <w:r w:rsidR="00744B00">
              <w:rPr>
                <w:b/>
                <w:i/>
                <w:color w:val="000000"/>
              </w:rPr>
              <w:t>97,019.50</w:t>
            </w:r>
            <w:r w:rsidR="00057413">
              <w:rPr>
                <w:rStyle w:val="FootnoteReference"/>
                <w:b/>
                <w:i/>
                <w:color w:val="000000"/>
              </w:rPr>
              <w:footnoteReference w:id="5"/>
            </w:r>
          </w:p>
        </w:tc>
        <w:tc>
          <w:tcPr>
            <w:tcW w:w="3294" w:type="dxa"/>
            <w:gridSpan w:val="3"/>
            <w:tcBorders>
              <w:left w:val="single" w:sz="24" w:space="0" w:color="auto"/>
              <w:bottom w:val="single" w:sz="4" w:space="0" w:color="auto"/>
            </w:tcBorders>
            <w:shd w:val="clear" w:color="auto" w:fill="auto"/>
            <w:vAlign w:val="bottom"/>
          </w:tcPr>
          <w:p w:rsidR="00E3786F" w:rsidRPr="007F620E" w:rsidRDefault="00E3786F" w:rsidP="00744B00">
            <w:pPr>
              <w:tabs>
                <w:tab w:val="left" w:pos="957"/>
              </w:tabs>
              <w:spacing w:before="60" w:after="60"/>
              <w:ind w:right="162"/>
              <w:jc w:val="right"/>
              <w:rPr>
                <w:color w:val="000000"/>
              </w:rPr>
            </w:pPr>
            <w:r w:rsidRPr="007F620E">
              <w:rPr>
                <w:b/>
                <w:i/>
                <w:color w:val="000000"/>
              </w:rPr>
              <w:t xml:space="preserve">Subtotal: </w:t>
            </w:r>
            <w:r w:rsidR="003A4AF5">
              <w:rPr>
                <w:b/>
                <w:i/>
                <w:color w:val="000000"/>
              </w:rPr>
              <w:t xml:space="preserve"> </w:t>
            </w:r>
            <w:r w:rsidRPr="007F620E">
              <w:rPr>
                <w:b/>
                <w:color w:val="000000"/>
              </w:rPr>
              <w:t>$</w:t>
            </w:r>
            <w:r w:rsidR="007D5AD0">
              <w:rPr>
                <w:b/>
                <w:color w:val="000000"/>
              </w:rPr>
              <w:t>52,865</w:t>
            </w:r>
            <w:r w:rsidR="00E27777">
              <w:rPr>
                <w:b/>
                <w:color w:val="000000"/>
              </w:rPr>
              <w:t>.00</w:t>
            </w:r>
          </w:p>
        </w:tc>
      </w:tr>
      <w:tr w:rsidR="00A92D0B" w:rsidRPr="007F620E" w:rsidTr="004961DE">
        <w:trPr>
          <w:jc w:val="center"/>
        </w:trPr>
        <w:tc>
          <w:tcPr>
            <w:tcW w:w="10188" w:type="dxa"/>
            <w:gridSpan w:val="13"/>
            <w:tcBorders>
              <w:top w:val="single" w:sz="4" w:space="0" w:color="auto"/>
              <w:left w:val="single" w:sz="4" w:space="0" w:color="auto"/>
              <w:bottom w:val="single" w:sz="4" w:space="0" w:color="auto"/>
              <w:right w:val="single" w:sz="4" w:space="0" w:color="auto"/>
            </w:tcBorders>
            <w:shd w:val="clear" w:color="auto" w:fill="E6E6E6"/>
          </w:tcPr>
          <w:p w:rsidR="00A92D0B" w:rsidRPr="007F620E" w:rsidRDefault="00A92D0B" w:rsidP="00A92D0B">
            <w:pPr>
              <w:spacing w:before="60" w:after="60"/>
              <w:jc w:val="center"/>
              <w:rPr>
                <w:color w:val="000000"/>
              </w:rPr>
            </w:pPr>
            <w:r w:rsidRPr="007F620E">
              <w:rPr>
                <w:b/>
                <w:color w:val="000000"/>
              </w:rPr>
              <w:t xml:space="preserve">INTERVENOR COMPENSATION CLAIM PREPARATION </w:t>
            </w:r>
            <w:r w:rsidRPr="007F620E">
              <w:rPr>
                <w:b/>
                <w:smallCaps/>
                <w:color w:val="000000"/>
              </w:rPr>
              <w:t xml:space="preserve"> **</w:t>
            </w:r>
          </w:p>
        </w:tc>
      </w:tr>
      <w:tr w:rsidR="00A92D0B" w:rsidRPr="00260518" w:rsidTr="003A4AF5">
        <w:trPr>
          <w:jc w:val="center"/>
        </w:trPr>
        <w:tc>
          <w:tcPr>
            <w:tcW w:w="1458" w:type="dxa"/>
            <w:gridSpan w:val="2"/>
            <w:tcBorders>
              <w:top w:val="single" w:sz="4" w:space="0" w:color="auto"/>
              <w:bottom w:val="single" w:sz="4" w:space="0" w:color="auto"/>
            </w:tcBorders>
            <w:shd w:val="clear" w:color="auto" w:fill="auto"/>
          </w:tcPr>
          <w:p w:rsidR="00A92D0B" w:rsidRPr="00260518" w:rsidRDefault="00A92D0B" w:rsidP="00A92D0B">
            <w:pPr>
              <w:spacing w:before="60" w:after="60"/>
              <w:jc w:val="center"/>
              <w:rPr>
                <w:b/>
                <w:color w:val="000000"/>
                <w:sz w:val="22"/>
                <w:szCs w:val="22"/>
              </w:rPr>
            </w:pPr>
            <w:r w:rsidRPr="00260518">
              <w:rPr>
                <w:b/>
                <w:color w:val="000000"/>
                <w:sz w:val="22"/>
                <w:szCs w:val="22"/>
              </w:rPr>
              <w:t>Item</w:t>
            </w:r>
          </w:p>
        </w:tc>
        <w:tc>
          <w:tcPr>
            <w:tcW w:w="720" w:type="dxa"/>
            <w:tcBorders>
              <w:top w:val="single" w:sz="4" w:space="0" w:color="auto"/>
              <w:bottom w:val="single" w:sz="4" w:space="0" w:color="auto"/>
            </w:tcBorders>
            <w:shd w:val="clear" w:color="auto" w:fill="auto"/>
          </w:tcPr>
          <w:p w:rsidR="00A92D0B" w:rsidRPr="00260518" w:rsidRDefault="00A92D0B" w:rsidP="00A92D0B">
            <w:pPr>
              <w:spacing w:before="60" w:after="60"/>
              <w:jc w:val="center"/>
              <w:rPr>
                <w:b/>
                <w:color w:val="000000"/>
                <w:sz w:val="22"/>
                <w:szCs w:val="22"/>
              </w:rPr>
            </w:pPr>
            <w:r w:rsidRPr="00260518">
              <w:rPr>
                <w:b/>
                <w:color w:val="000000"/>
                <w:sz w:val="22"/>
                <w:szCs w:val="22"/>
              </w:rPr>
              <w:t>Year</w:t>
            </w:r>
          </w:p>
        </w:tc>
        <w:tc>
          <w:tcPr>
            <w:tcW w:w="810" w:type="dxa"/>
            <w:gridSpan w:val="2"/>
            <w:tcBorders>
              <w:top w:val="single" w:sz="4" w:space="0" w:color="auto"/>
              <w:bottom w:val="single" w:sz="4" w:space="0" w:color="auto"/>
            </w:tcBorders>
            <w:shd w:val="clear" w:color="auto" w:fill="auto"/>
          </w:tcPr>
          <w:p w:rsidR="00A92D0B" w:rsidRPr="00260518" w:rsidRDefault="00A92D0B" w:rsidP="00A92D0B">
            <w:pPr>
              <w:spacing w:before="60" w:after="60"/>
              <w:jc w:val="center"/>
              <w:rPr>
                <w:b/>
                <w:color w:val="000000"/>
                <w:sz w:val="22"/>
                <w:szCs w:val="22"/>
              </w:rPr>
            </w:pPr>
            <w:r w:rsidRPr="00260518">
              <w:rPr>
                <w:b/>
                <w:color w:val="000000"/>
                <w:sz w:val="22"/>
                <w:szCs w:val="22"/>
              </w:rPr>
              <w:t>Hours</w:t>
            </w:r>
          </w:p>
        </w:tc>
        <w:tc>
          <w:tcPr>
            <w:tcW w:w="846" w:type="dxa"/>
            <w:tcBorders>
              <w:top w:val="single" w:sz="4" w:space="0" w:color="auto"/>
              <w:bottom w:val="single" w:sz="4" w:space="0" w:color="auto"/>
            </w:tcBorders>
            <w:shd w:val="clear" w:color="auto" w:fill="auto"/>
          </w:tcPr>
          <w:p w:rsidR="00A92D0B" w:rsidRPr="00260518" w:rsidRDefault="00A92D0B" w:rsidP="00A92D0B">
            <w:pPr>
              <w:spacing w:before="60" w:after="60"/>
              <w:jc w:val="center"/>
              <w:rPr>
                <w:b/>
                <w:color w:val="000000"/>
                <w:sz w:val="22"/>
                <w:szCs w:val="22"/>
              </w:rPr>
            </w:pPr>
            <w:r w:rsidRPr="00260518">
              <w:rPr>
                <w:b/>
                <w:color w:val="000000"/>
                <w:sz w:val="22"/>
                <w:szCs w:val="22"/>
              </w:rPr>
              <w:t>Rate</w:t>
            </w:r>
            <w:r w:rsidR="00380703" w:rsidRPr="00260518">
              <w:rPr>
                <w:b/>
                <w:color w:val="000000"/>
                <w:sz w:val="22"/>
                <w:szCs w:val="22"/>
              </w:rPr>
              <w:t xml:space="preserve"> $</w:t>
            </w:r>
            <w:r w:rsidRPr="00260518">
              <w:rPr>
                <w:b/>
                <w:color w:val="000000"/>
                <w:sz w:val="22"/>
                <w:szCs w:val="22"/>
              </w:rPr>
              <w:t xml:space="preserve"> </w:t>
            </w:r>
          </w:p>
        </w:tc>
        <w:tc>
          <w:tcPr>
            <w:tcW w:w="1620" w:type="dxa"/>
            <w:gridSpan w:val="2"/>
            <w:tcBorders>
              <w:top w:val="single" w:sz="4" w:space="0" w:color="auto"/>
              <w:bottom w:val="single" w:sz="4" w:space="0" w:color="auto"/>
              <w:right w:val="single" w:sz="4" w:space="0" w:color="auto"/>
            </w:tcBorders>
            <w:shd w:val="clear" w:color="auto" w:fill="auto"/>
          </w:tcPr>
          <w:p w:rsidR="00A92D0B" w:rsidRPr="00260518" w:rsidRDefault="00A92D0B" w:rsidP="00A92D0B">
            <w:pPr>
              <w:spacing w:before="60" w:after="60"/>
              <w:jc w:val="center"/>
              <w:rPr>
                <w:b/>
                <w:color w:val="000000"/>
                <w:sz w:val="22"/>
                <w:szCs w:val="22"/>
              </w:rPr>
            </w:pPr>
            <w:r w:rsidRPr="00260518">
              <w:rPr>
                <w:b/>
                <w:color w:val="000000"/>
                <w:sz w:val="22"/>
                <w:szCs w:val="22"/>
              </w:rPr>
              <w:t>Basis for Rate*</w:t>
            </w:r>
          </w:p>
        </w:tc>
        <w:tc>
          <w:tcPr>
            <w:tcW w:w="1440" w:type="dxa"/>
            <w:gridSpan w:val="2"/>
            <w:tcBorders>
              <w:top w:val="single" w:sz="4" w:space="0" w:color="auto"/>
              <w:left w:val="single" w:sz="4" w:space="0" w:color="auto"/>
              <w:bottom w:val="single" w:sz="4" w:space="0" w:color="auto"/>
              <w:right w:val="single" w:sz="24" w:space="0" w:color="auto"/>
            </w:tcBorders>
            <w:shd w:val="clear" w:color="auto" w:fill="auto"/>
          </w:tcPr>
          <w:p w:rsidR="00A92D0B" w:rsidRPr="00260518" w:rsidRDefault="00A92D0B" w:rsidP="00A92D0B">
            <w:pPr>
              <w:spacing w:before="60" w:after="60"/>
              <w:jc w:val="center"/>
              <w:rPr>
                <w:b/>
                <w:color w:val="000000"/>
                <w:sz w:val="22"/>
                <w:szCs w:val="22"/>
              </w:rPr>
            </w:pPr>
            <w:r w:rsidRPr="00260518">
              <w:rPr>
                <w:b/>
                <w:color w:val="000000"/>
                <w:sz w:val="22"/>
                <w:szCs w:val="22"/>
              </w:rPr>
              <w:t>Total $</w:t>
            </w:r>
          </w:p>
        </w:tc>
        <w:tc>
          <w:tcPr>
            <w:tcW w:w="1080" w:type="dxa"/>
            <w:tcBorders>
              <w:top w:val="single" w:sz="4" w:space="0" w:color="auto"/>
              <w:left w:val="single" w:sz="4" w:space="0" w:color="auto"/>
            </w:tcBorders>
            <w:shd w:val="clear" w:color="auto" w:fill="auto"/>
          </w:tcPr>
          <w:p w:rsidR="00A92D0B" w:rsidRPr="00260518" w:rsidRDefault="00A92D0B" w:rsidP="00A92D0B">
            <w:pPr>
              <w:spacing w:before="60" w:after="60"/>
              <w:jc w:val="center"/>
              <w:rPr>
                <w:b/>
                <w:color w:val="000000"/>
                <w:sz w:val="22"/>
                <w:szCs w:val="22"/>
              </w:rPr>
            </w:pPr>
            <w:r w:rsidRPr="00260518">
              <w:rPr>
                <w:b/>
                <w:color w:val="000000"/>
                <w:sz w:val="22"/>
                <w:szCs w:val="22"/>
              </w:rPr>
              <w:t>Hours</w:t>
            </w:r>
          </w:p>
        </w:tc>
        <w:tc>
          <w:tcPr>
            <w:tcW w:w="900" w:type="dxa"/>
            <w:tcBorders>
              <w:top w:val="single" w:sz="4" w:space="0" w:color="auto"/>
            </w:tcBorders>
            <w:shd w:val="clear" w:color="auto" w:fill="auto"/>
          </w:tcPr>
          <w:p w:rsidR="00A92D0B" w:rsidRPr="00260518" w:rsidRDefault="00A92D0B" w:rsidP="00A92D0B">
            <w:pPr>
              <w:spacing w:before="60" w:after="60"/>
              <w:jc w:val="center"/>
              <w:rPr>
                <w:b/>
                <w:color w:val="000000"/>
                <w:sz w:val="22"/>
                <w:szCs w:val="22"/>
              </w:rPr>
            </w:pPr>
            <w:r w:rsidRPr="00260518">
              <w:rPr>
                <w:b/>
                <w:color w:val="000000"/>
                <w:sz w:val="22"/>
                <w:szCs w:val="22"/>
              </w:rPr>
              <w:t xml:space="preserve">Rate </w:t>
            </w:r>
          </w:p>
        </w:tc>
        <w:tc>
          <w:tcPr>
            <w:tcW w:w="1314" w:type="dxa"/>
            <w:tcBorders>
              <w:top w:val="single" w:sz="4" w:space="0" w:color="auto"/>
            </w:tcBorders>
            <w:shd w:val="clear" w:color="auto" w:fill="auto"/>
          </w:tcPr>
          <w:p w:rsidR="00A92D0B" w:rsidRPr="00260518" w:rsidRDefault="00A92D0B" w:rsidP="00A92D0B">
            <w:pPr>
              <w:spacing w:before="60" w:after="60"/>
              <w:jc w:val="center"/>
              <w:rPr>
                <w:b/>
                <w:color w:val="000000"/>
                <w:sz w:val="22"/>
                <w:szCs w:val="22"/>
              </w:rPr>
            </w:pPr>
            <w:r w:rsidRPr="00260518">
              <w:rPr>
                <w:b/>
                <w:color w:val="000000"/>
                <w:sz w:val="22"/>
                <w:szCs w:val="22"/>
              </w:rPr>
              <w:t>Total $</w:t>
            </w:r>
          </w:p>
        </w:tc>
      </w:tr>
      <w:tr w:rsidR="00AE5540" w:rsidRPr="007F620E" w:rsidTr="003A4AF5">
        <w:trPr>
          <w:jc w:val="center"/>
        </w:trPr>
        <w:tc>
          <w:tcPr>
            <w:tcW w:w="1458" w:type="dxa"/>
            <w:gridSpan w:val="2"/>
            <w:shd w:val="clear" w:color="auto" w:fill="auto"/>
          </w:tcPr>
          <w:p w:rsidR="00AE5540" w:rsidRPr="007F620E" w:rsidRDefault="00AE5540" w:rsidP="00AE5540">
            <w:pPr>
              <w:spacing w:before="60" w:after="60"/>
              <w:ind w:left="-113" w:right="-175"/>
              <w:rPr>
                <w:color w:val="000000"/>
              </w:rPr>
            </w:pPr>
            <w:r w:rsidRPr="007F620E">
              <w:rPr>
                <w:color w:val="000000"/>
              </w:rPr>
              <w:t xml:space="preserve"> </w:t>
            </w:r>
            <w:r>
              <w:rPr>
                <w:color w:val="000000"/>
              </w:rPr>
              <w:t>Nicole Johnson</w:t>
            </w:r>
            <w:r w:rsidRPr="007F620E">
              <w:rPr>
                <w:color w:val="000000"/>
              </w:rPr>
              <w:t xml:space="preserve">  </w:t>
            </w:r>
          </w:p>
        </w:tc>
        <w:tc>
          <w:tcPr>
            <w:tcW w:w="720" w:type="dxa"/>
            <w:shd w:val="clear" w:color="auto" w:fill="auto"/>
          </w:tcPr>
          <w:p w:rsidR="00AE5540" w:rsidRPr="007F620E" w:rsidRDefault="00025219" w:rsidP="00AE5540">
            <w:pPr>
              <w:spacing w:before="60" w:after="60"/>
              <w:jc w:val="center"/>
              <w:rPr>
                <w:color w:val="000000"/>
              </w:rPr>
            </w:pPr>
            <w:r>
              <w:rPr>
                <w:color w:val="000000"/>
              </w:rPr>
              <w:t>2017</w:t>
            </w:r>
          </w:p>
        </w:tc>
        <w:tc>
          <w:tcPr>
            <w:tcW w:w="810" w:type="dxa"/>
            <w:gridSpan w:val="2"/>
            <w:shd w:val="clear" w:color="auto" w:fill="auto"/>
          </w:tcPr>
          <w:p w:rsidR="00AE5540" w:rsidRPr="007F620E" w:rsidRDefault="00025219" w:rsidP="00B26932">
            <w:pPr>
              <w:spacing w:before="60" w:after="60"/>
              <w:jc w:val="center"/>
              <w:rPr>
                <w:color w:val="000000"/>
              </w:rPr>
            </w:pPr>
            <w:r>
              <w:rPr>
                <w:color w:val="000000"/>
              </w:rPr>
              <w:t>6</w:t>
            </w:r>
          </w:p>
        </w:tc>
        <w:tc>
          <w:tcPr>
            <w:tcW w:w="846" w:type="dxa"/>
            <w:shd w:val="clear" w:color="auto" w:fill="auto"/>
          </w:tcPr>
          <w:p w:rsidR="00AE5540" w:rsidRPr="007F620E" w:rsidRDefault="00312DBE" w:rsidP="00B26932">
            <w:pPr>
              <w:spacing w:before="60" w:after="60"/>
              <w:jc w:val="right"/>
              <w:rPr>
                <w:color w:val="000000"/>
              </w:rPr>
            </w:pPr>
            <w:r>
              <w:rPr>
                <w:color w:val="000000"/>
              </w:rPr>
              <w:t>$</w:t>
            </w:r>
            <w:r w:rsidR="00025219">
              <w:rPr>
                <w:color w:val="000000"/>
              </w:rPr>
              <w:t>155</w:t>
            </w:r>
          </w:p>
        </w:tc>
        <w:tc>
          <w:tcPr>
            <w:tcW w:w="1620" w:type="dxa"/>
            <w:gridSpan w:val="2"/>
            <w:tcBorders>
              <w:right w:val="single" w:sz="4" w:space="0" w:color="auto"/>
            </w:tcBorders>
            <w:shd w:val="clear" w:color="auto" w:fill="auto"/>
          </w:tcPr>
          <w:p w:rsidR="00AE5540" w:rsidRPr="001E3ECB" w:rsidRDefault="00025219" w:rsidP="00B26932">
            <w:pPr>
              <w:pStyle w:val="Heading5"/>
              <w:jc w:val="center"/>
              <w:rPr>
                <w:rStyle w:val="Emphasis"/>
                <w:rFonts w:ascii="Times New Roman" w:hAnsi="Times New Roman"/>
                <w:b w:val="0"/>
                <w:bCs w:val="0"/>
                <w:i/>
                <w:iCs/>
                <w:sz w:val="24"/>
                <w:szCs w:val="24"/>
              </w:rPr>
            </w:pPr>
            <w:r w:rsidRPr="00025219">
              <w:rPr>
                <w:rFonts w:ascii="Times New Roman" w:hAnsi="Times New Roman"/>
                <w:b w:val="0"/>
                <w:i w:val="0"/>
                <w:sz w:val="24"/>
                <w:szCs w:val="24"/>
              </w:rPr>
              <w:t>Resolution ALJ-329</w:t>
            </w:r>
          </w:p>
        </w:tc>
        <w:tc>
          <w:tcPr>
            <w:tcW w:w="1440" w:type="dxa"/>
            <w:gridSpan w:val="2"/>
            <w:tcBorders>
              <w:top w:val="single" w:sz="4" w:space="0" w:color="auto"/>
              <w:left w:val="single" w:sz="4" w:space="0" w:color="auto"/>
              <w:bottom w:val="single" w:sz="4" w:space="0" w:color="auto"/>
              <w:right w:val="single" w:sz="24" w:space="0" w:color="auto"/>
            </w:tcBorders>
            <w:shd w:val="clear" w:color="auto" w:fill="auto"/>
          </w:tcPr>
          <w:p w:rsidR="00AE5540" w:rsidRPr="007F620E" w:rsidRDefault="00312DBE" w:rsidP="00AE5540">
            <w:pPr>
              <w:spacing w:before="60" w:after="60"/>
              <w:jc w:val="right"/>
              <w:rPr>
                <w:color w:val="000000"/>
              </w:rPr>
            </w:pPr>
            <w:r>
              <w:rPr>
                <w:color w:val="000000"/>
              </w:rPr>
              <w:t>$</w:t>
            </w:r>
            <w:r w:rsidR="00025219">
              <w:rPr>
                <w:color w:val="000000"/>
              </w:rPr>
              <w:t>930</w:t>
            </w:r>
          </w:p>
        </w:tc>
        <w:tc>
          <w:tcPr>
            <w:tcW w:w="1080" w:type="dxa"/>
            <w:tcBorders>
              <w:left w:val="single" w:sz="4" w:space="0" w:color="auto"/>
              <w:right w:val="single" w:sz="4" w:space="0" w:color="auto"/>
            </w:tcBorders>
            <w:shd w:val="clear" w:color="auto" w:fill="auto"/>
          </w:tcPr>
          <w:p w:rsidR="00AE5540" w:rsidRPr="007F620E" w:rsidRDefault="00995F69" w:rsidP="00AE5540">
            <w:pPr>
              <w:spacing w:before="60" w:after="60"/>
              <w:jc w:val="right"/>
              <w:rPr>
                <w:color w:val="000000"/>
              </w:rPr>
            </w:pPr>
            <w:r>
              <w:rPr>
                <w:color w:val="000000"/>
              </w:rPr>
              <w:t>4</w:t>
            </w:r>
          </w:p>
        </w:tc>
        <w:tc>
          <w:tcPr>
            <w:tcW w:w="900" w:type="dxa"/>
            <w:tcBorders>
              <w:left w:val="single" w:sz="4" w:space="0" w:color="auto"/>
            </w:tcBorders>
            <w:shd w:val="clear" w:color="auto" w:fill="auto"/>
          </w:tcPr>
          <w:p w:rsidR="00AE5540" w:rsidRPr="007F620E" w:rsidRDefault="00E27777" w:rsidP="00AE5540">
            <w:pPr>
              <w:spacing w:before="60" w:after="60"/>
              <w:jc w:val="center"/>
              <w:rPr>
                <w:color w:val="000000"/>
              </w:rPr>
            </w:pPr>
            <w:r>
              <w:rPr>
                <w:color w:val="000000"/>
              </w:rPr>
              <w:t>$</w:t>
            </w:r>
            <w:r w:rsidR="00320388">
              <w:rPr>
                <w:color w:val="000000"/>
              </w:rPr>
              <w:t>155</w:t>
            </w:r>
          </w:p>
        </w:tc>
        <w:tc>
          <w:tcPr>
            <w:tcW w:w="1314" w:type="dxa"/>
            <w:shd w:val="clear" w:color="auto" w:fill="auto"/>
          </w:tcPr>
          <w:p w:rsidR="00AE5540" w:rsidRPr="007F620E" w:rsidRDefault="00A00B0A" w:rsidP="00E27777">
            <w:pPr>
              <w:spacing w:before="60" w:after="60"/>
              <w:jc w:val="right"/>
              <w:rPr>
                <w:color w:val="000000"/>
              </w:rPr>
            </w:pPr>
            <w:r>
              <w:rPr>
                <w:color w:val="000000"/>
              </w:rPr>
              <w:t>$</w:t>
            </w:r>
            <w:r w:rsidR="00E27777">
              <w:rPr>
                <w:color w:val="000000"/>
              </w:rPr>
              <w:t>620.00</w:t>
            </w:r>
          </w:p>
        </w:tc>
      </w:tr>
      <w:tr w:rsidR="00AE5540" w:rsidRPr="007F620E" w:rsidTr="003A4AF5">
        <w:trPr>
          <w:jc w:val="center"/>
        </w:trPr>
        <w:tc>
          <w:tcPr>
            <w:tcW w:w="1458" w:type="dxa"/>
            <w:gridSpan w:val="2"/>
            <w:shd w:val="clear" w:color="auto" w:fill="auto"/>
          </w:tcPr>
          <w:p w:rsidR="00AE5540" w:rsidRPr="007F620E" w:rsidRDefault="00AE5540" w:rsidP="00AE5540">
            <w:pPr>
              <w:spacing w:before="60" w:after="60"/>
              <w:ind w:left="-113" w:right="-175"/>
              <w:rPr>
                <w:color w:val="000000"/>
              </w:rPr>
            </w:pPr>
            <w:r>
              <w:rPr>
                <w:color w:val="000000"/>
              </w:rPr>
              <w:t>Tony Roberts</w:t>
            </w:r>
            <w:r w:rsidRPr="007F620E">
              <w:rPr>
                <w:color w:val="000000"/>
              </w:rPr>
              <w:t xml:space="preserve">  </w:t>
            </w:r>
          </w:p>
        </w:tc>
        <w:tc>
          <w:tcPr>
            <w:tcW w:w="720" w:type="dxa"/>
            <w:shd w:val="clear" w:color="auto" w:fill="auto"/>
          </w:tcPr>
          <w:p w:rsidR="00AE5540" w:rsidRPr="007F620E" w:rsidRDefault="001A1A76" w:rsidP="00AE5540">
            <w:pPr>
              <w:spacing w:before="60" w:after="60"/>
              <w:jc w:val="center"/>
              <w:rPr>
                <w:color w:val="000000"/>
              </w:rPr>
            </w:pPr>
            <w:r>
              <w:rPr>
                <w:color w:val="000000"/>
              </w:rPr>
              <w:t>2017</w:t>
            </w:r>
          </w:p>
        </w:tc>
        <w:tc>
          <w:tcPr>
            <w:tcW w:w="810" w:type="dxa"/>
            <w:gridSpan w:val="2"/>
            <w:shd w:val="clear" w:color="auto" w:fill="auto"/>
          </w:tcPr>
          <w:p w:rsidR="00AE5540" w:rsidRPr="007F620E" w:rsidRDefault="00025219" w:rsidP="00B26932">
            <w:pPr>
              <w:spacing w:before="60" w:after="60"/>
              <w:jc w:val="center"/>
              <w:rPr>
                <w:color w:val="000000"/>
              </w:rPr>
            </w:pPr>
            <w:r>
              <w:rPr>
                <w:color w:val="000000"/>
              </w:rPr>
              <w:t>8</w:t>
            </w:r>
          </w:p>
        </w:tc>
        <w:tc>
          <w:tcPr>
            <w:tcW w:w="846" w:type="dxa"/>
            <w:shd w:val="clear" w:color="auto" w:fill="auto"/>
          </w:tcPr>
          <w:p w:rsidR="00AE5540" w:rsidRPr="007F620E" w:rsidRDefault="00312DBE" w:rsidP="00B26932">
            <w:pPr>
              <w:spacing w:before="60" w:after="60"/>
              <w:jc w:val="right"/>
              <w:rPr>
                <w:color w:val="000000"/>
              </w:rPr>
            </w:pPr>
            <w:r>
              <w:rPr>
                <w:color w:val="000000"/>
              </w:rPr>
              <w:t>$</w:t>
            </w:r>
            <w:r w:rsidR="00025219">
              <w:rPr>
                <w:color w:val="000000"/>
              </w:rPr>
              <w:t>138</w:t>
            </w:r>
          </w:p>
        </w:tc>
        <w:tc>
          <w:tcPr>
            <w:tcW w:w="1620" w:type="dxa"/>
            <w:gridSpan w:val="2"/>
            <w:tcBorders>
              <w:right w:val="single" w:sz="4" w:space="0" w:color="auto"/>
            </w:tcBorders>
            <w:shd w:val="clear" w:color="auto" w:fill="auto"/>
          </w:tcPr>
          <w:p w:rsidR="00AE5540" w:rsidRPr="001E3ECB" w:rsidRDefault="00025219" w:rsidP="00B26932">
            <w:pPr>
              <w:spacing w:before="60" w:after="60"/>
              <w:jc w:val="center"/>
              <w:rPr>
                <w:color w:val="000000"/>
              </w:rPr>
            </w:pPr>
            <w:r w:rsidRPr="00025219">
              <w:rPr>
                <w:color w:val="000000"/>
              </w:rPr>
              <w:t>Resolution ALJ-329</w:t>
            </w:r>
          </w:p>
        </w:tc>
        <w:tc>
          <w:tcPr>
            <w:tcW w:w="1440" w:type="dxa"/>
            <w:gridSpan w:val="2"/>
            <w:tcBorders>
              <w:top w:val="single" w:sz="4" w:space="0" w:color="auto"/>
              <w:left w:val="single" w:sz="4" w:space="0" w:color="auto"/>
              <w:bottom w:val="single" w:sz="4" w:space="0" w:color="auto"/>
              <w:right w:val="single" w:sz="24" w:space="0" w:color="auto"/>
            </w:tcBorders>
            <w:shd w:val="clear" w:color="auto" w:fill="auto"/>
          </w:tcPr>
          <w:p w:rsidR="00AE5540" w:rsidRPr="007F620E" w:rsidRDefault="00312DBE" w:rsidP="00315724">
            <w:pPr>
              <w:spacing w:before="60" w:after="60"/>
              <w:jc w:val="right"/>
              <w:rPr>
                <w:color w:val="000000"/>
              </w:rPr>
            </w:pPr>
            <w:r>
              <w:rPr>
                <w:color w:val="000000"/>
              </w:rPr>
              <w:t>$</w:t>
            </w:r>
            <w:r w:rsidR="00025219">
              <w:rPr>
                <w:color w:val="000000"/>
              </w:rPr>
              <w:t>1104</w:t>
            </w:r>
          </w:p>
        </w:tc>
        <w:tc>
          <w:tcPr>
            <w:tcW w:w="1080" w:type="dxa"/>
            <w:tcBorders>
              <w:left w:val="single" w:sz="4" w:space="0" w:color="auto"/>
              <w:right w:val="single" w:sz="4" w:space="0" w:color="auto"/>
            </w:tcBorders>
            <w:shd w:val="clear" w:color="auto" w:fill="auto"/>
          </w:tcPr>
          <w:p w:rsidR="00AE5540" w:rsidRPr="007F620E" w:rsidRDefault="00995F69" w:rsidP="00AE5540">
            <w:pPr>
              <w:spacing w:before="60" w:after="60"/>
              <w:jc w:val="right"/>
              <w:rPr>
                <w:color w:val="000000"/>
              </w:rPr>
            </w:pPr>
            <w:r>
              <w:rPr>
                <w:color w:val="000000"/>
              </w:rPr>
              <w:t>5</w:t>
            </w:r>
          </w:p>
        </w:tc>
        <w:tc>
          <w:tcPr>
            <w:tcW w:w="900" w:type="dxa"/>
            <w:tcBorders>
              <w:left w:val="single" w:sz="4" w:space="0" w:color="auto"/>
            </w:tcBorders>
            <w:shd w:val="clear" w:color="auto" w:fill="auto"/>
          </w:tcPr>
          <w:p w:rsidR="00AE5540" w:rsidRPr="007F620E" w:rsidRDefault="00E27777" w:rsidP="00AE5540">
            <w:pPr>
              <w:spacing w:before="60" w:after="60"/>
              <w:jc w:val="center"/>
              <w:rPr>
                <w:color w:val="000000"/>
              </w:rPr>
            </w:pPr>
            <w:r>
              <w:rPr>
                <w:color w:val="000000"/>
              </w:rPr>
              <w:t>$120</w:t>
            </w:r>
          </w:p>
        </w:tc>
        <w:tc>
          <w:tcPr>
            <w:tcW w:w="1314" w:type="dxa"/>
            <w:shd w:val="clear" w:color="auto" w:fill="auto"/>
          </w:tcPr>
          <w:p w:rsidR="00AE5540" w:rsidRPr="007F620E" w:rsidRDefault="00A00B0A" w:rsidP="00E27777">
            <w:pPr>
              <w:spacing w:before="60" w:after="60"/>
              <w:jc w:val="right"/>
              <w:rPr>
                <w:color w:val="000000"/>
              </w:rPr>
            </w:pPr>
            <w:r>
              <w:rPr>
                <w:color w:val="000000"/>
              </w:rPr>
              <w:t>$</w:t>
            </w:r>
            <w:r w:rsidR="00E27777">
              <w:rPr>
                <w:color w:val="000000"/>
              </w:rPr>
              <w:t>600.00</w:t>
            </w:r>
          </w:p>
        </w:tc>
      </w:tr>
      <w:tr w:rsidR="00E15DC3" w:rsidRPr="007F620E" w:rsidTr="003A4AF5">
        <w:trPr>
          <w:jc w:val="center"/>
        </w:trPr>
        <w:tc>
          <w:tcPr>
            <w:tcW w:w="6894" w:type="dxa"/>
            <w:gridSpan w:val="10"/>
            <w:tcBorders>
              <w:bottom w:val="single" w:sz="4" w:space="0" w:color="auto"/>
              <w:right w:val="single" w:sz="24" w:space="0" w:color="auto"/>
            </w:tcBorders>
            <w:shd w:val="clear" w:color="auto" w:fill="auto"/>
            <w:vAlign w:val="bottom"/>
          </w:tcPr>
          <w:p w:rsidR="00E15DC3" w:rsidRPr="00374FD1" w:rsidRDefault="00E15DC3" w:rsidP="00230463">
            <w:pPr>
              <w:tabs>
                <w:tab w:val="left" w:pos="957"/>
              </w:tabs>
              <w:spacing w:before="60" w:after="60"/>
              <w:ind w:right="1152"/>
              <w:jc w:val="right"/>
              <w:rPr>
                <w:b/>
                <w:i/>
                <w:color w:val="000000"/>
              </w:rPr>
            </w:pPr>
            <w:r w:rsidRPr="007F620E">
              <w:rPr>
                <w:b/>
                <w:i/>
                <w:color w:val="000000"/>
              </w:rPr>
              <w:t xml:space="preserve">Subtotal: </w:t>
            </w:r>
            <w:r w:rsidR="003A4AF5">
              <w:rPr>
                <w:b/>
                <w:i/>
                <w:color w:val="000000"/>
              </w:rPr>
              <w:t xml:space="preserve"> </w:t>
            </w:r>
            <w:r w:rsidRPr="00374FD1">
              <w:rPr>
                <w:b/>
                <w:i/>
                <w:color w:val="000000"/>
              </w:rPr>
              <w:t>$</w:t>
            </w:r>
            <w:r w:rsidR="00025219">
              <w:rPr>
                <w:b/>
                <w:i/>
                <w:color w:val="000000"/>
              </w:rPr>
              <w:t>2,034</w:t>
            </w:r>
          </w:p>
        </w:tc>
        <w:tc>
          <w:tcPr>
            <w:tcW w:w="3294" w:type="dxa"/>
            <w:gridSpan w:val="3"/>
            <w:tcBorders>
              <w:left w:val="single" w:sz="24" w:space="0" w:color="auto"/>
              <w:bottom w:val="single" w:sz="4" w:space="0" w:color="auto"/>
            </w:tcBorders>
            <w:shd w:val="clear" w:color="auto" w:fill="auto"/>
            <w:vAlign w:val="bottom"/>
          </w:tcPr>
          <w:p w:rsidR="00E15DC3" w:rsidRPr="00374FD1" w:rsidRDefault="00E15DC3" w:rsidP="00E27777">
            <w:pPr>
              <w:tabs>
                <w:tab w:val="left" w:pos="957"/>
              </w:tabs>
              <w:spacing w:before="60" w:after="60"/>
              <w:ind w:right="162"/>
              <w:jc w:val="right"/>
              <w:rPr>
                <w:b/>
                <w:i/>
                <w:color w:val="000000"/>
              </w:rPr>
            </w:pPr>
            <w:r w:rsidRPr="007F620E">
              <w:rPr>
                <w:b/>
                <w:i/>
                <w:color w:val="000000"/>
              </w:rPr>
              <w:t>Subtotal:</w:t>
            </w:r>
            <w:r w:rsidR="003A4AF5">
              <w:rPr>
                <w:b/>
                <w:i/>
                <w:color w:val="000000"/>
              </w:rPr>
              <w:t xml:space="preserve"> </w:t>
            </w:r>
            <w:r w:rsidRPr="007F620E">
              <w:rPr>
                <w:b/>
                <w:i/>
                <w:color w:val="000000"/>
              </w:rPr>
              <w:t xml:space="preserve"> </w:t>
            </w:r>
            <w:r w:rsidRPr="00374FD1">
              <w:rPr>
                <w:b/>
                <w:i/>
                <w:color w:val="000000"/>
              </w:rPr>
              <w:t>$</w:t>
            </w:r>
            <w:r w:rsidR="00995F69">
              <w:rPr>
                <w:b/>
                <w:i/>
                <w:color w:val="000000"/>
              </w:rPr>
              <w:t>1,</w:t>
            </w:r>
            <w:r w:rsidR="00E27777">
              <w:rPr>
                <w:b/>
                <w:i/>
                <w:color w:val="000000"/>
              </w:rPr>
              <w:t>220.00</w:t>
            </w:r>
          </w:p>
        </w:tc>
      </w:tr>
      <w:tr w:rsidR="00380703" w:rsidRPr="007F620E" w:rsidTr="003A4AF5">
        <w:trPr>
          <w:jc w:val="center"/>
        </w:trPr>
        <w:tc>
          <w:tcPr>
            <w:tcW w:w="6894" w:type="dxa"/>
            <w:gridSpan w:val="10"/>
            <w:tcBorders>
              <w:top w:val="single" w:sz="4" w:space="0" w:color="auto"/>
              <w:bottom w:val="single" w:sz="4" w:space="0" w:color="auto"/>
              <w:right w:val="single" w:sz="24" w:space="0" w:color="auto"/>
            </w:tcBorders>
            <w:shd w:val="clear" w:color="auto" w:fill="E6E6E6"/>
            <w:vAlign w:val="bottom"/>
          </w:tcPr>
          <w:p w:rsidR="00380703" w:rsidRPr="00374FD1" w:rsidRDefault="00380703" w:rsidP="00744B00">
            <w:pPr>
              <w:tabs>
                <w:tab w:val="left" w:pos="957"/>
              </w:tabs>
              <w:spacing w:before="60" w:after="60"/>
              <w:ind w:right="1152"/>
              <w:jc w:val="right"/>
              <w:rPr>
                <w:b/>
                <w:i/>
                <w:color w:val="000000"/>
              </w:rPr>
            </w:pPr>
            <w:r w:rsidRPr="00374FD1">
              <w:rPr>
                <w:b/>
                <w:i/>
                <w:color w:val="000000"/>
              </w:rPr>
              <w:t>TOTAL REQUEST:</w:t>
            </w:r>
            <w:r w:rsidR="003A4AF5">
              <w:rPr>
                <w:b/>
                <w:i/>
                <w:color w:val="000000"/>
              </w:rPr>
              <w:t xml:space="preserve"> </w:t>
            </w:r>
            <w:r w:rsidRPr="00374FD1">
              <w:rPr>
                <w:b/>
                <w:i/>
                <w:color w:val="000000"/>
              </w:rPr>
              <w:t xml:space="preserve"> $</w:t>
            </w:r>
            <w:r w:rsidR="00744B00">
              <w:rPr>
                <w:b/>
                <w:i/>
                <w:color w:val="000000"/>
              </w:rPr>
              <w:t>99,053.50</w:t>
            </w:r>
          </w:p>
        </w:tc>
        <w:tc>
          <w:tcPr>
            <w:tcW w:w="3294" w:type="dxa"/>
            <w:gridSpan w:val="3"/>
            <w:tcBorders>
              <w:left w:val="single" w:sz="24" w:space="0" w:color="auto"/>
            </w:tcBorders>
            <w:shd w:val="clear" w:color="auto" w:fill="E6E6E6"/>
            <w:vAlign w:val="bottom"/>
          </w:tcPr>
          <w:p w:rsidR="00380703" w:rsidRPr="00374FD1" w:rsidRDefault="00380703" w:rsidP="00E27777">
            <w:pPr>
              <w:tabs>
                <w:tab w:val="left" w:pos="957"/>
              </w:tabs>
              <w:spacing w:before="60" w:after="60"/>
              <w:ind w:right="72"/>
              <w:jc w:val="right"/>
              <w:rPr>
                <w:b/>
                <w:i/>
                <w:color w:val="000000"/>
              </w:rPr>
            </w:pPr>
            <w:r w:rsidRPr="00374FD1">
              <w:rPr>
                <w:b/>
                <w:i/>
                <w:color w:val="000000"/>
              </w:rPr>
              <w:t>TOTAL</w:t>
            </w:r>
            <w:r w:rsidR="00320388">
              <w:rPr>
                <w:b/>
                <w:i/>
                <w:color w:val="000000"/>
              </w:rPr>
              <w:t xml:space="preserve"> AWARD:  </w:t>
            </w:r>
            <w:r w:rsidRPr="00374FD1">
              <w:rPr>
                <w:b/>
                <w:i/>
                <w:color w:val="000000"/>
              </w:rPr>
              <w:t>$</w:t>
            </w:r>
            <w:r w:rsidR="007D5AD0">
              <w:rPr>
                <w:b/>
                <w:i/>
                <w:color w:val="000000"/>
              </w:rPr>
              <w:t>54,085</w:t>
            </w:r>
            <w:r w:rsidR="00E27777">
              <w:rPr>
                <w:b/>
                <w:i/>
                <w:color w:val="000000"/>
              </w:rPr>
              <w:t>.00</w:t>
            </w:r>
          </w:p>
        </w:tc>
      </w:tr>
      <w:tr w:rsidR="00A92D0B" w:rsidRPr="007F620E" w:rsidTr="004961DE">
        <w:trPr>
          <w:jc w:val="center"/>
        </w:trPr>
        <w:tc>
          <w:tcPr>
            <w:tcW w:w="10188" w:type="dxa"/>
            <w:gridSpan w:val="13"/>
            <w:tcBorders>
              <w:top w:val="single" w:sz="4" w:space="0" w:color="auto"/>
              <w:bottom w:val="single" w:sz="4" w:space="0" w:color="auto"/>
            </w:tcBorders>
            <w:shd w:val="clear" w:color="auto" w:fill="auto"/>
          </w:tcPr>
          <w:p w:rsidR="00D075B1" w:rsidRPr="007F620E" w:rsidRDefault="00885956" w:rsidP="00D075B1">
            <w:pPr>
              <w:spacing w:before="60" w:after="60"/>
              <w:rPr>
                <w:color w:val="000000"/>
              </w:rPr>
            </w:pPr>
            <w:r w:rsidRPr="007F620E">
              <w:rPr>
                <w:color w:val="000000"/>
              </w:rPr>
              <w:t xml:space="preserve">  </w:t>
            </w:r>
            <w:r w:rsidR="00D075B1" w:rsidRPr="007F620E">
              <w:rPr>
                <w:color w:val="000000"/>
              </w:rPr>
              <w:t xml:space="preserve">*We remind all intervenors that Commission staff may audit </w:t>
            </w:r>
            <w:r w:rsidR="00C16981">
              <w:t>the records and books of the intervenors to the extent necessary to verify the basis for the award (§1804(d)).  I</w:t>
            </w:r>
            <w:r w:rsidR="00D075B1" w:rsidRPr="007F620E">
              <w:rPr>
                <w:color w:val="000000"/>
              </w:rPr>
              <w:t xml:space="preserve">ntervenors must make and retain adequate accounting and other documentation to support all claims for intervenor compensation.  </w:t>
            </w:r>
            <w:r w:rsidR="005A63D4" w:rsidRPr="007F620E">
              <w:rPr>
                <w:color w:val="000000"/>
              </w:rPr>
              <w:t>Intervenor</w:t>
            </w:r>
            <w:r w:rsidR="00D075B1" w:rsidRPr="007F620E">
              <w:rPr>
                <w:color w:val="000000"/>
              </w:rPr>
              <w:t xml:space="preserve">’s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00A92D0B" w:rsidRPr="007F620E" w:rsidRDefault="00D075B1" w:rsidP="00963EEF">
            <w:pPr>
              <w:spacing w:before="60" w:after="60"/>
              <w:rPr>
                <w:color w:val="000000"/>
              </w:rPr>
            </w:pPr>
            <w:r w:rsidRPr="007F620E">
              <w:rPr>
                <w:color w:val="000000"/>
              </w:rPr>
              <w:t xml:space="preserve">**Travel and Reasonable Claim preparation time </w:t>
            </w:r>
            <w:r w:rsidR="00260518">
              <w:rPr>
                <w:color w:val="000000"/>
              </w:rPr>
              <w:t xml:space="preserve">are </w:t>
            </w:r>
            <w:r w:rsidRPr="007F620E">
              <w:rPr>
                <w:color w:val="000000"/>
              </w:rPr>
              <w:t>typically compensated at ½ of preparer’s normal hourly rate</w:t>
            </w:r>
            <w:r w:rsidRPr="007F620E" w:rsidDel="00D075B1">
              <w:rPr>
                <w:color w:val="000000"/>
              </w:rPr>
              <w:t xml:space="preserve"> </w:t>
            </w:r>
          </w:p>
        </w:tc>
      </w:tr>
      <w:tr w:rsidR="005A53F1" w:rsidRPr="007F620E" w:rsidTr="004961DE">
        <w:trPr>
          <w:jc w:val="center"/>
        </w:trPr>
        <w:tc>
          <w:tcPr>
            <w:tcW w:w="10188" w:type="dxa"/>
            <w:gridSpan w:val="13"/>
            <w:tcBorders>
              <w:top w:val="single" w:sz="4" w:space="0" w:color="auto"/>
              <w:left w:val="single" w:sz="4" w:space="0" w:color="auto"/>
              <w:bottom w:val="single" w:sz="4" w:space="0" w:color="auto"/>
              <w:right w:val="single" w:sz="4" w:space="0" w:color="auto"/>
            </w:tcBorders>
            <w:shd w:val="clear" w:color="auto" w:fill="E6E6E6"/>
          </w:tcPr>
          <w:p w:rsidR="005A53F1" w:rsidRPr="007F620E" w:rsidRDefault="005A53F1" w:rsidP="00DD52BB">
            <w:pPr>
              <w:spacing w:before="60" w:after="60"/>
              <w:jc w:val="center"/>
              <w:rPr>
                <w:b/>
                <w:smallCaps/>
                <w:color w:val="000000"/>
              </w:rPr>
            </w:pPr>
            <w:r w:rsidRPr="007F620E">
              <w:rPr>
                <w:b/>
                <w:smallCaps/>
                <w:color w:val="000000"/>
              </w:rPr>
              <w:t>ATTORNEY INFORMATION</w:t>
            </w:r>
          </w:p>
        </w:tc>
      </w:tr>
      <w:tr w:rsidR="005A53F1" w:rsidRPr="00C16981" w:rsidTr="004961DE">
        <w:trPr>
          <w:trHeight w:val="173"/>
          <w:jc w:val="center"/>
        </w:trPr>
        <w:tc>
          <w:tcPr>
            <w:tcW w:w="2538" w:type="dxa"/>
            <w:gridSpan w:val="4"/>
            <w:tcBorders>
              <w:top w:val="single" w:sz="4" w:space="0" w:color="auto"/>
              <w:bottom w:val="single" w:sz="4" w:space="0" w:color="auto"/>
            </w:tcBorders>
            <w:shd w:val="clear" w:color="auto" w:fill="FFFFFF"/>
          </w:tcPr>
          <w:p w:rsidR="005A53F1" w:rsidRPr="00C16981" w:rsidRDefault="005A53F1" w:rsidP="00DD52BB">
            <w:pPr>
              <w:keepNext/>
              <w:keepLines/>
              <w:spacing w:before="60" w:after="60"/>
              <w:jc w:val="center"/>
              <w:rPr>
                <w:b/>
                <w:color w:val="000000"/>
                <w:sz w:val="22"/>
                <w:szCs w:val="22"/>
              </w:rPr>
            </w:pPr>
            <w:r w:rsidRPr="00C16981">
              <w:rPr>
                <w:b/>
                <w:sz w:val="22"/>
                <w:szCs w:val="22"/>
              </w:rPr>
              <w:t>Attorney</w:t>
            </w:r>
          </w:p>
        </w:tc>
        <w:tc>
          <w:tcPr>
            <w:tcW w:w="1800" w:type="dxa"/>
            <w:gridSpan w:val="3"/>
            <w:tcBorders>
              <w:top w:val="single" w:sz="4" w:space="0" w:color="auto"/>
              <w:bottom w:val="single" w:sz="4" w:space="0" w:color="auto"/>
            </w:tcBorders>
            <w:shd w:val="clear" w:color="auto" w:fill="FFFFFF"/>
          </w:tcPr>
          <w:p w:rsidR="005A53F1" w:rsidRPr="00C16981" w:rsidRDefault="005A53F1" w:rsidP="00DD52BB">
            <w:pPr>
              <w:keepNext/>
              <w:keepLines/>
              <w:spacing w:before="60" w:after="60"/>
              <w:jc w:val="center"/>
              <w:rPr>
                <w:b/>
                <w:color w:val="000000"/>
                <w:sz w:val="22"/>
                <w:szCs w:val="22"/>
              </w:rPr>
            </w:pPr>
            <w:r w:rsidRPr="00C16981">
              <w:rPr>
                <w:b/>
                <w:sz w:val="22"/>
                <w:szCs w:val="22"/>
              </w:rPr>
              <w:t>Date Admitted to CA BAR</w:t>
            </w:r>
            <w:r w:rsidRPr="00C16981">
              <w:rPr>
                <w:rStyle w:val="FootnoteReference"/>
                <w:b/>
                <w:sz w:val="22"/>
                <w:szCs w:val="22"/>
              </w:rPr>
              <w:footnoteReference w:id="6"/>
            </w:r>
          </w:p>
        </w:tc>
        <w:tc>
          <w:tcPr>
            <w:tcW w:w="2160" w:type="dxa"/>
            <w:gridSpan w:val="2"/>
            <w:tcBorders>
              <w:top w:val="single" w:sz="4" w:space="0" w:color="auto"/>
              <w:bottom w:val="single" w:sz="4" w:space="0" w:color="auto"/>
            </w:tcBorders>
            <w:shd w:val="clear" w:color="auto" w:fill="FFFFFF"/>
          </w:tcPr>
          <w:p w:rsidR="005A53F1" w:rsidRPr="00C16981" w:rsidRDefault="005A53F1" w:rsidP="00DD52BB">
            <w:pPr>
              <w:keepNext/>
              <w:keepLines/>
              <w:spacing w:before="60" w:after="60"/>
              <w:jc w:val="center"/>
              <w:rPr>
                <w:b/>
                <w:color w:val="000000"/>
                <w:sz w:val="22"/>
                <w:szCs w:val="22"/>
              </w:rPr>
            </w:pPr>
            <w:r w:rsidRPr="00C16981">
              <w:rPr>
                <w:b/>
                <w:sz w:val="22"/>
                <w:szCs w:val="22"/>
              </w:rPr>
              <w:t>Member Number</w:t>
            </w:r>
          </w:p>
        </w:tc>
        <w:tc>
          <w:tcPr>
            <w:tcW w:w="3690" w:type="dxa"/>
            <w:gridSpan w:val="4"/>
            <w:tcBorders>
              <w:top w:val="single" w:sz="4" w:space="0" w:color="auto"/>
              <w:bottom w:val="single" w:sz="4" w:space="0" w:color="auto"/>
            </w:tcBorders>
            <w:shd w:val="clear" w:color="auto" w:fill="FFFFFF"/>
          </w:tcPr>
          <w:p w:rsidR="005A53F1" w:rsidRPr="00C16981" w:rsidRDefault="005A53F1" w:rsidP="00C16981">
            <w:pPr>
              <w:keepNext/>
              <w:keepLines/>
              <w:spacing w:before="60" w:after="60"/>
              <w:jc w:val="center"/>
              <w:rPr>
                <w:b/>
                <w:sz w:val="22"/>
                <w:szCs w:val="22"/>
              </w:rPr>
            </w:pPr>
            <w:r w:rsidRPr="00C16981">
              <w:rPr>
                <w:b/>
                <w:sz w:val="22"/>
                <w:szCs w:val="22"/>
              </w:rPr>
              <w:t>Actions Affecting Eligibility (Yes/No?)</w:t>
            </w:r>
          </w:p>
          <w:p w:rsidR="005A53F1" w:rsidRPr="00C16981" w:rsidRDefault="005A53F1" w:rsidP="00DD52BB">
            <w:pPr>
              <w:keepNext/>
              <w:keepLines/>
              <w:spacing w:before="60" w:after="60"/>
              <w:jc w:val="center"/>
              <w:rPr>
                <w:b/>
                <w:color w:val="000000"/>
                <w:sz w:val="22"/>
                <w:szCs w:val="22"/>
              </w:rPr>
            </w:pPr>
            <w:r w:rsidRPr="00C16981">
              <w:rPr>
                <w:b/>
                <w:sz w:val="22"/>
                <w:szCs w:val="22"/>
              </w:rPr>
              <w:t>If “Yes”, attach explanation</w:t>
            </w:r>
          </w:p>
        </w:tc>
      </w:tr>
      <w:tr w:rsidR="005A53F1" w:rsidRPr="007F620E" w:rsidTr="004961DE">
        <w:trPr>
          <w:trHeight w:val="172"/>
          <w:jc w:val="center"/>
        </w:trPr>
        <w:tc>
          <w:tcPr>
            <w:tcW w:w="2538" w:type="dxa"/>
            <w:gridSpan w:val="4"/>
            <w:tcBorders>
              <w:top w:val="single" w:sz="4" w:space="0" w:color="auto"/>
              <w:bottom w:val="single" w:sz="4" w:space="0" w:color="auto"/>
            </w:tcBorders>
            <w:shd w:val="clear" w:color="auto" w:fill="auto"/>
          </w:tcPr>
          <w:p w:rsidR="005A53F1" w:rsidRPr="007F620E" w:rsidRDefault="00F633B7" w:rsidP="00DD52BB">
            <w:pPr>
              <w:keepNext/>
              <w:keepLines/>
              <w:spacing w:before="60" w:after="60"/>
              <w:jc w:val="center"/>
              <w:rPr>
                <w:color w:val="000000"/>
              </w:rPr>
            </w:pPr>
            <w:r>
              <w:rPr>
                <w:color w:val="000000"/>
              </w:rPr>
              <w:t>Nicole Johnson</w:t>
            </w:r>
          </w:p>
        </w:tc>
        <w:tc>
          <w:tcPr>
            <w:tcW w:w="1800" w:type="dxa"/>
            <w:gridSpan w:val="3"/>
            <w:tcBorders>
              <w:top w:val="single" w:sz="4" w:space="0" w:color="auto"/>
              <w:bottom w:val="single" w:sz="4" w:space="0" w:color="auto"/>
            </w:tcBorders>
            <w:shd w:val="clear" w:color="auto" w:fill="auto"/>
          </w:tcPr>
          <w:p w:rsidR="005A53F1" w:rsidRPr="007F620E" w:rsidRDefault="00F633B7" w:rsidP="00DD52BB">
            <w:pPr>
              <w:keepNext/>
              <w:keepLines/>
              <w:spacing w:before="60" w:after="60"/>
              <w:jc w:val="center"/>
              <w:rPr>
                <w:color w:val="000000"/>
              </w:rPr>
            </w:pPr>
            <w:r>
              <w:rPr>
                <w:color w:val="000000"/>
              </w:rPr>
              <w:t>June 2006</w:t>
            </w:r>
          </w:p>
        </w:tc>
        <w:tc>
          <w:tcPr>
            <w:tcW w:w="2160" w:type="dxa"/>
            <w:gridSpan w:val="2"/>
            <w:tcBorders>
              <w:top w:val="single" w:sz="4" w:space="0" w:color="auto"/>
              <w:bottom w:val="single" w:sz="4" w:space="0" w:color="auto"/>
            </w:tcBorders>
            <w:shd w:val="clear" w:color="auto" w:fill="auto"/>
          </w:tcPr>
          <w:p w:rsidR="005A53F1" w:rsidRPr="007F620E" w:rsidRDefault="00F633B7" w:rsidP="00DD52BB">
            <w:pPr>
              <w:keepNext/>
              <w:keepLines/>
              <w:spacing w:before="60" w:after="60"/>
              <w:jc w:val="center"/>
              <w:rPr>
                <w:color w:val="000000"/>
              </w:rPr>
            </w:pPr>
            <w:r>
              <w:rPr>
                <w:color w:val="000000"/>
              </w:rPr>
              <w:t>242625</w:t>
            </w:r>
          </w:p>
        </w:tc>
        <w:tc>
          <w:tcPr>
            <w:tcW w:w="3690" w:type="dxa"/>
            <w:gridSpan w:val="4"/>
            <w:tcBorders>
              <w:top w:val="single" w:sz="4" w:space="0" w:color="auto"/>
              <w:bottom w:val="single" w:sz="4" w:space="0" w:color="auto"/>
            </w:tcBorders>
            <w:shd w:val="clear" w:color="auto" w:fill="auto"/>
          </w:tcPr>
          <w:p w:rsidR="005A53F1" w:rsidRPr="007F620E" w:rsidRDefault="00F633B7" w:rsidP="00DD52BB">
            <w:pPr>
              <w:keepNext/>
              <w:keepLines/>
              <w:spacing w:before="60" w:after="60"/>
              <w:jc w:val="center"/>
              <w:rPr>
                <w:color w:val="000000"/>
              </w:rPr>
            </w:pPr>
            <w:r>
              <w:rPr>
                <w:color w:val="000000"/>
              </w:rPr>
              <w:t>No</w:t>
            </w:r>
          </w:p>
        </w:tc>
      </w:tr>
    </w:tbl>
    <w:p w:rsidR="009E3F96" w:rsidRPr="009E3F96" w:rsidRDefault="009E3F96" w:rsidP="00282BDF">
      <w:pPr>
        <w:spacing w:after="120"/>
        <w:ind w:left="360"/>
        <w:rPr>
          <w:b/>
          <w:color w:val="000000"/>
        </w:rPr>
      </w:pPr>
    </w:p>
    <w:p w:rsidR="00A92D0B" w:rsidRPr="007F620E" w:rsidRDefault="00A92D0B" w:rsidP="00282BDF">
      <w:pPr>
        <w:numPr>
          <w:ilvl w:val="0"/>
          <w:numId w:val="11"/>
        </w:numPr>
        <w:spacing w:after="240"/>
        <w:ind w:left="360"/>
        <w:rPr>
          <w:b/>
          <w:color w:val="000000"/>
        </w:rPr>
      </w:pPr>
      <w:r w:rsidRPr="007F620E">
        <w:rPr>
          <w:b/>
        </w:rPr>
        <w:t>Attachments Documenting Specific Claim and Comments on Part III</w:t>
      </w:r>
      <w:r w:rsidRPr="007F620E">
        <w:rPr>
          <w:b/>
          <w:color w:val="000000"/>
        </w:rPr>
        <w:t>:</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7468"/>
      </w:tblGrid>
      <w:tr w:rsidR="00A92D0B" w:rsidRPr="007F620E" w:rsidTr="003A4AF5">
        <w:tc>
          <w:tcPr>
            <w:tcW w:w="1548" w:type="dxa"/>
            <w:shd w:val="clear" w:color="auto" w:fill="auto"/>
          </w:tcPr>
          <w:p w:rsidR="00A92D0B" w:rsidRPr="007F620E" w:rsidRDefault="00A92D0B" w:rsidP="00A92D0B">
            <w:pPr>
              <w:tabs>
                <w:tab w:val="left" w:pos="1260"/>
              </w:tabs>
              <w:spacing w:before="120"/>
              <w:jc w:val="center"/>
              <w:rPr>
                <w:b/>
                <w:color w:val="000000"/>
              </w:rPr>
            </w:pPr>
            <w:r w:rsidRPr="007F620E">
              <w:rPr>
                <w:b/>
                <w:color w:val="000000"/>
              </w:rPr>
              <w:t xml:space="preserve">Attachment or Comment  </w:t>
            </w:r>
            <w:r w:rsidRPr="007F620E">
              <w:rPr>
                <w:b/>
                <w:color w:val="000000"/>
              </w:rPr>
              <w:lastRenderedPageBreak/>
              <w:t>#</w:t>
            </w:r>
          </w:p>
        </w:tc>
        <w:tc>
          <w:tcPr>
            <w:tcW w:w="7290" w:type="dxa"/>
            <w:tcBorders>
              <w:bottom w:val="single" w:sz="4" w:space="0" w:color="auto"/>
            </w:tcBorders>
            <w:shd w:val="clear" w:color="auto" w:fill="auto"/>
          </w:tcPr>
          <w:p w:rsidR="00A92D0B" w:rsidRPr="007F620E" w:rsidRDefault="00A92D0B" w:rsidP="00A92D0B">
            <w:pPr>
              <w:tabs>
                <w:tab w:val="left" w:pos="1260"/>
              </w:tabs>
              <w:spacing w:before="120"/>
              <w:jc w:val="center"/>
              <w:rPr>
                <w:b/>
                <w:color w:val="000000"/>
              </w:rPr>
            </w:pPr>
            <w:r w:rsidRPr="007F620E">
              <w:rPr>
                <w:b/>
                <w:color w:val="000000"/>
              </w:rPr>
              <w:lastRenderedPageBreak/>
              <w:t>Description/Comment</w:t>
            </w:r>
          </w:p>
        </w:tc>
      </w:tr>
      <w:tr w:rsidR="006D736F" w:rsidRPr="001E3ECB" w:rsidTr="003A4AF5">
        <w:tc>
          <w:tcPr>
            <w:tcW w:w="1548" w:type="dxa"/>
            <w:tcBorders>
              <w:bottom w:val="single" w:sz="4" w:space="0" w:color="auto"/>
            </w:tcBorders>
            <w:shd w:val="clear" w:color="auto" w:fill="auto"/>
          </w:tcPr>
          <w:p w:rsidR="006D736F" w:rsidRPr="00282BDF" w:rsidRDefault="006D736F" w:rsidP="00C33D87">
            <w:pPr>
              <w:tabs>
                <w:tab w:val="left" w:pos="1260"/>
              </w:tabs>
              <w:spacing w:before="120"/>
              <w:rPr>
                <w:color w:val="000000"/>
              </w:rPr>
            </w:pPr>
            <w:r w:rsidRPr="00282BDF">
              <w:rPr>
                <w:color w:val="000000"/>
              </w:rPr>
              <w:lastRenderedPageBreak/>
              <w:t>1.</w:t>
            </w:r>
          </w:p>
        </w:tc>
        <w:tc>
          <w:tcPr>
            <w:tcW w:w="7290" w:type="dxa"/>
            <w:tcBorders>
              <w:bottom w:val="single" w:sz="4" w:space="0" w:color="auto"/>
            </w:tcBorders>
            <w:shd w:val="clear" w:color="auto" w:fill="auto"/>
          </w:tcPr>
          <w:p w:rsidR="006D736F" w:rsidRPr="00282BDF" w:rsidRDefault="006D736F" w:rsidP="00C33D87">
            <w:pPr>
              <w:tabs>
                <w:tab w:val="left" w:pos="1260"/>
              </w:tabs>
              <w:spacing w:before="120"/>
              <w:rPr>
                <w:color w:val="000000"/>
              </w:rPr>
            </w:pPr>
            <w:r w:rsidRPr="00282BDF">
              <w:rPr>
                <w:color w:val="000000"/>
              </w:rPr>
              <w:t>Certificate of Service</w:t>
            </w:r>
          </w:p>
        </w:tc>
      </w:tr>
      <w:tr w:rsidR="006D736F" w:rsidRPr="001E3ECB" w:rsidTr="003A4AF5">
        <w:tc>
          <w:tcPr>
            <w:tcW w:w="1548" w:type="dxa"/>
            <w:tcBorders>
              <w:bottom w:val="single" w:sz="4" w:space="0" w:color="auto"/>
            </w:tcBorders>
            <w:shd w:val="clear" w:color="auto" w:fill="auto"/>
          </w:tcPr>
          <w:p w:rsidR="006D736F" w:rsidRPr="00282BDF" w:rsidRDefault="006D736F" w:rsidP="00C33D87">
            <w:pPr>
              <w:tabs>
                <w:tab w:val="left" w:pos="1260"/>
              </w:tabs>
              <w:spacing w:before="120"/>
              <w:rPr>
                <w:color w:val="000000"/>
              </w:rPr>
            </w:pPr>
            <w:r w:rsidRPr="00282BDF">
              <w:rPr>
                <w:color w:val="000000"/>
              </w:rPr>
              <w:t xml:space="preserve">2. </w:t>
            </w:r>
          </w:p>
        </w:tc>
        <w:tc>
          <w:tcPr>
            <w:tcW w:w="7290" w:type="dxa"/>
            <w:tcBorders>
              <w:bottom w:val="single" w:sz="4" w:space="0" w:color="auto"/>
            </w:tcBorders>
            <w:shd w:val="clear" w:color="auto" w:fill="auto"/>
          </w:tcPr>
          <w:p w:rsidR="006D736F" w:rsidRPr="00282BDF" w:rsidRDefault="006D736F" w:rsidP="00C33D87">
            <w:pPr>
              <w:tabs>
                <w:tab w:val="left" w:pos="1260"/>
              </w:tabs>
              <w:spacing w:before="120"/>
              <w:rPr>
                <w:color w:val="000000"/>
              </w:rPr>
            </w:pPr>
            <w:r w:rsidRPr="00282BDF">
              <w:rPr>
                <w:color w:val="000000"/>
              </w:rPr>
              <w:t xml:space="preserve">Nicole Johnson Timesheet </w:t>
            </w:r>
          </w:p>
        </w:tc>
      </w:tr>
      <w:tr w:rsidR="006D736F" w:rsidRPr="001E3ECB" w:rsidTr="003A4AF5">
        <w:tc>
          <w:tcPr>
            <w:tcW w:w="1548" w:type="dxa"/>
            <w:shd w:val="clear" w:color="auto" w:fill="auto"/>
          </w:tcPr>
          <w:p w:rsidR="006D736F" w:rsidRPr="00282BDF" w:rsidRDefault="006D736F" w:rsidP="00C33D87">
            <w:pPr>
              <w:tabs>
                <w:tab w:val="left" w:pos="1260"/>
              </w:tabs>
              <w:spacing w:before="120"/>
              <w:rPr>
                <w:color w:val="000000"/>
              </w:rPr>
            </w:pPr>
            <w:r w:rsidRPr="00282BDF">
              <w:rPr>
                <w:color w:val="000000"/>
              </w:rPr>
              <w:t>3.</w:t>
            </w:r>
          </w:p>
        </w:tc>
        <w:tc>
          <w:tcPr>
            <w:tcW w:w="7290" w:type="dxa"/>
            <w:shd w:val="clear" w:color="auto" w:fill="auto"/>
          </w:tcPr>
          <w:p w:rsidR="006D736F" w:rsidRPr="00282BDF" w:rsidRDefault="006D736F" w:rsidP="00C33D87">
            <w:pPr>
              <w:tabs>
                <w:tab w:val="left" w:pos="1260"/>
              </w:tabs>
              <w:spacing w:before="120"/>
              <w:rPr>
                <w:color w:val="000000"/>
              </w:rPr>
            </w:pPr>
            <w:r w:rsidRPr="00282BDF">
              <w:rPr>
                <w:color w:val="000000"/>
              </w:rPr>
              <w:t>Tony Roberts Timesheet</w:t>
            </w:r>
          </w:p>
        </w:tc>
      </w:tr>
      <w:tr w:rsidR="00AE5FF1" w:rsidRPr="001E3ECB" w:rsidTr="003A4AF5">
        <w:tc>
          <w:tcPr>
            <w:tcW w:w="1548" w:type="dxa"/>
            <w:shd w:val="clear" w:color="auto" w:fill="auto"/>
          </w:tcPr>
          <w:p w:rsidR="00AE5FF1" w:rsidRPr="00D47941" w:rsidRDefault="00AE5FF1" w:rsidP="00C33D87">
            <w:pPr>
              <w:tabs>
                <w:tab w:val="left" w:pos="1260"/>
              </w:tabs>
              <w:spacing w:before="120"/>
              <w:rPr>
                <w:color w:val="000000"/>
              </w:rPr>
            </w:pPr>
            <w:r w:rsidRPr="00D47941">
              <w:rPr>
                <w:color w:val="000000"/>
              </w:rPr>
              <w:t>4.</w:t>
            </w:r>
          </w:p>
        </w:tc>
        <w:tc>
          <w:tcPr>
            <w:tcW w:w="7290" w:type="dxa"/>
            <w:shd w:val="clear" w:color="auto" w:fill="auto"/>
          </w:tcPr>
          <w:p w:rsidR="00870C4E" w:rsidRPr="00D47941" w:rsidRDefault="00870C4E" w:rsidP="00AE5FF1">
            <w:pPr>
              <w:ind w:right="1033"/>
              <w:outlineLvl w:val="0"/>
              <w:rPr>
                <w:b/>
                <w:lang w:val="en-CA"/>
              </w:rPr>
            </w:pPr>
          </w:p>
          <w:p w:rsidR="00AE5FF1" w:rsidRPr="00744B00" w:rsidRDefault="00AE5FF1" w:rsidP="00AE5FF1">
            <w:pPr>
              <w:ind w:right="1033"/>
              <w:outlineLvl w:val="0"/>
              <w:rPr>
                <w:lang w:val="en-CA"/>
              </w:rPr>
            </w:pPr>
            <w:r w:rsidRPr="00744B00">
              <w:rPr>
                <w:lang w:val="en-CA"/>
              </w:rPr>
              <w:t>CFC proposes an hourly rate for Mr. Roberts of $275.</w:t>
            </w:r>
          </w:p>
          <w:p w:rsidR="00AE5FF1" w:rsidRPr="00744B00" w:rsidRDefault="00AE5FF1" w:rsidP="00AE5FF1">
            <w:pPr>
              <w:ind w:right="1033"/>
              <w:outlineLvl w:val="0"/>
              <w:rPr>
                <w:lang w:val="en-CA"/>
              </w:rPr>
            </w:pPr>
          </w:p>
          <w:p w:rsidR="00AE5FF1" w:rsidRPr="00744B00" w:rsidRDefault="00AE5FF1" w:rsidP="00AE5FF1">
            <w:pPr>
              <w:ind w:right="1033"/>
              <w:outlineLvl w:val="0"/>
              <w:rPr>
                <w:lang w:val="en-CA"/>
              </w:rPr>
            </w:pPr>
            <w:r w:rsidRPr="00744B00">
              <w:rPr>
                <w:lang w:val="en-CA"/>
              </w:rPr>
              <w:t>Justification for Tony Roberts’s Rate</w:t>
            </w:r>
          </w:p>
          <w:p w:rsidR="00AE5FF1" w:rsidRPr="00744B00" w:rsidRDefault="00AE5FF1" w:rsidP="00AE5FF1">
            <w:pPr>
              <w:ind w:right="1033"/>
              <w:outlineLvl w:val="0"/>
              <w:rPr>
                <w:sz w:val="20"/>
                <w:szCs w:val="20"/>
                <w:lang w:val="en-CA"/>
              </w:rPr>
            </w:pPr>
            <w:r w:rsidRPr="00744B00">
              <w:rPr>
                <w:sz w:val="20"/>
                <w:szCs w:val="20"/>
                <w:lang w:val="en-CA"/>
              </w:rPr>
              <w:t>(Originally submitted to the Commission in CFC’s IComp claim for Proceeding A1509001)</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CFC arrived at this recommended rate on the basis of the combination of Mr. Roberts’s experience and training, modelled on rates approved for TURN experts. </w:t>
            </w:r>
          </w:p>
          <w:p w:rsidR="00AE5FF1" w:rsidRPr="00D47941" w:rsidRDefault="00AE5FF1" w:rsidP="00AE5FF1">
            <w:pPr>
              <w:ind w:right="1033"/>
              <w:outlineLvl w:val="0"/>
              <w:rPr>
                <w:lang w:val="en-CA"/>
              </w:rPr>
            </w:pPr>
          </w:p>
          <w:p w:rsidR="00AE5FF1" w:rsidRPr="00D47941" w:rsidRDefault="00AE5FF1" w:rsidP="00AE5FF1">
            <w:pPr>
              <w:ind w:right="1033"/>
              <w:outlineLvl w:val="0"/>
              <w:rPr>
                <w:u w:val="single"/>
                <w:lang w:val="en-CA"/>
              </w:rPr>
            </w:pPr>
            <w:r w:rsidRPr="00D47941">
              <w:rPr>
                <w:u w:val="single"/>
                <w:lang w:val="en-CA"/>
              </w:rPr>
              <w:t>I. Experience Basis</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Mr. Roberts has 22 years of experience as an practicing economist, including 14 years of regulatory experience.</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Mr. Roberts’s regulatory career started in 2003, when Mr. Roberts was responsible for collaborating with the British Columbia Ferry Commissioner, Martin Crilly, in developing and constructing the BC Ferries Price Cap Model for regulatory compliance.  Mr. Roberts was subsequently responsible for administering the price cap, on behalf of both the Commission and BC Ferries.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Beyond Mr. Roberts’s regulatory role, he was also a corporate tariff manager and reven</w:t>
            </w:r>
            <w:r w:rsidR="00706264">
              <w:rPr>
                <w:lang w:val="en-CA"/>
              </w:rPr>
              <w:t>ue and operations analyst.  Mr. </w:t>
            </w:r>
            <w:r w:rsidRPr="00D47941">
              <w:rPr>
                <w:lang w:val="en-CA"/>
              </w:rPr>
              <w:t xml:space="preserve">Roberts’s forecasting </w:t>
            </w:r>
            <w:r w:rsidR="00706264">
              <w:rPr>
                <w:lang w:val="en-CA"/>
              </w:rPr>
              <w:t>performance was acclaimed.  Mr. </w:t>
            </w:r>
            <w:r w:rsidRPr="00D47941">
              <w:rPr>
                <w:lang w:val="en-CA"/>
              </w:rPr>
              <w:t xml:space="preserve">Roberts also managed the development and introduction of the British Columbia Ferry Corporation strategic fuel management programme.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From 2007 through 2010, Mr. Roberts was a Senior Economist with the British Columbia Utilities Commission.  Mr. Roberts’s contributions ranged from analysis of utility demand and revenue forecasts, through taking the role of Commission Lead Staff, responsible for managing a major regulatory proceeding, involving Federal Energy Regulatory Commission Open Access Transmission Tariff compliance and resolution of a financially significant dispute between Crown Corporation British Columbia Hydro and Power Authority and TransCanada Energy with regard to Intertie access, curtailment, and pricing.  In other </w:t>
            </w:r>
            <w:r w:rsidRPr="00D47941">
              <w:rPr>
                <w:lang w:val="en-CA"/>
              </w:rPr>
              <w:lastRenderedPageBreak/>
              <w:t xml:space="preserve">Commission Lead Staff roles, Mr. Roberts was responsible for managing entire regulatory proceedings, from drafting announcement Orders establishing the proceeding scope and timetable, through to drafting Decision sections regarding pricing, demand forecasts, and resource plan requirements.  CFC notes Payscale.com reports that amongst the professional skills weighing most on remuneration for economists, policy analysis, forecasting, and research analysis each command above-average pay rates.  Mr. Roberts is an expert forecaster, having over ten years of experience.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As a regulatory consultant, Mr. Roberts provided economic analysis supporting the British Columbia Public Interest Advocacy Centre on behalf of the British Columbia Old Age Pensioners Organisation (BCOAPO), for regulatory proceedings involving the provincial Crown Corporation auto insurance company, the Insurance Corporation of British</w:t>
            </w:r>
            <w:r w:rsidR="00706264">
              <w:rPr>
                <w:lang w:val="en-CA"/>
              </w:rPr>
              <w:t xml:space="preserve"> Columbia.  Mr. </w:t>
            </w:r>
            <w:r w:rsidRPr="00D47941">
              <w:rPr>
                <w:lang w:val="en-CA"/>
              </w:rPr>
              <w:t xml:space="preserve">Roberts has used his economics and statistics acumen as a facsimile for actuarial support, on behalf of the BCOAPO.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Based on Mr. Roberts’s combination of corporate manager/analyst, regulatory economist, and public interest advocacy experience, CFC bel</w:t>
            </w:r>
            <w:r w:rsidR="00706264">
              <w:rPr>
                <w:lang w:val="en-CA"/>
              </w:rPr>
              <w:t>ieves he brings a valuable, 360</w:t>
            </w:r>
            <w:r w:rsidR="00706264">
              <w:rPr>
                <w:lang w:val="en-CA"/>
              </w:rPr>
              <w:noBreakHyphen/>
            </w:r>
            <w:r w:rsidRPr="00D47941">
              <w:rPr>
                <w:lang w:val="en-CA"/>
              </w:rPr>
              <w:t xml:space="preserve">degree perspective as a regulatory specialist.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For determining a reasonable hourly rate for Mr. Roberts, CFC started by examining the CPUC published hourly rates for various experts, reported in the IComp “Hourly Rate Table.” CFC looked for experts comparable with Mr. Roberts, based on academic background, professional resume, and regulatory experience, supplemented by examinations of recent compensation claim descriptions of their proceeding contributions.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CFC identified TURN consultants/experts John Sugar, Bill Marcus, Garrick Jones, Jeffrey Nahigian, and Kevin Woodruff as potential comparables to Mr. Roberts.  These individuals were selected due to their combinations of education, experience, and most importantly, their contributions to recent TURN interventions, in terms of written testimony and analytical analysis/modelling.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CFC examined the recent record of rates approved for the aforementioned economists, analysts, and experts—per data presented in the CPUC “Hourly Rate Table.”   Using only the approved hourly rates for TURN consultants, CFC identified a </w:t>
            </w:r>
            <w:r w:rsidRPr="00D47941">
              <w:rPr>
                <w:lang w:val="en-CA"/>
              </w:rPr>
              <w:lastRenderedPageBreak/>
              <w:t xml:space="preserve">range of $140 to $450.   CFC notes this range is consistent with that shown in Table 2 of ALJ-329, at page 4.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CFC reviewed the details of work undertaken by Messer’s. Marcus, Sugar, Jones, and Nahigian in support of TURN’s intervention in the PG&amp;E 2014 GRC proceeding.  CFC concluded that the nature of submissions made by Messer’s Sugar and Marcus on behalf of TURN’s intervention most closely approximated that provided by Mr. Roberts in support of CFC’s intervention in the PG&amp;E 2017 GRC, Phase I proceeding.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In terms of resumes, Mr. Roberts’s background is also quite similar to that of Messer’s Sugar and Marcus.  All three have acted as Senior Economists for the organizations at which they were employed—especially regarding Mr. Marcus, as both he, and Mr. Roberts, served that role with state (in Mr. Roberts’s case, provincial) utility commissions.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Both Mr. Sugar and Mr. Roberts undertook parallel tasks: reading the application, identifying and developing preliminary Issues; drafting data requests; analysing data responses; formulating intervenor position; writing testimony; advising attorneys on final position.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Overall, CFC considers Mr. Marcus’s work as most broadly similar to Mr. Roberts’s.  The difference is that Mr. Marcus has been participating in CPUC proceedings for many, many years, and written testimony in a considerable number of cases. Like Mr. Marcus, Mr. Roberts has proposed mathematical means for evaluating regulatory performance. For this reason, CFC believes it important to establish a commensurate rate for Mr. Roberts in this proceeding that fully reflects his education, extensive corporate and Commission experience, and aligns with this expectation.  On balance, CFC considers Mr. Roberts’s background and skill set as somewhat more comparable with Mr. Marcus than Mr. Sugar.  Mr. Marcus recently realized an approved rate of $270 per hour.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All three have corporate management experience.  As Manager, Fuel Management with the British Columbia Ferry Corporation, Mr. Roberts was responsible for developing the corporate fuel hedging program for C-suite approval, and establishing the initial fuel hedging strategy.  Mr. Roberts was responsible for the program’s $(CAD)35 million budget.  As Manager, Tariff, and as Senior Analyst, Tariff and Revenue, Mr. Roberts worked </w:t>
            </w:r>
            <w:r w:rsidRPr="00D47941">
              <w:rPr>
                <w:lang w:val="en-CA"/>
              </w:rPr>
              <w:lastRenderedPageBreak/>
              <w:t xml:space="preserve">either independently or jointly with his colleague, Mr. Peter Hildebrand, in administering the corporate tariff, and its associated $(CAD)360 million toll revenue operations, including product line supervision of over 2,000 ticket agents.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CFC obtained information on the impact of years of experience on the pay of economists from recognized human resources advisory site Payscale.com.  Payscale.com deems 5 to 10 years of experience as “mid-career.”  Mr. Roberts, as well as Messer’s. Sugar and Marcus, are all clearly beyond mid-career, in terms of both overall experience and regulatory experience.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Payscale.com describes how economists’ salaries progress with years of experience.  (Note that Payscale’s reported progression is for all economists, regardless of industry.)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“Pay by Experience for an Economist has a positive trend. An entry-level Economist with less than 5 years of experience can expect to earn an average total compensation of $63,000 based on 531 salaries provided by anonymous users. Average total compensation includes tips, bonus, and overtime pay. An Economist with mid-career experience which includes employees with 5 to 10 years of experience can expect to earn an average total compensation of $89,000 based on 168 salaries. An experienced Economist which includes employees with 10 to 20 years of experience can expect to earn an average total compensation of $102,000 based on 114 salaries. An Economist with late-career experience which includes employees with greater than 20 years of experience can expect to earn an average total compensation of $119,000 based on 49 salaries.”</w:t>
            </w:r>
          </w:p>
          <w:p w:rsidR="00AE5FF1" w:rsidRPr="00D47941" w:rsidRDefault="00AE5FF1" w:rsidP="00AE5FF1">
            <w:pPr>
              <w:ind w:right="1033"/>
              <w:outlineLvl w:val="0"/>
              <w:rPr>
                <w:lang w:val="en-CA"/>
              </w:rPr>
            </w:pPr>
            <w:r w:rsidRPr="00D47941">
              <w:rPr>
                <w:lang w:val="en-CA"/>
              </w:rPr>
              <w:t xml:space="preserve"> </w:t>
            </w:r>
          </w:p>
          <w:p w:rsidR="00AE5FF1" w:rsidRPr="00D47941" w:rsidRDefault="00AE5FF1" w:rsidP="00AE5FF1">
            <w:pPr>
              <w:ind w:right="1033"/>
              <w:outlineLvl w:val="0"/>
              <w:rPr>
                <w:lang w:val="en-CA"/>
              </w:rPr>
            </w:pPr>
            <w:r w:rsidRPr="00D47941">
              <w:rPr>
                <w:lang w:val="en-CA"/>
              </w:rPr>
              <w:t>CFC converted Payscale.com’s assessment of economist compensation, by years of practice, into a dollar index.  The dollar index shows the ratio of how much an economist with the selected number of years of experience would command, as a multiple of the pay for an early-career economist, with 0-to-5 years of experience):</w:t>
            </w:r>
          </w:p>
          <w:p w:rsidR="00AE5FF1" w:rsidRPr="00D47941" w:rsidRDefault="00AE5FF1" w:rsidP="00AE5FF1">
            <w:pPr>
              <w:ind w:right="1033"/>
              <w:outlineLvl w:val="0"/>
              <w:rPr>
                <w:lang w:val="en-CA"/>
              </w:rPr>
            </w:pPr>
          </w:p>
          <w:p w:rsidR="00AE5FF1" w:rsidRPr="00D47941" w:rsidRDefault="00AE5FF1" w:rsidP="00AE5FF1">
            <w:pPr>
              <w:ind w:right="1033"/>
              <w:jc w:val="center"/>
              <w:outlineLvl w:val="0"/>
              <w:rPr>
                <w:lang w:val="en-CA"/>
              </w:rPr>
            </w:pPr>
            <w:r w:rsidRPr="00D47941">
              <w:rPr>
                <w:noProof/>
              </w:rPr>
              <w:drawing>
                <wp:inline distT="0" distB="0" distL="0" distR="0" wp14:anchorId="0E44D3C6" wp14:editId="017D1612">
                  <wp:extent cx="2971800" cy="9271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71800" cy="927100"/>
                          </a:xfrm>
                          <a:prstGeom prst="rect">
                            <a:avLst/>
                          </a:prstGeom>
                        </pic:spPr>
                      </pic:pic>
                    </a:graphicData>
                  </a:graphic>
                </wp:inline>
              </w:drawing>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CFC developed a formula, capturing the impact of experience years on economist pay, based on Payscale.com’s above </w:t>
            </w:r>
            <w:r w:rsidRPr="00D47941">
              <w:rPr>
                <w:lang w:val="en-CA"/>
              </w:rPr>
              <w:lastRenderedPageBreak/>
              <w:t>assessment.  The formula produces an indexed dollar value, by years of experience, using an exponential formulation:</w:t>
            </w:r>
          </w:p>
          <w:p w:rsidR="00AE5FF1" w:rsidRPr="00D47941" w:rsidRDefault="00AE5FF1" w:rsidP="00AE5FF1">
            <w:pPr>
              <w:ind w:right="1033"/>
              <w:outlineLvl w:val="0"/>
              <w:rPr>
                <w:lang w:val="en-CA"/>
              </w:rPr>
            </w:pPr>
          </w:p>
          <w:p w:rsidR="00AE5FF1" w:rsidRPr="00D47941" w:rsidRDefault="00AE5FF1" w:rsidP="00AE5FF1">
            <w:pPr>
              <w:ind w:right="1033"/>
              <w:jc w:val="center"/>
              <w:outlineLvl w:val="0"/>
              <w:rPr>
                <w:lang w:val="en-CA"/>
              </w:rPr>
            </w:pPr>
            <w:r w:rsidRPr="00D47941">
              <w:rPr>
                <w:lang w:val="en-CA"/>
              </w:rPr>
              <w:t>Dollars in Experience Year i = 0.6815 + 0.3534 • ln (Experience Years)</w:t>
            </w:r>
          </w:p>
          <w:p w:rsidR="00AE5FF1" w:rsidRPr="00D47941" w:rsidRDefault="00AE5FF1" w:rsidP="00AE5FF1">
            <w:pPr>
              <w:ind w:right="1033"/>
              <w:jc w:val="center"/>
              <w:outlineLvl w:val="0"/>
              <w:rPr>
                <w:lang w:val="en-CA"/>
              </w:rPr>
            </w:pPr>
          </w:p>
          <w:p w:rsidR="00AE5FF1" w:rsidRPr="00D47941" w:rsidRDefault="00AE5FF1" w:rsidP="00AE5FF1">
            <w:pPr>
              <w:ind w:right="1033"/>
              <w:jc w:val="center"/>
              <w:outlineLvl w:val="0"/>
              <w:rPr>
                <w:lang w:val="en-CA"/>
              </w:rPr>
            </w:pPr>
            <w:r w:rsidRPr="00D47941">
              <w:rPr>
                <w:noProof/>
              </w:rPr>
              <w:drawing>
                <wp:inline distT="0" distB="0" distL="0" distR="0" wp14:anchorId="36C45A6D" wp14:editId="25CDCFAF">
                  <wp:extent cx="2987376" cy="1718945"/>
                  <wp:effectExtent l="0" t="0" r="1016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PaybyExpChart.pdf"/>
                          <pic:cNvPicPr/>
                        </pic:nvPicPr>
                        <pic:blipFill>
                          <a:blip r:embed="rId10">
                            <a:extLst>
                              <a:ext uri="{28A0092B-C50C-407E-A947-70E740481C1C}">
                                <a14:useLocalDpi xmlns:a14="http://schemas.microsoft.com/office/drawing/2010/main" val="0"/>
                              </a:ext>
                            </a:extLst>
                          </a:blip>
                          <a:stretch>
                            <a:fillRect/>
                          </a:stretch>
                        </pic:blipFill>
                        <pic:spPr>
                          <a:xfrm>
                            <a:off x="0" y="0"/>
                            <a:ext cx="3014396" cy="1734492"/>
                          </a:xfrm>
                          <a:prstGeom prst="rect">
                            <a:avLst/>
                          </a:prstGeom>
                        </pic:spPr>
                      </pic:pic>
                    </a:graphicData>
                  </a:graphic>
                </wp:inline>
              </w:drawing>
            </w:r>
          </w:p>
          <w:p w:rsidR="00AE5FF1" w:rsidRPr="00D47941" w:rsidRDefault="00AE5FF1" w:rsidP="00AE5FF1">
            <w:pPr>
              <w:ind w:right="1033"/>
              <w:outlineLvl w:val="0"/>
              <w:rPr>
                <w:lang w:val="en-CA"/>
              </w:rPr>
            </w:pPr>
            <w:r w:rsidRPr="00D47941">
              <w:rPr>
                <w:lang w:val="en-CA"/>
              </w:rPr>
              <w:t xml:space="preserve"> </w:t>
            </w:r>
          </w:p>
          <w:p w:rsidR="00AE5FF1" w:rsidRPr="00D47941" w:rsidRDefault="00AE5FF1" w:rsidP="00AE5FF1">
            <w:pPr>
              <w:ind w:right="1033"/>
              <w:outlineLvl w:val="0"/>
              <w:rPr>
                <w:lang w:val="en-CA"/>
              </w:rPr>
            </w:pPr>
            <w:r w:rsidRPr="00D47941">
              <w:rPr>
                <w:lang w:val="en-CA"/>
              </w:rPr>
              <w:t xml:space="preserve">(Assuming a potential career of 40 years, CFC deemed “an experienced professional with over 20 years” as having 30 years of experience.)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The formula output is a dollar index, indicating the ratio of what an economist, with any selected years of experience, should earn, compared to an ‘early career’ (0-to-5 years of experience) economist.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The dollar index values allow comparison of expected pay for economists with different years of experience.  (For example, the formula result (the dollar index value) for 5 years of experience is $1.250; the result for 15 years of experience is $1.639.  The ratio is $1.639/$1.250=1.31.  Thus, it would be expected that an economist with 15 years of experience would earn 31% more than one with 5 years of experience.)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In his JBS Energy bio, Mr. Marcus is described as having joined the California Energy Commission in 1978, after having completed his M.A., in 1975, and then having served as a Research Analyst at the Kennedy School of Government, from 1975 to 1978.  CFC assumed 39 years of corporate (whether industry or governmental) experience for Mr. Marcus.  Mr. Sugar’s bio indicates his professional career started in 1975, with his engagement with state health, social service, and transportation programs.  On this basis, Mr. Sugar has 42 years of experience.  Mr. Roberts has 22 total years as a practitioner.  The formula produces the following results, for the experience dimension: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Therefore, on an experience-basis only, the indicated rate for Mr. Roberts is 0.898 • $275 = $245. </w:t>
            </w:r>
          </w:p>
          <w:p w:rsidR="00AE5FF1" w:rsidRPr="00D47941" w:rsidRDefault="00AE5FF1" w:rsidP="00AE5FF1">
            <w:pPr>
              <w:ind w:right="1033"/>
              <w:outlineLvl w:val="0"/>
              <w:rPr>
                <w:lang w:val="en-CA"/>
              </w:rPr>
            </w:pPr>
          </w:p>
          <w:p w:rsidR="00AE5FF1" w:rsidRPr="00D47941" w:rsidRDefault="00AE5FF1" w:rsidP="00AE5FF1">
            <w:pPr>
              <w:ind w:right="1033"/>
              <w:outlineLvl w:val="0"/>
              <w:rPr>
                <w:u w:val="single"/>
                <w:lang w:val="en-CA"/>
              </w:rPr>
            </w:pPr>
            <w:r w:rsidRPr="00D47941">
              <w:rPr>
                <w:u w:val="single"/>
                <w:lang w:val="en-CA"/>
              </w:rPr>
              <w:t>II. Training Basis</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Regarding academic credentials, Mr. Sugar has an M.A. in Public Policy.  Mr. Marcus has an M.A. in Economics.  Mr. Roberts has a M.Sc. in Business Administration.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Mr. Roberts is a Member of the Association of Professional Economists of British Columbia.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Mr. Roberts is a graduate of the University of British Columbia’s Master of Science (Bus. Admin.) program.  UBC’s M.Sc. program requires completion of core MBA courses, courses in the candidate’s area of specialty, and successfully writing and defending a thesis.  Having already held a B.A. in Economics, his specialty courses were in applied economics, logistics, operations management, and marketing management (particularly, pricing).  His thesis was an applied economics evaluation of Canada-United States air transportation services agreements, and the associated implications for airline pricing and competition in Canada.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For the training-based component of Mr. Roberts’s hourly rate, CFC reviewed current information on Economist and similar profession compensation from Payscale.com.   </w:t>
            </w:r>
          </w:p>
          <w:p w:rsidR="00AE5FF1" w:rsidRPr="00D47941" w:rsidRDefault="00AE5FF1" w:rsidP="00AE5FF1">
            <w:pPr>
              <w:ind w:left="720" w:right="1033"/>
              <w:outlineLvl w:val="0"/>
              <w:rPr>
                <w:b/>
                <w:color w:val="000000" w:themeColor="text1"/>
                <w:sz w:val="28"/>
                <w:szCs w:val="28"/>
                <w:lang w:val="en-CA"/>
              </w:rPr>
            </w:pPr>
          </w:p>
          <w:p w:rsidR="00AE5FF1" w:rsidRPr="00D47941" w:rsidRDefault="00AE5FF1" w:rsidP="00AE5FF1">
            <w:pPr>
              <w:pStyle w:val="Caption"/>
              <w:keepNext/>
              <w:ind w:left="720"/>
              <w:rPr>
                <w:b/>
                <w:color w:val="000000" w:themeColor="text1"/>
                <w:sz w:val="28"/>
                <w:szCs w:val="28"/>
              </w:rPr>
            </w:pPr>
            <w:r w:rsidRPr="00D47941">
              <w:rPr>
                <w:b/>
                <w:color w:val="000000" w:themeColor="text1"/>
                <w:sz w:val="28"/>
                <w:szCs w:val="28"/>
              </w:rPr>
              <w:t xml:space="preserve">Table </w:t>
            </w:r>
            <w:r w:rsidRPr="00D47941">
              <w:rPr>
                <w:b/>
                <w:color w:val="000000" w:themeColor="text1"/>
                <w:sz w:val="28"/>
                <w:szCs w:val="28"/>
              </w:rPr>
              <w:fldChar w:fldCharType="begin"/>
            </w:r>
            <w:r w:rsidRPr="00D47941">
              <w:rPr>
                <w:b/>
                <w:color w:val="000000" w:themeColor="text1"/>
                <w:sz w:val="28"/>
                <w:szCs w:val="28"/>
              </w:rPr>
              <w:instrText xml:space="preserve"> SEQ Table \* ARABIC </w:instrText>
            </w:r>
            <w:r w:rsidRPr="00D47941">
              <w:rPr>
                <w:b/>
                <w:color w:val="000000" w:themeColor="text1"/>
                <w:sz w:val="28"/>
                <w:szCs w:val="28"/>
              </w:rPr>
              <w:fldChar w:fldCharType="separate"/>
            </w:r>
            <w:r w:rsidR="00026AC6">
              <w:rPr>
                <w:b/>
                <w:noProof/>
                <w:color w:val="000000" w:themeColor="text1"/>
                <w:sz w:val="28"/>
                <w:szCs w:val="28"/>
              </w:rPr>
              <w:t>1</w:t>
            </w:r>
            <w:r w:rsidRPr="00D47941">
              <w:rPr>
                <w:b/>
                <w:color w:val="000000" w:themeColor="text1"/>
                <w:sz w:val="28"/>
                <w:szCs w:val="28"/>
              </w:rPr>
              <w:fldChar w:fldCharType="end"/>
            </w:r>
            <w:r w:rsidRPr="00D47941">
              <w:rPr>
                <w:b/>
                <w:color w:val="000000" w:themeColor="text1"/>
                <w:sz w:val="28"/>
                <w:szCs w:val="28"/>
              </w:rPr>
              <w:t xml:space="preserve"> - Payscale.com Reported Pay by Degree</w:t>
            </w:r>
          </w:p>
          <w:p w:rsidR="00AE5FF1" w:rsidRPr="00D47941" w:rsidRDefault="00AE5FF1" w:rsidP="00AE5FF1">
            <w:pPr>
              <w:ind w:right="1033"/>
              <w:jc w:val="center"/>
              <w:outlineLvl w:val="0"/>
              <w:rPr>
                <w:lang w:val="en-CA"/>
              </w:rPr>
            </w:pPr>
            <w:r w:rsidRPr="00D47941">
              <w:rPr>
                <w:noProof/>
              </w:rPr>
              <w:lastRenderedPageBreak/>
              <w:drawing>
                <wp:inline distT="0" distB="0" distL="0" distR="0" wp14:anchorId="63A52179" wp14:editId="510201F0">
                  <wp:extent cx="4114800" cy="3514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3514725"/>
                          </a:xfrm>
                          <a:prstGeom prst="rect">
                            <a:avLst/>
                          </a:prstGeom>
                          <a:noFill/>
                          <a:ln>
                            <a:noFill/>
                          </a:ln>
                        </pic:spPr>
                      </pic:pic>
                    </a:graphicData>
                  </a:graphic>
                </wp:inline>
              </w:drawing>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For comparisons, CFC looked at the differential Mid-Career Pay, reported by Payscale.com, per the above table, for holders of the degrees similar to those of Messer’s Roberts, Sugar, and Marcus.  Mr. Marcus has an M.A. in Economics, Mr. Sugar has an M.A. in Public Policy Analysis, and so their degrees are directly identifiable in the table.  For Mr. Roberts, the table does not have a directly identifiable degree equivalent to UBC’s Master of Science in Business Administration.  Therefore, CFC used both MBA-Marketing &amp; Management and MBA-Operations &amp; Supply Chain Management as comparables.  </w:t>
            </w:r>
          </w:p>
          <w:p w:rsidR="00AE5FF1" w:rsidRPr="00D47941" w:rsidRDefault="00AE5FF1" w:rsidP="00AE5FF1">
            <w:pPr>
              <w:ind w:right="1033"/>
              <w:outlineLvl w:val="0"/>
              <w:rPr>
                <w:lang w:val="en-CA"/>
              </w:rPr>
            </w:pPr>
          </w:p>
          <w:p w:rsidR="00AE5FF1" w:rsidRPr="00D47941" w:rsidRDefault="00AE5FF1" w:rsidP="00AE5FF1">
            <w:pPr>
              <w:ind w:right="1033"/>
              <w:jc w:val="center"/>
              <w:outlineLvl w:val="0"/>
              <w:rPr>
                <w:lang w:val="en-CA"/>
              </w:rPr>
            </w:pPr>
            <w:r w:rsidRPr="00D47941">
              <w:rPr>
                <w:noProof/>
              </w:rPr>
              <w:drawing>
                <wp:inline distT="0" distB="0" distL="0" distR="0" wp14:anchorId="55112C01" wp14:editId="0ED1F7B6">
                  <wp:extent cx="3585770" cy="6456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7752" cy="649595"/>
                          </a:xfrm>
                          <a:prstGeom prst="rect">
                            <a:avLst/>
                          </a:prstGeom>
                          <a:noFill/>
                          <a:ln>
                            <a:noFill/>
                          </a:ln>
                        </pic:spPr>
                      </pic:pic>
                    </a:graphicData>
                  </a:graphic>
                </wp:inline>
              </w:drawing>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Therefore, on a training-basis only, the indicated rate for Mr. Roberts is 1.048 • $275 = $290.</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Additionally, Mr. Roberts is a Commercial Pilot. As such, he has a level of formal training in electronics that exceeds what would be typical of most regulatory economists, and directly pertinent to competently understanding and addressing issues with respect to electricity distribution.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lastRenderedPageBreak/>
              <w:t>Finally, CFC notes the California State Auditor’s Report (Report 2012-118) recommendation that the Commission update its hourly rates via a new market rate study—the last one having been done in 2005—for compliance with state law.  If the Commission has in fact undertaken the recommended update, CFC requests that the rate approved for Mr. Roberts reflect the new rate indications based on the updated market study.</w:t>
            </w:r>
          </w:p>
          <w:p w:rsidR="00AE5FF1" w:rsidRPr="00D47941" w:rsidRDefault="00AE5FF1" w:rsidP="00AE5FF1">
            <w:pPr>
              <w:ind w:right="1033"/>
              <w:outlineLvl w:val="0"/>
              <w:rPr>
                <w:u w:val="single"/>
                <w:lang w:val="en-CA"/>
              </w:rPr>
            </w:pPr>
          </w:p>
          <w:p w:rsidR="00AE5FF1" w:rsidRPr="00D47941" w:rsidRDefault="00AE5FF1" w:rsidP="00AE5FF1">
            <w:pPr>
              <w:ind w:right="1033"/>
              <w:outlineLvl w:val="0"/>
              <w:rPr>
                <w:u w:val="single"/>
                <w:lang w:val="en-CA"/>
              </w:rPr>
            </w:pPr>
            <w:r w:rsidRPr="00D47941">
              <w:rPr>
                <w:u w:val="single"/>
                <w:lang w:val="en-CA"/>
              </w:rPr>
              <w:t>III. Weighting</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Of course, the eventual hourly rate is a combination of the indicated Experience and Training rates.  CFC inquired with the Commission regarding whether an algorithm for weighting the contributory factors was available.  Absent such a mechanism, CFC examined two possible weighting scenarios.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 xml:space="preserve">The first scenario simply applied 50% weights for each of experience and training.  For Mr. Roberts, an equal weighting of his Experience rate ($247) and Training rate ($288) results in a net hourly rate of $267.50—when rounded, per standard Commission practice, his rate would be $270. However, CFC notes that, under this weighting, a higher rate for Mr. Sugar is indicated: $240 per hour, instead of his most-recently approved $225. </w:t>
            </w:r>
          </w:p>
          <w:p w:rsidR="00AE5FF1" w:rsidRPr="00D47941" w:rsidRDefault="00AE5FF1" w:rsidP="00AE5FF1">
            <w:pPr>
              <w:ind w:right="1033"/>
              <w:outlineLvl w:val="0"/>
              <w:rPr>
                <w:lang w:val="en-CA"/>
              </w:rPr>
            </w:pPr>
          </w:p>
          <w:p w:rsidR="00AE5FF1" w:rsidRPr="00D47941" w:rsidRDefault="00AE5FF1" w:rsidP="00AE5FF1">
            <w:pPr>
              <w:ind w:right="1033"/>
              <w:outlineLvl w:val="0"/>
              <w:rPr>
                <w:lang w:val="en-CA"/>
              </w:rPr>
            </w:pPr>
            <w:r w:rsidRPr="00D47941">
              <w:rPr>
                <w:lang w:val="en-CA"/>
              </w:rPr>
              <w:t>The second scenario used a weighting such that the rates for Messer’s Sugar and Marcus reflect their most recently-approved rates ($275 and $225, respectively).  The weighting consistent with those approved rates is 30% Experience, 70% Training.  On that basis, a rate of $277.41 is indicated for Mr. Roberts—on rounding, $275.</w:t>
            </w:r>
          </w:p>
          <w:p w:rsidR="00AE5FF1" w:rsidRPr="00D47941" w:rsidRDefault="00AE5FF1" w:rsidP="00AE5FF1">
            <w:pPr>
              <w:ind w:right="1033"/>
              <w:outlineLvl w:val="0"/>
              <w:rPr>
                <w:lang w:val="en-CA"/>
              </w:rPr>
            </w:pPr>
          </w:p>
          <w:p w:rsidR="00AE5FF1" w:rsidRPr="00D47941" w:rsidRDefault="00AE5FF1" w:rsidP="00AE5FF1">
            <w:pPr>
              <w:ind w:right="1033"/>
              <w:outlineLvl w:val="0"/>
              <w:rPr>
                <w:u w:val="single"/>
                <w:lang w:val="en-CA"/>
              </w:rPr>
            </w:pPr>
            <w:r w:rsidRPr="00D47941">
              <w:rPr>
                <w:u w:val="single"/>
                <w:lang w:val="en-CA"/>
              </w:rPr>
              <w:t>IV. Recommended Rate</w:t>
            </w:r>
          </w:p>
          <w:p w:rsidR="00AE5FF1" w:rsidRPr="00D47941" w:rsidRDefault="00AE5FF1" w:rsidP="00AE5FF1">
            <w:pPr>
              <w:tabs>
                <w:tab w:val="left" w:pos="1260"/>
              </w:tabs>
              <w:spacing w:before="120"/>
              <w:rPr>
                <w:color w:val="000000"/>
              </w:rPr>
            </w:pPr>
            <w:r w:rsidRPr="00D47941">
              <w:rPr>
                <w:lang w:val="en-CA"/>
              </w:rPr>
              <w:t xml:space="preserve">As this basis leads to rates consistent with those actually awarded to Messer’s Marcus and Sugar, CFC recommends an hourly rate for Mr. Roberts of $275. </w:t>
            </w:r>
          </w:p>
        </w:tc>
      </w:tr>
    </w:tbl>
    <w:p w:rsidR="00A92D0B" w:rsidRPr="007F620E" w:rsidRDefault="00F81778" w:rsidP="00F81778">
      <w:pPr>
        <w:spacing w:before="240" w:after="240"/>
        <w:ind w:left="540" w:hanging="540"/>
        <w:rPr>
          <w:b/>
          <w:color w:val="000000"/>
        </w:rPr>
      </w:pPr>
      <w:r w:rsidRPr="007F620E">
        <w:rPr>
          <w:b/>
          <w:color w:val="000000"/>
        </w:rPr>
        <w:lastRenderedPageBreak/>
        <w:t xml:space="preserve">D.  </w:t>
      </w:r>
      <w:r w:rsidR="00A92D0B" w:rsidRPr="007F620E">
        <w:rPr>
          <w:b/>
          <w:color w:val="000000"/>
        </w:rPr>
        <w:t>CPUC Disallowances</w:t>
      </w:r>
      <w:r w:rsidR="00D075B1" w:rsidRPr="007F620E">
        <w:rPr>
          <w:b/>
          <w:color w:val="000000"/>
        </w:rPr>
        <w:t xml:space="preserve"> </w:t>
      </w:r>
      <w:r w:rsidR="00A319DE" w:rsidRPr="007F620E">
        <w:rPr>
          <w:b/>
          <w:color w:val="000000"/>
        </w:rPr>
        <w:t>and</w:t>
      </w:r>
      <w:r w:rsidR="00D075B1" w:rsidRPr="007F620E">
        <w:rPr>
          <w:b/>
          <w:color w:val="000000"/>
        </w:rPr>
        <w:t xml:space="preserve"> </w:t>
      </w:r>
      <w:r w:rsidR="00A92D0B" w:rsidRPr="007F620E">
        <w:rPr>
          <w:b/>
          <w:color w:val="000000"/>
        </w:rPr>
        <w:t>Adjustments: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380"/>
      </w:tblGrid>
      <w:tr w:rsidR="00A92D0B" w:rsidRPr="007F620E" w:rsidTr="003A4AF5">
        <w:tc>
          <w:tcPr>
            <w:tcW w:w="1548" w:type="dxa"/>
            <w:shd w:val="pct12" w:color="auto" w:fill="auto"/>
          </w:tcPr>
          <w:p w:rsidR="00A92D0B" w:rsidRPr="007F620E" w:rsidRDefault="00072C81" w:rsidP="00A92D0B">
            <w:pPr>
              <w:tabs>
                <w:tab w:val="left" w:pos="1440"/>
              </w:tabs>
              <w:spacing w:before="120"/>
              <w:jc w:val="center"/>
              <w:rPr>
                <w:b/>
                <w:color w:val="000000"/>
              </w:rPr>
            </w:pPr>
            <w:r w:rsidRPr="007F620E">
              <w:rPr>
                <w:b/>
                <w:color w:val="000000"/>
              </w:rPr>
              <w:t>Item</w:t>
            </w:r>
          </w:p>
        </w:tc>
        <w:tc>
          <w:tcPr>
            <w:tcW w:w="7380" w:type="dxa"/>
            <w:shd w:val="pct12" w:color="auto" w:fill="auto"/>
          </w:tcPr>
          <w:p w:rsidR="00A92D0B" w:rsidRPr="007F620E" w:rsidRDefault="00A92D0B" w:rsidP="00A92D0B">
            <w:pPr>
              <w:tabs>
                <w:tab w:val="left" w:pos="1440"/>
              </w:tabs>
              <w:spacing w:before="120"/>
              <w:jc w:val="center"/>
              <w:rPr>
                <w:b/>
                <w:color w:val="000000"/>
              </w:rPr>
            </w:pPr>
            <w:r w:rsidRPr="007F620E">
              <w:rPr>
                <w:b/>
                <w:color w:val="000000"/>
              </w:rPr>
              <w:t>Reason</w:t>
            </w:r>
          </w:p>
        </w:tc>
      </w:tr>
      <w:tr w:rsidR="00A92D0B" w:rsidRPr="007F620E" w:rsidTr="003A4AF5">
        <w:tc>
          <w:tcPr>
            <w:tcW w:w="1548" w:type="dxa"/>
            <w:shd w:val="clear" w:color="auto" w:fill="auto"/>
          </w:tcPr>
          <w:p w:rsidR="00A92D0B" w:rsidRPr="007F620E" w:rsidRDefault="00320388" w:rsidP="00A92D0B">
            <w:pPr>
              <w:tabs>
                <w:tab w:val="left" w:pos="1440"/>
              </w:tabs>
              <w:spacing w:before="120"/>
              <w:rPr>
                <w:color w:val="000000"/>
              </w:rPr>
            </w:pPr>
            <w:r>
              <w:rPr>
                <w:color w:val="000000"/>
              </w:rPr>
              <w:t>Hours</w:t>
            </w:r>
            <w:r w:rsidR="00A05947">
              <w:rPr>
                <w:color w:val="000000"/>
              </w:rPr>
              <w:t xml:space="preserve"> Reduction</w:t>
            </w:r>
          </w:p>
        </w:tc>
        <w:tc>
          <w:tcPr>
            <w:tcW w:w="7380" w:type="dxa"/>
            <w:shd w:val="clear" w:color="auto" w:fill="auto"/>
          </w:tcPr>
          <w:p w:rsidR="00A92D0B" w:rsidRPr="007F620E" w:rsidRDefault="007D5AD0" w:rsidP="00320388">
            <w:pPr>
              <w:tabs>
                <w:tab w:val="left" w:pos="1440"/>
              </w:tabs>
              <w:spacing w:before="120"/>
              <w:rPr>
                <w:color w:val="000000"/>
              </w:rPr>
            </w:pPr>
            <w:r>
              <w:rPr>
                <w:color w:val="000000"/>
              </w:rPr>
              <w:t xml:space="preserve">Because of the excessive amount of duplication of the work of other parties and </w:t>
            </w:r>
            <w:r w:rsidR="00227644" w:rsidRPr="00325E92">
              <w:rPr>
                <w:color w:val="000000"/>
              </w:rPr>
              <w:t>CFC Foundation</w:t>
            </w:r>
            <w:r>
              <w:rPr>
                <w:color w:val="000000"/>
              </w:rPr>
              <w:t xml:space="preserve">’s repeated </w:t>
            </w:r>
            <w:r w:rsidR="00A05947">
              <w:rPr>
                <w:color w:val="000000"/>
              </w:rPr>
              <w:t xml:space="preserve">misstatements about the extent of </w:t>
            </w:r>
            <w:r w:rsidR="001401E4">
              <w:rPr>
                <w:color w:val="000000"/>
              </w:rPr>
              <w:t xml:space="preserve">its contribution and </w:t>
            </w:r>
            <w:r w:rsidR="00A05947">
              <w:rPr>
                <w:color w:val="000000"/>
              </w:rPr>
              <w:t xml:space="preserve">duplication, and because of </w:t>
            </w:r>
            <w:r w:rsidR="00227644" w:rsidRPr="00325E92">
              <w:rPr>
                <w:color w:val="000000"/>
              </w:rPr>
              <w:t>CFC Foundation</w:t>
            </w:r>
            <w:r w:rsidR="00A05947">
              <w:rPr>
                <w:color w:val="000000"/>
              </w:rPr>
              <w:t xml:space="preserve">’s continued </w:t>
            </w:r>
            <w:r>
              <w:rPr>
                <w:color w:val="000000"/>
              </w:rPr>
              <w:t>unwillingness to acknowledge that other parties advocated for residential customers</w:t>
            </w:r>
            <w:r w:rsidR="00A05947">
              <w:rPr>
                <w:color w:val="000000"/>
              </w:rPr>
              <w:t xml:space="preserve">, Nicole Johnson’s hours and Tony Roberts’ hours </w:t>
            </w:r>
            <w:r w:rsidR="00A05947">
              <w:rPr>
                <w:color w:val="000000"/>
              </w:rPr>
              <w:lastRenderedPageBreak/>
              <w:t xml:space="preserve">were reduced by approximately 50%.  </w:t>
            </w:r>
          </w:p>
        </w:tc>
      </w:tr>
      <w:tr w:rsidR="00A05947" w:rsidRPr="007F620E" w:rsidTr="00227644">
        <w:tc>
          <w:tcPr>
            <w:tcW w:w="1548" w:type="dxa"/>
            <w:shd w:val="clear" w:color="auto" w:fill="auto"/>
          </w:tcPr>
          <w:p w:rsidR="00A05947" w:rsidRPr="007F620E" w:rsidRDefault="00A05947" w:rsidP="00227644">
            <w:pPr>
              <w:tabs>
                <w:tab w:val="left" w:pos="1440"/>
              </w:tabs>
              <w:spacing w:before="120"/>
              <w:rPr>
                <w:color w:val="000000"/>
              </w:rPr>
            </w:pPr>
            <w:r>
              <w:rPr>
                <w:color w:val="000000"/>
              </w:rPr>
              <w:lastRenderedPageBreak/>
              <w:t>Hourly Rate Reduction for Mr. Roberts</w:t>
            </w:r>
          </w:p>
        </w:tc>
        <w:tc>
          <w:tcPr>
            <w:tcW w:w="7380" w:type="dxa"/>
            <w:shd w:val="clear" w:color="auto" w:fill="auto"/>
          </w:tcPr>
          <w:p w:rsidR="00A05947" w:rsidRPr="007F620E" w:rsidRDefault="00A05947" w:rsidP="00227644">
            <w:pPr>
              <w:tabs>
                <w:tab w:val="left" w:pos="1440"/>
              </w:tabs>
              <w:spacing w:before="120"/>
              <w:rPr>
                <w:color w:val="000000"/>
              </w:rPr>
            </w:pPr>
            <w:r>
              <w:rPr>
                <w:color w:val="000000"/>
              </w:rPr>
              <w:t xml:space="preserve">CFC </w:t>
            </w:r>
            <w:r w:rsidR="00770C19" w:rsidRPr="00325E92">
              <w:rPr>
                <w:color w:val="000000"/>
              </w:rPr>
              <w:t>Foundation</w:t>
            </w:r>
            <w:r w:rsidR="00770C19">
              <w:rPr>
                <w:color w:val="000000"/>
              </w:rPr>
              <w:t xml:space="preserve"> </w:t>
            </w:r>
            <w:r>
              <w:rPr>
                <w:color w:val="000000"/>
              </w:rPr>
              <w:t xml:space="preserve">requested an hourly rate of $275 for Mr. Roberts.  However, </w:t>
            </w:r>
            <w:r w:rsidR="00623878">
              <w:rPr>
                <w:color w:val="000000"/>
              </w:rPr>
              <w:t>the Commission recently set Mr. Roberts’ hourly rate at $240 and we adopt that rate here.  See D.18-07-035.</w:t>
            </w:r>
            <w:r>
              <w:rPr>
                <w:color w:val="000000"/>
              </w:rPr>
              <w:t xml:space="preserve">  </w:t>
            </w:r>
          </w:p>
        </w:tc>
      </w:tr>
      <w:tr w:rsidR="00744B00" w:rsidRPr="007F620E" w:rsidTr="003A4AF5">
        <w:tc>
          <w:tcPr>
            <w:tcW w:w="1548" w:type="dxa"/>
            <w:shd w:val="clear" w:color="auto" w:fill="auto"/>
          </w:tcPr>
          <w:p w:rsidR="00744B00" w:rsidRDefault="00744B00" w:rsidP="00A92D0B">
            <w:pPr>
              <w:tabs>
                <w:tab w:val="left" w:pos="1440"/>
              </w:tabs>
              <w:spacing w:before="120"/>
              <w:rPr>
                <w:color w:val="000000"/>
              </w:rPr>
            </w:pPr>
            <w:r>
              <w:rPr>
                <w:color w:val="000000"/>
              </w:rPr>
              <w:t>Claim Preparation</w:t>
            </w:r>
          </w:p>
        </w:tc>
        <w:tc>
          <w:tcPr>
            <w:tcW w:w="7380" w:type="dxa"/>
            <w:shd w:val="clear" w:color="auto" w:fill="auto"/>
          </w:tcPr>
          <w:p w:rsidR="00744B00" w:rsidRDefault="00995F69" w:rsidP="00320388">
            <w:pPr>
              <w:tabs>
                <w:tab w:val="left" w:pos="1440"/>
              </w:tabs>
              <w:spacing w:before="120"/>
              <w:rPr>
                <w:color w:val="000000"/>
              </w:rPr>
            </w:pPr>
            <w:r>
              <w:rPr>
                <w:color w:val="000000"/>
              </w:rPr>
              <w:t xml:space="preserve">We reduced the hours deemed reasonable for claim preparation due to miscalculations, references to issues not in this proceeding, and vague timesheets. </w:t>
            </w:r>
          </w:p>
        </w:tc>
      </w:tr>
    </w:tbl>
    <w:p w:rsidR="00A92D0B" w:rsidRPr="007F620E" w:rsidRDefault="00A92D0B">
      <w:pPr>
        <w:tabs>
          <w:tab w:val="left" w:pos="1260"/>
        </w:tabs>
        <w:spacing w:before="240"/>
        <w:jc w:val="center"/>
        <w:rPr>
          <w:b/>
          <w:color w:val="000000"/>
        </w:rPr>
      </w:pPr>
      <w:r w:rsidRPr="007F620E">
        <w:rPr>
          <w:b/>
          <w:color w:val="000000"/>
        </w:rPr>
        <w:t>PART IV:</w:t>
      </w:r>
      <w:r w:rsidRPr="007F620E">
        <w:rPr>
          <w:b/>
          <w:color w:val="000000"/>
        </w:rPr>
        <w:tab/>
        <w:t>OPPOSITIONS AND COMMENTS</w:t>
      </w:r>
    </w:p>
    <w:p w:rsidR="00A92D0B" w:rsidRPr="007F620E" w:rsidRDefault="00A92D0B">
      <w:pPr>
        <w:tabs>
          <w:tab w:val="left" w:pos="1260"/>
        </w:tabs>
        <w:ind w:left="1267" w:hanging="1267"/>
        <w:jc w:val="center"/>
        <w:rPr>
          <w:b/>
          <w:color w:val="000000"/>
        </w:rPr>
      </w:pPr>
      <w:r w:rsidRPr="007F620E">
        <w:rPr>
          <w:b/>
          <w:color w:val="000000"/>
        </w:rPr>
        <w:t>Within 30 days after service of this Claim, Commission Staff</w:t>
      </w:r>
      <w:r w:rsidR="00F20061">
        <w:rPr>
          <w:b/>
          <w:color w:val="000000"/>
        </w:rPr>
        <w:t xml:space="preserve"> </w:t>
      </w:r>
      <w:r w:rsidRPr="007F620E">
        <w:rPr>
          <w:b/>
          <w:color w:val="000000"/>
        </w:rPr>
        <w:t>or any other party may file a response to the Claim (</w:t>
      </w:r>
      <w:r w:rsidRPr="007F620E">
        <w:rPr>
          <w:b/>
          <w:i/>
          <w:color w:val="000000"/>
        </w:rPr>
        <w:t>see</w:t>
      </w:r>
      <w:r w:rsidRPr="007F620E">
        <w:rPr>
          <w:b/>
          <w:color w:val="000000"/>
        </w:rPr>
        <w:t xml:space="preserve"> § 1804(c))</w:t>
      </w:r>
    </w:p>
    <w:p w:rsidR="00A92D0B" w:rsidRPr="007F620E" w:rsidRDefault="00A92D0B">
      <w:pPr>
        <w:tabs>
          <w:tab w:val="left" w:pos="1260"/>
        </w:tabs>
        <w:spacing w:before="60"/>
        <w:ind w:left="1267" w:hanging="1267"/>
        <w:jc w:val="center"/>
        <w:rPr>
          <w:color w:val="00000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440"/>
      </w:tblGrid>
      <w:tr w:rsidR="00A92D0B" w:rsidRPr="007F620E" w:rsidTr="003A4AF5">
        <w:tc>
          <w:tcPr>
            <w:tcW w:w="7488" w:type="dxa"/>
            <w:shd w:val="clear" w:color="auto" w:fill="auto"/>
          </w:tcPr>
          <w:p w:rsidR="00A92D0B" w:rsidRPr="007F620E" w:rsidRDefault="00A92D0B" w:rsidP="00A92D0B">
            <w:pPr>
              <w:spacing w:after="240"/>
              <w:rPr>
                <w:color w:val="000000"/>
              </w:rPr>
            </w:pPr>
            <w:r w:rsidRPr="007F620E">
              <w:rPr>
                <w:b/>
                <w:color w:val="000000"/>
              </w:rPr>
              <w:t>A.  Opposition:  Did any party oppose the Claim?</w:t>
            </w:r>
          </w:p>
        </w:tc>
        <w:tc>
          <w:tcPr>
            <w:tcW w:w="1440" w:type="dxa"/>
            <w:shd w:val="clear" w:color="auto" w:fill="auto"/>
          </w:tcPr>
          <w:p w:rsidR="00A92D0B" w:rsidRPr="007F620E" w:rsidRDefault="00320388" w:rsidP="00A92D0B">
            <w:pPr>
              <w:spacing w:after="240"/>
              <w:rPr>
                <w:color w:val="000000"/>
              </w:rPr>
            </w:pPr>
            <w:r>
              <w:rPr>
                <w:color w:val="000000"/>
              </w:rPr>
              <w:t>No</w:t>
            </w:r>
          </w:p>
        </w:tc>
      </w:tr>
    </w:tbl>
    <w:p w:rsidR="00A92D0B" w:rsidRPr="007F620E" w:rsidRDefault="00A92D0B">
      <w:pPr>
        <w:tabs>
          <w:tab w:val="left" w:pos="1260"/>
        </w:tabs>
        <w:spacing w:before="60"/>
        <w:ind w:left="1267" w:hanging="1267"/>
        <w:jc w:val="center"/>
        <w:rPr>
          <w:color w:val="00000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440"/>
      </w:tblGrid>
      <w:tr w:rsidR="00A92D0B" w:rsidRPr="007F620E" w:rsidTr="003A4AF5">
        <w:tc>
          <w:tcPr>
            <w:tcW w:w="7488" w:type="dxa"/>
            <w:shd w:val="clear" w:color="auto" w:fill="auto"/>
          </w:tcPr>
          <w:p w:rsidR="00A92D0B" w:rsidRPr="007F620E" w:rsidRDefault="00A92D0B" w:rsidP="00DE3A5D">
            <w:pPr>
              <w:keepNext/>
              <w:keepLines/>
              <w:spacing w:after="240"/>
              <w:rPr>
                <w:color w:val="000000"/>
              </w:rPr>
            </w:pPr>
            <w:r w:rsidRPr="007F620E">
              <w:rPr>
                <w:b/>
                <w:color w:val="000000"/>
              </w:rPr>
              <w:t>B.  Comment Period:  Was the 30-day comment period waived (</w:t>
            </w:r>
            <w:r w:rsidRPr="007F620E">
              <w:rPr>
                <w:b/>
                <w:i/>
                <w:color w:val="000000"/>
              </w:rPr>
              <w:t>see</w:t>
            </w:r>
            <w:r w:rsidRPr="007F620E">
              <w:rPr>
                <w:b/>
                <w:color w:val="000000"/>
              </w:rPr>
              <w:t xml:space="preserve"> Rule 14.6(</w:t>
            </w:r>
            <w:r w:rsidR="00963EEF" w:rsidRPr="007F620E">
              <w:rPr>
                <w:b/>
                <w:color w:val="000000"/>
              </w:rPr>
              <w:t>c</w:t>
            </w:r>
            <w:r w:rsidRPr="007F620E">
              <w:rPr>
                <w:b/>
                <w:color w:val="000000"/>
              </w:rPr>
              <w:t>)(6))?</w:t>
            </w:r>
          </w:p>
        </w:tc>
        <w:tc>
          <w:tcPr>
            <w:tcW w:w="1440" w:type="dxa"/>
            <w:shd w:val="clear" w:color="auto" w:fill="auto"/>
          </w:tcPr>
          <w:p w:rsidR="00A92D0B" w:rsidRPr="007F620E" w:rsidRDefault="0059105A" w:rsidP="0059105A">
            <w:pPr>
              <w:keepNext/>
              <w:keepLines/>
              <w:spacing w:after="240"/>
              <w:rPr>
                <w:color w:val="000000"/>
              </w:rPr>
            </w:pPr>
            <w:r>
              <w:rPr>
                <w:color w:val="000000"/>
              </w:rPr>
              <w:t>No</w:t>
            </w:r>
          </w:p>
        </w:tc>
      </w:tr>
    </w:tbl>
    <w:p w:rsidR="001401E4" w:rsidRPr="00317701" w:rsidRDefault="001401E4" w:rsidP="001401E4">
      <w:pPr>
        <w:keepNext/>
        <w:keepLines/>
        <w:spacing w:after="240"/>
        <w:ind w:firstLine="907"/>
        <w:rPr>
          <w:color w:val="000000"/>
        </w:rPr>
      </w:pPr>
      <w:r w:rsidRPr="00317701">
        <w:rPr>
          <w:color w:val="000000"/>
        </w:rPr>
        <w:t>If not:</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6252"/>
        <w:gridCol w:w="1417"/>
      </w:tblGrid>
      <w:tr w:rsidR="001401E4" w:rsidRPr="00317701" w:rsidTr="001401E4">
        <w:tc>
          <w:tcPr>
            <w:tcW w:w="1236" w:type="dxa"/>
            <w:shd w:val="pct12" w:color="auto" w:fill="auto"/>
          </w:tcPr>
          <w:p w:rsidR="001401E4" w:rsidRPr="00317701" w:rsidRDefault="001401E4" w:rsidP="00227644">
            <w:pPr>
              <w:keepNext/>
              <w:keepLines/>
              <w:spacing w:before="120"/>
              <w:jc w:val="center"/>
              <w:rPr>
                <w:b/>
                <w:color w:val="000000"/>
              </w:rPr>
            </w:pPr>
            <w:r w:rsidRPr="00317701">
              <w:rPr>
                <w:b/>
                <w:color w:val="000000"/>
              </w:rPr>
              <w:t>Party</w:t>
            </w:r>
          </w:p>
        </w:tc>
        <w:tc>
          <w:tcPr>
            <w:tcW w:w="6252" w:type="dxa"/>
            <w:shd w:val="pct12" w:color="auto" w:fill="auto"/>
          </w:tcPr>
          <w:p w:rsidR="001401E4" w:rsidRPr="00317701" w:rsidRDefault="001401E4" w:rsidP="00227644">
            <w:pPr>
              <w:keepNext/>
              <w:keepLines/>
              <w:spacing w:before="120"/>
              <w:jc w:val="center"/>
              <w:rPr>
                <w:color w:val="000000"/>
              </w:rPr>
            </w:pPr>
            <w:r w:rsidRPr="00317701">
              <w:rPr>
                <w:b/>
                <w:color w:val="000000"/>
              </w:rPr>
              <w:t>Comment</w:t>
            </w:r>
          </w:p>
        </w:tc>
        <w:tc>
          <w:tcPr>
            <w:tcW w:w="1417" w:type="dxa"/>
            <w:shd w:val="pct12" w:color="auto" w:fill="auto"/>
          </w:tcPr>
          <w:p w:rsidR="001401E4" w:rsidRPr="00317701" w:rsidRDefault="001401E4" w:rsidP="00227644">
            <w:pPr>
              <w:keepNext/>
              <w:keepLines/>
              <w:spacing w:before="120"/>
              <w:jc w:val="center"/>
              <w:rPr>
                <w:color w:val="000000"/>
              </w:rPr>
            </w:pPr>
            <w:r w:rsidRPr="00317701">
              <w:rPr>
                <w:b/>
                <w:color w:val="000000"/>
              </w:rPr>
              <w:t>CPUC Discussion</w:t>
            </w:r>
          </w:p>
        </w:tc>
      </w:tr>
      <w:tr w:rsidR="001401E4" w:rsidRPr="00317701" w:rsidTr="001401E4">
        <w:tc>
          <w:tcPr>
            <w:tcW w:w="1236" w:type="dxa"/>
            <w:shd w:val="clear" w:color="auto" w:fill="auto"/>
          </w:tcPr>
          <w:p w:rsidR="001401E4" w:rsidRPr="00317701" w:rsidRDefault="001401E4" w:rsidP="00227644">
            <w:pPr>
              <w:keepNext/>
              <w:keepLines/>
              <w:spacing w:before="120"/>
              <w:rPr>
                <w:color w:val="000000"/>
              </w:rPr>
            </w:pPr>
          </w:p>
        </w:tc>
        <w:tc>
          <w:tcPr>
            <w:tcW w:w="6252" w:type="dxa"/>
            <w:shd w:val="clear" w:color="auto" w:fill="auto"/>
          </w:tcPr>
          <w:p w:rsidR="001401E4" w:rsidRPr="00317701" w:rsidRDefault="00EA39D5" w:rsidP="00227644">
            <w:pPr>
              <w:keepNext/>
              <w:keepLines/>
              <w:spacing w:before="120"/>
              <w:rPr>
                <w:color w:val="000000"/>
              </w:rPr>
            </w:pPr>
            <w:r>
              <w:t>No comments received.</w:t>
            </w:r>
          </w:p>
        </w:tc>
        <w:tc>
          <w:tcPr>
            <w:tcW w:w="1417" w:type="dxa"/>
            <w:shd w:val="clear" w:color="auto" w:fill="auto"/>
          </w:tcPr>
          <w:p w:rsidR="001401E4" w:rsidRPr="00317701" w:rsidRDefault="001401E4" w:rsidP="00227644">
            <w:pPr>
              <w:keepNext/>
              <w:keepLines/>
              <w:spacing w:before="120"/>
              <w:rPr>
                <w:color w:val="000000"/>
              </w:rPr>
            </w:pPr>
          </w:p>
        </w:tc>
      </w:tr>
    </w:tbl>
    <w:p w:rsidR="00BE45D0" w:rsidRDefault="00BE45D0">
      <w:pPr>
        <w:jc w:val="center"/>
        <w:rPr>
          <w:b/>
          <w:color w:val="000000"/>
          <w:u w:val="single"/>
        </w:rPr>
      </w:pPr>
    </w:p>
    <w:p w:rsidR="00BE45D0" w:rsidRPr="007F620E" w:rsidRDefault="00BE45D0">
      <w:pPr>
        <w:jc w:val="center"/>
        <w:rPr>
          <w:b/>
          <w:color w:val="000000"/>
          <w:u w:val="single"/>
        </w:rPr>
      </w:pPr>
    </w:p>
    <w:p w:rsidR="00A92D0B" w:rsidRPr="007F620E" w:rsidRDefault="00A92D0B">
      <w:pPr>
        <w:jc w:val="center"/>
        <w:rPr>
          <w:b/>
          <w:color w:val="000000"/>
          <w:u w:val="single"/>
        </w:rPr>
      </w:pPr>
      <w:r w:rsidRPr="007F620E">
        <w:rPr>
          <w:b/>
          <w:color w:val="000000"/>
          <w:u w:val="single"/>
        </w:rPr>
        <w:t>FINDINGS OF FACT</w:t>
      </w:r>
    </w:p>
    <w:p w:rsidR="00A92D0B" w:rsidRPr="007F620E" w:rsidRDefault="00A92D0B">
      <w:pPr>
        <w:rPr>
          <w:color w:val="000000"/>
        </w:rPr>
      </w:pPr>
    </w:p>
    <w:p w:rsidR="00A92D0B" w:rsidRPr="007F620E" w:rsidRDefault="00320388">
      <w:pPr>
        <w:numPr>
          <w:ilvl w:val="0"/>
          <w:numId w:val="3"/>
        </w:numPr>
        <w:tabs>
          <w:tab w:val="clear" w:pos="900"/>
          <w:tab w:val="num" w:pos="540"/>
        </w:tabs>
        <w:ind w:left="540" w:hanging="540"/>
      </w:pPr>
      <w:r w:rsidRPr="001E3ECB">
        <w:rPr>
          <w:color w:val="000000"/>
        </w:rPr>
        <w:t>Consumer Federation of California</w:t>
      </w:r>
      <w:r w:rsidR="005A63D4" w:rsidRPr="007F620E">
        <w:t xml:space="preserve"> </w:t>
      </w:r>
      <w:r w:rsidR="00227644" w:rsidRPr="00325E92">
        <w:rPr>
          <w:color w:val="000000"/>
        </w:rPr>
        <w:t>Foundation</w:t>
      </w:r>
      <w:r w:rsidR="00227644">
        <w:rPr>
          <w:color w:val="000000"/>
        </w:rPr>
        <w:t xml:space="preserve"> </w:t>
      </w:r>
      <w:r>
        <w:t>has</w:t>
      </w:r>
      <w:r w:rsidR="00A92D0B" w:rsidRPr="007F620E">
        <w:t xml:space="preserve"> made a substantia</w:t>
      </w:r>
      <w:r>
        <w:t xml:space="preserve">l contribution to </w:t>
      </w:r>
      <w:r>
        <w:rPr>
          <w:color w:val="000000"/>
        </w:rPr>
        <w:t xml:space="preserve">D.16-09-016 and </w:t>
      </w:r>
      <w:r w:rsidR="004E6323">
        <w:rPr>
          <w:color w:val="000000"/>
        </w:rPr>
        <w:t>D.</w:t>
      </w:r>
      <w:r w:rsidRPr="00E90178">
        <w:rPr>
          <w:color w:val="000000"/>
        </w:rPr>
        <w:t>17-09-036</w:t>
      </w:r>
      <w:r w:rsidR="00A92D0B" w:rsidRPr="007F620E">
        <w:t>.</w:t>
      </w:r>
    </w:p>
    <w:p w:rsidR="00A92D0B" w:rsidRPr="007F620E" w:rsidRDefault="00A92D0B">
      <w:pPr>
        <w:numPr>
          <w:ilvl w:val="0"/>
          <w:numId w:val="3"/>
        </w:numPr>
        <w:tabs>
          <w:tab w:val="clear" w:pos="900"/>
          <w:tab w:val="num" w:pos="540"/>
        </w:tabs>
        <w:spacing w:before="240"/>
        <w:ind w:left="547" w:hanging="547"/>
      </w:pPr>
      <w:r w:rsidRPr="007F620E">
        <w:t xml:space="preserve">The requested hourly rates for </w:t>
      </w:r>
      <w:r w:rsidR="00320388" w:rsidRPr="001E3ECB">
        <w:rPr>
          <w:color w:val="000000"/>
        </w:rPr>
        <w:t>Consumer Federation of California</w:t>
      </w:r>
      <w:r w:rsidR="00227644">
        <w:rPr>
          <w:color w:val="000000"/>
        </w:rPr>
        <w:t xml:space="preserve"> </w:t>
      </w:r>
      <w:r w:rsidR="00227644" w:rsidRPr="00325E92">
        <w:rPr>
          <w:color w:val="000000"/>
        </w:rPr>
        <w:t>Foundation</w:t>
      </w:r>
      <w:r w:rsidR="005A63D4" w:rsidRPr="007F620E">
        <w:t xml:space="preserve">’s </w:t>
      </w:r>
      <w:r w:rsidR="00320388">
        <w:t>representatives, as adjusted herein,</w:t>
      </w:r>
      <w:r w:rsidRPr="007F620E">
        <w:t xml:space="preserve"> are comparable to market rates paid to experts and advocates having comparable training and experience and offering similar services.</w:t>
      </w:r>
    </w:p>
    <w:p w:rsidR="00A92D0B" w:rsidRPr="007F620E" w:rsidRDefault="00320388">
      <w:pPr>
        <w:numPr>
          <w:ilvl w:val="0"/>
          <w:numId w:val="3"/>
        </w:numPr>
        <w:tabs>
          <w:tab w:val="clear" w:pos="900"/>
          <w:tab w:val="num" w:pos="540"/>
        </w:tabs>
        <w:spacing w:before="240"/>
        <w:ind w:left="547" w:hanging="547"/>
      </w:pPr>
      <w:r>
        <w:t>The claimed costs and expenses, as</w:t>
      </w:r>
      <w:r w:rsidR="00A92D0B" w:rsidRPr="007F620E">
        <w:t xml:space="preserve"> adjusted herein, are reasonable and commensurate with the work performed. </w:t>
      </w:r>
    </w:p>
    <w:p w:rsidR="00A92D0B" w:rsidRPr="007F620E" w:rsidRDefault="00A92D0B">
      <w:pPr>
        <w:numPr>
          <w:ilvl w:val="0"/>
          <w:numId w:val="3"/>
        </w:numPr>
        <w:tabs>
          <w:tab w:val="clear" w:pos="900"/>
          <w:tab w:val="num" w:pos="540"/>
        </w:tabs>
        <w:spacing w:before="240"/>
        <w:ind w:left="547" w:hanging="547"/>
      </w:pPr>
      <w:r w:rsidRPr="007F620E">
        <w:t xml:space="preserve">The total of reasonable </w:t>
      </w:r>
      <w:r w:rsidR="003C608A" w:rsidRPr="007F620E">
        <w:t xml:space="preserve">compensation </w:t>
      </w:r>
      <w:r w:rsidRPr="007F620E">
        <w:t>is</w:t>
      </w:r>
      <w:r w:rsidR="00320388">
        <w:t xml:space="preserve"> </w:t>
      </w:r>
      <w:r w:rsidR="00320388" w:rsidRPr="00320388">
        <w:t>$</w:t>
      </w:r>
      <w:r w:rsidR="00074A3B">
        <w:t>54,085</w:t>
      </w:r>
      <w:r w:rsidR="00E27777" w:rsidRPr="00E27777">
        <w:rPr>
          <w:color w:val="000000"/>
        </w:rPr>
        <w:t>.00</w:t>
      </w:r>
      <w:r w:rsidR="00282BDF" w:rsidRPr="00E27777">
        <w:t>.</w:t>
      </w:r>
    </w:p>
    <w:p w:rsidR="001962EB" w:rsidRPr="007F620E" w:rsidRDefault="001962EB">
      <w:pPr>
        <w:spacing w:before="120"/>
        <w:rPr>
          <w:color w:val="000000"/>
        </w:rPr>
      </w:pPr>
    </w:p>
    <w:p w:rsidR="00A92D0B" w:rsidRPr="007F620E" w:rsidRDefault="00A92D0B" w:rsidP="00AD3936">
      <w:pPr>
        <w:keepNext/>
        <w:jc w:val="center"/>
        <w:rPr>
          <w:b/>
          <w:color w:val="000000"/>
          <w:u w:val="single"/>
        </w:rPr>
      </w:pPr>
      <w:r w:rsidRPr="007F620E">
        <w:rPr>
          <w:b/>
          <w:color w:val="000000"/>
          <w:u w:val="single"/>
        </w:rPr>
        <w:lastRenderedPageBreak/>
        <w:t>CONCLUSION OF LAW</w:t>
      </w:r>
    </w:p>
    <w:p w:rsidR="00A92D0B" w:rsidRPr="007F620E" w:rsidRDefault="00A92D0B" w:rsidP="00AD3936">
      <w:pPr>
        <w:keepNext/>
        <w:numPr>
          <w:ilvl w:val="0"/>
          <w:numId w:val="6"/>
        </w:numPr>
        <w:tabs>
          <w:tab w:val="clear" w:pos="900"/>
          <w:tab w:val="num" w:pos="360"/>
        </w:tabs>
        <w:spacing w:before="240"/>
        <w:ind w:left="360"/>
        <w:rPr>
          <w:color w:val="000000"/>
        </w:rPr>
      </w:pPr>
      <w:r w:rsidRPr="007F620E">
        <w:rPr>
          <w:color w:val="000000"/>
        </w:rPr>
        <w:t>The Claim, with any adjustment set forth above, satisfies</w:t>
      </w:r>
      <w:r w:rsidR="00DE3A5D" w:rsidRPr="007F620E">
        <w:rPr>
          <w:color w:val="000000"/>
        </w:rPr>
        <w:t xml:space="preserve"> all requirements of Pub. Util.</w:t>
      </w:r>
      <w:r w:rsidRPr="007F620E">
        <w:rPr>
          <w:color w:val="000000"/>
        </w:rPr>
        <w:t xml:space="preserve"> Code §§ 1801-1812.</w:t>
      </w:r>
    </w:p>
    <w:p w:rsidR="001962EB" w:rsidRPr="007F620E" w:rsidRDefault="001962EB" w:rsidP="00AD3936">
      <w:pPr>
        <w:keepNext/>
        <w:jc w:val="center"/>
        <w:rPr>
          <w:b/>
          <w:color w:val="000000"/>
          <w:u w:val="single"/>
        </w:rPr>
      </w:pPr>
    </w:p>
    <w:p w:rsidR="00A92D0B" w:rsidRPr="007F620E" w:rsidRDefault="00A92D0B">
      <w:pPr>
        <w:jc w:val="center"/>
        <w:rPr>
          <w:b/>
          <w:color w:val="000000"/>
          <w:u w:val="single"/>
        </w:rPr>
      </w:pPr>
      <w:r w:rsidRPr="007F620E">
        <w:rPr>
          <w:b/>
          <w:color w:val="000000"/>
          <w:u w:val="single"/>
        </w:rPr>
        <w:t>ORDER</w:t>
      </w:r>
    </w:p>
    <w:p w:rsidR="00A92D0B" w:rsidRPr="007F620E" w:rsidRDefault="00A92D0B">
      <w:pPr>
        <w:jc w:val="center"/>
        <w:rPr>
          <w:b/>
          <w:color w:val="000000"/>
          <w:u w:val="single"/>
        </w:rPr>
      </w:pPr>
    </w:p>
    <w:p w:rsidR="00A92D0B" w:rsidRPr="007F620E" w:rsidRDefault="00320388">
      <w:pPr>
        <w:numPr>
          <w:ilvl w:val="0"/>
          <w:numId w:val="4"/>
        </w:numPr>
        <w:tabs>
          <w:tab w:val="clear" w:pos="900"/>
          <w:tab w:val="num" w:pos="540"/>
        </w:tabs>
        <w:ind w:left="540" w:hanging="540"/>
        <w:rPr>
          <w:color w:val="000000"/>
        </w:rPr>
      </w:pPr>
      <w:r w:rsidRPr="001E3ECB">
        <w:rPr>
          <w:color w:val="000000"/>
        </w:rPr>
        <w:t>Consumer Federation of California</w:t>
      </w:r>
      <w:r w:rsidRPr="007F620E">
        <w:t xml:space="preserve"> </w:t>
      </w:r>
      <w:r w:rsidR="00227644" w:rsidRPr="00325E92">
        <w:rPr>
          <w:color w:val="000000"/>
        </w:rPr>
        <w:t>Foundation</w:t>
      </w:r>
      <w:r w:rsidR="00227644">
        <w:rPr>
          <w:color w:val="000000"/>
        </w:rPr>
        <w:t xml:space="preserve"> </w:t>
      </w:r>
      <w:r w:rsidR="00A031F3">
        <w:rPr>
          <w:color w:val="000000"/>
        </w:rPr>
        <w:t>shall be</w:t>
      </w:r>
      <w:r>
        <w:rPr>
          <w:color w:val="000000"/>
        </w:rPr>
        <w:t xml:space="preserve"> awarded </w:t>
      </w:r>
      <w:r w:rsidRPr="00320388">
        <w:t>$</w:t>
      </w:r>
      <w:r w:rsidR="00074A3B">
        <w:t>54,085</w:t>
      </w:r>
      <w:r w:rsidR="00E27777" w:rsidRPr="00E27777">
        <w:rPr>
          <w:color w:val="000000"/>
        </w:rPr>
        <w:t>.00</w:t>
      </w:r>
      <w:r w:rsidR="00E27777" w:rsidRPr="00E27777">
        <w:t>.</w:t>
      </w:r>
    </w:p>
    <w:p w:rsidR="00320388" w:rsidRPr="004B3A87" w:rsidRDefault="00320388" w:rsidP="00320388">
      <w:pPr>
        <w:numPr>
          <w:ilvl w:val="0"/>
          <w:numId w:val="4"/>
        </w:numPr>
        <w:tabs>
          <w:tab w:val="clear" w:pos="900"/>
          <w:tab w:val="num" w:pos="540"/>
        </w:tabs>
        <w:spacing w:before="240"/>
        <w:ind w:left="547" w:hanging="547"/>
      </w:pPr>
      <w:r w:rsidRPr="004B3A87">
        <w:t xml:space="preserve">Within 30 days of the effective date of this decision Pacific Gas </w:t>
      </w:r>
      <w:r w:rsidR="00282BDF">
        <w:t>and</w:t>
      </w:r>
      <w:r w:rsidRPr="004B3A87">
        <w:t xml:space="preserve"> Electric Company, Southern California Edison Company, and San Diego Gas</w:t>
      </w:r>
      <w:r>
        <w:t xml:space="preserve"> </w:t>
      </w:r>
      <w:r w:rsidR="00282BDF">
        <w:t>&amp;</w:t>
      </w:r>
      <w:r>
        <w:t xml:space="preserve"> Electric Company</w:t>
      </w:r>
      <w:r w:rsidRPr="004B3A87">
        <w:t xml:space="preserve"> must pay Consumer Federation of California </w:t>
      </w:r>
      <w:r w:rsidR="00227644" w:rsidRPr="00325E92">
        <w:rPr>
          <w:color w:val="000000"/>
        </w:rPr>
        <w:t>Foundation</w:t>
      </w:r>
      <w:r w:rsidR="00227644">
        <w:rPr>
          <w:color w:val="000000"/>
        </w:rPr>
        <w:t xml:space="preserve"> </w:t>
      </w:r>
      <w:r w:rsidRPr="004B3A87">
        <w:t xml:space="preserve">their respective shares of the award, based on their California-jurisdictional </w:t>
      </w:r>
      <w:r w:rsidR="00AD3936">
        <w:t xml:space="preserve">2017 </w:t>
      </w:r>
      <w:r w:rsidRPr="004B3A87">
        <w:t>electric revenues</w:t>
      </w:r>
      <w:r w:rsidR="00AD3936">
        <w:t xml:space="preserve">. </w:t>
      </w:r>
      <w:r w:rsidRPr="004B3A87">
        <w:t xml:space="preserve"> Payment of the award </w:t>
      </w:r>
      <w:r>
        <w:t>must</w:t>
      </w:r>
      <w:r w:rsidRPr="004B3A87">
        <w:t xml:space="preserve"> include compound interest at the rate earned on prime, three-month non-financial commercial paper as reported in Federal Reserve Statistical Release H.15, beginning February 14, 2018, the 75</w:t>
      </w:r>
      <w:r w:rsidRPr="004B3A87">
        <w:rPr>
          <w:vertAlign w:val="superscript"/>
        </w:rPr>
        <w:t>th</w:t>
      </w:r>
      <w:r w:rsidRPr="004B3A87">
        <w:t xml:space="preserve"> day after the filing of Consumer Federation of California</w:t>
      </w:r>
      <w:r w:rsidR="00227644">
        <w:t xml:space="preserve"> </w:t>
      </w:r>
      <w:r w:rsidR="00227644" w:rsidRPr="00325E92">
        <w:rPr>
          <w:color w:val="000000"/>
        </w:rPr>
        <w:t>Foundation</w:t>
      </w:r>
      <w:r w:rsidRPr="004B3A87">
        <w:t>’s request, and continuing until full payment is made.</w:t>
      </w:r>
    </w:p>
    <w:p w:rsidR="00A92D0B" w:rsidRPr="007F620E" w:rsidRDefault="00A92D0B" w:rsidP="00DE3A5D">
      <w:pPr>
        <w:keepNext/>
        <w:keepLines/>
        <w:numPr>
          <w:ilvl w:val="0"/>
          <w:numId w:val="4"/>
        </w:numPr>
        <w:tabs>
          <w:tab w:val="clear" w:pos="900"/>
          <w:tab w:val="num" w:pos="540"/>
        </w:tabs>
        <w:spacing w:before="240"/>
        <w:ind w:left="547" w:hanging="547"/>
      </w:pPr>
      <w:r w:rsidRPr="007F620E">
        <w:t>The comment period for today’s d</w:t>
      </w:r>
      <w:r w:rsidR="00320388">
        <w:t xml:space="preserve">ecision </w:t>
      </w:r>
      <w:r w:rsidRPr="007F620E">
        <w:t>is</w:t>
      </w:r>
      <w:r w:rsidR="00320388">
        <w:t xml:space="preserve"> </w:t>
      </w:r>
      <w:r w:rsidR="0059105A">
        <w:t xml:space="preserve">not </w:t>
      </w:r>
      <w:r w:rsidRPr="007F620E">
        <w:t>waived.</w:t>
      </w:r>
    </w:p>
    <w:p w:rsidR="00A92D0B" w:rsidRPr="007F620E" w:rsidRDefault="00A92D0B" w:rsidP="00B26932">
      <w:pPr>
        <w:keepNext/>
        <w:keepLines/>
        <w:spacing w:before="240"/>
        <w:ind w:left="540"/>
        <w:rPr>
          <w:color w:val="000000"/>
        </w:rPr>
      </w:pPr>
      <w:r w:rsidRPr="007F620E">
        <w:rPr>
          <w:color w:val="000000"/>
        </w:rPr>
        <w:t>This decision is effective today.</w:t>
      </w:r>
    </w:p>
    <w:p w:rsidR="00A92D0B" w:rsidRDefault="00A92D0B" w:rsidP="004E173E">
      <w:pPr>
        <w:keepNext/>
        <w:keepLines/>
        <w:spacing w:before="240"/>
        <w:ind w:left="540"/>
        <w:rPr>
          <w:color w:val="000000"/>
        </w:rPr>
      </w:pPr>
      <w:r w:rsidRPr="007F620E">
        <w:rPr>
          <w:color w:val="000000"/>
        </w:rPr>
        <w:t>Dated</w:t>
      </w:r>
      <w:r w:rsidR="00555D22">
        <w:rPr>
          <w:color w:val="000000"/>
        </w:rPr>
        <w:t xml:space="preserve"> September 27, 2018</w:t>
      </w:r>
      <w:r w:rsidRPr="007F620E">
        <w:rPr>
          <w:color w:val="000000"/>
        </w:rPr>
        <w:t>, at Sa</w:t>
      </w:r>
      <w:r w:rsidR="0059105A">
        <w:rPr>
          <w:color w:val="000000"/>
        </w:rPr>
        <w:t>cramento</w:t>
      </w:r>
      <w:r w:rsidRPr="007F620E">
        <w:rPr>
          <w:color w:val="000000"/>
        </w:rPr>
        <w:t>, California.</w:t>
      </w:r>
    </w:p>
    <w:p w:rsidR="00555D22" w:rsidRDefault="00555D22" w:rsidP="004E173E">
      <w:pPr>
        <w:keepNext/>
        <w:keepLines/>
        <w:spacing w:before="240"/>
        <w:ind w:left="540"/>
        <w:rPr>
          <w:color w:val="000000"/>
        </w:rPr>
      </w:pPr>
    </w:p>
    <w:p w:rsidR="00555D22" w:rsidRDefault="00555D22" w:rsidP="00555D22">
      <w:pPr>
        <w:autoSpaceDE w:val="0"/>
        <w:autoSpaceDN w:val="0"/>
        <w:adjustRightInd w:val="0"/>
        <w:ind w:left="4320"/>
        <w:jc w:val="both"/>
        <w:rPr>
          <w:rFonts w:cs="Palatino"/>
          <w:sz w:val="26"/>
          <w:szCs w:val="26"/>
        </w:rPr>
      </w:pPr>
      <w:r w:rsidRPr="008B63F2">
        <w:rPr>
          <w:rFonts w:cs="Courier New"/>
          <w:sz w:val="26"/>
          <w:szCs w:val="26"/>
        </w:rPr>
        <w:t>MICHAEL PICKER</w:t>
      </w:r>
    </w:p>
    <w:p w:rsidR="00555D22" w:rsidRDefault="00555D22" w:rsidP="00555D22">
      <w:pPr>
        <w:autoSpaceDE w:val="0"/>
        <w:autoSpaceDN w:val="0"/>
        <w:adjustRightInd w:val="0"/>
        <w:ind w:firstLine="720"/>
        <w:jc w:val="both"/>
        <w:rPr>
          <w:rFonts w:cs="Palatino"/>
          <w:sz w:val="26"/>
          <w:szCs w:val="26"/>
        </w:rPr>
      </w:pPr>
      <w:r>
        <w:rPr>
          <w:rFonts w:cs="Palatino"/>
          <w:sz w:val="26"/>
          <w:szCs w:val="26"/>
        </w:rPr>
        <w:tab/>
      </w:r>
      <w:r>
        <w:rPr>
          <w:rFonts w:cs="Palatino"/>
          <w:sz w:val="26"/>
          <w:szCs w:val="26"/>
        </w:rPr>
        <w:tab/>
      </w:r>
      <w:r>
        <w:rPr>
          <w:rFonts w:cs="Palatino"/>
          <w:sz w:val="26"/>
          <w:szCs w:val="26"/>
        </w:rPr>
        <w:tab/>
      </w:r>
      <w:r>
        <w:rPr>
          <w:rFonts w:cs="Palatino"/>
          <w:sz w:val="26"/>
          <w:szCs w:val="26"/>
        </w:rPr>
        <w:tab/>
      </w:r>
      <w:r>
        <w:rPr>
          <w:rFonts w:cs="Palatino"/>
          <w:sz w:val="26"/>
          <w:szCs w:val="26"/>
        </w:rPr>
        <w:tab/>
        <w:t xml:space="preserve">                       President</w:t>
      </w:r>
    </w:p>
    <w:p w:rsidR="00555D22" w:rsidRDefault="00555D22" w:rsidP="00555D22">
      <w:pPr>
        <w:autoSpaceDE w:val="0"/>
        <w:autoSpaceDN w:val="0"/>
        <w:adjustRightInd w:val="0"/>
        <w:ind w:left="4320"/>
        <w:jc w:val="both"/>
        <w:rPr>
          <w:rFonts w:cs="Courier New"/>
          <w:sz w:val="26"/>
          <w:szCs w:val="26"/>
        </w:rPr>
      </w:pPr>
      <w:r w:rsidRPr="00793B6D">
        <w:rPr>
          <w:rFonts w:cs="Courier New"/>
          <w:sz w:val="26"/>
          <w:szCs w:val="26"/>
        </w:rPr>
        <w:t>CARLA J. PETERMAN</w:t>
      </w:r>
    </w:p>
    <w:p w:rsidR="00555D22" w:rsidRDefault="00555D22" w:rsidP="00555D22">
      <w:pPr>
        <w:autoSpaceDE w:val="0"/>
        <w:autoSpaceDN w:val="0"/>
        <w:adjustRightInd w:val="0"/>
        <w:ind w:left="4320"/>
        <w:jc w:val="both"/>
        <w:rPr>
          <w:rFonts w:cs="Courier New"/>
          <w:sz w:val="26"/>
          <w:szCs w:val="26"/>
        </w:rPr>
      </w:pPr>
      <w:r>
        <w:rPr>
          <w:rFonts w:cs="Courier New"/>
          <w:sz w:val="26"/>
          <w:szCs w:val="26"/>
        </w:rPr>
        <w:t>LIANE M. RANDOLPH</w:t>
      </w:r>
    </w:p>
    <w:p w:rsidR="00555D22" w:rsidRDefault="00555D22" w:rsidP="00555D22">
      <w:pPr>
        <w:autoSpaceDE w:val="0"/>
        <w:autoSpaceDN w:val="0"/>
        <w:adjustRightInd w:val="0"/>
        <w:ind w:left="4320"/>
        <w:jc w:val="both"/>
        <w:rPr>
          <w:sz w:val="28"/>
          <w:szCs w:val="28"/>
        </w:rPr>
      </w:pPr>
      <w:r>
        <w:rPr>
          <w:sz w:val="28"/>
          <w:szCs w:val="28"/>
        </w:rPr>
        <w:t>MARTHA GUZMAN ACEVES</w:t>
      </w:r>
    </w:p>
    <w:p w:rsidR="00555D22" w:rsidRPr="00793B6D" w:rsidRDefault="00555D22" w:rsidP="00555D22">
      <w:pPr>
        <w:autoSpaceDE w:val="0"/>
        <w:autoSpaceDN w:val="0"/>
        <w:adjustRightInd w:val="0"/>
        <w:ind w:left="4320"/>
        <w:jc w:val="both"/>
        <w:rPr>
          <w:rFonts w:cs="Courier New"/>
          <w:sz w:val="26"/>
          <w:szCs w:val="26"/>
        </w:rPr>
      </w:pPr>
      <w:r>
        <w:rPr>
          <w:sz w:val="28"/>
          <w:szCs w:val="28"/>
        </w:rPr>
        <w:t>CLIFFORD RECHTSCHAFFEN</w:t>
      </w:r>
    </w:p>
    <w:p w:rsidR="00555D22" w:rsidRDefault="00555D22" w:rsidP="00555D22">
      <w:pPr>
        <w:autoSpaceDE w:val="0"/>
        <w:autoSpaceDN w:val="0"/>
        <w:adjustRightInd w:val="0"/>
        <w:ind w:left="4320" w:firstLine="720"/>
        <w:jc w:val="both"/>
        <w:rPr>
          <w:rFonts w:cs="Palatino"/>
          <w:sz w:val="26"/>
          <w:szCs w:val="26"/>
        </w:rPr>
      </w:pPr>
      <w:r>
        <w:rPr>
          <w:rFonts w:cs="Palatino"/>
          <w:sz w:val="26"/>
          <w:szCs w:val="26"/>
        </w:rPr>
        <w:t xml:space="preserve">                 Commissioners</w:t>
      </w:r>
    </w:p>
    <w:p w:rsidR="00555D22" w:rsidRPr="007F620E" w:rsidRDefault="00555D22" w:rsidP="004E173E">
      <w:pPr>
        <w:keepNext/>
        <w:keepLines/>
        <w:spacing w:before="240"/>
        <w:ind w:left="540"/>
        <w:rPr>
          <w:color w:val="000000"/>
        </w:rPr>
      </w:pPr>
    </w:p>
    <w:p w:rsidR="00A92D0B" w:rsidRPr="007F620E" w:rsidRDefault="00A92D0B"/>
    <w:p w:rsidR="000D60D4" w:rsidRDefault="000D60D4">
      <w:pPr>
        <w:sectPr w:rsidR="000D60D4" w:rsidSect="000D60D4">
          <w:headerReference w:type="default" r:id="rId13"/>
          <w:footerReference w:type="default" r:id="rId14"/>
          <w:footerReference w:type="first" r:id="rId15"/>
          <w:pgSz w:w="12240" w:h="15840" w:code="1"/>
          <w:pgMar w:top="1440" w:right="1800" w:bottom="1440" w:left="1800" w:header="720" w:footer="720" w:gutter="0"/>
          <w:pgNumType w:fmt="numberInDash" w:start="1"/>
          <w:cols w:space="720"/>
          <w:titlePg/>
          <w:docGrid w:linePitch="360"/>
        </w:sectPr>
      </w:pPr>
    </w:p>
    <w:p w:rsidR="00282BDF" w:rsidRDefault="00282BDF" w:rsidP="00282BDF"/>
    <w:p w:rsidR="00282BDF" w:rsidRDefault="00282BDF" w:rsidP="00282BDF">
      <w:pPr>
        <w:pStyle w:val="standard"/>
        <w:ind w:firstLine="0"/>
        <w:jc w:val="center"/>
        <w:rPr>
          <w:rFonts w:ascii="Helvetica" w:hAnsi="Helvetica"/>
          <w:b/>
          <w:szCs w:val="26"/>
        </w:rPr>
      </w:pPr>
      <w:r>
        <w:rPr>
          <w:rFonts w:ascii="Helvetica" w:hAnsi="Helvetica"/>
          <w:b/>
          <w:szCs w:val="26"/>
        </w:rPr>
        <w:t>APPENDIX</w:t>
      </w:r>
    </w:p>
    <w:p w:rsidR="00282BDF" w:rsidRDefault="00282BDF" w:rsidP="00282BDF">
      <w:pPr>
        <w:pStyle w:val="standard"/>
        <w:jc w:val="center"/>
        <w:rPr>
          <w:sz w:val="28"/>
          <w:szCs w:val="28"/>
        </w:rPr>
      </w:pPr>
      <w:r>
        <w:rPr>
          <w:sz w:val="28"/>
          <w:szCs w:val="28"/>
        </w:rPr>
        <w:t>Compensation Decision Summary Information</w:t>
      </w:r>
    </w:p>
    <w:p w:rsidR="001012C5" w:rsidRDefault="001012C5" w:rsidP="00282BDF">
      <w:pPr>
        <w:pStyle w:val="standard"/>
        <w:jc w:val="cente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735"/>
        <w:gridCol w:w="2475"/>
        <w:gridCol w:w="1260"/>
      </w:tblGrid>
      <w:tr w:rsidR="00282BDF" w:rsidTr="00282BDF">
        <w:trPr>
          <w:trHeight w:val="288"/>
        </w:trPr>
        <w:tc>
          <w:tcPr>
            <w:tcW w:w="2880" w:type="dxa"/>
            <w:tcBorders>
              <w:top w:val="single" w:sz="4" w:space="0" w:color="auto"/>
              <w:left w:val="single" w:sz="4" w:space="0" w:color="auto"/>
              <w:bottom w:val="single" w:sz="4" w:space="0" w:color="auto"/>
              <w:right w:val="single" w:sz="4" w:space="0" w:color="auto"/>
            </w:tcBorders>
            <w:hideMark/>
          </w:tcPr>
          <w:p w:rsidR="00282BDF" w:rsidRDefault="00282BDF" w:rsidP="00282BDF">
            <w:r>
              <w:t>Compensation Decision:</w:t>
            </w:r>
          </w:p>
        </w:tc>
        <w:tc>
          <w:tcPr>
            <w:tcW w:w="3735" w:type="dxa"/>
            <w:tcBorders>
              <w:top w:val="single" w:sz="4" w:space="0" w:color="auto"/>
              <w:left w:val="single" w:sz="4" w:space="0" w:color="auto"/>
              <w:bottom w:val="single" w:sz="4" w:space="0" w:color="auto"/>
              <w:right w:val="single" w:sz="4" w:space="0" w:color="auto"/>
            </w:tcBorders>
          </w:tcPr>
          <w:p w:rsidR="00282BDF" w:rsidRDefault="00555D22" w:rsidP="00282BDF">
            <w:r>
              <w:t>D1809040</w:t>
            </w:r>
          </w:p>
        </w:tc>
        <w:tc>
          <w:tcPr>
            <w:tcW w:w="2475" w:type="dxa"/>
            <w:tcBorders>
              <w:top w:val="single" w:sz="4" w:space="0" w:color="auto"/>
              <w:left w:val="single" w:sz="4" w:space="0" w:color="auto"/>
              <w:bottom w:val="single" w:sz="4" w:space="0" w:color="auto"/>
              <w:right w:val="single" w:sz="4" w:space="0" w:color="auto"/>
            </w:tcBorders>
            <w:hideMark/>
          </w:tcPr>
          <w:p w:rsidR="00282BDF" w:rsidRDefault="00282BDF" w:rsidP="00282BDF">
            <w:r>
              <w:t xml:space="preserve">Modifies Decision? </w:t>
            </w:r>
          </w:p>
        </w:tc>
        <w:tc>
          <w:tcPr>
            <w:tcW w:w="1260" w:type="dxa"/>
            <w:tcBorders>
              <w:top w:val="single" w:sz="4" w:space="0" w:color="auto"/>
              <w:left w:val="single" w:sz="4" w:space="0" w:color="auto"/>
              <w:bottom w:val="single" w:sz="4" w:space="0" w:color="auto"/>
              <w:right w:val="single" w:sz="4" w:space="0" w:color="auto"/>
            </w:tcBorders>
          </w:tcPr>
          <w:p w:rsidR="00282BDF" w:rsidRDefault="00E27777" w:rsidP="00282BDF">
            <w:pPr>
              <w:jc w:val="center"/>
            </w:pPr>
            <w:r>
              <w:t>No</w:t>
            </w:r>
          </w:p>
        </w:tc>
      </w:tr>
      <w:tr w:rsidR="00282BDF" w:rsidTr="00282BDF">
        <w:trPr>
          <w:trHeight w:val="288"/>
        </w:trPr>
        <w:tc>
          <w:tcPr>
            <w:tcW w:w="2880" w:type="dxa"/>
            <w:tcBorders>
              <w:top w:val="single" w:sz="4" w:space="0" w:color="auto"/>
              <w:left w:val="single" w:sz="4" w:space="0" w:color="auto"/>
              <w:bottom w:val="single" w:sz="4" w:space="0" w:color="auto"/>
              <w:right w:val="single" w:sz="4" w:space="0" w:color="auto"/>
            </w:tcBorders>
            <w:hideMark/>
          </w:tcPr>
          <w:p w:rsidR="00282BDF" w:rsidRDefault="00735E5B" w:rsidP="00735E5B">
            <w:r>
              <w:t>Contribution Decision</w:t>
            </w:r>
            <w:r w:rsidR="00282BDF">
              <w:t>s:</w:t>
            </w:r>
          </w:p>
        </w:tc>
        <w:tc>
          <w:tcPr>
            <w:tcW w:w="7470" w:type="dxa"/>
            <w:gridSpan w:val="3"/>
            <w:tcBorders>
              <w:top w:val="single" w:sz="4" w:space="0" w:color="auto"/>
              <w:left w:val="single" w:sz="4" w:space="0" w:color="auto"/>
              <w:bottom w:val="single" w:sz="4" w:space="0" w:color="auto"/>
              <w:right w:val="single" w:sz="4" w:space="0" w:color="auto"/>
            </w:tcBorders>
            <w:hideMark/>
          </w:tcPr>
          <w:p w:rsidR="00282BDF" w:rsidRDefault="00735E5B" w:rsidP="00735E5B">
            <w:r w:rsidRPr="00E90178">
              <w:rPr>
                <w:color w:val="000000"/>
              </w:rPr>
              <w:t>D16</w:t>
            </w:r>
            <w:r>
              <w:rPr>
                <w:color w:val="000000"/>
              </w:rPr>
              <w:t>09016 and D</w:t>
            </w:r>
            <w:r w:rsidRPr="00E90178">
              <w:rPr>
                <w:color w:val="000000"/>
              </w:rPr>
              <w:t>1709036</w:t>
            </w:r>
          </w:p>
        </w:tc>
      </w:tr>
      <w:tr w:rsidR="00282BDF" w:rsidTr="00282BDF">
        <w:trPr>
          <w:trHeight w:val="288"/>
        </w:trPr>
        <w:tc>
          <w:tcPr>
            <w:tcW w:w="2880" w:type="dxa"/>
            <w:tcBorders>
              <w:top w:val="single" w:sz="4" w:space="0" w:color="auto"/>
              <w:left w:val="single" w:sz="4" w:space="0" w:color="auto"/>
              <w:bottom w:val="single" w:sz="4" w:space="0" w:color="auto"/>
              <w:right w:val="single" w:sz="4" w:space="0" w:color="auto"/>
            </w:tcBorders>
            <w:hideMark/>
          </w:tcPr>
          <w:p w:rsidR="00282BDF" w:rsidRDefault="00E27777" w:rsidP="00E27777">
            <w:r>
              <w:t>Proceeding</w:t>
            </w:r>
            <w:r w:rsidR="00282BDF">
              <w:t>:</w:t>
            </w:r>
          </w:p>
        </w:tc>
        <w:tc>
          <w:tcPr>
            <w:tcW w:w="7470" w:type="dxa"/>
            <w:gridSpan w:val="3"/>
            <w:tcBorders>
              <w:top w:val="single" w:sz="4" w:space="0" w:color="auto"/>
              <w:left w:val="single" w:sz="4" w:space="0" w:color="auto"/>
              <w:bottom w:val="single" w:sz="4" w:space="0" w:color="auto"/>
              <w:right w:val="single" w:sz="4" w:space="0" w:color="auto"/>
            </w:tcBorders>
            <w:hideMark/>
          </w:tcPr>
          <w:p w:rsidR="00282BDF" w:rsidRDefault="00735E5B" w:rsidP="00735E5B">
            <w:r>
              <w:t>R1206013</w:t>
            </w:r>
          </w:p>
        </w:tc>
      </w:tr>
      <w:tr w:rsidR="00282BDF" w:rsidTr="00282BDF">
        <w:trPr>
          <w:trHeight w:val="288"/>
        </w:trPr>
        <w:tc>
          <w:tcPr>
            <w:tcW w:w="2880" w:type="dxa"/>
            <w:tcBorders>
              <w:top w:val="single" w:sz="4" w:space="0" w:color="auto"/>
              <w:left w:val="single" w:sz="4" w:space="0" w:color="auto"/>
              <w:bottom w:val="single" w:sz="4" w:space="0" w:color="auto"/>
              <w:right w:val="single" w:sz="4" w:space="0" w:color="auto"/>
            </w:tcBorders>
            <w:hideMark/>
          </w:tcPr>
          <w:p w:rsidR="00282BDF" w:rsidRDefault="00282BDF" w:rsidP="00282BDF">
            <w:r>
              <w:t>Author:</w:t>
            </w:r>
          </w:p>
        </w:tc>
        <w:tc>
          <w:tcPr>
            <w:tcW w:w="7470" w:type="dxa"/>
            <w:gridSpan w:val="3"/>
            <w:tcBorders>
              <w:top w:val="single" w:sz="4" w:space="0" w:color="auto"/>
              <w:left w:val="single" w:sz="4" w:space="0" w:color="auto"/>
              <w:bottom w:val="single" w:sz="4" w:space="0" w:color="auto"/>
              <w:right w:val="single" w:sz="4" w:space="0" w:color="auto"/>
            </w:tcBorders>
            <w:hideMark/>
          </w:tcPr>
          <w:p w:rsidR="00282BDF" w:rsidRDefault="00735E5B" w:rsidP="00282BDF">
            <w:r>
              <w:t xml:space="preserve">ALJ </w:t>
            </w:r>
            <w:r w:rsidRPr="001E3ECB">
              <w:t>McKinney</w:t>
            </w:r>
            <w:r>
              <w:t>, ALJ Tsen</w:t>
            </w:r>
            <w:r w:rsidR="00C31E15">
              <w:t>, and ALJ Park</w:t>
            </w:r>
          </w:p>
        </w:tc>
      </w:tr>
      <w:tr w:rsidR="00282BDF" w:rsidTr="00282BDF">
        <w:trPr>
          <w:trHeight w:val="278"/>
        </w:trPr>
        <w:tc>
          <w:tcPr>
            <w:tcW w:w="2880" w:type="dxa"/>
            <w:tcBorders>
              <w:top w:val="single" w:sz="4" w:space="0" w:color="auto"/>
              <w:left w:val="single" w:sz="4" w:space="0" w:color="auto"/>
              <w:bottom w:val="single" w:sz="4" w:space="0" w:color="auto"/>
              <w:right w:val="single" w:sz="4" w:space="0" w:color="auto"/>
            </w:tcBorders>
            <w:hideMark/>
          </w:tcPr>
          <w:p w:rsidR="00282BDF" w:rsidRDefault="00735E5B" w:rsidP="00282BDF">
            <w:r>
              <w:t>Payers</w:t>
            </w:r>
            <w:r w:rsidR="00282BDF">
              <w:t>:</w:t>
            </w:r>
          </w:p>
        </w:tc>
        <w:tc>
          <w:tcPr>
            <w:tcW w:w="7470" w:type="dxa"/>
            <w:gridSpan w:val="3"/>
            <w:tcBorders>
              <w:top w:val="single" w:sz="4" w:space="0" w:color="auto"/>
              <w:left w:val="single" w:sz="4" w:space="0" w:color="auto"/>
              <w:bottom w:val="single" w:sz="4" w:space="0" w:color="auto"/>
              <w:right w:val="single" w:sz="4" w:space="0" w:color="auto"/>
            </w:tcBorders>
            <w:hideMark/>
          </w:tcPr>
          <w:p w:rsidR="00282BDF" w:rsidRDefault="00735E5B" w:rsidP="00282BDF">
            <w:r w:rsidRPr="004B3A87">
              <w:t xml:space="preserve">Pacific Gas </w:t>
            </w:r>
            <w:r>
              <w:t>and</w:t>
            </w:r>
            <w:r w:rsidRPr="004B3A87">
              <w:t xml:space="preserve"> Electric Company, Southern California Edison Company, and San Diego Gas</w:t>
            </w:r>
            <w:r>
              <w:t xml:space="preserve"> &amp; Electric Company</w:t>
            </w:r>
          </w:p>
        </w:tc>
      </w:tr>
    </w:tbl>
    <w:p w:rsidR="00282BDF" w:rsidRDefault="00282BDF" w:rsidP="00282BDF"/>
    <w:p w:rsidR="00282BDF" w:rsidRDefault="00282BDF" w:rsidP="00282BDF"/>
    <w:p w:rsidR="00282BDF" w:rsidRDefault="00282BDF" w:rsidP="00282BDF">
      <w:pPr>
        <w:jc w:val="center"/>
        <w:rPr>
          <w:sz w:val="28"/>
          <w:szCs w:val="28"/>
        </w:rPr>
      </w:pPr>
      <w:r>
        <w:rPr>
          <w:sz w:val="28"/>
          <w:szCs w:val="28"/>
        </w:rPr>
        <w:t>Intervenor Information</w:t>
      </w:r>
    </w:p>
    <w:p w:rsidR="00282BDF" w:rsidRDefault="00282BDF" w:rsidP="00282BDF"/>
    <w:tbl>
      <w:tblPr>
        <w:tblW w:w="110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1687"/>
        <w:gridCol w:w="1315"/>
        <w:gridCol w:w="1752"/>
        <w:gridCol w:w="1416"/>
        <w:gridCol w:w="2497"/>
      </w:tblGrid>
      <w:tr w:rsidR="00282BDF" w:rsidTr="00735E5B">
        <w:tc>
          <w:tcPr>
            <w:tcW w:w="2363" w:type="dxa"/>
            <w:tcBorders>
              <w:top w:val="single" w:sz="4" w:space="0" w:color="auto"/>
              <w:left w:val="single" w:sz="4" w:space="0" w:color="auto"/>
              <w:bottom w:val="single" w:sz="4" w:space="0" w:color="auto"/>
              <w:right w:val="single" w:sz="4" w:space="0" w:color="auto"/>
            </w:tcBorders>
            <w:hideMark/>
          </w:tcPr>
          <w:p w:rsidR="00282BDF" w:rsidRDefault="00282BDF" w:rsidP="00282BDF">
            <w:pPr>
              <w:jc w:val="center"/>
            </w:pPr>
            <w:r>
              <w:t>Intervenor</w:t>
            </w:r>
          </w:p>
        </w:tc>
        <w:tc>
          <w:tcPr>
            <w:tcW w:w="1687" w:type="dxa"/>
            <w:tcBorders>
              <w:top w:val="single" w:sz="4" w:space="0" w:color="auto"/>
              <w:left w:val="single" w:sz="4" w:space="0" w:color="auto"/>
              <w:bottom w:val="single" w:sz="4" w:space="0" w:color="auto"/>
              <w:right w:val="single" w:sz="4" w:space="0" w:color="auto"/>
            </w:tcBorders>
            <w:hideMark/>
          </w:tcPr>
          <w:p w:rsidR="00282BDF" w:rsidRDefault="00282BDF" w:rsidP="00282BDF">
            <w:pPr>
              <w:jc w:val="center"/>
            </w:pPr>
            <w:r>
              <w:t>Claim Date</w:t>
            </w:r>
          </w:p>
        </w:tc>
        <w:tc>
          <w:tcPr>
            <w:tcW w:w="1315" w:type="dxa"/>
            <w:tcBorders>
              <w:top w:val="single" w:sz="4" w:space="0" w:color="auto"/>
              <w:left w:val="single" w:sz="4" w:space="0" w:color="auto"/>
              <w:bottom w:val="single" w:sz="4" w:space="0" w:color="auto"/>
              <w:right w:val="single" w:sz="4" w:space="0" w:color="auto"/>
            </w:tcBorders>
            <w:hideMark/>
          </w:tcPr>
          <w:p w:rsidR="00282BDF" w:rsidRDefault="00282BDF" w:rsidP="00282BDF">
            <w:pPr>
              <w:jc w:val="center"/>
            </w:pPr>
            <w:r>
              <w:t>Amount Requested</w:t>
            </w:r>
          </w:p>
        </w:tc>
        <w:tc>
          <w:tcPr>
            <w:tcW w:w="1752" w:type="dxa"/>
            <w:tcBorders>
              <w:top w:val="single" w:sz="4" w:space="0" w:color="auto"/>
              <w:left w:val="single" w:sz="4" w:space="0" w:color="auto"/>
              <w:bottom w:val="single" w:sz="4" w:space="0" w:color="auto"/>
              <w:right w:val="single" w:sz="4" w:space="0" w:color="auto"/>
            </w:tcBorders>
            <w:hideMark/>
          </w:tcPr>
          <w:p w:rsidR="00282BDF" w:rsidRDefault="00282BDF" w:rsidP="00282BDF">
            <w:pPr>
              <w:jc w:val="center"/>
            </w:pPr>
            <w:r>
              <w:t>Amount Awarded</w:t>
            </w:r>
          </w:p>
        </w:tc>
        <w:tc>
          <w:tcPr>
            <w:tcW w:w="1416" w:type="dxa"/>
            <w:tcBorders>
              <w:top w:val="single" w:sz="4" w:space="0" w:color="auto"/>
              <w:left w:val="single" w:sz="4" w:space="0" w:color="auto"/>
              <w:bottom w:val="single" w:sz="4" w:space="0" w:color="auto"/>
              <w:right w:val="single" w:sz="4" w:space="0" w:color="auto"/>
            </w:tcBorders>
            <w:hideMark/>
          </w:tcPr>
          <w:p w:rsidR="00282BDF" w:rsidRDefault="00282BDF" w:rsidP="00282BDF">
            <w:pPr>
              <w:jc w:val="center"/>
            </w:pPr>
            <w:r>
              <w:t>Multiplier?</w:t>
            </w:r>
          </w:p>
        </w:tc>
        <w:tc>
          <w:tcPr>
            <w:tcW w:w="2497" w:type="dxa"/>
            <w:tcBorders>
              <w:top w:val="single" w:sz="4" w:space="0" w:color="auto"/>
              <w:left w:val="single" w:sz="4" w:space="0" w:color="auto"/>
              <w:bottom w:val="single" w:sz="4" w:space="0" w:color="auto"/>
              <w:right w:val="single" w:sz="4" w:space="0" w:color="auto"/>
            </w:tcBorders>
            <w:hideMark/>
          </w:tcPr>
          <w:p w:rsidR="00282BDF" w:rsidRDefault="00282BDF" w:rsidP="00282BDF">
            <w:pPr>
              <w:jc w:val="center"/>
            </w:pPr>
            <w:r>
              <w:t>Reason Change/Disallowance</w:t>
            </w:r>
          </w:p>
        </w:tc>
      </w:tr>
      <w:tr w:rsidR="00282BDF" w:rsidTr="00735E5B">
        <w:trPr>
          <w:trHeight w:val="872"/>
        </w:trPr>
        <w:tc>
          <w:tcPr>
            <w:tcW w:w="2363" w:type="dxa"/>
            <w:tcBorders>
              <w:top w:val="single" w:sz="4" w:space="0" w:color="auto"/>
              <w:left w:val="single" w:sz="4" w:space="0" w:color="auto"/>
              <w:bottom w:val="single" w:sz="4" w:space="0" w:color="auto"/>
              <w:right w:val="single" w:sz="4" w:space="0" w:color="auto"/>
            </w:tcBorders>
            <w:hideMark/>
          </w:tcPr>
          <w:p w:rsidR="00282BDF" w:rsidRPr="00B26932" w:rsidRDefault="00227644" w:rsidP="00282BDF">
            <w:pPr>
              <w:jc w:val="center"/>
              <w:rPr>
                <w:color w:val="000000"/>
              </w:rPr>
            </w:pPr>
            <w:r w:rsidRPr="00B26932">
              <w:rPr>
                <w:color w:val="000000"/>
              </w:rPr>
              <w:t>Consumer Federation of California Foundation</w:t>
            </w:r>
          </w:p>
          <w:p w:rsidR="00227644" w:rsidRDefault="00227644" w:rsidP="00282BDF">
            <w:pPr>
              <w:jc w:val="center"/>
            </w:pPr>
            <w:r w:rsidRPr="00770C19">
              <w:t>(</w:t>
            </w:r>
            <w:r w:rsidRPr="00770C19">
              <w:rPr>
                <w:color w:val="000000"/>
              </w:rPr>
              <w:t>CFC Foundation)</w:t>
            </w:r>
          </w:p>
        </w:tc>
        <w:tc>
          <w:tcPr>
            <w:tcW w:w="1687" w:type="dxa"/>
            <w:tcBorders>
              <w:top w:val="single" w:sz="4" w:space="0" w:color="auto"/>
              <w:left w:val="single" w:sz="4" w:space="0" w:color="auto"/>
              <w:bottom w:val="single" w:sz="4" w:space="0" w:color="auto"/>
              <w:right w:val="single" w:sz="4" w:space="0" w:color="auto"/>
            </w:tcBorders>
            <w:hideMark/>
          </w:tcPr>
          <w:p w:rsidR="00282BDF" w:rsidRDefault="00A00B0A" w:rsidP="00A00B0A">
            <w:pPr>
              <w:jc w:val="center"/>
            </w:pPr>
            <w:r>
              <w:rPr>
                <w:color w:val="000000"/>
              </w:rPr>
              <w:t>12/1/17</w:t>
            </w:r>
            <w:r w:rsidR="00735E5B">
              <w:rPr>
                <w:color w:val="000000"/>
              </w:rPr>
              <w:t xml:space="preserve"> and Amended on </w:t>
            </w:r>
            <w:r>
              <w:rPr>
                <w:color w:val="000000"/>
              </w:rPr>
              <w:t>3/5/18</w:t>
            </w:r>
          </w:p>
        </w:tc>
        <w:tc>
          <w:tcPr>
            <w:tcW w:w="1315" w:type="dxa"/>
            <w:tcBorders>
              <w:top w:val="single" w:sz="4" w:space="0" w:color="auto"/>
              <w:left w:val="single" w:sz="4" w:space="0" w:color="auto"/>
              <w:bottom w:val="single" w:sz="4" w:space="0" w:color="auto"/>
              <w:right w:val="single" w:sz="4" w:space="0" w:color="auto"/>
            </w:tcBorders>
            <w:hideMark/>
          </w:tcPr>
          <w:p w:rsidR="00282BDF" w:rsidRDefault="00735E5B" w:rsidP="00282BDF">
            <w:pPr>
              <w:jc w:val="center"/>
            </w:pPr>
            <w:r>
              <w:t>$</w:t>
            </w:r>
            <w:r w:rsidRPr="00735E5B">
              <w:rPr>
                <w:color w:val="000000"/>
              </w:rPr>
              <w:t>99,045.00</w:t>
            </w:r>
          </w:p>
        </w:tc>
        <w:tc>
          <w:tcPr>
            <w:tcW w:w="1752" w:type="dxa"/>
            <w:tcBorders>
              <w:top w:val="single" w:sz="4" w:space="0" w:color="auto"/>
              <w:left w:val="single" w:sz="4" w:space="0" w:color="auto"/>
              <w:bottom w:val="single" w:sz="4" w:space="0" w:color="auto"/>
              <w:right w:val="single" w:sz="4" w:space="0" w:color="auto"/>
            </w:tcBorders>
            <w:hideMark/>
          </w:tcPr>
          <w:p w:rsidR="00282BDF" w:rsidRDefault="00735E5B" w:rsidP="00282BDF">
            <w:pPr>
              <w:jc w:val="center"/>
            </w:pPr>
            <w:r w:rsidRPr="00320388">
              <w:t>$</w:t>
            </w:r>
            <w:r w:rsidR="00074A3B">
              <w:t>54</w:t>
            </w:r>
            <w:r w:rsidR="00E27777" w:rsidRPr="00E27777">
              <w:rPr>
                <w:color w:val="000000"/>
              </w:rPr>
              <w:t>,</w:t>
            </w:r>
            <w:r w:rsidR="00074A3B">
              <w:rPr>
                <w:color w:val="000000"/>
              </w:rPr>
              <w:t>085</w:t>
            </w:r>
            <w:r w:rsidR="00E27777" w:rsidRPr="00E27777">
              <w:rPr>
                <w:color w:val="000000"/>
              </w:rPr>
              <w:t>.00</w:t>
            </w:r>
          </w:p>
        </w:tc>
        <w:tc>
          <w:tcPr>
            <w:tcW w:w="1416" w:type="dxa"/>
            <w:tcBorders>
              <w:top w:val="single" w:sz="4" w:space="0" w:color="auto"/>
              <w:left w:val="single" w:sz="4" w:space="0" w:color="auto"/>
              <w:bottom w:val="single" w:sz="4" w:space="0" w:color="auto"/>
              <w:right w:val="single" w:sz="4" w:space="0" w:color="auto"/>
            </w:tcBorders>
            <w:hideMark/>
          </w:tcPr>
          <w:p w:rsidR="00282BDF" w:rsidRDefault="00282BDF" w:rsidP="00282BDF">
            <w:pPr>
              <w:jc w:val="center"/>
            </w:pPr>
            <w:r>
              <w:t>N/A</w:t>
            </w:r>
          </w:p>
        </w:tc>
        <w:tc>
          <w:tcPr>
            <w:tcW w:w="2497" w:type="dxa"/>
            <w:tcBorders>
              <w:top w:val="single" w:sz="4" w:space="0" w:color="auto"/>
              <w:left w:val="single" w:sz="4" w:space="0" w:color="auto"/>
              <w:bottom w:val="single" w:sz="4" w:space="0" w:color="auto"/>
              <w:right w:val="single" w:sz="4" w:space="0" w:color="auto"/>
            </w:tcBorders>
            <w:hideMark/>
          </w:tcPr>
          <w:p w:rsidR="00282BDF" w:rsidRDefault="00735E5B" w:rsidP="00282BDF">
            <w:pPr>
              <w:jc w:val="center"/>
            </w:pPr>
            <w:r>
              <w:rPr>
                <w:i/>
              </w:rPr>
              <w:t>See</w:t>
            </w:r>
            <w:r>
              <w:t xml:space="preserve"> CPUC Disallowances and Adjustments, above.</w:t>
            </w:r>
          </w:p>
        </w:tc>
      </w:tr>
    </w:tbl>
    <w:p w:rsidR="00282BDF" w:rsidRDefault="00282BDF" w:rsidP="00282BDF"/>
    <w:p w:rsidR="00282BDF" w:rsidRDefault="00282BDF" w:rsidP="00282BDF"/>
    <w:p w:rsidR="00282BDF" w:rsidRDefault="00282BDF" w:rsidP="00282BDF">
      <w:pPr>
        <w:jc w:val="center"/>
        <w:rPr>
          <w:sz w:val="28"/>
          <w:szCs w:val="28"/>
        </w:rPr>
      </w:pPr>
      <w:r>
        <w:rPr>
          <w:sz w:val="28"/>
          <w:szCs w:val="28"/>
        </w:rPr>
        <w:t>Advocate Information</w:t>
      </w:r>
    </w:p>
    <w:p w:rsidR="00282BDF" w:rsidRPr="00057413" w:rsidRDefault="00282BDF" w:rsidP="00282BDF"/>
    <w:tbl>
      <w:tblPr>
        <w:tblW w:w="1059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60"/>
        <w:gridCol w:w="1260"/>
        <w:gridCol w:w="1980"/>
        <w:gridCol w:w="1800"/>
        <w:gridCol w:w="1710"/>
        <w:gridCol w:w="1327"/>
      </w:tblGrid>
      <w:tr w:rsidR="00282BDF" w:rsidTr="00282BDF">
        <w:trPr>
          <w:trHeight w:val="288"/>
        </w:trPr>
        <w:tc>
          <w:tcPr>
            <w:tcW w:w="1260" w:type="dxa"/>
            <w:tcBorders>
              <w:top w:val="single" w:sz="4" w:space="0" w:color="auto"/>
              <w:left w:val="single" w:sz="4" w:space="0" w:color="auto"/>
              <w:bottom w:val="single" w:sz="4" w:space="0" w:color="auto"/>
              <w:right w:val="single" w:sz="4" w:space="0" w:color="auto"/>
            </w:tcBorders>
            <w:hideMark/>
          </w:tcPr>
          <w:p w:rsidR="00282BDF" w:rsidRDefault="00282BDF" w:rsidP="00282BDF">
            <w:pPr>
              <w:jc w:val="center"/>
              <w:rPr>
                <w:sz w:val="20"/>
              </w:rPr>
            </w:pPr>
            <w:r>
              <w:rPr>
                <w:sz w:val="20"/>
              </w:rPr>
              <w:t>First Name</w:t>
            </w:r>
          </w:p>
        </w:tc>
        <w:tc>
          <w:tcPr>
            <w:tcW w:w="1260" w:type="dxa"/>
            <w:tcBorders>
              <w:top w:val="single" w:sz="4" w:space="0" w:color="auto"/>
              <w:left w:val="single" w:sz="4" w:space="0" w:color="auto"/>
              <w:bottom w:val="single" w:sz="4" w:space="0" w:color="auto"/>
              <w:right w:val="single" w:sz="4" w:space="0" w:color="auto"/>
            </w:tcBorders>
            <w:hideMark/>
          </w:tcPr>
          <w:p w:rsidR="00282BDF" w:rsidRDefault="00282BDF" w:rsidP="00282BDF">
            <w:pPr>
              <w:jc w:val="center"/>
              <w:rPr>
                <w:sz w:val="20"/>
              </w:rPr>
            </w:pPr>
            <w:r>
              <w:rPr>
                <w:sz w:val="20"/>
              </w:rPr>
              <w:t>Last Name</w:t>
            </w:r>
          </w:p>
        </w:tc>
        <w:tc>
          <w:tcPr>
            <w:tcW w:w="1260" w:type="dxa"/>
            <w:tcBorders>
              <w:top w:val="single" w:sz="4" w:space="0" w:color="auto"/>
              <w:left w:val="single" w:sz="4" w:space="0" w:color="auto"/>
              <w:bottom w:val="single" w:sz="4" w:space="0" w:color="auto"/>
              <w:right w:val="single" w:sz="4" w:space="0" w:color="auto"/>
            </w:tcBorders>
            <w:hideMark/>
          </w:tcPr>
          <w:p w:rsidR="00282BDF" w:rsidRDefault="00282BDF" w:rsidP="00282BDF">
            <w:pPr>
              <w:jc w:val="center"/>
              <w:rPr>
                <w:sz w:val="20"/>
              </w:rPr>
            </w:pPr>
            <w:r>
              <w:rPr>
                <w:sz w:val="20"/>
              </w:rPr>
              <w:t>Type</w:t>
            </w:r>
          </w:p>
        </w:tc>
        <w:tc>
          <w:tcPr>
            <w:tcW w:w="1980" w:type="dxa"/>
            <w:tcBorders>
              <w:top w:val="single" w:sz="4" w:space="0" w:color="auto"/>
              <w:left w:val="single" w:sz="4" w:space="0" w:color="auto"/>
              <w:bottom w:val="single" w:sz="4" w:space="0" w:color="auto"/>
              <w:right w:val="single" w:sz="4" w:space="0" w:color="auto"/>
            </w:tcBorders>
            <w:hideMark/>
          </w:tcPr>
          <w:p w:rsidR="00282BDF" w:rsidRDefault="00282BDF" w:rsidP="00282BDF">
            <w:pPr>
              <w:jc w:val="center"/>
              <w:rPr>
                <w:sz w:val="20"/>
              </w:rPr>
            </w:pPr>
            <w:r>
              <w:rPr>
                <w:sz w:val="20"/>
              </w:rPr>
              <w:t>Intervenor</w:t>
            </w:r>
          </w:p>
        </w:tc>
        <w:tc>
          <w:tcPr>
            <w:tcW w:w="1800" w:type="dxa"/>
            <w:tcBorders>
              <w:top w:val="single" w:sz="4" w:space="0" w:color="auto"/>
              <w:left w:val="single" w:sz="4" w:space="0" w:color="auto"/>
              <w:bottom w:val="single" w:sz="4" w:space="0" w:color="auto"/>
              <w:right w:val="single" w:sz="4" w:space="0" w:color="auto"/>
            </w:tcBorders>
            <w:hideMark/>
          </w:tcPr>
          <w:p w:rsidR="00282BDF" w:rsidRDefault="00282BDF" w:rsidP="00282BDF">
            <w:pPr>
              <w:jc w:val="center"/>
              <w:rPr>
                <w:sz w:val="20"/>
              </w:rPr>
            </w:pPr>
            <w:r>
              <w:rPr>
                <w:sz w:val="20"/>
              </w:rPr>
              <w:t>Hourly Fee Requested</w:t>
            </w:r>
          </w:p>
        </w:tc>
        <w:tc>
          <w:tcPr>
            <w:tcW w:w="1710" w:type="dxa"/>
            <w:tcBorders>
              <w:top w:val="single" w:sz="4" w:space="0" w:color="auto"/>
              <w:left w:val="single" w:sz="4" w:space="0" w:color="auto"/>
              <w:bottom w:val="single" w:sz="4" w:space="0" w:color="auto"/>
              <w:right w:val="single" w:sz="4" w:space="0" w:color="auto"/>
            </w:tcBorders>
            <w:hideMark/>
          </w:tcPr>
          <w:p w:rsidR="00282BDF" w:rsidRDefault="00282BDF" w:rsidP="00282BDF">
            <w:pPr>
              <w:jc w:val="center"/>
              <w:rPr>
                <w:sz w:val="20"/>
              </w:rPr>
            </w:pPr>
            <w:r>
              <w:rPr>
                <w:sz w:val="20"/>
              </w:rPr>
              <w:t>Year Hourly Fee Requested</w:t>
            </w:r>
          </w:p>
        </w:tc>
        <w:tc>
          <w:tcPr>
            <w:tcW w:w="1327" w:type="dxa"/>
            <w:tcBorders>
              <w:top w:val="single" w:sz="4" w:space="0" w:color="auto"/>
              <w:left w:val="single" w:sz="4" w:space="0" w:color="auto"/>
              <w:bottom w:val="single" w:sz="4" w:space="0" w:color="auto"/>
              <w:right w:val="single" w:sz="4" w:space="0" w:color="auto"/>
            </w:tcBorders>
            <w:hideMark/>
          </w:tcPr>
          <w:p w:rsidR="00282BDF" w:rsidRDefault="00282BDF" w:rsidP="00282BDF">
            <w:pPr>
              <w:jc w:val="center"/>
              <w:rPr>
                <w:sz w:val="20"/>
              </w:rPr>
            </w:pPr>
            <w:r>
              <w:rPr>
                <w:sz w:val="20"/>
              </w:rPr>
              <w:t>Hourly Fee Adopted</w:t>
            </w:r>
          </w:p>
        </w:tc>
      </w:tr>
      <w:tr w:rsidR="00735E5B" w:rsidTr="00282BDF">
        <w:trPr>
          <w:trHeight w:val="288"/>
        </w:trPr>
        <w:tc>
          <w:tcPr>
            <w:tcW w:w="1260" w:type="dxa"/>
            <w:tcBorders>
              <w:top w:val="single" w:sz="4" w:space="0" w:color="auto"/>
              <w:left w:val="single" w:sz="4" w:space="0" w:color="auto"/>
              <w:bottom w:val="single" w:sz="4" w:space="0" w:color="auto"/>
              <w:right w:val="single" w:sz="4" w:space="0" w:color="auto"/>
            </w:tcBorders>
          </w:tcPr>
          <w:p w:rsidR="00735E5B" w:rsidRPr="00E763BC" w:rsidRDefault="00735E5B" w:rsidP="00E61FBF">
            <w:pPr>
              <w:jc w:val="center"/>
            </w:pPr>
            <w:r w:rsidRPr="001E3ECB">
              <w:rPr>
                <w:color w:val="000000"/>
              </w:rPr>
              <w:t xml:space="preserve">Nicole </w:t>
            </w:r>
          </w:p>
        </w:tc>
        <w:tc>
          <w:tcPr>
            <w:tcW w:w="1260" w:type="dxa"/>
            <w:tcBorders>
              <w:top w:val="single" w:sz="4" w:space="0" w:color="auto"/>
              <w:left w:val="single" w:sz="4" w:space="0" w:color="auto"/>
              <w:bottom w:val="single" w:sz="4" w:space="0" w:color="auto"/>
              <w:right w:val="single" w:sz="4" w:space="0" w:color="auto"/>
            </w:tcBorders>
          </w:tcPr>
          <w:p w:rsidR="00735E5B" w:rsidRPr="00E763BC" w:rsidRDefault="00735E5B" w:rsidP="00E61FBF">
            <w:pPr>
              <w:jc w:val="center"/>
            </w:pPr>
            <w:r w:rsidRPr="001E3ECB">
              <w:rPr>
                <w:color w:val="000000"/>
              </w:rPr>
              <w:t>Johnson</w:t>
            </w:r>
          </w:p>
        </w:tc>
        <w:tc>
          <w:tcPr>
            <w:tcW w:w="1260" w:type="dxa"/>
            <w:tcBorders>
              <w:top w:val="single" w:sz="4" w:space="0" w:color="auto"/>
              <w:left w:val="single" w:sz="4" w:space="0" w:color="auto"/>
              <w:bottom w:val="single" w:sz="4" w:space="0" w:color="auto"/>
              <w:right w:val="single" w:sz="4" w:space="0" w:color="auto"/>
            </w:tcBorders>
          </w:tcPr>
          <w:p w:rsidR="00735E5B" w:rsidRPr="00DA42C0" w:rsidRDefault="00735E5B" w:rsidP="00E61FBF">
            <w:pPr>
              <w:jc w:val="center"/>
              <w:rPr>
                <w:szCs w:val="26"/>
              </w:rPr>
            </w:pPr>
            <w:r>
              <w:rPr>
                <w:szCs w:val="26"/>
              </w:rPr>
              <w:t>Attorney</w:t>
            </w:r>
          </w:p>
        </w:tc>
        <w:tc>
          <w:tcPr>
            <w:tcW w:w="1980" w:type="dxa"/>
            <w:tcBorders>
              <w:top w:val="single" w:sz="4" w:space="0" w:color="auto"/>
              <w:left w:val="single" w:sz="4" w:space="0" w:color="auto"/>
              <w:bottom w:val="single" w:sz="4" w:space="0" w:color="auto"/>
              <w:right w:val="single" w:sz="4" w:space="0" w:color="auto"/>
            </w:tcBorders>
          </w:tcPr>
          <w:p w:rsidR="00735E5B" w:rsidRPr="00E763BC" w:rsidRDefault="00227644" w:rsidP="00E61FBF">
            <w:pPr>
              <w:jc w:val="center"/>
            </w:pPr>
            <w:r w:rsidRPr="00325E92">
              <w:rPr>
                <w:color w:val="000000"/>
              </w:rPr>
              <w:t>CFC Foundation</w:t>
            </w:r>
          </w:p>
        </w:tc>
        <w:tc>
          <w:tcPr>
            <w:tcW w:w="1800" w:type="dxa"/>
            <w:tcBorders>
              <w:top w:val="single" w:sz="4" w:space="0" w:color="auto"/>
              <w:left w:val="single" w:sz="4" w:space="0" w:color="auto"/>
              <w:bottom w:val="single" w:sz="4" w:space="0" w:color="auto"/>
              <w:right w:val="single" w:sz="4" w:space="0" w:color="auto"/>
            </w:tcBorders>
          </w:tcPr>
          <w:p w:rsidR="00735E5B" w:rsidRPr="00E763BC" w:rsidRDefault="00735E5B" w:rsidP="00E61FBF">
            <w:pPr>
              <w:jc w:val="center"/>
            </w:pPr>
            <w:r>
              <w:rPr>
                <w:color w:val="000000"/>
              </w:rPr>
              <w:t>$300</w:t>
            </w:r>
          </w:p>
        </w:tc>
        <w:tc>
          <w:tcPr>
            <w:tcW w:w="1710" w:type="dxa"/>
            <w:tcBorders>
              <w:top w:val="single" w:sz="4" w:space="0" w:color="auto"/>
              <w:left w:val="single" w:sz="4" w:space="0" w:color="auto"/>
              <w:bottom w:val="single" w:sz="4" w:space="0" w:color="auto"/>
              <w:right w:val="single" w:sz="4" w:space="0" w:color="auto"/>
            </w:tcBorders>
          </w:tcPr>
          <w:p w:rsidR="00735E5B" w:rsidRPr="00E763BC" w:rsidRDefault="00735E5B" w:rsidP="00E61FBF">
            <w:pPr>
              <w:jc w:val="center"/>
            </w:pPr>
            <w:r>
              <w:t>2015</w:t>
            </w:r>
          </w:p>
        </w:tc>
        <w:tc>
          <w:tcPr>
            <w:tcW w:w="1327" w:type="dxa"/>
            <w:tcBorders>
              <w:top w:val="single" w:sz="4" w:space="0" w:color="auto"/>
              <w:left w:val="single" w:sz="4" w:space="0" w:color="auto"/>
              <w:bottom w:val="single" w:sz="4" w:space="0" w:color="auto"/>
              <w:right w:val="single" w:sz="4" w:space="0" w:color="auto"/>
            </w:tcBorders>
          </w:tcPr>
          <w:p w:rsidR="00735E5B" w:rsidRPr="00E763BC" w:rsidRDefault="00735E5B" w:rsidP="00E61FBF">
            <w:pPr>
              <w:jc w:val="center"/>
            </w:pPr>
            <w:r>
              <w:rPr>
                <w:color w:val="000000"/>
              </w:rPr>
              <w:t>$300</w:t>
            </w:r>
          </w:p>
        </w:tc>
      </w:tr>
      <w:tr w:rsidR="00735E5B" w:rsidTr="00282BDF">
        <w:trPr>
          <w:trHeight w:val="288"/>
        </w:trPr>
        <w:tc>
          <w:tcPr>
            <w:tcW w:w="1260" w:type="dxa"/>
            <w:tcBorders>
              <w:top w:val="single" w:sz="4" w:space="0" w:color="auto"/>
              <w:left w:val="single" w:sz="4" w:space="0" w:color="auto"/>
              <w:bottom w:val="single" w:sz="4" w:space="0" w:color="auto"/>
              <w:right w:val="single" w:sz="4" w:space="0" w:color="auto"/>
            </w:tcBorders>
          </w:tcPr>
          <w:p w:rsidR="00735E5B" w:rsidRDefault="00735E5B" w:rsidP="00E61FBF">
            <w:pPr>
              <w:jc w:val="center"/>
            </w:pPr>
            <w:r w:rsidRPr="001E3ECB">
              <w:rPr>
                <w:color w:val="000000"/>
              </w:rPr>
              <w:t xml:space="preserve">Nicole </w:t>
            </w:r>
          </w:p>
        </w:tc>
        <w:tc>
          <w:tcPr>
            <w:tcW w:w="1260" w:type="dxa"/>
            <w:tcBorders>
              <w:top w:val="single" w:sz="4" w:space="0" w:color="auto"/>
              <w:left w:val="single" w:sz="4" w:space="0" w:color="auto"/>
              <w:bottom w:val="single" w:sz="4" w:space="0" w:color="auto"/>
              <w:right w:val="single" w:sz="4" w:space="0" w:color="auto"/>
            </w:tcBorders>
          </w:tcPr>
          <w:p w:rsidR="00735E5B" w:rsidRDefault="00735E5B" w:rsidP="00E61FBF">
            <w:pPr>
              <w:jc w:val="center"/>
            </w:pPr>
            <w:r w:rsidRPr="001E3ECB">
              <w:rPr>
                <w:color w:val="000000"/>
              </w:rPr>
              <w:t>Johnson</w:t>
            </w:r>
          </w:p>
        </w:tc>
        <w:tc>
          <w:tcPr>
            <w:tcW w:w="1260" w:type="dxa"/>
            <w:tcBorders>
              <w:top w:val="single" w:sz="4" w:space="0" w:color="auto"/>
              <w:left w:val="single" w:sz="4" w:space="0" w:color="auto"/>
              <w:bottom w:val="single" w:sz="4" w:space="0" w:color="auto"/>
              <w:right w:val="single" w:sz="4" w:space="0" w:color="auto"/>
            </w:tcBorders>
          </w:tcPr>
          <w:p w:rsidR="00735E5B" w:rsidRDefault="00735E5B" w:rsidP="00E61FBF">
            <w:pPr>
              <w:jc w:val="center"/>
              <w:rPr>
                <w:szCs w:val="26"/>
              </w:rPr>
            </w:pPr>
            <w:r>
              <w:rPr>
                <w:szCs w:val="26"/>
              </w:rPr>
              <w:t>Attorney</w:t>
            </w:r>
          </w:p>
        </w:tc>
        <w:tc>
          <w:tcPr>
            <w:tcW w:w="1980" w:type="dxa"/>
            <w:tcBorders>
              <w:top w:val="single" w:sz="4" w:space="0" w:color="auto"/>
              <w:left w:val="single" w:sz="4" w:space="0" w:color="auto"/>
              <w:bottom w:val="single" w:sz="4" w:space="0" w:color="auto"/>
              <w:right w:val="single" w:sz="4" w:space="0" w:color="auto"/>
            </w:tcBorders>
          </w:tcPr>
          <w:p w:rsidR="00735E5B" w:rsidRDefault="00227644" w:rsidP="00E61FBF">
            <w:pPr>
              <w:jc w:val="center"/>
            </w:pPr>
            <w:r w:rsidRPr="00325E92">
              <w:rPr>
                <w:color w:val="000000"/>
              </w:rPr>
              <w:t>CFC Foundation</w:t>
            </w:r>
          </w:p>
        </w:tc>
        <w:tc>
          <w:tcPr>
            <w:tcW w:w="1800" w:type="dxa"/>
            <w:tcBorders>
              <w:top w:val="single" w:sz="4" w:space="0" w:color="auto"/>
              <w:left w:val="single" w:sz="4" w:space="0" w:color="auto"/>
              <w:bottom w:val="single" w:sz="4" w:space="0" w:color="auto"/>
              <w:right w:val="single" w:sz="4" w:space="0" w:color="auto"/>
            </w:tcBorders>
          </w:tcPr>
          <w:p w:rsidR="00735E5B" w:rsidRDefault="00735E5B" w:rsidP="00E61FBF">
            <w:pPr>
              <w:jc w:val="center"/>
            </w:pPr>
            <w:r>
              <w:rPr>
                <w:color w:val="000000"/>
              </w:rPr>
              <w:t>$305</w:t>
            </w:r>
          </w:p>
        </w:tc>
        <w:tc>
          <w:tcPr>
            <w:tcW w:w="1710" w:type="dxa"/>
            <w:tcBorders>
              <w:top w:val="single" w:sz="4" w:space="0" w:color="auto"/>
              <w:left w:val="single" w:sz="4" w:space="0" w:color="auto"/>
              <w:bottom w:val="single" w:sz="4" w:space="0" w:color="auto"/>
              <w:right w:val="single" w:sz="4" w:space="0" w:color="auto"/>
            </w:tcBorders>
          </w:tcPr>
          <w:p w:rsidR="00735E5B" w:rsidRDefault="00735E5B" w:rsidP="00E61FBF">
            <w:pPr>
              <w:jc w:val="center"/>
            </w:pPr>
            <w:r>
              <w:t>2016</w:t>
            </w:r>
          </w:p>
        </w:tc>
        <w:tc>
          <w:tcPr>
            <w:tcW w:w="1327" w:type="dxa"/>
            <w:tcBorders>
              <w:top w:val="single" w:sz="4" w:space="0" w:color="auto"/>
              <w:left w:val="single" w:sz="4" w:space="0" w:color="auto"/>
              <w:bottom w:val="single" w:sz="4" w:space="0" w:color="auto"/>
              <w:right w:val="single" w:sz="4" w:space="0" w:color="auto"/>
            </w:tcBorders>
          </w:tcPr>
          <w:p w:rsidR="00735E5B" w:rsidRDefault="00735E5B" w:rsidP="00E61FBF">
            <w:pPr>
              <w:jc w:val="center"/>
            </w:pPr>
            <w:r>
              <w:rPr>
                <w:color w:val="000000"/>
              </w:rPr>
              <w:t>$305</w:t>
            </w:r>
          </w:p>
        </w:tc>
      </w:tr>
      <w:tr w:rsidR="00735E5B" w:rsidTr="00282BDF">
        <w:trPr>
          <w:trHeight w:val="288"/>
        </w:trPr>
        <w:tc>
          <w:tcPr>
            <w:tcW w:w="1260" w:type="dxa"/>
            <w:tcBorders>
              <w:top w:val="single" w:sz="4" w:space="0" w:color="auto"/>
              <w:left w:val="single" w:sz="4" w:space="0" w:color="auto"/>
              <w:bottom w:val="single" w:sz="4" w:space="0" w:color="auto"/>
              <w:right w:val="single" w:sz="4" w:space="0" w:color="auto"/>
            </w:tcBorders>
          </w:tcPr>
          <w:p w:rsidR="00735E5B" w:rsidRDefault="00735E5B" w:rsidP="00E61FBF">
            <w:pPr>
              <w:jc w:val="center"/>
            </w:pPr>
            <w:r w:rsidRPr="001E3ECB">
              <w:rPr>
                <w:color w:val="000000"/>
              </w:rPr>
              <w:t xml:space="preserve">Nicole </w:t>
            </w:r>
          </w:p>
        </w:tc>
        <w:tc>
          <w:tcPr>
            <w:tcW w:w="1260" w:type="dxa"/>
            <w:tcBorders>
              <w:top w:val="single" w:sz="4" w:space="0" w:color="auto"/>
              <w:left w:val="single" w:sz="4" w:space="0" w:color="auto"/>
              <w:bottom w:val="single" w:sz="4" w:space="0" w:color="auto"/>
              <w:right w:val="single" w:sz="4" w:space="0" w:color="auto"/>
            </w:tcBorders>
          </w:tcPr>
          <w:p w:rsidR="00735E5B" w:rsidRDefault="00735E5B" w:rsidP="00E61FBF">
            <w:pPr>
              <w:jc w:val="center"/>
            </w:pPr>
            <w:r w:rsidRPr="001E3ECB">
              <w:rPr>
                <w:color w:val="000000"/>
              </w:rPr>
              <w:t>Johnson</w:t>
            </w:r>
          </w:p>
        </w:tc>
        <w:tc>
          <w:tcPr>
            <w:tcW w:w="1260" w:type="dxa"/>
            <w:tcBorders>
              <w:top w:val="single" w:sz="4" w:space="0" w:color="auto"/>
              <w:left w:val="single" w:sz="4" w:space="0" w:color="auto"/>
              <w:bottom w:val="single" w:sz="4" w:space="0" w:color="auto"/>
              <w:right w:val="single" w:sz="4" w:space="0" w:color="auto"/>
            </w:tcBorders>
          </w:tcPr>
          <w:p w:rsidR="00735E5B" w:rsidRDefault="00735E5B" w:rsidP="00E61FBF">
            <w:pPr>
              <w:jc w:val="center"/>
              <w:rPr>
                <w:szCs w:val="26"/>
              </w:rPr>
            </w:pPr>
            <w:r>
              <w:rPr>
                <w:szCs w:val="26"/>
              </w:rPr>
              <w:t>Attorney</w:t>
            </w:r>
          </w:p>
        </w:tc>
        <w:tc>
          <w:tcPr>
            <w:tcW w:w="1980" w:type="dxa"/>
            <w:tcBorders>
              <w:top w:val="single" w:sz="4" w:space="0" w:color="auto"/>
              <w:left w:val="single" w:sz="4" w:space="0" w:color="auto"/>
              <w:bottom w:val="single" w:sz="4" w:space="0" w:color="auto"/>
              <w:right w:val="single" w:sz="4" w:space="0" w:color="auto"/>
            </w:tcBorders>
          </w:tcPr>
          <w:p w:rsidR="00735E5B" w:rsidRDefault="00227644" w:rsidP="00E61FBF">
            <w:pPr>
              <w:jc w:val="center"/>
            </w:pPr>
            <w:r w:rsidRPr="00325E92">
              <w:rPr>
                <w:color w:val="000000"/>
              </w:rPr>
              <w:t>CFC Foundation</w:t>
            </w:r>
          </w:p>
        </w:tc>
        <w:tc>
          <w:tcPr>
            <w:tcW w:w="1800" w:type="dxa"/>
            <w:tcBorders>
              <w:top w:val="single" w:sz="4" w:space="0" w:color="auto"/>
              <w:left w:val="single" w:sz="4" w:space="0" w:color="auto"/>
              <w:bottom w:val="single" w:sz="4" w:space="0" w:color="auto"/>
              <w:right w:val="single" w:sz="4" w:space="0" w:color="auto"/>
            </w:tcBorders>
          </w:tcPr>
          <w:p w:rsidR="00735E5B" w:rsidRDefault="00735E5B" w:rsidP="00E61FBF">
            <w:pPr>
              <w:jc w:val="center"/>
            </w:pPr>
            <w:r>
              <w:rPr>
                <w:color w:val="000000"/>
              </w:rPr>
              <w:t>$310</w:t>
            </w:r>
          </w:p>
        </w:tc>
        <w:tc>
          <w:tcPr>
            <w:tcW w:w="1710" w:type="dxa"/>
            <w:tcBorders>
              <w:top w:val="single" w:sz="4" w:space="0" w:color="auto"/>
              <w:left w:val="single" w:sz="4" w:space="0" w:color="auto"/>
              <w:bottom w:val="single" w:sz="4" w:space="0" w:color="auto"/>
              <w:right w:val="single" w:sz="4" w:space="0" w:color="auto"/>
            </w:tcBorders>
          </w:tcPr>
          <w:p w:rsidR="00735E5B" w:rsidRDefault="00735E5B" w:rsidP="00E61FBF">
            <w:pPr>
              <w:jc w:val="center"/>
            </w:pPr>
            <w:r>
              <w:t>2017</w:t>
            </w:r>
          </w:p>
        </w:tc>
        <w:tc>
          <w:tcPr>
            <w:tcW w:w="1327" w:type="dxa"/>
            <w:tcBorders>
              <w:top w:val="single" w:sz="4" w:space="0" w:color="auto"/>
              <w:left w:val="single" w:sz="4" w:space="0" w:color="auto"/>
              <w:bottom w:val="single" w:sz="4" w:space="0" w:color="auto"/>
              <w:right w:val="single" w:sz="4" w:space="0" w:color="auto"/>
            </w:tcBorders>
          </w:tcPr>
          <w:p w:rsidR="00735E5B" w:rsidRDefault="00735E5B" w:rsidP="00E61FBF">
            <w:pPr>
              <w:jc w:val="center"/>
            </w:pPr>
            <w:r>
              <w:rPr>
                <w:color w:val="000000"/>
              </w:rPr>
              <w:t>$310</w:t>
            </w:r>
          </w:p>
        </w:tc>
      </w:tr>
      <w:tr w:rsidR="00735E5B" w:rsidTr="00282BDF">
        <w:trPr>
          <w:trHeight w:val="288"/>
        </w:trPr>
        <w:tc>
          <w:tcPr>
            <w:tcW w:w="1260" w:type="dxa"/>
            <w:tcBorders>
              <w:top w:val="single" w:sz="4" w:space="0" w:color="auto"/>
              <w:left w:val="single" w:sz="4" w:space="0" w:color="auto"/>
              <w:bottom w:val="single" w:sz="4" w:space="0" w:color="auto"/>
              <w:right w:val="single" w:sz="4" w:space="0" w:color="auto"/>
            </w:tcBorders>
          </w:tcPr>
          <w:p w:rsidR="00735E5B" w:rsidRDefault="00735E5B" w:rsidP="00E61FBF">
            <w:pPr>
              <w:jc w:val="center"/>
            </w:pPr>
            <w:r>
              <w:rPr>
                <w:color w:val="000000"/>
              </w:rPr>
              <w:t xml:space="preserve">Tony </w:t>
            </w:r>
          </w:p>
        </w:tc>
        <w:tc>
          <w:tcPr>
            <w:tcW w:w="1260" w:type="dxa"/>
            <w:tcBorders>
              <w:top w:val="single" w:sz="4" w:space="0" w:color="auto"/>
              <w:left w:val="single" w:sz="4" w:space="0" w:color="auto"/>
              <w:bottom w:val="single" w:sz="4" w:space="0" w:color="auto"/>
              <w:right w:val="single" w:sz="4" w:space="0" w:color="auto"/>
            </w:tcBorders>
          </w:tcPr>
          <w:p w:rsidR="00735E5B" w:rsidRDefault="00735E5B" w:rsidP="00E61FBF">
            <w:pPr>
              <w:jc w:val="center"/>
            </w:pPr>
            <w:r>
              <w:rPr>
                <w:color w:val="000000"/>
              </w:rPr>
              <w:t>Roberts</w:t>
            </w:r>
          </w:p>
        </w:tc>
        <w:tc>
          <w:tcPr>
            <w:tcW w:w="1260" w:type="dxa"/>
            <w:tcBorders>
              <w:top w:val="single" w:sz="4" w:space="0" w:color="auto"/>
              <w:left w:val="single" w:sz="4" w:space="0" w:color="auto"/>
              <w:bottom w:val="single" w:sz="4" w:space="0" w:color="auto"/>
              <w:right w:val="single" w:sz="4" w:space="0" w:color="auto"/>
            </w:tcBorders>
          </w:tcPr>
          <w:p w:rsidR="00735E5B" w:rsidRDefault="00735E5B" w:rsidP="00E61FBF">
            <w:pPr>
              <w:jc w:val="center"/>
              <w:rPr>
                <w:szCs w:val="26"/>
              </w:rPr>
            </w:pPr>
            <w:r>
              <w:rPr>
                <w:szCs w:val="26"/>
              </w:rPr>
              <w:t>Expert</w:t>
            </w:r>
          </w:p>
        </w:tc>
        <w:tc>
          <w:tcPr>
            <w:tcW w:w="1980" w:type="dxa"/>
            <w:tcBorders>
              <w:top w:val="single" w:sz="4" w:space="0" w:color="auto"/>
              <w:left w:val="single" w:sz="4" w:space="0" w:color="auto"/>
              <w:bottom w:val="single" w:sz="4" w:space="0" w:color="auto"/>
              <w:right w:val="single" w:sz="4" w:space="0" w:color="auto"/>
            </w:tcBorders>
          </w:tcPr>
          <w:p w:rsidR="00735E5B" w:rsidRDefault="00227644" w:rsidP="00E61FBF">
            <w:pPr>
              <w:jc w:val="center"/>
            </w:pPr>
            <w:r w:rsidRPr="00325E92">
              <w:rPr>
                <w:color w:val="000000"/>
              </w:rPr>
              <w:t>CFC Foundation</w:t>
            </w:r>
            <w:r w:rsidDel="00227644">
              <w:t xml:space="preserve"> </w:t>
            </w:r>
          </w:p>
        </w:tc>
        <w:tc>
          <w:tcPr>
            <w:tcW w:w="1800" w:type="dxa"/>
            <w:tcBorders>
              <w:top w:val="single" w:sz="4" w:space="0" w:color="auto"/>
              <w:left w:val="single" w:sz="4" w:space="0" w:color="auto"/>
              <w:bottom w:val="single" w:sz="4" w:space="0" w:color="auto"/>
              <w:right w:val="single" w:sz="4" w:space="0" w:color="auto"/>
            </w:tcBorders>
          </w:tcPr>
          <w:p w:rsidR="00735E5B" w:rsidRDefault="00735E5B" w:rsidP="00E61FBF">
            <w:pPr>
              <w:jc w:val="center"/>
            </w:pPr>
            <w:r>
              <w:rPr>
                <w:color w:val="000000"/>
              </w:rPr>
              <w:t>$275</w:t>
            </w:r>
          </w:p>
        </w:tc>
        <w:tc>
          <w:tcPr>
            <w:tcW w:w="1710" w:type="dxa"/>
            <w:tcBorders>
              <w:top w:val="single" w:sz="4" w:space="0" w:color="auto"/>
              <w:left w:val="single" w:sz="4" w:space="0" w:color="auto"/>
              <w:bottom w:val="single" w:sz="4" w:space="0" w:color="auto"/>
              <w:right w:val="single" w:sz="4" w:space="0" w:color="auto"/>
            </w:tcBorders>
          </w:tcPr>
          <w:p w:rsidR="00735E5B" w:rsidRDefault="00735E5B" w:rsidP="00E61FBF">
            <w:pPr>
              <w:jc w:val="center"/>
            </w:pPr>
            <w:r>
              <w:t>2017</w:t>
            </w:r>
          </w:p>
        </w:tc>
        <w:tc>
          <w:tcPr>
            <w:tcW w:w="1327" w:type="dxa"/>
            <w:tcBorders>
              <w:top w:val="single" w:sz="4" w:space="0" w:color="auto"/>
              <w:left w:val="single" w:sz="4" w:space="0" w:color="auto"/>
              <w:bottom w:val="single" w:sz="4" w:space="0" w:color="auto"/>
              <w:right w:val="single" w:sz="4" w:space="0" w:color="auto"/>
            </w:tcBorders>
          </w:tcPr>
          <w:p w:rsidR="00735E5B" w:rsidRDefault="00735E5B" w:rsidP="00E27777">
            <w:pPr>
              <w:jc w:val="center"/>
            </w:pPr>
            <w:r>
              <w:rPr>
                <w:color w:val="000000"/>
              </w:rPr>
              <w:t>$</w:t>
            </w:r>
            <w:r w:rsidR="00A00B0A">
              <w:rPr>
                <w:color w:val="000000"/>
              </w:rPr>
              <w:t>2</w:t>
            </w:r>
            <w:r w:rsidR="00E27777">
              <w:rPr>
                <w:color w:val="000000"/>
              </w:rPr>
              <w:t>40</w:t>
            </w:r>
          </w:p>
        </w:tc>
      </w:tr>
    </w:tbl>
    <w:p w:rsidR="00282BDF" w:rsidRDefault="00282BDF" w:rsidP="00282BDF">
      <w:pPr>
        <w:spacing w:line="360" w:lineRule="auto"/>
        <w:rPr>
          <w:b/>
        </w:rPr>
      </w:pPr>
    </w:p>
    <w:p w:rsidR="001012C5" w:rsidRDefault="001012C5" w:rsidP="00282BDF">
      <w:pPr>
        <w:spacing w:line="360" w:lineRule="auto"/>
        <w:rPr>
          <w:b/>
        </w:rPr>
      </w:pPr>
    </w:p>
    <w:p w:rsidR="00072C81" w:rsidRPr="007F620E" w:rsidRDefault="00282BDF" w:rsidP="001012C5">
      <w:pPr>
        <w:jc w:val="center"/>
      </w:pPr>
      <w:r>
        <w:rPr>
          <w:rFonts w:ascii="Helvetica" w:hAnsi="Helvetica"/>
          <w:b/>
        </w:rPr>
        <w:t xml:space="preserve">(END OF </w:t>
      </w:r>
      <w:r>
        <w:rPr>
          <w:rFonts w:ascii="Helvetica" w:hAnsi="Helvetica"/>
          <w:b/>
          <w:szCs w:val="26"/>
        </w:rPr>
        <w:t>APPENDIX</w:t>
      </w:r>
      <w:r>
        <w:rPr>
          <w:rFonts w:ascii="Helvetica" w:hAnsi="Helvetica"/>
          <w:b/>
        </w:rPr>
        <w:t>)</w:t>
      </w:r>
    </w:p>
    <w:sectPr w:rsidR="00072C81" w:rsidRPr="007F620E" w:rsidSect="000D60D4">
      <w:headerReference w:type="first" r:id="rId16"/>
      <w:footerReference w:type="first" r:id="rId17"/>
      <w:pgSz w:w="12240" w:h="15840" w:code="1"/>
      <w:pgMar w:top="1440" w:right="1800" w:bottom="1440" w:left="180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603" w:rsidRDefault="00D67603" w:rsidP="00885956">
      <w:r>
        <w:separator/>
      </w:r>
    </w:p>
  </w:endnote>
  <w:endnote w:type="continuationSeparator" w:id="0">
    <w:p w:rsidR="00D67603" w:rsidRDefault="00D67603"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A48" w:rsidRPr="000D60D4" w:rsidRDefault="00893A48" w:rsidP="000D60D4">
    <w:pPr>
      <w:pStyle w:val="Footer"/>
      <w:rPr>
        <w:rFonts w:ascii="Palatino" w:hAnsi="Palatino"/>
        <w:sz w:val="26"/>
        <w:szCs w:val="20"/>
      </w:rPr>
    </w:pPr>
    <w:r>
      <w:tab/>
    </w:r>
    <w:r w:rsidRPr="000D60D4">
      <w:rPr>
        <w:rFonts w:ascii="Palatino" w:hAnsi="Palatino"/>
        <w:sz w:val="26"/>
        <w:szCs w:val="20"/>
      </w:rPr>
      <w:fldChar w:fldCharType="begin"/>
    </w:r>
    <w:r w:rsidRPr="000D60D4">
      <w:rPr>
        <w:rFonts w:ascii="Palatino" w:hAnsi="Palatino"/>
        <w:sz w:val="26"/>
        <w:szCs w:val="20"/>
      </w:rPr>
      <w:instrText xml:space="preserve"> PAGE </w:instrText>
    </w:r>
    <w:r w:rsidRPr="000D60D4">
      <w:rPr>
        <w:rFonts w:ascii="Palatino" w:hAnsi="Palatino"/>
        <w:sz w:val="26"/>
        <w:szCs w:val="20"/>
      </w:rPr>
      <w:fldChar w:fldCharType="separate"/>
    </w:r>
    <w:r w:rsidR="00026AC6">
      <w:rPr>
        <w:rFonts w:ascii="Palatino" w:hAnsi="Palatino"/>
        <w:noProof/>
        <w:sz w:val="26"/>
        <w:szCs w:val="20"/>
      </w:rPr>
      <w:t>- 20 -</w:t>
    </w:r>
    <w:r w:rsidRPr="000D60D4">
      <w:rPr>
        <w:rFonts w:ascii="Palatino" w:hAnsi="Palatino"/>
        <w:sz w:val="26"/>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A48" w:rsidRPr="000D60D4" w:rsidRDefault="00555D22" w:rsidP="000D60D4">
    <w:pPr>
      <w:pStyle w:val="Footer"/>
      <w:tabs>
        <w:tab w:val="clear" w:pos="9360"/>
        <w:tab w:val="right" w:pos="8640"/>
      </w:tabs>
      <w:rPr>
        <w:rStyle w:val="PageNumber"/>
        <w:rFonts w:ascii="Palatino" w:hAnsi="Palatino"/>
        <w:sz w:val="26"/>
        <w:szCs w:val="20"/>
      </w:rPr>
    </w:pPr>
    <w:r>
      <w:rPr>
        <w:rFonts w:ascii="Tahoma" w:hAnsi="Tahoma" w:cs="Tahoma"/>
        <w:sz w:val="17"/>
        <w:szCs w:val="17"/>
      </w:rPr>
      <w:t>231086632</w:t>
    </w:r>
    <w:r w:rsidR="00893A48">
      <w:tab/>
    </w:r>
    <w:r w:rsidR="00893A48" w:rsidRPr="000D60D4">
      <w:rPr>
        <w:rFonts w:ascii="Palatino" w:hAnsi="Palatino"/>
        <w:sz w:val="26"/>
        <w:szCs w:val="20"/>
      </w:rPr>
      <w:fldChar w:fldCharType="begin"/>
    </w:r>
    <w:r w:rsidR="00893A48" w:rsidRPr="000D60D4">
      <w:rPr>
        <w:rFonts w:ascii="Palatino" w:hAnsi="Palatino"/>
        <w:sz w:val="26"/>
        <w:szCs w:val="20"/>
      </w:rPr>
      <w:instrText xml:space="preserve"> PAGE </w:instrText>
    </w:r>
    <w:r w:rsidR="00893A48" w:rsidRPr="000D60D4">
      <w:rPr>
        <w:rFonts w:ascii="Palatino" w:hAnsi="Palatino"/>
        <w:sz w:val="26"/>
        <w:szCs w:val="20"/>
      </w:rPr>
      <w:fldChar w:fldCharType="separate"/>
    </w:r>
    <w:r w:rsidR="00026AC6">
      <w:rPr>
        <w:rFonts w:ascii="Palatino" w:hAnsi="Palatino"/>
        <w:noProof/>
        <w:sz w:val="26"/>
        <w:szCs w:val="20"/>
      </w:rPr>
      <w:t>- 1 -</w:t>
    </w:r>
    <w:r w:rsidR="00893A48" w:rsidRPr="000D60D4">
      <w:rPr>
        <w:rFonts w:ascii="Palatino" w:hAnsi="Palatino"/>
        <w:sz w:val="26"/>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A48" w:rsidRPr="000D60D4" w:rsidRDefault="00893A48" w:rsidP="000D60D4">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603" w:rsidRDefault="00D67603" w:rsidP="00885956">
      <w:r>
        <w:separator/>
      </w:r>
    </w:p>
  </w:footnote>
  <w:footnote w:type="continuationSeparator" w:id="0">
    <w:p w:rsidR="00D67603" w:rsidRDefault="00D67603" w:rsidP="00885956">
      <w:r>
        <w:continuationSeparator/>
      </w:r>
    </w:p>
  </w:footnote>
  <w:footnote w:id="1">
    <w:p w:rsidR="00893A48" w:rsidRDefault="00893A48">
      <w:pPr>
        <w:pStyle w:val="FootnoteText"/>
      </w:pPr>
      <w:r>
        <w:rPr>
          <w:rStyle w:val="FootnoteReference"/>
        </w:rPr>
        <w:footnoteRef/>
      </w:r>
      <w:r>
        <w:t xml:space="preserve"> </w:t>
      </w:r>
      <w:r>
        <w:rPr>
          <w:color w:val="000000"/>
        </w:rPr>
        <w:t>On March 27, 2018, Consumer Federation of California filed a notice of name change</w:t>
      </w:r>
      <w:r w:rsidRPr="00227644">
        <w:rPr>
          <w:color w:val="000000"/>
        </w:rPr>
        <w:t xml:space="preserve"> from </w:t>
      </w:r>
      <w:r>
        <w:rPr>
          <w:color w:val="000000"/>
        </w:rPr>
        <w:t>C</w:t>
      </w:r>
      <w:r w:rsidRPr="00227644">
        <w:rPr>
          <w:color w:val="000000"/>
        </w:rPr>
        <w:t xml:space="preserve">onsumer </w:t>
      </w:r>
      <w:r>
        <w:rPr>
          <w:color w:val="000000"/>
        </w:rPr>
        <w:t>F</w:t>
      </w:r>
      <w:r w:rsidRPr="00227644">
        <w:rPr>
          <w:color w:val="000000"/>
        </w:rPr>
        <w:t xml:space="preserve">ederation of </w:t>
      </w:r>
      <w:r>
        <w:rPr>
          <w:color w:val="000000"/>
        </w:rPr>
        <w:t>C</w:t>
      </w:r>
      <w:r w:rsidRPr="00227644">
        <w:rPr>
          <w:color w:val="000000"/>
        </w:rPr>
        <w:t>alifornia</w:t>
      </w:r>
      <w:r>
        <w:rPr>
          <w:color w:val="000000"/>
        </w:rPr>
        <w:t xml:space="preserve"> t</w:t>
      </w:r>
      <w:r w:rsidRPr="00227644">
        <w:rPr>
          <w:color w:val="000000"/>
        </w:rPr>
        <w:t xml:space="preserve">o Consumer Federation </w:t>
      </w:r>
      <w:r>
        <w:rPr>
          <w:color w:val="000000"/>
        </w:rPr>
        <w:t>o</w:t>
      </w:r>
      <w:r w:rsidRPr="00227644">
        <w:rPr>
          <w:color w:val="000000"/>
        </w:rPr>
        <w:t>f California Foundation</w:t>
      </w:r>
      <w:r w:rsidRPr="00325E92">
        <w:rPr>
          <w:color w:val="000000"/>
        </w:rPr>
        <w:t xml:space="preserve"> (CFC Foundation)</w:t>
      </w:r>
      <w:r>
        <w:rPr>
          <w:color w:val="000000"/>
        </w:rPr>
        <w:t>.  We incorporate the name change here and throughout the amended request.</w:t>
      </w:r>
    </w:p>
  </w:footnote>
  <w:footnote w:id="2">
    <w:p w:rsidR="00893A48" w:rsidRDefault="00893A48">
      <w:pPr>
        <w:pStyle w:val="FootnoteText"/>
      </w:pPr>
      <w:r>
        <w:rPr>
          <w:rStyle w:val="FootnoteReference"/>
        </w:rPr>
        <w:footnoteRef/>
      </w:r>
      <w:r>
        <w:t xml:space="preserve">  We correct here and throughout the amended requested amount of $99,045, which was based on two mathematical errors.</w:t>
      </w:r>
    </w:p>
  </w:footnote>
  <w:footnote w:id="3">
    <w:p w:rsidR="00893A48" w:rsidRDefault="00893A48" w:rsidP="003A4AF5">
      <w:pPr>
        <w:pStyle w:val="FootnoteText"/>
        <w:spacing w:after="120"/>
      </w:pPr>
      <w:r>
        <w:rPr>
          <w:rStyle w:val="FootnoteReference"/>
        </w:rPr>
        <w:footnoteRef/>
      </w:r>
      <w:r>
        <w:t xml:space="preserve">  We correct here the originally requested amount of $14,323 based on a mathematical error.</w:t>
      </w:r>
    </w:p>
  </w:footnote>
  <w:footnote w:id="4">
    <w:p w:rsidR="00893A48" w:rsidRDefault="00893A48" w:rsidP="003A4AF5">
      <w:pPr>
        <w:pStyle w:val="FootnoteText"/>
        <w:spacing w:after="120"/>
      </w:pPr>
      <w:r>
        <w:rPr>
          <w:rStyle w:val="FootnoteReference"/>
        </w:rPr>
        <w:footnoteRef/>
      </w:r>
      <w:r>
        <w:t xml:space="preserve">  </w:t>
      </w:r>
      <w:r w:rsidRPr="00B708DE">
        <w:rPr>
          <w:i/>
        </w:rPr>
        <w:t>See</w:t>
      </w:r>
      <w:r w:rsidRPr="00B708DE">
        <w:t xml:space="preserve"> D.18-07-035</w:t>
      </w:r>
      <w:r>
        <w:t>.</w:t>
      </w:r>
    </w:p>
  </w:footnote>
  <w:footnote w:id="5">
    <w:p w:rsidR="00893A48" w:rsidRDefault="00893A48" w:rsidP="003A4AF5">
      <w:pPr>
        <w:pStyle w:val="FootnoteText"/>
        <w:spacing w:after="120"/>
      </w:pPr>
      <w:r>
        <w:rPr>
          <w:rStyle w:val="FootnoteReference"/>
        </w:rPr>
        <w:footnoteRef/>
      </w:r>
      <w:r>
        <w:t xml:space="preserve">  We correct here the original requested subtotal of $95,686 based on a mathematical error.</w:t>
      </w:r>
    </w:p>
  </w:footnote>
  <w:footnote w:id="6">
    <w:p w:rsidR="00893A48" w:rsidRPr="00DE3A5D" w:rsidRDefault="00893A48" w:rsidP="005A53F1">
      <w:pPr>
        <w:pStyle w:val="ListParagraph"/>
        <w:ind w:left="0"/>
        <w:rPr>
          <w:rFonts w:ascii="Times New Roman" w:hAnsi="Times New Roman"/>
        </w:rPr>
      </w:pPr>
      <w:r w:rsidRPr="00DE3A5D">
        <w:rPr>
          <w:rStyle w:val="FootnoteReference"/>
          <w:rFonts w:ascii="Times New Roman" w:hAnsi="Times New Roman"/>
          <w:sz w:val="20"/>
          <w:szCs w:val="20"/>
        </w:rPr>
        <w:footnoteRef/>
      </w:r>
      <w:r w:rsidRPr="00DE3A5D">
        <w:rPr>
          <w:rFonts w:ascii="Times New Roman" w:hAnsi="Times New Roman"/>
        </w:rPr>
        <w:t xml:space="preserve"> </w:t>
      </w:r>
      <w:r>
        <w:rPr>
          <w:rFonts w:ascii="Times New Roman" w:hAnsi="Times New Roman"/>
        </w:rPr>
        <w:t xml:space="preserve"> </w:t>
      </w:r>
      <w:r w:rsidRPr="00DE3A5D">
        <w:rPr>
          <w:rFonts w:ascii="Times New Roman" w:hAnsi="Times New Roman"/>
          <w:sz w:val="20"/>
          <w:szCs w:val="20"/>
        </w:rPr>
        <w:t xml:space="preserve">This information may be </w:t>
      </w:r>
      <w:r w:rsidRPr="00DE3A5D">
        <w:rPr>
          <w:rFonts w:ascii="Times New Roman" w:hAnsi="Times New Roman"/>
          <w:color w:val="000000"/>
          <w:sz w:val="20"/>
          <w:szCs w:val="20"/>
        </w:rPr>
        <w:t>obtain</w:t>
      </w:r>
      <w:r>
        <w:rPr>
          <w:rFonts w:ascii="Times New Roman" w:hAnsi="Times New Roman"/>
          <w:color w:val="000000"/>
          <w:sz w:val="20"/>
          <w:szCs w:val="20"/>
        </w:rPr>
        <w:t xml:space="preserve">ed through the State Bar of California’s website at </w:t>
      </w:r>
      <w:hyperlink r:id="rId1" w:history="1">
        <w:r w:rsidRPr="00915118">
          <w:rPr>
            <w:rStyle w:val="Hyperlink"/>
            <w:rFonts w:ascii="Times New Roman" w:hAnsi="Times New Roman"/>
            <w:sz w:val="20"/>
            <w:szCs w:val="20"/>
          </w:rPr>
          <w:t>http://members.calbar.ca.gov/fal/MemberSearch/QuickSearch</w:t>
        </w:r>
      </w:hyperlink>
      <w:r>
        <w:rPr>
          <w:rFonts w:ascii="Times New Roman" w:hAnsi="Times New Roman"/>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A48" w:rsidRDefault="00893A48" w:rsidP="004E173E">
    <w:pPr>
      <w:pStyle w:val="Header"/>
      <w:tabs>
        <w:tab w:val="clear" w:pos="9360"/>
      </w:tabs>
      <w:ind w:right="-630"/>
      <w:rPr>
        <w:b/>
      </w:rPr>
    </w:pPr>
    <w:r>
      <w:t>R.12-06-013  ALJ/JMO/SPT/SJP/lil/avs</w:t>
    </w:r>
    <w:r>
      <w:tab/>
      <w:t xml:space="preserve">         </w:t>
    </w:r>
  </w:p>
  <w:p w:rsidR="00893A48" w:rsidRDefault="00893A48">
    <w:pPr>
      <w:pStyle w:val="Header"/>
      <w:rPr>
        <w:b/>
      </w:rPr>
    </w:pPr>
  </w:p>
  <w:p w:rsidR="00893A48" w:rsidRPr="000D60D4" w:rsidRDefault="00893A48">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A48" w:rsidRDefault="00893A48" w:rsidP="000D60D4">
    <w:pPr>
      <w:pStyle w:val="Header"/>
      <w:rPr>
        <w:b/>
      </w:rPr>
    </w:pPr>
    <w:r>
      <w:t>R.12-06-013  ALJ/JMO/SPT/SJP/lil/avs</w:t>
    </w:r>
    <w:r>
      <w:tab/>
    </w:r>
    <w:r>
      <w:tab/>
    </w:r>
  </w:p>
  <w:p w:rsidR="00893A48" w:rsidRDefault="00893A48" w:rsidP="000D60D4">
    <w:pPr>
      <w:pStyle w:val="Header"/>
      <w:rPr>
        <w:b/>
      </w:rPr>
    </w:pPr>
  </w:p>
  <w:p w:rsidR="00893A48" w:rsidRDefault="00893A48" w:rsidP="000D60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48589D"/>
    <w:multiLevelType w:val="hybridMultilevel"/>
    <w:tmpl w:val="A0D6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C53B1A"/>
    <w:multiLevelType w:val="hybridMultilevel"/>
    <w:tmpl w:val="BB30D066"/>
    <w:lvl w:ilvl="0" w:tplc="227C56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04A35"/>
    <w:multiLevelType w:val="hybridMultilevel"/>
    <w:tmpl w:val="0B9A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6560D8"/>
    <w:multiLevelType w:val="hybridMultilevel"/>
    <w:tmpl w:val="2622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9A4391"/>
    <w:multiLevelType w:val="hybridMultilevel"/>
    <w:tmpl w:val="8BF83C82"/>
    <w:lvl w:ilvl="0" w:tplc="2D660E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57EE0BC7"/>
    <w:multiLevelType w:val="hybridMultilevel"/>
    <w:tmpl w:val="17C8B27A"/>
    <w:lvl w:ilvl="0" w:tplc="0409000F">
      <w:start w:val="1"/>
      <w:numFmt w:val="decimal"/>
      <w:lvlText w:val="%1."/>
      <w:lvlJc w:val="left"/>
      <w:pPr>
        <w:tabs>
          <w:tab w:val="num" w:pos="900"/>
        </w:tabs>
        <w:ind w:left="900" w:hanging="360"/>
      </w:pPr>
    </w:lvl>
    <w:lvl w:ilvl="1" w:tplc="A2982BDA">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770005A7"/>
    <w:multiLevelType w:val="hybridMultilevel"/>
    <w:tmpl w:val="9324604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8737B1"/>
    <w:multiLevelType w:val="hybridMultilevel"/>
    <w:tmpl w:val="E55236BA"/>
    <w:lvl w:ilvl="0" w:tplc="7B3657A2">
      <w:start w:val="1"/>
      <w:numFmt w:val="upperLetter"/>
      <w:lvlText w:val="%1."/>
      <w:lvlJc w:val="left"/>
      <w:pPr>
        <w:tabs>
          <w:tab w:val="num" w:pos="900"/>
        </w:tabs>
        <w:ind w:left="900" w:hanging="360"/>
      </w:pPr>
      <w:rPr>
        <w:rFonts w:hint="default"/>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8179A5"/>
    <w:multiLevelType w:val="hybridMultilevel"/>
    <w:tmpl w:val="26C0DFD0"/>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1"/>
  </w:num>
  <w:num w:numId="4">
    <w:abstractNumId w:val="7"/>
  </w:num>
  <w:num w:numId="5">
    <w:abstractNumId w:val="5"/>
  </w:num>
  <w:num w:numId="6">
    <w:abstractNumId w:val="8"/>
  </w:num>
  <w:num w:numId="7">
    <w:abstractNumId w:val="3"/>
  </w:num>
  <w:num w:numId="8">
    <w:abstractNumId w:val="1"/>
  </w:num>
  <w:num w:numId="9">
    <w:abstractNumId w:val="4"/>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83"/>
    <w:rsid w:val="00003A49"/>
    <w:rsid w:val="00010418"/>
    <w:rsid w:val="00013303"/>
    <w:rsid w:val="000228C9"/>
    <w:rsid w:val="00025219"/>
    <w:rsid w:val="00026A15"/>
    <w:rsid w:val="00026AC6"/>
    <w:rsid w:val="00034492"/>
    <w:rsid w:val="00036F54"/>
    <w:rsid w:val="00042986"/>
    <w:rsid w:val="000445E4"/>
    <w:rsid w:val="00057413"/>
    <w:rsid w:val="00072C81"/>
    <w:rsid w:val="00073AEA"/>
    <w:rsid w:val="00074A3B"/>
    <w:rsid w:val="000905FF"/>
    <w:rsid w:val="000C418C"/>
    <w:rsid w:val="000D60D4"/>
    <w:rsid w:val="000D6CA0"/>
    <w:rsid w:val="000D6DF8"/>
    <w:rsid w:val="000E00C7"/>
    <w:rsid w:val="000E12D7"/>
    <w:rsid w:val="000E61A7"/>
    <w:rsid w:val="000E6ABD"/>
    <w:rsid w:val="000F595C"/>
    <w:rsid w:val="000F7670"/>
    <w:rsid w:val="00100F99"/>
    <w:rsid w:val="001012C5"/>
    <w:rsid w:val="00110D89"/>
    <w:rsid w:val="00112890"/>
    <w:rsid w:val="00114804"/>
    <w:rsid w:val="00123103"/>
    <w:rsid w:val="00125492"/>
    <w:rsid w:val="00127B6D"/>
    <w:rsid w:val="001359BC"/>
    <w:rsid w:val="001401E4"/>
    <w:rsid w:val="00141A4E"/>
    <w:rsid w:val="001428B8"/>
    <w:rsid w:val="00151AA8"/>
    <w:rsid w:val="00152F94"/>
    <w:rsid w:val="00175865"/>
    <w:rsid w:val="00176910"/>
    <w:rsid w:val="001962EB"/>
    <w:rsid w:val="001A04DD"/>
    <w:rsid w:val="001A1A76"/>
    <w:rsid w:val="001A6449"/>
    <w:rsid w:val="001B0849"/>
    <w:rsid w:val="001B7C3F"/>
    <w:rsid w:val="001C21AE"/>
    <w:rsid w:val="001C2D6B"/>
    <w:rsid w:val="001D3ED2"/>
    <w:rsid w:val="001E77CF"/>
    <w:rsid w:val="001F238E"/>
    <w:rsid w:val="00204E3A"/>
    <w:rsid w:val="00205CE2"/>
    <w:rsid w:val="00212323"/>
    <w:rsid w:val="00212E10"/>
    <w:rsid w:val="00214B22"/>
    <w:rsid w:val="00217224"/>
    <w:rsid w:val="00227644"/>
    <w:rsid w:val="00230463"/>
    <w:rsid w:val="00234F93"/>
    <w:rsid w:val="002415DC"/>
    <w:rsid w:val="002466F8"/>
    <w:rsid w:val="00247DC9"/>
    <w:rsid w:val="00260518"/>
    <w:rsid w:val="00261BC9"/>
    <w:rsid w:val="00264333"/>
    <w:rsid w:val="00270E2E"/>
    <w:rsid w:val="00273208"/>
    <w:rsid w:val="0027453B"/>
    <w:rsid w:val="00282BDF"/>
    <w:rsid w:val="00283DE3"/>
    <w:rsid w:val="00292243"/>
    <w:rsid w:val="00292265"/>
    <w:rsid w:val="002960F9"/>
    <w:rsid w:val="002A6C07"/>
    <w:rsid w:val="002B2481"/>
    <w:rsid w:val="002B438C"/>
    <w:rsid w:val="002E0670"/>
    <w:rsid w:val="002E5F83"/>
    <w:rsid w:val="00303C2B"/>
    <w:rsid w:val="00310C58"/>
    <w:rsid w:val="00312DBE"/>
    <w:rsid w:val="00315724"/>
    <w:rsid w:val="00320388"/>
    <w:rsid w:val="003501DD"/>
    <w:rsid w:val="00357F1A"/>
    <w:rsid w:val="00372082"/>
    <w:rsid w:val="00374FD1"/>
    <w:rsid w:val="003770B4"/>
    <w:rsid w:val="00377884"/>
    <w:rsid w:val="00380703"/>
    <w:rsid w:val="0039745A"/>
    <w:rsid w:val="003A48AA"/>
    <w:rsid w:val="003A4AF5"/>
    <w:rsid w:val="003B1782"/>
    <w:rsid w:val="003C608A"/>
    <w:rsid w:val="003D0612"/>
    <w:rsid w:val="003E34FD"/>
    <w:rsid w:val="003E3C08"/>
    <w:rsid w:val="003E4C48"/>
    <w:rsid w:val="00403DA5"/>
    <w:rsid w:val="004300F6"/>
    <w:rsid w:val="00430445"/>
    <w:rsid w:val="00432D33"/>
    <w:rsid w:val="0044012F"/>
    <w:rsid w:val="004534E7"/>
    <w:rsid w:val="00486B08"/>
    <w:rsid w:val="004961DE"/>
    <w:rsid w:val="004A7F5C"/>
    <w:rsid w:val="004B488F"/>
    <w:rsid w:val="004C0961"/>
    <w:rsid w:val="004C39A1"/>
    <w:rsid w:val="004C4464"/>
    <w:rsid w:val="004C7C4B"/>
    <w:rsid w:val="004D5DDF"/>
    <w:rsid w:val="004D6B6D"/>
    <w:rsid w:val="004E00CE"/>
    <w:rsid w:val="004E0395"/>
    <w:rsid w:val="004E0E79"/>
    <w:rsid w:val="004E173E"/>
    <w:rsid w:val="004E3939"/>
    <w:rsid w:val="004E3D93"/>
    <w:rsid w:val="004E6323"/>
    <w:rsid w:val="004F74FC"/>
    <w:rsid w:val="00500E2F"/>
    <w:rsid w:val="00502C1A"/>
    <w:rsid w:val="00507B08"/>
    <w:rsid w:val="005169A0"/>
    <w:rsid w:val="00516B6B"/>
    <w:rsid w:val="00516CE7"/>
    <w:rsid w:val="00517802"/>
    <w:rsid w:val="005215EF"/>
    <w:rsid w:val="00521B86"/>
    <w:rsid w:val="00536D4A"/>
    <w:rsid w:val="00544CC6"/>
    <w:rsid w:val="00547145"/>
    <w:rsid w:val="00551967"/>
    <w:rsid w:val="00552248"/>
    <w:rsid w:val="00552461"/>
    <w:rsid w:val="00555D22"/>
    <w:rsid w:val="00562070"/>
    <w:rsid w:val="005647E8"/>
    <w:rsid w:val="0057313A"/>
    <w:rsid w:val="005816B3"/>
    <w:rsid w:val="0059105A"/>
    <w:rsid w:val="005912FA"/>
    <w:rsid w:val="00596C28"/>
    <w:rsid w:val="005A53F1"/>
    <w:rsid w:val="005A63D4"/>
    <w:rsid w:val="005A65C2"/>
    <w:rsid w:val="005C0493"/>
    <w:rsid w:val="005C1A2E"/>
    <w:rsid w:val="005C327F"/>
    <w:rsid w:val="005D25F8"/>
    <w:rsid w:val="005F4D82"/>
    <w:rsid w:val="0061528E"/>
    <w:rsid w:val="00623878"/>
    <w:rsid w:val="0065087E"/>
    <w:rsid w:val="00660D7E"/>
    <w:rsid w:val="006637D2"/>
    <w:rsid w:val="006719A4"/>
    <w:rsid w:val="00673595"/>
    <w:rsid w:val="00673EB1"/>
    <w:rsid w:val="0068133C"/>
    <w:rsid w:val="00692738"/>
    <w:rsid w:val="006937DC"/>
    <w:rsid w:val="006A7272"/>
    <w:rsid w:val="006B2E79"/>
    <w:rsid w:val="006B5116"/>
    <w:rsid w:val="006B7375"/>
    <w:rsid w:val="006C6B67"/>
    <w:rsid w:val="006D1BE0"/>
    <w:rsid w:val="006D4B0E"/>
    <w:rsid w:val="006D4DBA"/>
    <w:rsid w:val="006D736F"/>
    <w:rsid w:val="006E171A"/>
    <w:rsid w:val="006E5EFE"/>
    <w:rsid w:val="00703D5A"/>
    <w:rsid w:val="00706264"/>
    <w:rsid w:val="00717213"/>
    <w:rsid w:val="00720A69"/>
    <w:rsid w:val="00735E5B"/>
    <w:rsid w:val="00736E56"/>
    <w:rsid w:val="007372B5"/>
    <w:rsid w:val="00744B00"/>
    <w:rsid w:val="0074620B"/>
    <w:rsid w:val="00755F28"/>
    <w:rsid w:val="007672F2"/>
    <w:rsid w:val="00770C19"/>
    <w:rsid w:val="0077286E"/>
    <w:rsid w:val="0078256B"/>
    <w:rsid w:val="007A2FCB"/>
    <w:rsid w:val="007C1B69"/>
    <w:rsid w:val="007D2C06"/>
    <w:rsid w:val="007D5AD0"/>
    <w:rsid w:val="007E71C3"/>
    <w:rsid w:val="007F620E"/>
    <w:rsid w:val="00802101"/>
    <w:rsid w:val="00802701"/>
    <w:rsid w:val="00815F1F"/>
    <w:rsid w:val="0082477E"/>
    <w:rsid w:val="00827FAC"/>
    <w:rsid w:val="008310DC"/>
    <w:rsid w:val="0083350A"/>
    <w:rsid w:val="00842DB3"/>
    <w:rsid w:val="00870C4E"/>
    <w:rsid w:val="00873FC0"/>
    <w:rsid w:val="008844B6"/>
    <w:rsid w:val="00885956"/>
    <w:rsid w:val="00886589"/>
    <w:rsid w:val="00886DA4"/>
    <w:rsid w:val="00893A48"/>
    <w:rsid w:val="008A0CDC"/>
    <w:rsid w:val="008A50D0"/>
    <w:rsid w:val="008B67E2"/>
    <w:rsid w:val="008C2208"/>
    <w:rsid w:val="008E1567"/>
    <w:rsid w:val="008E3450"/>
    <w:rsid w:val="008F6114"/>
    <w:rsid w:val="00904C4B"/>
    <w:rsid w:val="0091464E"/>
    <w:rsid w:val="00915118"/>
    <w:rsid w:val="0091695D"/>
    <w:rsid w:val="00921FD3"/>
    <w:rsid w:val="00925FAB"/>
    <w:rsid w:val="00926921"/>
    <w:rsid w:val="00934388"/>
    <w:rsid w:val="00941C8E"/>
    <w:rsid w:val="0094590C"/>
    <w:rsid w:val="0095306D"/>
    <w:rsid w:val="00961CC5"/>
    <w:rsid w:val="00963EEF"/>
    <w:rsid w:val="00995F69"/>
    <w:rsid w:val="009B12A6"/>
    <w:rsid w:val="009B52C2"/>
    <w:rsid w:val="009E3F6B"/>
    <w:rsid w:val="009E3F96"/>
    <w:rsid w:val="00A00B0A"/>
    <w:rsid w:val="00A016B2"/>
    <w:rsid w:val="00A029A8"/>
    <w:rsid w:val="00A031F3"/>
    <w:rsid w:val="00A03CE6"/>
    <w:rsid w:val="00A05947"/>
    <w:rsid w:val="00A07A96"/>
    <w:rsid w:val="00A25CB0"/>
    <w:rsid w:val="00A319DE"/>
    <w:rsid w:val="00A36929"/>
    <w:rsid w:val="00A6592D"/>
    <w:rsid w:val="00A67E89"/>
    <w:rsid w:val="00A7449F"/>
    <w:rsid w:val="00A75D2D"/>
    <w:rsid w:val="00A85D74"/>
    <w:rsid w:val="00A86988"/>
    <w:rsid w:val="00A910F1"/>
    <w:rsid w:val="00A92D0B"/>
    <w:rsid w:val="00A94C77"/>
    <w:rsid w:val="00AA1740"/>
    <w:rsid w:val="00AB2DED"/>
    <w:rsid w:val="00AB2F7F"/>
    <w:rsid w:val="00AC5A4B"/>
    <w:rsid w:val="00AC5D9F"/>
    <w:rsid w:val="00AD03FA"/>
    <w:rsid w:val="00AD3936"/>
    <w:rsid w:val="00AD742A"/>
    <w:rsid w:val="00AE429F"/>
    <w:rsid w:val="00AE5540"/>
    <w:rsid w:val="00AE5FF1"/>
    <w:rsid w:val="00AF7D88"/>
    <w:rsid w:val="00B00BCD"/>
    <w:rsid w:val="00B03EB0"/>
    <w:rsid w:val="00B1593B"/>
    <w:rsid w:val="00B26932"/>
    <w:rsid w:val="00B30E86"/>
    <w:rsid w:val="00B31179"/>
    <w:rsid w:val="00B312DA"/>
    <w:rsid w:val="00B31565"/>
    <w:rsid w:val="00B444B1"/>
    <w:rsid w:val="00B51C2B"/>
    <w:rsid w:val="00B54991"/>
    <w:rsid w:val="00B55032"/>
    <w:rsid w:val="00B55CCD"/>
    <w:rsid w:val="00B62AC0"/>
    <w:rsid w:val="00B66CF5"/>
    <w:rsid w:val="00B67ECE"/>
    <w:rsid w:val="00B708DE"/>
    <w:rsid w:val="00B97C1E"/>
    <w:rsid w:val="00BA548C"/>
    <w:rsid w:val="00BB49BB"/>
    <w:rsid w:val="00BC59DB"/>
    <w:rsid w:val="00BE1D1B"/>
    <w:rsid w:val="00BE45D0"/>
    <w:rsid w:val="00BF2F45"/>
    <w:rsid w:val="00C02153"/>
    <w:rsid w:val="00C0471D"/>
    <w:rsid w:val="00C10A2A"/>
    <w:rsid w:val="00C15BDF"/>
    <w:rsid w:val="00C16981"/>
    <w:rsid w:val="00C31E15"/>
    <w:rsid w:val="00C33D87"/>
    <w:rsid w:val="00C372E0"/>
    <w:rsid w:val="00C52294"/>
    <w:rsid w:val="00C604BD"/>
    <w:rsid w:val="00C60CFD"/>
    <w:rsid w:val="00C742D7"/>
    <w:rsid w:val="00C74B08"/>
    <w:rsid w:val="00C765A2"/>
    <w:rsid w:val="00C80771"/>
    <w:rsid w:val="00C8244C"/>
    <w:rsid w:val="00C870CC"/>
    <w:rsid w:val="00C97AB2"/>
    <w:rsid w:val="00CC4B40"/>
    <w:rsid w:val="00CD6886"/>
    <w:rsid w:val="00CD7D17"/>
    <w:rsid w:val="00CE4B7C"/>
    <w:rsid w:val="00CF1129"/>
    <w:rsid w:val="00CF17AA"/>
    <w:rsid w:val="00CF3987"/>
    <w:rsid w:val="00CF4B14"/>
    <w:rsid w:val="00CF644B"/>
    <w:rsid w:val="00D075B1"/>
    <w:rsid w:val="00D10372"/>
    <w:rsid w:val="00D27D5F"/>
    <w:rsid w:val="00D30C4F"/>
    <w:rsid w:val="00D31ABE"/>
    <w:rsid w:val="00D36884"/>
    <w:rsid w:val="00D36927"/>
    <w:rsid w:val="00D4748A"/>
    <w:rsid w:val="00D47941"/>
    <w:rsid w:val="00D56BCA"/>
    <w:rsid w:val="00D67603"/>
    <w:rsid w:val="00D74F4E"/>
    <w:rsid w:val="00D77AE4"/>
    <w:rsid w:val="00D84F94"/>
    <w:rsid w:val="00D8769E"/>
    <w:rsid w:val="00DA209B"/>
    <w:rsid w:val="00DA3AEE"/>
    <w:rsid w:val="00DB51CE"/>
    <w:rsid w:val="00DD52BB"/>
    <w:rsid w:val="00DE172D"/>
    <w:rsid w:val="00DE18A5"/>
    <w:rsid w:val="00DE3A5D"/>
    <w:rsid w:val="00DF1151"/>
    <w:rsid w:val="00DF4A72"/>
    <w:rsid w:val="00DF615E"/>
    <w:rsid w:val="00DF7561"/>
    <w:rsid w:val="00E00990"/>
    <w:rsid w:val="00E00FCE"/>
    <w:rsid w:val="00E15DC3"/>
    <w:rsid w:val="00E16853"/>
    <w:rsid w:val="00E21EA5"/>
    <w:rsid w:val="00E25202"/>
    <w:rsid w:val="00E27777"/>
    <w:rsid w:val="00E308F8"/>
    <w:rsid w:val="00E3786F"/>
    <w:rsid w:val="00E40140"/>
    <w:rsid w:val="00E52992"/>
    <w:rsid w:val="00E60942"/>
    <w:rsid w:val="00E61FBF"/>
    <w:rsid w:val="00E75E09"/>
    <w:rsid w:val="00E86296"/>
    <w:rsid w:val="00E90178"/>
    <w:rsid w:val="00E9366A"/>
    <w:rsid w:val="00E95069"/>
    <w:rsid w:val="00E9534A"/>
    <w:rsid w:val="00E959A0"/>
    <w:rsid w:val="00E975FE"/>
    <w:rsid w:val="00EA39D5"/>
    <w:rsid w:val="00EA6BCB"/>
    <w:rsid w:val="00ED6217"/>
    <w:rsid w:val="00ED6B6B"/>
    <w:rsid w:val="00EF1E60"/>
    <w:rsid w:val="00F0128F"/>
    <w:rsid w:val="00F02752"/>
    <w:rsid w:val="00F04904"/>
    <w:rsid w:val="00F20061"/>
    <w:rsid w:val="00F26371"/>
    <w:rsid w:val="00F30DA8"/>
    <w:rsid w:val="00F3339E"/>
    <w:rsid w:val="00F34C1F"/>
    <w:rsid w:val="00F3772B"/>
    <w:rsid w:val="00F47E87"/>
    <w:rsid w:val="00F50BEE"/>
    <w:rsid w:val="00F633B7"/>
    <w:rsid w:val="00F63C29"/>
    <w:rsid w:val="00F64466"/>
    <w:rsid w:val="00F81778"/>
    <w:rsid w:val="00F84EBC"/>
    <w:rsid w:val="00F90AC6"/>
    <w:rsid w:val="00FA4122"/>
    <w:rsid w:val="00FA4732"/>
    <w:rsid w:val="00FC3AF0"/>
    <w:rsid w:val="00FC72B7"/>
    <w:rsid w:val="00FE33EC"/>
    <w:rsid w:val="00FF6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basedOn w:val="Normal"/>
    <w:next w:val="Normal"/>
    <w:link w:val="Heading5Char"/>
    <w:qFormat/>
    <w:rsid w:val="00AE554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885956"/>
    <w:rPr>
      <w:sz w:val="20"/>
      <w:szCs w:val="20"/>
    </w:rPr>
  </w:style>
  <w:style w:type="character" w:customStyle="1" w:styleId="FootnoteTextChar">
    <w:name w:val="Footnote Text Char"/>
    <w:basedOn w:val="DefaultParagraphFont"/>
    <w:link w:val="FootnoteText"/>
    <w:uiPriority w:val="99"/>
    <w:rsid w:val="00885956"/>
  </w:style>
  <w:style w:type="character" w:styleId="FootnoteReference">
    <w:name w:val="footnote reference"/>
    <w:uiPriority w:val="99"/>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paragraph" w:customStyle="1" w:styleId="Default">
    <w:name w:val="Default"/>
    <w:rsid w:val="00E975FE"/>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rsid w:val="00AE5540"/>
    <w:rPr>
      <w:rFonts w:ascii="Calibri" w:hAnsi="Calibri"/>
      <w:b/>
      <w:bCs/>
      <w:i/>
      <w:iCs/>
      <w:sz w:val="26"/>
      <w:szCs w:val="26"/>
    </w:rPr>
  </w:style>
  <w:style w:type="character" w:styleId="Emphasis">
    <w:name w:val="Emphasis"/>
    <w:qFormat/>
    <w:rsid w:val="00AE5540"/>
    <w:rPr>
      <w:i/>
      <w:iCs/>
    </w:rPr>
  </w:style>
  <w:style w:type="paragraph" w:styleId="Caption">
    <w:name w:val="caption"/>
    <w:basedOn w:val="Normal"/>
    <w:next w:val="Normal"/>
    <w:semiHidden/>
    <w:unhideWhenUsed/>
    <w:qFormat/>
    <w:rsid w:val="00AE5FF1"/>
    <w:pPr>
      <w:spacing w:after="200"/>
    </w:pPr>
    <w:rPr>
      <w:i/>
      <w:iCs/>
      <w:color w:val="1F497D" w:themeColor="text2"/>
      <w:sz w:val="18"/>
      <w:szCs w:val="18"/>
    </w:rPr>
  </w:style>
  <w:style w:type="character" w:customStyle="1" w:styleId="standardChar">
    <w:name w:val="standard Char"/>
    <w:link w:val="standard"/>
    <w:locked/>
    <w:rsid w:val="00282BDF"/>
    <w:rPr>
      <w:rFonts w:ascii="Palatino" w:hAnsi="Palatino"/>
      <w:sz w:val="26"/>
    </w:rPr>
  </w:style>
  <w:style w:type="paragraph" w:customStyle="1" w:styleId="standard">
    <w:name w:val="standard"/>
    <w:basedOn w:val="Normal"/>
    <w:link w:val="standardChar"/>
    <w:rsid w:val="00282BDF"/>
    <w:pPr>
      <w:spacing w:line="360" w:lineRule="auto"/>
      <w:ind w:firstLine="720"/>
    </w:pPr>
    <w:rPr>
      <w:rFonts w:ascii="Palatino" w:hAnsi="Palatino"/>
      <w:sz w:val="26"/>
      <w:szCs w:val="20"/>
    </w:rPr>
  </w:style>
  <w:style w:type="character" w:styleId="PageNumber">
    <w:name w:val="page number"/>
    <w:basedOn w:val="DefaultParagraphFont"/>
    <w:rsid w:val="000D60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basedOn w:val="Normal"/>
    <w:next w:val="Normal"/>
    <w:link w:val="Heading5Char"/>
    <w:qFormat/>
    <w:rsid w:val="00AE554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885956"/>
    <w:rPr>
      <w:sz w:val="20"/>
      <w:szCs w:val="20"/>
    </w:rPr>
  </w:style>
  <w:style w:type="character" w:customStyle="1" w:styleId="FootnoteTextChar">
    <w:name w:val="Footnote Text Char"/>
    <w:basedOn w:val="DefaultParagraphFont"/>
    <w:link w:val="FootnoteText"/>
    <w:uiPriority w:val="99"/>
    <w:rsid w:val="00885956"/>
  </w:style>
  <w:style w:type="character" w:styleId="FootnoteReference">
    <w:name w:val="footnote reference"/>
    <w:uiPriority w:val="99"/>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paragraph" w:customStyle="1" w:styleId="Default">
    <w:name w:val="Default"/>
    <w:rsid w:val="00E975FE"/>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rsid w:val="00AE5540"/>
    <w:rPr>
      <w:rFonts w:ascii="Calibri" w:hAnsi="Calibri"/>
      <w:b/>
      <w:bCs/>
      <w:i/>
      <w:iCs/>
      <w:sz w:val="26"/>
      <w:szCs w:val="26"/>
    </w:rPr>
  </w:style>
  <w:style w:type="character" w:styleId="Emphasis">
    <w:name w:val="Emphasis"/>
    <w:qFormat/>
    <w:rsid w:val="00AE5540"/>
    <w:rPr>
      <w:i/>
      <w:iCs/>
    </w:rPr>
  </w:style>
  <w:style w:type="paragraph" w:styleId="Caption">
    <w:name w:val="caption"/>
    <w:basedOn w:val="Normal"/>
    <w:next w:val="Normal"/>
    <w:semiHidden/>
    <w:unhideWhenUsed/>
    <w:qFormat/>
    <w:rsid w:val="00AE5FF1"/>
    <w:pPr>
      <w:spacing w:after="200"/>
    </w:pPr>
    <w:rPr>
      <w:i/>
      <w:iCs/>
      <w:color w:val="1F497D" w:themeColor="text2"/>
      <w:sz w:val="18"/>
      <w:szCs w:val="18"/>
    </w:rPr>
  </w:style>
  <w:style w:type="character" w:customStyle="1" w:styleId="standardChar">
    <w:name w:val="standard Char"/>
    <w:link w:val="standard"/>
    <w:locked/>
    <w:rsid w:val="00282BDF"/>
    <w:rPr>
      <w:rFonts w:ascii="Palatino" w:hAnsi="Palatino"/>
      <w:sz w:val="26"/>
    </w:rPr>
  </w:style>
  <w:style w:type="paragraph" w:customStyle="1" w:styleId="standard">
    <w:name w:val="standard"/>
    <w:basedOn w:val="Normal"/>
    <w:link w:val="standardChar"/>
    <w:rsid w:val="00282BDF"/>
    <w:pPr>
      <w:spacing w:line="360" w:lineRule="auto"/>
      <w:ind w:firstLine="720"/>
    </w:pPr>
    <w:rPr>
      <w:rFonts w:ascii="Palatino" w:hAnsi="Palatino"/>
      <w:sz w:val="26"/>
      <w:szCs w:val="20"/>
    </w:rPr>
  </w:style>
  <w:style w:type="character" w:styleId="PageNumber">
    <w:name w:val="page number"/>
    <w:basedOn w:val="DefaultParagraphFont"/>
    <w:rsid w:val="000D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3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0B33C-88EB-400F-A496-3016D405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4921</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Icomp Claim Form</vt:lpstr>
    </vt:vector>
  </TitlesOfParts>
  <LinksUpToDate>false</LinksUpToDate>
  <CharactersWithSpaces>32906</CharactersWithSpaces>
  <SharedDoc>false</SharedDoc>
  <HyperlinkBase> </HyperlinkBase>
  <HLinks>
    <vt:vector size="12" baseType="variant">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Icomp Claim Form</dc:title>
  <dc:subject>Icomp Claim Form.</dc:subject>
  <dc:creator/>
  <dc:description>Icomp Claim Form.</dc:description>
  <cp:lastModifiedBy/>
  <cp:revision>1</cp:revision>
  <cp:lastPrinted>2013-07-15T17:59:00Z</cp:lastPrinted>
  <dcterms:created xsi:type="dcterms:W3CDTF">2018-10-05T21:47:00Z</dcterms:created>
  <dcterms:modified xsi:type="dcterms:W3CDTF">2018-10-05T22:33:00Z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://www.cpuc.ca.gov/DownloadAsset.aspx?id=2655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Icomp Claim Form.</vt:lpwstr>
  </property>
  <property fmtid="{D5CDD505-2E9C-101B-9397-08002B2CF9AE}" pid="8" name="EktExpiryDate">
    <vt:filetime>2016-02-02T19:55:00Z</vt:filetime>
  </property>
  <property fmtid="{D5CDD505-2E9C-101B-9397-08002B2CF9AE}" pid="9" name="EktExpiryType">
    <vt:i4>3</vt:i4>
  </property>
  <property fmtid="{D5CDD505-2E9C-101B-9397-08002B2CF9AE}" pid="10" name="EktDateCreated">
    <vt:filetime>2015-10-12T16:17:45Z</vt:filetime>
  </property>
  <property fmtid="{D5CDD505-2E9C-101B-9397-08002B2CF9AE}" pid="11" name="EktDateModified">
    <vt:filetime>2015-11-04T19:54:18Z</vt:filetime>
  </property>
  <property fmtid="{D5CDD505-2E9C-101B-9397-08002B2CF9AE}" pid="12" name="EktTaxCategory">
    <vt:lpwstr> #eksep# \Business Units\Administrative Law Judges #eksep# </vt:lpwstr>
  </property>
  <property fmtid="{D5CDD505-2E9C-101B-9397-08002B2CF9AE}" pid="13" name="EktDisabledTaxCategory">
    <vt:lpwstr/>
  </property>
  <property fmtid="{D5CDD505-2E9C-101B-9397-08002B2CF9AE}" pid="14" name="EktCmsSize">
    <vt:i4>139776</vt:i4>
  </property>
  <property fmtid="{D5CDD505-2E9C-101B-9397-08002B2CF9AE}" pid="15" name="EktSearchable">
    <vt:i4>1</vt:i4>
  </property>
  <property fmtid="{D5CDD505-2E9C-101B-9397-08002B2CF9AE}" pid="16" name="EktEDescription">
    <vt:lpwstr>Summary Icomp Claim Form.</vt:lpwstr>
  </property>
  <property fmtid="{D5CDD505-2E9C-101B-9397-08002B2CF9AE}" pid="17" name="ekttaxonomyenabled">
    <vt:i4>1</vt:i4>
  </property>
</Properties>
</file>