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F6A" w:rsidRDefault="00B80F6A" w:rsidP="00E52149">
      <w:pPr>
        <w:pStyle w:val="Header"/>
        <w:tabs>
          <w:tab w:val="clear" w:pos="4320"/>
          <w:tab w:val="clear" w:pos="8640"/>
          <w:tab w:val="center" w:pos="4230"/>
          <w:tab w:val="right" w:pos="9360"/>
        </w:tabs>
      </w:pPr>
      <w:r>
        <w:t>ALJ/</w:t>
      </w:r>
      <w:r w:rsidR="001D245E">
        <w:t>EW2</w:t>
      </w:r>
      <w:r>
        <w:t>/</w:t>
      </w:r>
      <w:r w:rsidR="001D245E">
        <w:t>mph</w:t>
      </w:r>
      <w:r>
        <w:tab/>
      </w:r>
      <w:r w:rsidR="00BE7661">
        <w:tab/>
      </w:r>
      <w:r w:rsidR="00BE7661" w:rsidRPr="00BE7661">
        <w:rPr>
          <w:b/>
        </w:rPr>
        <w:t>Date of Issuance 11/16/2018</w:t>
      </w:r>
    </w:p>
    <w:p w:rsidR="00B80F6A" w:rsidRDefault="00B80F6A">
      <w:pPr>
        <w:pStyle w:val="Header"/>
        <w:tabs>
          <w:tab w:val="clear" w:pos="8640"/>
          <w:tab w:val="right" w:pos="9360"/>
        </w:tabs>
      </w:pPr>
      <w:r>
        <w:tab/>
      </w:r>
      <w:r>
        <w:tab/>
      </w:r>
    </w:p>
    <w:p w:rsidR="00B80F6A" w:rsidRDefault="00B80F6A">
      <w:pPr>
        <w:suppressAutoHyphens/>
      </w:pPr>
    </w:p>
    <w:p w:rsidR="00CF771B" w:rsidRDefault="00CF771B">
      <w:pPr>
        <w:suppressAutoHyphens/>
      </w:pPr>
      <w:bookmarkStart w:id="0" w:name="_GoBack"/>
      <w:bookmarkEnd w:id="0"/>
    </w:p>
    <w:p w:rsidR="00B80F6A" w:rsidRDefault="00B80F6A">
      <w:pPr>
        <w:pStyle w:val="titlebar"/>
        <w:rPr>
          <w:sz w:val="24"/>
        </w:rPr>
      </w:pPr>
      <w:r>
        <w:rPr>
          <w:sz w:val="24"/>
        </w:rPr>
        <w:t>BEFORE THE PUBLIC UTILITIES COMMISSION OF THE STATE OF CALIFORNIA</w:t>
      </w:r>
    </w:p>
    <w:p w:rsidR="00B80F6A" w:rsidRDefault="00B80F6A">
      <w:pPr>
        <w:suppressAutoHyphens/>
      </w:pPr>
    </w:p>
    <w:tbl>
      <w:tblPr>
        <w:tblW w:w="0" w:type="auto"/>
        <w:tblLayout w:type="fixed"/>
        <w:tblLook w:val="0000" w:firstRow="0" w:lastRow="0" w:firstColumn="0" w:lastColumn="0" w:noHBand="0" w:noVBand="0"/>
      </w:tblPr>
      <w:tblGrid>
        <w:gridCol w:w="4788"/>
        <w:gridCol w:w="4770"/>
      </w:tblGrid>
      <w:tr w:rsidR="00B80F6A" w:rsidTr="001D245E">
        <w:tc>
          <w:tcPr>
            <w:tcW w:w="4788" w:type="dxa"/>
            <w:tcBorders>
              <w:bottom w:val="single" w:sz="6" w:space="0" w:color="auto"/>
              <w:right w:val="single" w:sz="6" w:space="0" w:color="auto"/>
            </w:tcBorders>
          </w:tcPr>
          <w:p w:rsidR="001D245E" w:rsidRDefault="001D245E" w:rsidP="001D245E">
            <w:pPr>
              <w:spacing w:before="2" w:line="320" w:lineRule="exact"/>
              <w:ind w:left="100" w:right="-48"/>
              <w:rPr>
                <w:rFonts w:ascii="Book Antiqua" w:eastAsia="Book Antiqua" w:hAnsi="Book Antiqua" w:cs="Book Antiqua"/>
                <w:szCs w:val="26"/>
              </w:rPr>
            </w:pPr>
            <w:r>
              <w:rPr>
                <w:rFonts w:ascii="Book Antiqua" w:eastAsia="Book Antiqua" w:hAnsi="Book Antiqua" w:cs="Book Antiqua"/>
                <w:szCs w:val="26"/>
              </w:rPr>
              <w:t>O</w:t>
            </w:r>
            <w:r>
              <w:rPr>
                <w:rFonts w:ascii="Book Antiqua" w:eastAsia="Book Antiqua" w:hAnsi="Book Antiqua" w:cs="Book Antiqua"/>
                <w:spacing w:val="1"/>
                <w:szCs w:val="26"/>
              </w:rPr>
              <w:t>r</w:t>
            </w:r>
            <w:r>
              <w:rPr>
                <w:rFonts w:ascii="Book Antiqua" w:eastAsia="Book Antiqua" w:hAnsi="Book Antiqua" w:cs="Book Antiqua"/>
                <w:szCs w:val="26"/>
              </w:rPr>
              <w:t>der</w:t>
            </w:r>
            <w:r>
              <w:rPr>
                <w:rFonts w:ascii="Book Antiqua" w:eastAsia="Book Antiqua" w:hAnsi="Book Antiqua" w:cs="Book Antiqua"/>
                <w:spacing w:val="-6"/>
                <w:szCs w:val="26"/>
              </w:rPr>
              <w:t xml:space="preserve"> </w:t>
            </w:r>
            <w:r>
              <w:rPr>
                <w:rFonts w:ascii="Book Antiqua" w:eastAsia="Book Antiqua" w:hAnsi="Book Antiqua" w:cs="Book Antiqua"/>
                <w:spacing w:val="-1"/>
                <w:szCs w:val="26"/>
              </w:rPr>
              <w:t>I</w:t>
            </w:r>
            <w:r>
              <w:rPr>
                <w:rFonts w:ascii="Book Antiqua" w:eastAsia="Book Antiqua" w:hAnsi="Book Antiqua" w:cs="Book Antiqua"/>
                <w:szCs w:val="26"/>
              </w:rPr>
              <w:t>n</w:t>
            </w:r>
            <w:r>
              <w:rPr>
                <w:rFonts w:ascii="Book Antiqua" w:eastAsia="Book Antiqua" w:hAnsi="Book Antiqua" w:cs="Book Antiqua"/>
                <w:spacing w:val="1"/>
                <w:szCs w:val="26"/>
              </w:rPr>
              <w:t>s</w:t>
            </w:r>
            <w:r>
              <w:rPr>
                <w:rFonts w:ascii="Book Antiqua" w:eastAsia="Book Antiqua" w:hAnsi="Book Antiqua" w:cs="Book Antiqua"/>
                <w:szCs w:val="26"/>
              </w:rPr>
              <w:t>t</w:t>
            </w:r>
            <w:r>
              <w:rPr>
                <w:rFonts w:ascii="Book Antiqua" w:eastAsia="Book Antiqua" w:hAnsi="Book Antiqua" w:cs="Book Antiqua"/>
                <w:spacing w:val="-2"/>
                <w:szCs w:val="26"/>
              </w:rPr>
              <w:t>i</w:t>
            </w:r>
            <w:r>
              <w:rPr>
                <w:rFonts w:ascii="Book Antiqua" w:eastAsia="Book Antiqua" w:hAnsi="Book Antiqua" w:cs="Book Antiqua"/>
                <w:szCs w:val="26"/>
              </w:rPr>
              <w:t>t</w:t>
            </w:r>
            <w:r>
              <w:rPr>
                <w:rFonts w:ascii="Book Antiqua" w:eastAsia="Book Antiqua" w:hAnsi="Book Antiqua" w:cs="Book Antiqua"/>
                <w:spacing w:val="-1"/>
                <w:szCs w:val="26"/>
              </w:rPr>
              <w:t>u</w:t>
            </w:r>
            <w:r>
              <w:rPr>
                <w:rFonts w:ascii="Book Antiqua" w:eastAsia="Book Antiqua" w:hAnsi="Book Antiqua" w:cs="Book Antiqua"/>
                <w:szCs w:val="26"/>
              </w:rPr>
              <w:t>t</w:t>
            </w:r>
            <w:r>
              <w:rPr>
                <w:rFonts w:ascii="Book Antiqua" w:eastAsia="Book Antiqua" w:hAnsi="Book Antiqua" w:cs="Book Antiqua"/>
                <w:spacing w:val="-2"/>
                <w:szCs w:val="26"/>
              </w:rPr>
              <w:t>i</w:t>
            </w:r>
            <w:r>
              <w:rPr>
                <w:rFonts w:ascii="Book Antiqua" w:eastAsia="Book Antiqua" w:hAnsi="Book Antiqua" w:cs="Book Antiqua"/>
                <w:szCs w:val="26"/>
              </w:rPr>
              <w:t>ng</w:t>
            </w:r>
            <w:r>
              <w:rPr>
                <w:rFonts w:ascii="Book Antiqua" w:eastAsia="Book Antiqua" w:hAnsi="Book Antiqua" w:cs="Book Antiqua"/>
                <w:spacing w:val="-12"/>
                <w:szCs w:val="26"/>
              </w:rPr>
              <w:t xml:space="preserve"> </w:t>
            </w:r>
            <w:r>
              <w:rPr>
                <w:rFonts w:ascii="Book Antiqua" w:eastAsia="Book Antiqua" w:hAnsi="Book Antiqua" w:cs="Book Antiqua"/>
                <w:szCs w:val="26"/>
              </w:rPr>
              <w:t>Invest</w:t>
            </w:r>
            <w:r>
              <w:rPr>
                <w:rFonts w:ascii="Book Antiqua" w:eastAsia="Book Antiqua" w:hAnsi="Book Antiqua" w:cs="Book Antiqua"/>
                <w:spacing w:val="-1"/>
                <w:szCs w:val="26"/>
              </w:rPr>
              <w:t>i</w:t>
            </w:r>
            <w:r>
              <w:rPr>
                <w:rFonts w:ascii="Book Antiqua" w:eastAsia="Book Antiqua" w:hAnsi="Book Antiqua" w:cs="Book Antiqua"/>
                <w:szCs w:val="26"/>
              </w:rPr>
              <w:t>gat</w:t>
            </w:r>
            <w:r>
              <w:rPr>
                <w:rFonts w:ascii="Book Antiqua" w:eastAsia="Book Antiqua" w:hAnsi="Book Antiqua" w:cs="Book Antiqua"/>
                <w:spacing w:val="-2"/>
                <w:szCs w:val="26"/>
              </w:rPr>
              <w:t>i</w:t>
            </w:r>
            <w:r>
              <w:rPr>
                <w:rFonts w:ascii="Book Antiqua" w:eastAsia="Book Antiqua" w:hAnsi="Book Antiqua" w:cs="Book Antiqua"/>
                <w:szCs w:val="26"/>
              </w:rPr>
              <w:t>on</w:t>
            </w:r>
            <w:r>
              <w:rPr>
                <w:rFonts w:ascii="Book Antiqua" w:eastAsia="Book Antiqua" w:hAnsi="Book Antiqua" w:cs="Book Antiqua"/>
                <w:spacing w:val="-15"/>
                <w:szCs w:val="26"/>
              </w:rPr>
              <w:t xml:space="preserve"> </w:t>
            </w:r>
            <w:r>
              <w:rPr>
                <w:rFonts w:ascii="Book Antiqua" w:eastAsia="Book Antiqua" w:hAnsi="Book Antiqua" w:cs="Book Antiqua"/>
                <w:szCs w:val="26"/>
              </w:rPr>
              <w:t>Into</w:t>
            </w:r>
            <w:r>
              <w:rPr>
                <w:rFonts w:ascii="Book Antiqua" w:eastAsia="Book Antiqua" w:hAnsi="Book Antiqua" w:cs="Book Antiqua"/>
                <w:spacing w:val="-5"/>
                <w:szCs w:val="26"/>
              </w:rPr>
              <w:t xml:space="preserve"> </w:t>
            </w:r>
            <w:r>
              <w:rPr>
                <w:rFonts w:ascii="Book Antiqua" w:eastAsia="Book Antiqua" w:hAnsi="Book Antiqua" w:cs="Book Antiqua"/>
                <w:spacing w:val="-1"/>
                <w:szCs w:val="26"/>
              </w:rPr>
              <w:t>t</w:t>
            </w:r>
            <w:r>
              <w:rPr>
                <w:rFonts w:ascii="Book Antiqua" w:eastAsia="Book Antiqua" w:hAnsi="Book Antiqua" w:cs="Book Antiqua"/>
                <w:szCs w:val="26"/>
              </w:rPr>
              <w:t>he Nov</w:t>
            </w:r>
            <w:r>
              <w:rPr>
                <w:rFonts w:ascii="Book Antiqua" w:eastAsia="Book Antiqua" w:hAnsi="Book Antiqua" w:cs="Book Antiqua"/>
                <w:spacing w:val="1"/>
                <w:szCs w:val="26"/>
              </w:rPr>
              <w:t>e</w:t>
            </w:r>
            <w:r>
              <w:rPr>
                <w:rFonts w:ascii="Book Antiqua" w:eastAsia="Book Antiqua" w:hAnsi="Book Antiqua" w:cs="Book Antiqua"/>
                <w:spacing w:val="-1"/>
                <w:szCs w:val="26"/>
              </w:rPr>
              <w:t>m</w:t>
            </w:r>
            <w:r>
              <w:rPr>
                <w:rFonts w:ascii="Book Antiqua" w:eastAsia="Book Antiqua" w:hAnsi="Book Antiqua" w:cs="Book Antiqua"/>
                <w:szCs w:val="26"/>
              </w:rPr>
              <w:t>b</w:t>
            </w:r>
            <w:r>
              <w:rPr>
                <w:rFonts w:ascii="Book Antiqua" w:eastAsia="Book Antiqua" w:hAnsi="Book Antiqua" w:cs="Book Antiqua"/>
                <w:spacing w:val="1"/>
                <w:szCs w:val="26"/>
              </w:rPr>
              <w:t>e</w:t>
            </w:r>
            <w:r>
              <w:rPr>
                <w:rFonts w:ascii="Book Antiqua" w:eastAsia="Book Antiqua" w:hAnsi="Book Antiqua" w:cs="Book Antiqua"/>
                <w:szCs w:val="26"/>
              </w:rPr>
              <w:t>r</w:t>
            </w:r>
            <w:r>
              <w:rPr>
                <w:rFonts w:ascii="Book Antiqua" w:eastAsia="Book Antiqua" w:hAnsi="Book Antiqua" w:cs="Book Antiqua"/>
                <w:spacing w:val="-12"/>
                <w:szCs w:val="26"/>
              </w:rPr>
              <w:t xml:space="preserve"> </w:t>
            </w:r>
            <w:r>
              <w:rPr>
                <w:rFonts w:ascii="Book Antiqua" w:eastAsia="Book Antiqua" w:hAnsi="Book Antiqua" w:cs="Book Antiqua"/>
                <w:szCs w:val="26"/>
              </w:rPr>
              <w:t>2018</w:t>
            </w:r>
            <w:r>
              <w:rPr>
                <w:rFonts w:ascii="Book Antiqua" w:eastAsia="Book Antiqua" w:hAnsi="Book Antiqua" w:cs="Book Antiqua"/>
                <w:spacing w:val="-5"/>
                <w:szCs w:val="26"/>
              </w:rPr>
              <w:t xml:space="preserve"> </w:t>
            </w:r>
            <w:r>
              <w:rPr>
                <w:rFonts w:ascii="Book Antiqua" w:eastAsia="Book Antiqua" w:hAnsi="Book Antiqua" w:cs="Book Antiqua"/>
                <w:szCs w:val="26"/>
              </w:rPr>
              <w:t>Su</w:t>
            </w:r>
            <w:r>
              <w:rPr>
                <w:rFonts w:ascii="Book Antiqua" w:eastAsia="Book Antiqua" w:hAnsi="Book Antiqua" w:cs="Book Antiqua"/>
                <w:spacing w:val="1"/>
                <w:szCs w:val="26"/>
              </w:rPr>
              <w:t>b</w:t>
            </w:r>
            <w:r>
              <w:rPr>
                <w:rFonts w:ascii="Book Antiqua" w:eastAsia="Book Antiqua" w:hAnsi="Book Antiqua" w:cs="Book Antiqua"/>
                <w:spacing w:val="-1"/>
                <w:szCs w:val="26"/>
              </w:rPr>
              <w:t>mi</w:t>
            </w:r>
            <w:r>
              <w:rPr>
                <w:rFonts w:ascii="Book Antiqua" w:eastAsia="Book Antiqua" w:hAnsi="Book Antiqua" w:cs="Book Antiqua"/>
                <w:szCs w:val="26"/>
              </w:rPr>
              <w:t>s</w:t>
            </w:r>
            <w:r>
              <w:rPr>
                <w:rFonts w:ascii="Book Antiqua" w:eastAsia="Book Antiqua" w:hAnsi="Book Antiqua" w:cs="Book Antiqua"/>
                <w:spacing w:val="1"/>
                <w:szCs w:val="26"/>
              </w:rPr>
              <w:t>s</w:t>
            </w:r>
            <w:r>
              <w:rPr>
                <w:rFonts w:ascii="Book Antiqua" w:eastAsia="Book Antiqua" w:hAnsi="Book Antiqua" w:cs="Book Antiqua"/>
                <w:spacing w:val="-1"/>
                <w:szCs w:val="26"/>
              </w:rPr>
              <w:t>i</w:t>
            </w:r>
            <w:r>
              <w:rPr>
                <w:rFonts w:ascii="Book Antiqua" w:eastAsia="Book Antiqua" w:hAnsi="Book Antiqua" w:cs="Book Antiqua"/>
                <w:szCs w:val="26"/>
              </w:rPr>
              <w:t>on</w:t>
            </w:r>
            <w:r>
              <w:rPr>
                <w:rFonts w:ascii="Book Antiqua" w:eastAsia="Book Antiqua" w:hAnsi="Book Antiqua" w:cs="Book Antiqua"/>
                <w:spacing w:val="-13"/>
                <w:szCs w:val="26"/>
              </w:rPr>
              <w:t xml:space="preserve"> </w:t>
            </w:r>
            <w:r>
              <w:rPr>
                <w:rFonts w:ascii="Book Antiqua" w:eastAsia="Book Antiqua" w:hAnsi="Book Antiqua" w:cs="Book Antiqua"/>
                <w:szCs w:val="26"/>
              </w:rPr>
              <w:t>of</w:t>
            </w:r>
            <w:r>
              <w:rPr>
                <w:rFonts w:ascii="Book Antiqua" w:eastAsia="Book Antiqua" w:hAnsi="Book Antiqua" w:cs="Book Antiqua"/>
                <w:spacing w:val="-2"/>
                <w:szCs w:val="26"/>
              </w:rPr>
              <w:t xml:space="preserve"> </w:t>
            </w:r>
            <w:r>
              <w:rPr>
                <w:rFonts w:ascii="Book Antiqua" w:eastAsia="Book Antiqua" w:hAnsi="Book Antiqua" w:cs="Book Antiqua"/>
                <w:spacing w:val="1"/>
                <w:szCs w:val="26"/>
              </w:rPr>
              <w:t>Southern California Edison</w:t>
            </w:r>
            <w:r>
              <w:rPr>
                <w:rFonts w:ascii="Book Antiqua" w:eastAsia="Book Antiqua" w:hAnsi="Book Antiqua" w:cs="Book Antiqua"/>
                <w:szCs w:val="26"/>
              </w:rPr>
              <w:t>’s</w:t>
            </w:r>
            <w:r>
              <w:rPr>
                <w:rFonts w:ascii="Book Antiqua" w:eastAsia="Book Antiqua" w:hAnsi="Book Antiqua" w:cs="Book Antiqua"/>
                <w:spacing w:val="-13"/>
                <w:szCs w:val="26"/>
              </w:rPr>
              <w:t xml:space="preserve"> </w:t>
            </w:r>
            <w:r>
              <w:rPr>
                <w:rFonts w:ascii="Book Antiqua" w:eastAsia="Book Antiqua" w:hAnsi="Book Antiqua" w:cs="Book Antiqua"/>
                <w:szCs w:val="26"/>
              </w:rPr>
              <w:t>Risk</w:t>
            </w:r>
            <w:r>
              <w:rPr>
                <w:rFonts w:ascii="Book Antiqua" w:eastAsia="Book Antiqua" w:hAnsi="Book Antiqua" w:cs="Book Antiqua"/>
                <w:spacing w:val="-5"/>
                <w:szCs w:val="26"/>
              </w:rPr>
              <w:t xml:space="preserve"> </w:t>
            </w:r>
            <w:r>
              <w:rPr>
                <w:rFonts w:ascii="Book Antiqua" w:eastAsia="Book Antiqua" w:hAnsi="Book Antiqua" w:cs="Book Antiqua"/>
                <w:szCs w:val="26"/>
              </w:rPr>
              <w:t>Ass</w:t>
            </w:r>
            <w:r>
              <w:rPr>
                <w:rFonts w:ascii="Book Antiqua" w:eastAsia="Book Antiqua" w:hAnsi="Book Antiqua" w:cs="Book Antiqua"/>
                <w:spacing w:val="1"/>
                <w:szCs w:val="26"/>
              </w:rPr>
              <w:t>e</w:t>
            </w:r>
            <w:r>
              <w:rPr>
                <w:rFonts w:ascii="Book Antiqua" w:eastAsia="Book Antiqua" w:hAnsi="Book Antiqua" w:cs="Book Antiqua"/>
                <w:szCs w:val="26"/>
              </w:rPr>
              <w:t>s</w:t>
            </w:r>
            <w:r>
              <w:rPr>
                <w:rFonts w:ascii="Book Antiqua" w:eastAsia="Book Antiqua" w:hAnsi="Book Antiqua" w:cs="Book Antiqua"/>
                <w:spacing w:val="1"/>
                <w:szCs w:val="26"/>
              </w:rPr>
              <w:t>s</w:t>
            </w:r>
            <w:r>
              <w:rPr>
                <w:rFonts w:ascii="Book Antiqua" w:eastAsia="Book Antiqua" w:hAnsi="Book Antiqua" w:cs="Book Antiqua"/>
                <w:spacing w:val="-1"/>
                <w:szCs w:val="26"/>
              </w:rPr>
              <w:t>m</w:t>
            </w:r>
            <w:r>
              <w:rPr>
                <w:rFonts w:ascii="Book Antiqua" w:eastAsia="Book Antiqua" w:hAnsi="Book Antiqua" w:cs="Book Antiqua"/>
                <w:szCs w:val="26"/>
              </w:rPr>
              <w:t>e</w:t>
            </w:r>
            <w:r>
              <w:rPr>
                <w:rFonts w:ascii="Book Antiqua" w:eastAsia="Book Antiqua" w:hAnsi="Book Antiqua" w:cs="Book Antiqua"/>
                <w:spacing w:val="1"/>
                <w:szCs w:val="26"/>
              </w:rPr>
              <w:t>n</w:t>
            </w:r>
            <w:r>
              <w:rPr>
                <w:rFonts w:ascii="Book Antiqua" w:eastAsia="Book Antiqua" w:hAnsi="Book Antiqua" w:cs="Book Antiqua"/>
                <w:szCs w:val="26"/>
              </w:rPr>
              <w:t>t and</w:t>
            </w:r>
            <w:r>
              <w:rPr>
                <w:rFonts w:ascii="Book Antiqua" w:eastAsia="Book Antiqua" w:hAnsi="Book Antiqua" w:cs="Book Antiqua"/>
                <w:spacing w:val="-4"/>
                <w:szCs w:val="26"/>
              </w:rPr>
              <w:t xml:space="preserve"> </w:t>
            </w:r>
            <w:r>
              <w:rPr>
                <w:rFonts w:ascii="Book Antiqua" w:eastAsia="Book Antiqua" w:hAnsi="Book Antiqua" w:cs="Book Antiqua"/>
                <w:szCs w:val="26"/>
              </w:rPr>
              <w:t>M</w:t>
            </w:r>
            <w:r>
              <w:rPr>
                <w:rFonts w:ascii="Book Antiqua" w:eastAsia="Book Antiqua" w:hAnsi="Book Antiqua" w:cs="Book Antiqua"/>
                <w:spacing w:val="-1"/>
                <w:szCs w:val="26"/>
              </w:rPr>
              <w:t>i</w:t>
            </w:r>
            <w:r>
              <w:rPr>
                <w:rFonts w:ascii="Book Antiqua" w:eastAsia="Book Antiqua" w:hAnsi="Book Antiqua" w:cs="Book Antiqua"/>
                <w:szCs w:val="26"/>
              </w:rPr>
              <w:t>t</w:t>
            </w:r>
            <w:r>
              <w:rPr>
                <w:rFonts w:ascii="Book Antiqua" w:eastAsia="Book Antiqua" w:hAnsi="Book Antiqua" w:cs="Book Antiqua"/>
                <w:spacing w:val="-2"/>
                <w:szCs w:val="26"/>
              </w:rPr>
              <w:t>i</w:t>
            </w:r>
            <w:r>
              <w:rPr>
                <w:rFonts w:ascii="Book Antiqua" w:eastAsia="Book Antiqua" w:hAnsi="Book Antiqua" w:cs="Book Antiqua"/>
                <w:szCs w:val="26"/>
              </w:rPr>
              <w:t>gat</w:t>
            </w:r>
            <w:r>
              <w:rPr>
                <w:rFonts w:ascii="Book Antiqua" w:eastAsia="Book Antiqua" w:hAnsi="Book Antiqua" w:cs="Book Antiqua"/>
                <w:spacing w:val="-2"/>
                <w:szCs w:val="26"/>
              </w:rPr>
              <w:t>i</w:t>
            </w:r>
            <w:r>
              <w:rPr>
                <w:rFonts w:ascii="Book Antiqua" w:eastAsia="Book Antiqua" w:hAnsi="Book Antiqua" w:cs="Book Antiqua"/>
                <w:szCs w:val="26"/>
              </w:rPr>
              <w:t>on</w:t>
            </w:r>
            <w:r>
              <w:rPr>
                <w:rFonts w:ascii="Book Antiqua" w:eastAsia="Book Antiqua" w:hAnsi="Book Antiqua" w:cs="Book Antiqua"/>
                <w:spacing w:val="-12"/>
                <w:szCs w:val="26"/>
              </w:rPr>
              <w:t xml:space="preserve"> </w:t>
            </w:r>
            <w:r>
              <w:rPr>
                <w:rFonts w:ascii="Book Antiqua" w:eastAsia="Book Antiqua" w:hAnsi="Book Antiqua" w:cs="Book Antiqua"/>
                <w:szCs w:val="26"/>
              </w:rPr>
              <w:t>Phas</w:t>
            </w:r>
            <w:r>
              <w:rPr>
                <w:rFonts w:ascii="Book Antiqua" w:eastAsia="Book Antiqua" w:hAnsi="Book Antiqua" w:cs="Book Antiqua"/>
                <w:spacing w:val="1"/>
                <w:szCs w:val="26"/>
              </w:rPr>
              <w:t>e</w:t>
            </w:r>
            <w:r>
              <w:rPr>
                <w:rFonts w:ascii="Book Antiqua" w:eastAsia="Book Antiqua" w:hAnsi="Book Antiqua" w:cs="Book Antiqua"/>
                <w:szCs w:val="26"/>
              </w:rPr>
              <w:t>.</w:t>
            </w:r>
          </w:p>
          <w:p w:rsidR="00B80F6A" w:rsidRDefault="00B80F6A"/>
        </w:tc>
        <w:tc>
          <w:tcPr>
            <w:tcW w:w="4770" w:type="dxa"/>
            <w:tcBorders>
              <w:left w:val="nil"/>
            </w:tcBorders>
          </w:tcPr>
          <w:tbl>
            <w:tblPr>
              <w:tblW w:w="0" w:type="auto"/>
              <w:tblLayout w:type="fixed"/>
              <w:tblLook w:val="0000" w:firstRow="0" w:lastRow="0" w:firstColumn="0" w:lastColumn="0" w:noHBand="0" w:noVBand="0"/>
            </w:tblPr>
            <w:tblGrid>
              <w:gridCol w:w="4320"/>
            </w:tblGrid>
            <w:tr w:rsidR="001E47AD" w:rsidTr="000A7C7D">
              <w:tblPrEx>
                <w:tblCellMar>
                  <w:top w:w="0" w:type="dxa"/>
                  <w:bottom w:w="0" w:type="dxa"/>
                </w:tblCellMar>
              </w:tblPrEx>
              <w:tc>
                <w:tcPr>
                  <w:tcW w:w="4320" w:type="dxa"/>
                  <w:tcBorders>
                    <w:left w:val="nil"/>
                  </w:tcBorders>
                </w:tcPr>
                <w:p w:rsidR="001E47AD" w:rsidRDefault="001E47AD" w:rsidP="001E47AD">
                  <w:pPr>
                    <w:jc w:val="center"/>
                  </w:pPr>
                  <w:r>
                    <w:t>FILED</w:t>
                  </w:r>
                </w:p>
                <w:p w:rsidR="001E47AD" w:rsidRDefault="001E47AD" w:rsidP="001E47AD">
                  <w:pPr>
                    <w:jc w:val="center"/>
                  </w:pPr>
                  <w:r>
                    <w:t xml:space="preserve">PUBLIC UTILITIES COMMISSION </w:t>
                  </w:r>
                </w:p>
                <w:p w:rsidR="001E47AD" w:rsidRDefault="001E47AD" w:rsidP="001E47AD">
                  <w:pPr>
                    <w:jc w:val="center"/>
                  </w:pPr>
                  <w:r>
                    <w:t>NOVEMBER 8, 2018</w:t>
                  </w:r>
                </w:p>
                <w:p w:rsidR="001E47AD" w:rsidRDefault="001E47AD" w:rsidP="001E47AD">
                  <w:pPr>
                    <w:jc w:val="center"/>
                  </w:pPr>
                  <w:r>
                    <w:t>FRESNO</w:t>
                  </w:r>
                  <w:r>
                    <w:t>, CALIFORNIA</w:t>
                  </w:r>
                </w:p>
                <w:p w:rsidR="001E47AD" w:rsidRDefault="001E47AD" w:rsidP="001E47AD">
                  <w:pPr>
                    <w:jc w:val="center"/>
                  </w:pPr>
                  <w:r>
                    <w:t>INVESTIGATION 18-11-006</w:t>
                  </w:r>
                </w:p>
              </w:tc>
            </w:tr>
          </w:tbl>
          <w:p w:rsidR="001D245E" w:rsidRDefault="001D245E">
            <w:pPr>
              <w:jc w:val="center"/>
            </w:pPr>
          </w:p>
        </w:tc>
      </w:tr>
    </w:tbl>
    <w:p w:rsidR="00B80F6A" w:rsidRDefault="00B80F6A">
      <w:pPr>
        <w:suppressAutoHyphens/>
      </w:pPr>
    </w:p>
    <w:p w:rsidR="00B80F6A" w:rsidRDefault="00B80F6A"/>
    <w:p w:rsidR="001D245E" w:rsidRPr="00941972" w:rsidRDefault="001D245E" w:rsidP="001D245E">
      <w:pPr>
        <w:pStyle w:val="main"/>
      </w:pPr>
      <w:r w:rsidRPr="00941972">
        <w:t>ORDER INSTITUTING INVESTIGATION INTO THE RISK ASSESSMENT AND MITIGATION PHASE SUBMISSION OF SOUTHERN CALIFORNIA EDISON COMPANY</w:t>
      </w:r>
    </w:p>
    <w:p w:rsidR="00B80F6A" w:rsidRDefault="00B80F6A">
      <w:pPr>
        <w:pStyle w:val="main"/>
      </w:pPr>
    </w:p>
    <w:p w:rsidR="00B80F6A" w:rsidRDefault="00B80F6A">
      <w:pPr>
        <w:suppressAutoHyphens/>
      </w:pPr>
    </w:p>
    <w:p w:rsidR="00B80F6A" w:rsidRDefault="00B80F6A">
      <w:pPr>
        <w:pStyle w:val="Heading1"/>
        <w:spacing w:before="0" w:after="0" w:line="360" w:lineRule="auto"/>
      </w:pPr>
      <w:bookmarkStart w:id="1" w:name="_Toc370798910"/>
      <w:r>
        <w:t>Summary</w:t>
      </w:r>
      <w:bookmarkEnd w:id="1"/>
    </w:p>
    <w:p w:rsidR="00D63C8F" w:rsidRDefault="001D245E" w:rsidP="001D245E">
      <w:pPr>
        <w:pStyle w:val="standard"/>
      </w:pPr>
      <w:r w:rsidRPr="00941972">
        <w:t>This Order Instituting Investigation (OII or Investigation) is being opened in accordance with the procedures adopted in Decision (D.) 14-12-025 and</w:t>
      </w:r>
      <w:r>
        <w:t xml:space="preserve"> </w:t>
      </w:r>
    </w:p>
    <w:p w:rsidR="001D245E" w:rsidRPr="00941972" w:rsidRDefault="001D245E" w:rsidP="00D63C8F">
      <w:pPr>
        <w:pStyle w:val="standard"/>
        <w:ind w:firstLine="0"/>
      </w:pPr>
      <w:r w:rsidRPr="00941972">
        <w:t>D.16-08-018 to review the Risk Assessment and Mitigation Phase (RAMP)</w:t>
      </w:r>
      <w:r>
        <w:t xml:space="preserve"> </w:t>
      </w:r>
      <w:r w:rsidRPr="00941972">
        <w:t xml:space="preserve">submission of Southern California Edison (SCE). </w:t>
      </w:r>
      <w:r w:rsidR="00D63C8F">
        <w:t xml:space="preserve"> </w:t>
      </w:r>
      <w:r w:rsidRPr="00941972">
        <w:t>On August 29, 2018, SCE</w:t>
      </w:r>
      <w:r>
        <w:t xml:space="preserve"> </w:t>
      </w:r>
      <w:r w:rsidRPr="00941972">
        <w:t>requested in a letter to the Commission’s Executive Director that this OII be initiated.</w:t>
      </w:r>
    </w:p>
    <w:p w:rsidR="00F46B03" w:rsidRDefault="001D245E" w:rsidP="001D245E">
      <w:pPr>
        <w:pStyle w:val="standard"/>
      </w:pPr>
      <w:r w:rsidRPr="00941972">
        <w:t xml:space="preserve">Under the procedures adopted in D.14-12-025 and D.16-08-018, SCE is required to file its RAMP submission in this OII. </w:t>
      </w:r>
      <w:r w:rsidR="0042431F">
        <w:t xml:space="preserve"> </w:t>
      </w:r>
      <w:r w:rsidRPr="00941972">
        <w:t xml:space="preserve">The Commission’s Safety and Enforcement Division (SED) will evaluate SCE’s RAMP submission in this OII for consistency and compliance with SCE’s Safety Model Assessment Proceeding </w:t>
      </w:r>
    </w:p>
    <w:p w:rsidR="00BE3125" w:rsidRDefault="001D245E" w:rsidP="00F46B03">
      <w:pPr>
        <w:pStyle w:val="standard"/>
        <w:ind w:firstLine="0"/>
      </w:pPr>
      <w:r w:rsidRPr="00941972">
        <w:t xml:space="preserve">(S-MAP), and prepare a report. </w:t>
      </w:r>
      <w:r w:rsidR="00F46B03">
        <w:t xml:space="preserve"> </w:t>
      </w:r>
      <w:r w:rsidRPr="00941972">
        <w:t xml:space="preserve">The parties to this proceeding will then have an opportunity to comment on SCE’s RAMP submission and on SED’s report. </w:t>
      </w:r>
      <w:r w:rsidR="00F46B03">
        <w:t xml:space="preserve"> </w:t>
      </w:r>
    </w:p>
    <w:p w:rsidR="001D245E" w:rsidRDefault="001D245E" w:rsidP="00F46B03">
      <w:pPr>
        <w:pStyle w:val="standard"/>
        <w:ind w:firstLine="0"/>
      </w:pPr>
      <w:r w:rsidRPr="00941972">
        <w:t>The RAMP filing and comment process will then form the basis of SCE’s assessment of its safety risks in its general rate case filing</w:t>
      </w:r>
      <w:r>
        <w:t>.</w:t>
      </w:r>
    </w:p>
    <w:p w:rsidR="001D245E" w:rsidRPr="00941972" w:rsidRDefault="001D245E" w:rsidP="008F7EA9">
      <w:pPr>
        <w:pStyle w:val="Heading1"/>
        <w:numPr>
          <w:ilvl w:val="0"/>
          <w:numId w:val="4"/>
        </w:numPr>
        <w:ind w:left="360"/>
      </w:pPr>
      <w:r w:rsidRPr="00941972">
        <w:lastRenderedPageBreak/>
        <w:t>Background and Procedural History</w:t>
      </w:r>
    </w:p>
    <w:p w:rsidR="001D245E" w:rsidRPr="00941972" w:rsidRDefault="001D245E" w:rsidP="001D245E">
      <w:pPr>
        <w:pStyle w:val="standard"/>
      </w:pPr>
      <w:r w:rsidRPr="00941972">
        <w:t>In Decision (D.) 14-12-025, the Commission adopted a risk-based decision-making framework into the Rate Case Plan (RCP) for the energy</w:t>
      </w:r>
      <w:r>
        <w:t xml:space="preserve"> </w:t>
      </w:r>
      <w:r w:rsidRPr="00941972">
        <w:t xml:space="preserve">utilities’ General Rate Cases (GRCs). </w:t>
      </w:r>
      <w:r w:rsidR="004A780B">
        <w:t xml:space="preserve"> </w:t>
      </w:r>
      <w:r w:rsidRPr="00941972">
        <w:t>This risk-based decision-making framework was developed as a result of Senate Bill (SB) 705 (Statutes of 2011, Chapter 522), which declared in Public Utilities Code Section 963(b)(3):</w:t>
      </w:r>
    </w:p>
    <w:p w:rsidR="001D245E" w:rsidRPr="00941972" w:rsidRDefault="001D245E" w:rsidP="00C943C5">
      <w:pPr>
        <w:pStyle w:val="standard"/>
        <w:spacing w:line="240" w:lineRule="auto"/>
        <w:ind w:left="720" w:right="1440" w:firstLine="0"/>
      </w:pPr>
      <w:r w:rsidRPr="00941972">
        <w:t>It is the policy of the state that the commission and each gas corporation place safety of the public and gas corporation employees as the top priority. The commission shall take all reasonable and appropriate actions necessary to carry out the safety priority policy of this paragraph consistent with the principle of just and reasonable cost-based rates.</w:t>
      </w:r>
    </w:p>
    <w:p w:rsidR="001D245E" w:rsidRPr="00941972" w:rsidRDefault="001D245E" w:rsidP="001D245E">
      <w:pPr>
        <w:pStyle w:val="standard"/>
        <w:spacing w:before="240"/>
      </w:pPr>
      <w:r w:rsidRPr="00941972">
        <w:t>In SB 900 (Statutes of 2014, Chapter 552), Public Utilities Code Section 750 was added which directed the Commission to “develop formal procedures to consider safety in a rate case application by an electrical corporation or gas corporation.”</w:t>
      </w:r>
    </w:p>
    <w:p w:rsidR="00764A97" w:rsidRDefault="001D245E" w:rsidP="001D245E">
      <w:pPr>
        <w:pStyle w:val="standard"/>
      </w:pPr>
      <w:r w:rsidRPr="00941972">
        <w:t xml:space="preserve">As a result of these directives, D.14-12-025 adopted a risk-based </w:t>
      </w:r>
    </w:p>
    <w:p w:rsidR="001D245E" w:rsidRPr="00941972" w:rsidRDefault="001D245E" w:rsidP="00764A97">
      <w:pPr>
        <w:pStyle w:val="standard"/>
        <w:ind w:firstLine="0"/>
      </w:pPr>
      <w:r w:rsidRPr="00941972">
        <w:t>decision-making framework for the large energy utilities. This framework consists of the following:</w:t>
      </w:r>
    </w:p>
    <w:p w:rsidR="001D245E" w:rsidRDefault="001D245E" w:rsidP="00D25C04">
      <w:pPr>
        <w:pStyle w:val="standard"/>
        <w:spacing w:after="240" w:line="240" w:lineRule="auto"/>
        <w:ind w:left="720" w:right="1440" w:firstLine="0"/>
      </w:pPr>
      <w:r w:rsidRPr="00941972">
        <w:t>For the large energy utilities, this will take place through two new procedures, which feed into the GRC applications in which the utilities request funding for such safety-related activities. These two procedures are: (1) the filing of a Safety Model Assessment Proceeding (S-MAP) by each of the large energy utilities, which are to be consolidated; and (2) a subsequent Risk Assessment Mitigation Phase (RAMP) filing in an Order Instituting Investigation</w:t>
      </w:r>
      <w:r w:rsidR="001A3F97">
        <w:t xml:space="preserve"> (OII)</w:t>
      </w:r>
      <w:r w:rsidRPr="00941972">
        <w:t xml:space="preserve"> for the upcoming GRC wherein the large energy utility files its RAMP in the S-MAP reporting format describing how it plans to assess its risks, and to mitigate and minimize such risks. The RAMP submission, as clarified or modified in the RAMP proceeding, will then be incorporated into the large</w:t>
      </w:r>
      <w:r>
        <w:t xml:space="preserve"> </w:t>
      </w:r>
      <w:r w:rsidRPr="00941972">
        <w:t>energy utility’s GRC filing. (D.14-12-025, at 2-3.)</w:t>
      </w:r>
    </w:p>
    <w:p w:rsidR="001D245E" w:rsidRPr="00941972" w:rsidRDefault="001D245E" w:rsidP="001D245E">
      <w:pPr>
        <w:pStyle w:val="standard"/>
      </w:pPr>
      <w:r w:rsidRPr="00941972">
        <w:lastRenderedPageBreak/>
        <w:t xml:space="preserve">The S-MAP applications, and the format of the RAMP submissions were adjudicated in D.16-08-018. </w:t>
      </w:r>
      <w:r w:rsidR="00247DF1">
        <w:t xml:space="preserve"> </w:t>
      </w:r>
      <w:r w:rsidRPr="00941972">
        <w:t>Among other things, D.16-08-018 adopted on an interim basis a multi-attribute approach, which potentially relies on utility equivalent features, to implement the use of probabilistic modeling to assess and manage risks.</w:t>
      </w:r>
      <w:r>
        <w:rPr>
          <w:rStyle w:val="FootnoteReference"/>
        </w:rPr>
        <w:footnoteReference w:id="2"/>
      </w:r>
      <w:r w:rsidRPr="00941972">
        <w:t xml:space="preserve">   In addition, D.16-08-018 adopted guidelines for what the RAMP submissions should include, as well as an evaluation method to evaluate the RAMP submissions.</w:t>
      </w:r>
    </w:p>
    <w:p w:rsidR="001D245E" w:rsidRPr="00941972" w:rsidRDefault="001D245E" w:rsidP="001D245E">
      <w:pPr>
        <w:pStyle w:val="standard"/>
      </w:pPr>
      <w:r w:rsidRPr="00941972">
        <w:t>In accordance with the procedure set forth in D.14-12-025, Southern California Edison‘s (SCE’s) August 29, 2018, letter requests that the Commission initiate an OII in connection with SCE’s upcoming Test Year 2021 GRC application, so that SCE has a proceeding in which it can submit its RAMP for filing.</w:t>
      </w:r>
    </w:p>
    <w:p w:rsidR="001D245E" w:rsidRPr="00941972" w:rsidRDefault="001D245E" w:rsidP="00C35623">
      <w:pPr>
        <w:pStyle w:val="Heading1"/>
        <w:keepLines/>
        <w:numPr>
          <w:ilvl w:val="0"/>
          <w:numId w:val="4"/>
        </w:numPr>
        <w:ind w:left="360"/>
      </w:pPr>
      <w:r w:rsidRPr="00941972">
        <w:t>Opening of OII</w:t>
      </w:r>
    </w:p>
    <w:p w:rsidR="00C35623" w:rsidRDefault="001D245E" w:rsidP="00C35623">
      <w:pPr>
        <w:pStyle w:val="standard"/>
        <w:keepNext/>
        <w:keepLines/>
      </w:pPr>
      <w:r w:rsidRPr="00941972">
        <w:t>In accordance with the procedures adopted in D.14-12-025 and</w:t>
      </w:r>
      <w:r>
        <w:t xml:space="preserve"> </w:t>
      </w:r>
    </w:p>
    <w:p w:rsidR="001D245E" w:rsidRDefault="001D245E" w:rsidP="00C35623">
      <w:pPr>
        <w:pStyle w:val="standard"/>
        <w:keepNext/>
        <w:keepLines/>
        <w:ind w:firstLine="0"/>
      </w:pPr>
      <w:r w:rsidRPr="00941972">
        <w:t>D.16-08-018, this OII is being opened as the proceeding in which SCE’s RAMP</w:t>
      </w:r>
      <w:r>
        <w:t xml:space="preserve"> </w:t>
      </w:r>
      <w:r w:rsidRPr="00941972">
        <w:t>submission can be filed.</w:t>
      </w:r>
    </w:p>
    <w:p w:rsidR="001D245E" w:rsidRPr="00941972" w:rsidRDefault="001D245E" w:rsidP="001D245E">
      <w:pPr>
        <w:pStyle w:val="standard"/>
      </w:pPr>
      <w:r w:rsidRPr="00941972">
        <w:t>In this OII, we intend to carry out the procedures described in D.14-12-025 of having a forum in which to evaluate SCE’s RAMP submission.</w:t>
      </w:r>
      <w:r w:rsidR="003C7D27">
        <w:t xml:space="preserve">  </w:t>
      </w:r>
      <w:r w:rsidRPr="00941972">
        <w:t>This submission is to address the risk assessment approach that SCE plans to use in its upcoming Test Year 2021 GRC application.</w:t>
      </w:r>
      <w:r w:rsidR="0087651F">
        <w:t xml:space="preserve"> </w:t>
      </w:r>
      <w:r w:rsidRPr="00941972">
        <w:t xml:space="preserve"> SCE’s RAMP submission i</w:t>
      </w:r>
      <w:r>
        <w:t xml:space="preserve">s </w:t>
      </w:r>
      <w:r w:rsidRPr="00941972">
        <w:t>to use the risk assessment methods and RAMP guidelines as directed in</w:t>
      </w:r>
      <w:r>
        <w:t xml:space="preserve"> </w:t>
      </w:r>
      <w:r w:rsidRPr="00941972">
        <w:t>D.16-08-018.</w:t>
      </w:r>
    </w:p>
    <w:p w:rsidR="001D245E" w:rsidRPr="00941972" w:rsidRDefault="001D245E" w:rsidP="001D245E">
      <w:pPr>
        <w:pStyle w:val="standard"/>
      </w:pPr>
      <w:r w:rsidRPr="00941972">
        <w:lastRenderedPageBreak/>
        <w:t xml:space="preserve">As described in D.14-12-025 and D.16-08-018, we contemplate the following to occur in this OII: </w:t>
      </w:r>
      <w:r w:rsidR="004D262A">
        <w:t xml:space="preserve"> </w:t>
      </w:r>
      <w:r w:rsidRPr="00941972">
        <w:t>(1) SCE will file its RAMP submission in this OII by November 30, 2018; (2) a prehearing conference (PHC) in this OII will be held by December 18, 2018;</w:t>
      </w:r>
      <w:r>
        <w:rPr>
          <w:rStyle w:val="FootnoteReference"/>
        </w:rPr>
        <w:footnoteReference w:id="3"/>
      </w:r>
      <w:r w:rsidRPr="00941972">
        <w:t xml:space="preserve"> (3) by December 20, 2018, SCE and the Commission’s Safety and Enforcement Division (SED) will hold a public workshop on SCE’s RAMP submission; (4) by March 15, 2019, SED will submit a staff report on SCE’s RAMP submission; (5) by March 29, 2019, SED will hold a public workshop on SED’s staff report; (6) by April 19, 2019, other parties may file and serve comments on SCE’s RAMP submission, and on SED’s staff report; (7) between April and May of 2019, additional workshops may be held on RAMP-related items if needed; (8) between May and August 2019, SCE incorporates RAMP results into its Test Year 2021 GRC filing; (9) by September 2, 2019, SCE files its Test Year 2021 GRC application and serves prepared testimony including changes resulting from the RAMP process; and (10) by November 1, 2019, a PHC is to be held in SCE’s Test Year 2021 GRC application, and a discussion or comments on whether this OII should be consolidated with the GRC proceeding will take place at that time or shortly thereafter.</w:t>
      </w:r>
    </w:p>
    <w:p w:rsidR="00EA35C8" w:rsidRDefault="001D245E" w:rsidP="001D245E">
      <w:pPr>
        <w:pStyle w:val="standard"/>
      </w:pPr>
      <w:r w:rsidRPr="00941972">
        <w:t xml:space="preserve">As described in D.14-12-025, no decision will be issued in the OII. </w:t>
      </w:r>
      <w:r w:rsidR="00DB10DF">
        <w:t xml:space="preserve"> </w:t>
      </w:r>
      <w:r w:rsidRPr="00941972">
        <w:t>We</w:t>
      </w:r>
      <w:r>
        <w:t xml:space="preserve"> </w:t>
      </w:r>
      <w:r w:rsidRPr="00941972">
        <w:t>anticipate that a decision closing out the OII will be issued as part of a decision</w:t>
      </w:r>
      <w:r>
        <w:t xml:space="preserve"> </w:t>
      </w:r>
      <w:r w:rsidRPr="00941972">
        <w:t>issued in the consolidated proceedings of this OII and SCE’s Test Year 2021</w:t>
      </w:r>
      <w:r>
        <w:t xml:space="preserve"> </w:t>
      </w:r>
    </w:p>
    <w:p w:rsidR="001D245E" w:rsidRPr="00941972" w:rsidRDefault="001D245E" w:rsidP="00EA35C8">
      <w:pPr>
        <w:pStyle w:val="standard"/>
        <w:ind w:firstLine="0"/>
      </w:pPr>
      <w:r w:rsidRPr="00941972">
        <w:t>GRC proceeding.</w:t>
      </w:r>
    </w:p>
    <w:p w:rsidR="001D245E" w:rsidRPr="00941972" w:rsidRDefault="001D245E" w:rsidP="001C1945">
      <w:pPr>
        <w:pStyle w:val="Heading1"/>
        <w:numPr>
          <w:ilvl w:val="0"/>
          <w:numId w:val="4"/>
        </w:numPr>
        <w:ind w:left="360"/>
      </w:pPr>
      <w:r w:rsidRPr="00941972">
        <w:lastRenderedPageBreak/>
        <w:t>Preliminary Scoping Memo</w:t>
      </w:r>
    </w:p>
    <w:p w:rsidR="001D245E" w:rsidRPr="00941972" w:rsidRDefault="001D245E" w:rsidP="001D245E">
      <w:pPr>
        <w:pStyle w:val="standard"/>
      </w:pPr>
      <w:r w:rsidRPr="00941972">
        <w:t>As required by Rule 7.1(d) of the Commission’s Rules of Practice and Procedure,</w:t>
      </w:r>
      <w:r>
        <w:rPr>
          <w:rStyle w:val="FootnoteReference"/>
        </w:rPr>
        <w:footnoteReference w:id="4"/>
      </w:r>
      <w:r w:rsidRPr="00941972">
        <w:t xml:space="preserve"> today’s OII includes a preliminary scope of the issues to be considered in this proceeding. </w:t>
      </w:r>
      <w:r w:rsidR="00D12E7E">
        <w:t xml:space="preserve"> </w:t>
      </w:r>
      <w:r w:rsidRPr="00941972">
        <w:t xml:space="preserve">These issues include, but are not limited to, an evaluation of SCE’s assessment of its key safety risks and proposed mitigation of those risks for its upcoming GRC filing, and a review of SCE’s RAMP submission for consistency and compliance with the S-MAP as described in D.16-08-018. </w:t>
      </w:r>
      <w:r w:rsidR="008E733C">
        <w:t xml:space="preserve"> </w:t>
      </w:r>
      <w:r w:rsidRPr="00941972">
        <w:t>This evaluation and review is to include a report by SED on SCE’s RAMP submission, comments by the parties on SCE’s RAMP submission and SED’s report, and one or more workshops.</w:t>
      </w:r>
    </w:p>
    <w:p w:rsidR="001D245E" w:rsidRPr="00941972" w:rsidRDefault="001D245E" w:rsidP="003B7A86">
      <w:pPr>
        <w:pStyle w:val="Heading1"/>
        <w:numPr>
          <w:ilvl w:val="0"/>
          <w:numId w:val="4"/>
        </w:numPr>
        <w:ind w:left="360"/>
      </w:pPr>
      <w:r w:rsidRPr="00941972">
        <w:t xml:space="preserve">Categorization and </w:t>
      </w:r>
      <w:r w:rsidRPr="00941972">
        <w:rPr>
          <w:i/>
        </w:rPr>
        <w:t xml:space="preserve">Ex Parte </w:t>
      </w:r>
      <w:r w:rsidRPr="00941972">
        <w:t>Communications</w:t>
      </w:r>
    </w:p>
    <w:p w:rsidR="001D245E" w:rsidRPr="00941972" w:rsidRDefault="001D245E" w:rsidP="001D245E">
      <w:pPr>
        <w:pStyle w:val="standard"/>
      </w:pPr>
      <w:r w:rsidRPr="00941972">
        <w:t>Pursuant to Rule 7.1(d), we preliminarily determine the category of this rulemaking proceeding to be ratesetting as that term is defined in Rule 1.3(e).</w:t>
      </w:r>
    </w:p>
    <w:p w:rsidR="001D245E" w:rsidRPr="00941972" w:rsidRDefault="001D245E" w:rsidP="00B37D04">
      <w:pPr>
        <w:pStyle w:val="standard"/>
      </w:pPr>
      <w:r w:rsidRPr="00941972">
        <w:t xml:space="preserve">At this time we do not anticipate holding evidentiary hearings. </w:t>
      </w:r>
      <w:r w:rsidR="00B37D04">
        <w:t xml:space="preserve"> </w:t>
      </w:r>
      <w:r w:rsidRPr="00941972">
        <w:t>However,</w:t>
      </w:r>
      <w:r>
        <w:t xml:space="preserve"> </w:t>
      </w:r>
      <w:r w:rsidRPr="00941972">
        <w:t>parties will have the opportunity to comment on the necessity for hearings in the context of this OII, and we may re-evaluate the need for hearings after parties have submitted comments.</w:t>
      </w:r>
    </w:p>
    <w:p w:rsidR="001D245E" w:rsidRDefault="001D245E" w:rsidP="00B37D04">
      <w:pPr>
        <w:pStyle w:val="standard"/>
      </w:pPr>
      <w:r w:rsidRPr="00941972">
        <w:rPr>
          <w:i/>
        </w:rPr>
        <w:t xml:space="preserve">Ex parte </w:t>
      </w:r>
      <w:r w:rsidRPr="00941972">
        <w:t xml:space="preserve">communications regarding the OII are subject to the </w:t>
      </w:r>
      <w:r w:rsidRPr="00941972">
        <w:rPr>
          <w:i/>
        </w:rPr>
        <w:t xml:space="preserve">ex parte </w:t>
      </w:r>
      <w:r w:rsidRPr="00941972">
        <w:t>rules</w:t>
      </w:r>
      <w:r>
        <w:t xml:space="preserve">. </w:t>
      </w:r>
    </w:p>
    <w:p w:rsidR="001D245E" w:rsidRPr="00A45C09" w:rsidRDefault="001D245E" w:rsidP="00D114D3">
      <w:pPr>
        <w:pStyle w:val="Heading1"/>
        <w:keepLines/>
        <w:numPr>
          <w:ilvl w:val="0"/>
          <w:numId w:val="4"/>
        </w:numPr>
        <w:spacing w:before="0" w:after="0" w:line="360" w:lineRule="auto"/>
        <w:ind w:left="360"/>
      </w:pPr>
      <w:r w:rsidRPr="00A45C09">
        <w:lastRenderedPageBreak/>
        <w:t>Schedule</w:t>
      </w:r>
    </w:p>
    <w:p w:rsidR="001D245E" w:rsidRPr="00A45C09" w:rsidRDefault="001D245E" w:rsidP="00D114D3">
      <w:pPr>
        <w:pStyle w:val="standard"/>
        <w:keepNext/>
        <w:keepLines/>
      </w:pPr>
      <w:r w:rsidRPr="00A45C09">
        <w:t>The following is the schedule that we anticipate will be followed for this</w:t>
      </w:r>
      <w:r>
        <w:t xml:space="preserve"> </w:t>
      </w:r>
      <w:r w:rsidRPr="00A45C09">
        <w:t>OII.</w:t>
      </w:r>
    </w:p>
    <w:tbl>
      <w:tblPr>
        <w:tblW w:w="9578" w:type="dxa"/>
        <w:tblLayout w:type="fixed"/>
        <w:tblCellMar>
          <w:left w:w="0" w:type="dxa"/>
          <w:right w:w="0" w:type="dxa"/>
        </w:tblCellMar>
        <w:tblLook w:val="01E0" w:firstRow="1" w:lastRow="1" w:firstColumn="1" w:lastColumn="1" w:noHBand="0" w:noVBand="0"/>
      </w:tblPr>
      <w:tblGrid>
        <w:gridCol w:w="3169"/>
        <w:gridCol w:w="6409"/>
      </w:tblGrid>
      <w:tr w:rsidR="001D245E" w:rsidRPr="00A45C09" w:rsidTr="00EA7D1F">
        <w:trPr>
          <w:trHeight w:hRule="exact" w:val="449"/>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D114D3">
            <w:pPr>
              <w:keepNext/>
              <w:keepLines/>
              <w:spacing w:before="56"/>
              <w:ind w:left="1267" w:right="1271"/>
              <w:jc w:val="center"/>
              <w:rPr>
                <w:rFonts w:ascii="Book Antiqua" w:eastAsia="Book Antiqua" w:hAnsi="Book Antiqua" w:cs="Book Antiqua"/>
                <w:spacing w:val="1"/>
                <w:w w:val="99"/>
                <w:szCs w:val="26"/>
              </w:rPr>
            </w:pPr>
            <w:r w:rsidRPr="00A45C09">
              <w:rPr>
                <w:rFonts w:ascii="Book Antiqua" w:eastAsia="Book Antiqua" w:hAnsi="Book Antiqua" w:cs="Book Antiqua"/>
                <w:spacing w:val="1"/>
                <w:w w:val="99"/>
                <w:szCs w:val="26"/>
              </w:rPr>
              <w:t>Date</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D114D3">
            <w:pPr>
              <w:keepNext/>
              <w:keepLines/>
              <w:spacing w:before="56"/>
              <w:ind w:left="1267" w:right="1271"/>
              <w:jc w:val="center"/>
              <w:rPr>
                <w:rFonts w:ascii="Book Antiqua" w:eastAsia="Book Antiqua" w:hAnsi="Book Antiqua" w:cs="Book Antiqua"/>
                <w:spacing w:val="1"/>
                <w:w w:val="99"/>
                <w:szCs w:val="26"/>
              </w:rPr>
            </w:pPr>
            <w:r w:rsidRPr="00A45C09">
              <w:rPr>
                <w:rFonts w:ascii="Book Antiqua" w:eastAsia="Book Antiqua" w:hAnsi="Book Antiqua" w:cs="Book Antiqua"/>
                <w:spacing w:val="1"/>
                <w:w w:val="99"/>
                <w:szCs w:val="26"/>
              </w:rPr>
              <w:t>Activity</w:t>
            </w:r>
          </w:p>
        </w:tc>
      </w:tr>
      <w:tr w:rsidR="001D245E" w:rsidRPr="00A45C09" w:rsidTr="00EA7D1F">
        <w:trPr>
          <w:trHeight w:hRule="exact" w:val="449"/>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D114D3">
            <w:pPr>
              <w:keepNext/>
              <w:keepLines/>
              <w:spacing w:before="56"/>
              <w:ind w:left="102"/>
              <w:rPr>
                <w:rFonts w:ascii="Book Antiqua" w:eastAsia="Book Antiqua" w:hAnsi="Book Antiqua" w:cs="Book Antiqua"/>
                <w:szCs w:val="26"/>
              </w:rPr>
            </w:pPr>
            <w:r w:rsidRPr="00A45C09">
              <w:rPr>
                <w:rFonts w:ascii="Book Antiqua" w:eastAsia="Book Antiqua" w:hAnsi="Book Antiqua" w:cs="Book Antiqua"/>
                <w:szCs w:val="26"/>
              </w:rPr>
              <w:t>November 8, 2018</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D114D3">
            <w:pPr>
              <w:keepNext/>
              <w:keepLines/>
              <w:spacing w:before="56"/>
              <w:ind w:left="102"/>
              <w:rPr>
                <w:rFonts w:ascii="Book Antiqua" w:eastAsia="Book Antiqua" w:hAnsi="Book Antiqua" w:cs="Book Antiqua"/>
                <w:szCs w:val="26"/>
              </w:rPr>
            </w:pPr>
            <w:r w:rsidRPr="00A45C09">
              <w:rPr>
                <w:rFonts w:ascii="Book Antiqua" w:eastAsia="Book Antiqua" w:hAnsi="Book Antiqua" w:cs="Book Antiqua"/>
                <w:szCs w:val="26"/>
              </w:rPr>
              <w:t>OII for SCE’s upcoming GRC initiated.</w:t>
            </w:r>
          </w:p>
        </w:tc>
      </w:tr>
      <w:tr w:rsidR="001D245E" w:rsidRPr="00A45C09" w:rsidTr="00EA7D1F">
        <w:trPr>
          <w:trHeight w:hRule="exact" w:val="768"/>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D114D3">
            <w:pPr>
              <w:keepNext/>
              <w:keepLines/>
              <w:spacing w:before="56"/>
              <w:ind w:left="102"/>
              <w:rPr>
                <w:rFonts w:ascii="Book Antiqua" w:eastAsia="Book Antiqua" w:hAnsi="Book Antiqua" w:cs="Book Antiqua"/>
                <w:szCs w:val="26"/>
              </w:rPr>
            </w:pPr>
            <w:r w:rsidRPr="00A45C09">
              <w:rPr>
                <w:rFonts w:ascii="Book Antiqua" w:eastAsia="Book Antiqua" w:hAnsi="Book Antiqua" w:cs="Book Antiqua"/>
                <w:szCs w:val="26"/>
              </w:rPr>
              <w:t>November 30, 2018</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D114D3">
            <w:pPr>
              <w:keepNext/>
              <w:keepLines/>
              <w:spacing w:after="120"/>
              <w:ind w:left="101"/>
              <w:rPr>
                <w:rFonts w:ascii="Book Antiqua" w:eastAsia="Book Antiqua" w:hAnsi="Book Antiqua" w:cs="Book Antiqua"/>
                <w:szCs w:val="26"/>
              </w:rPr>
            </w:pPr>
            <w:r w:rsidRPr="00A45C09">
              <w:rPr>
                <w:rFonts w:ascii="Book Antiqua" w:eastAsia="Book Antiqua" w:hAnsi="Book Antiqua" w:cs="Book Antiqua"/>
                <w:szCs w:val="26"/>
              </w:rPr>
              <w:t>SCE to file its RAMP submission in the OII as required by D.14-12-025 and D.16-08-018.</w:t>
            </w:r>
          </w:p>
        </w:tc>
      </w:tr>
      <w:tr w:rsidR="001D245E" w:rsidRPr="00A45C09" w:rsidTr="00EA7D1F">
        <w:trPr>
          <w:trHeight w:hRule="exact" w:val="1088"/>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 xml:space="preserve">December 18, 2018 at </w:t>
            </w:r>
          </w:p>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10:00 a.m.</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EA7D1F">
            <w:pPr>
              <w:spacing w:after="120"/>
              <w:ind w:left="101"/>
              <w:rPr>
                <w:rFonts w:ascii="Book Antiqua" w:eastAsia="Book Antiqua" w:hAnsi="Book Antiqua" w:cs="Book Antiqua"/>
                <w:szCs w:val="26"/>
              </w:rPr>
            </w:pPr>
            <w:r w:rsidRPr="00A45C09">
              <w:rPr>
                <w:rFonts w:ascii="Book Antiqua" w:eastAsia="Book Antiqua" w:hAnsi="Book Antiqua" w:cs="Book Antiqua"/>
                <w:szCs w:val="26"/>
              </w:rPr>
              <w:t>Prehearing conference to be held at the Commission’s hearing room in San Francisco. Assigned ALJ to confirm date and time.</w:t>
            </w:r>
          </w:p>
        </w:tc>
      </w:tr>
      <w:tr w:rsidR="001D245E" w:rsidRPr="00A45C09" w:rsidTr="00EA7D1F">
        <w:trPr>
          <w:trHeight w:hRule="exact" w:val="768"/>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By December 20, 2018</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EA7D1F">
            <w:pPr>
              <w:ind w:left="101"/>
              <w:rPr>
                <w:rFonts w:ascii="Book Antiqua" w:eastAsia="Book Antiqua" w:hAnsi="Book Antiqua" w:cs="Book Antiqua"/>
                <w:szCs w:val="26"/>
              </w:rPr>
            </w:pPr>
            <w:r w:rsidRPr="00A45C09">
              <w:rPr>
                <w:rFonts w:ascii="Book Antiqua" w:eastAsia="Book Antiqua" w:hAnsi="Book Antiqua" w:cs="Book Antiqua"/>
                <w:szCs w:val="26"/>
              </w:rPr>
              <w:t>SCE and SED to hold a public workshop on</w:t>
            </w:r>
          </w:p>
          <w:p w:rsidR="001D245E" w:rsidRPr="00A45C09" w:rsidRDefault="001D245E" w:rsidP="00EA7D1F">
            <w:pPr>
              <w:ind w:left="101"/>
              <w:rPr>
                <w:rFonts w:ascii="Book Antiqua" w:eastAsia="Book Antiqua" w:hAnsi="Book Antiqua" w:cs="Book Antiqua"/>
                <w:szCs w:val="26"/>
              </w:rPr>
            </w:pPr>
            <w:r w:rsidRPr="00A45C09">
              <w:rPr>
                <w:rFonts w:ascii="Book Antiqua" w:eastAsia="Book Antiqua" w:hAnsi="Book Antiqua" w:cs="Book Antiqua"/>
                <w:szCs w:val="26"/>
              </w:rPr>
              <w:t>SCE’s RAMP submission.</w:t>
            </w:r>
          </w:p>
        </w:tc>
      </w:tr>
      <w:tr w:rsidR="001D245E" w:rsidRPr="00A45C09" w:rsidTr="00EA7D1F">
        <w:trPr>
          <w:trHeight w:hRule="exact" w:val="768"/>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By March 15, 2019</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EA7D1F">
            <w:pPr>
              <w:ind w:left="101"/>
              <w:rPr>
                <w:rFonts w:ascii="Book Antiqua" w:eastAsia="Book Antiqua" w:hAnsi="Book Antiqua" w:cs="Book Antiqua"/>
                <w:szCs w:val="26"/>
              </w:rPr>
            </w:pPr>
            <w:r w:rsidRPr="00A45C09">
              <w:rPr>
                <w:rFonts w:ascii="Book Antiqua" w:eastAsia="Book Antiqua" w:hAnsi="Book Antiqua" w:cs="Book Antiqua"/>
                <w:szCs w:val="26"/>
              </w:rPr>
              <w:t>SED to file and serve its staff report on SCE’s</w:t>
            </w:r>
          </w:p>
          <w:p w:rsidR="001D245E" w:rsidRPr="00A45C09" w:rsidRDefault="001D245E" w:rsidP="00EA7D1F">
            <w:pPr>
              <w:ind w:left="101"/>
              <w:rPr>
                <w:rFonts w:ascii="Book Antiqua" w:eastAsia="Book Antiqua" w:hAnsi="Book Antiqua" w:cs="Book Antiqua"/>
                <w:szCs w:val="26"/>
              </w:rPr>
            </w:pPr>
            <w:r w:rsidRPr="00A45C09">
              <w:rPr>
                <w:rFonts w:ascii="Book Antiqua" w:eastAsia="Book Antiqua" w:hAnsi="Book Antiqua" w:cs="Book Antiqua"/>
                <w:szCs w:val="26"/>
              </w:rPr>
              <w:t>RAMP submission.</w:t>
            </w:r>
          </w:p>
        </w:tc>
      </w:tr>
      <w:tr w:rsidR="001D245E" w:rsidRPr="00A45C09" w:rsidTr="00EA7D1F">
        <w:trPr>
          <w:trHeight w:hRule="exact" w:val="449"/>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By March 29, 2019</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EA7D1F">
            <w:pPr>
              <w:ind w:left="101"/>
              <w:rPr>
                <w:rFonts w:ascii="Book Antiqua" w:eastAsia="Book Antiqua" w:hAnsi="Book Antiqua" w:cs="Book Antiqua"/>
                <w:szCs w:val="26"/>
              </w:rPr>
            </w:pPr>
            <w:r w:rsidRPr="00A45C09">
              <w:rPr>
                <w:rFonts w:ascii="Book Antiqua" w:eastAsia="Book Antiqua" w:hAnsi="Book Antiqua" w:cs="Book Antiqua"/>
                <w:szCs w:val="26"/>
              </w:rPr>
              <w:t>SED to hold a workshop on its staff report.</w:t>
            </w:r>
          </w:p>
        </w:tc>
      </w:tr>
      <w:tr w:rsidR="001D245E" w:rsidRPr="00A45C09" w:rsidTr="00EA7D1F">
        <w:trPr>
          <w:trHeight w:hRule="exact" w:val="768"/>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By April 19, 2019</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EA7D1F">
            <w:pPr>
              <w:ind w:left="101"/>
              <w:rPr>
                <w:rFonts w:ascii="Book Antiqua" w:eastAsia="Book Antiqua" w:hAnsi="Book Antiqua" w:cs="Book Antiqua"/>
                <w:szCs w:val="26"/>
              </w:rPr>
            </w:pPr>
            <w:r w:rsidRPr="00A45C09">
              <w:rPr>
                <w:rFonts w:ascii="Book Antiqua" w:eastAsia="Book Antiqua" w:hAnsi="Book Antiqua" w:cs="Book Antiqua"/>
                <w:szCs w:val="26"/>
              </w:rPr>
              <w:t>Parties to the OII to serve comments on SCE’s</w:t>
            </w:r>
          </w:p>
          <w:p w:rsidR="001D245E" w:rsidRPr="00A45C09" w:rsidRDefault="001D245E" w:rsidP="00EA7D1F">
            <w:pPr>
              <w:ind w:left="101"/>
              <w:rPr>
                <w:rFonts w:ascii="Book Antiqua" w:eastAsia="Book Antiqua" w:hAnsi="Book Antiqua" w:cs="Book Antiqua"/>
                <w:szCs w:val="26"/>
              </w:rPr>
            </w:pPr>
            <w:r w:rsidRPr="00A45C09">
              <w:rPr>
                <w:rFonts w:ascii="Book Antiqua" w:eastAsia="Book Antiqua" w:hAnsi="Book Antiqua" w:cs="Book Antiqua"/>
                <w:szCs w:val="26"/>
              </w:rPr>
              <w:t>RAMP submission, and on SED’s staff report.</w:t>
            </w:r>
          </w:p>
        </w:tc>
      </w:tr>
      <w:tr w:rsidR="001D245E" w:rsidRPr="00A45C09" w:rsidTr="00EA7D1F">
        <w:trPr>
          <w:trHeight w:hRule="exact" w:val="768"/>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April/May 2019</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EA7D1F">
            <w:pPr>
              <w:ind w:left="101"/>
              <w:rPr>
                <w:rFonts w:ascii="Book Antiqua" w:eastAsia="Book Antiqua" w:hAnsi="Book Antiqua" w:cs="Book Antiqua"/>
                <w:szCs w:val="26"/>
              </w:rPr>
            </w:pPr>
            <w:r w:rsidRPr="00A45C09">
              <w:rPr>
                <w:rFonts w:ascii="Book Antiqua" w:eastAsia="Book Antiqua" w:hAnsi="Book Antiqua" w:cs="Book Antiqua"/>
                <w:szCs w:val="26"/>
              </w:rPr>
              <w:t>If needed, additional workshops to be held on</w:t>
            </w:r>
          </w:p>
          <w:p w:rsidR="001D245E" w:rsidRPr="00A45C09" w:rsidRDefault="001D245E" w:rsidP="00EA7D1F">
            <w:pPr>
              <w:ind w:left="101"/>
              <w:rPr>
                <w:rFonts w:ascii="Book Antiqua" w:eastAsia="Book Antiqua" w:hAnsi="Book Antiqua" w:cs="Book Antiqua"/>
                <w:szCs w:val="26"/>
              </w:rPr>
            </w:pPr>
            <w:r w:rsidRPr="00A45C09">
              <w:rPr>
                <w:rFonts w:ascii="Book Antiqua" w:eastAsia="Book Antiqua" w:hAnsi="Book Antiqua" w:cs="Book Antiqua"/>
                <w:szCs w:val="26"/>
              </w:rPr>
              <w:t>RAMP-related items.</w:t>
            </w:r>
          </w:p>
        </w:tc>
      </w:tr>
      <w:tr w:rsidR="001D245E" w:rsidRPr="00A45C09" w:rsidTr="00EA7D1F">
        <w:trPr>
          <w:trHeight w:hRule="exact" w:val="768"/>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May to August 2019</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EA7D1F">
            <w:pPr>
              <w:ind w:left="101"/>
              <w:rPr>
                <w:rFonts w:ascii="Book Antiqua" w:eastAsia="Book Antiqua" w:hAnsi="Book Antiqua" w:cs="Book Antiqua"/>
                <w:szCs w:val="26"/>
              </w:rPr>
            </w:pPr>
            <w:r w:rsidRPr="00A45C09">
              <w:rPr>
                <w:rFonts w:ascii="Book Antiqua" w:eastAsia="Book Antiqua" w:hAnsi="Book Antiqua" w:cs="Book Antiqua"/>
                <w:szCs w:val="26"/>
              </w:rPr>
              <w:t>SCE incorporates RAMP results into its GRC</w:t>
            </w:r>
            <w:r>
              <w:rPr>
                <w:rFonts w:ascii="Book Antiqua" w:eastAsia="Book Antiqua" w:hAnsi="Book Antiqua" w:cs="Book Antiqua"/>
                <w:szCs w:val="26"/>
              </w:rPr>
              <w:t xml:space="preserve"> </w:t>
            </w:r>
            <w:r w:rsidRPr="00A45C09">
              <w:rPr>
                <w:rFonts w:ascii="Book Antiqua" w:eastAsia="Book Antiqua" w:hAnsi="Book Antiqua" w:cs="Book Antiqua"/>
                <w:szCs w:val="26"/>
              </w:rPr>
              <w:t>filing.</w:t>
            </w:r>
          </w:p>
        </w:tc>
      </w:tr>
      <w:tr w:rsidR="001D245E" w:rsidRPr="00A45C09" w:rsidTr="00EA7D1F">
        <w:trPr>
          <w:trHeight w:hRule="exact" w:val="1087"/>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September 2, 2019</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EA7D1F">
            <w:pPr>
              <w:spacing w:after="120"/>
              <w:ind w:left="101"/>
              <w:rPr>
                <w:rFonts w:ascii="Book Antiqua" w:eastAsia="Book Antiqua" w:hAnsi="Book Antiqua" w:cs="Book Antiqua"/>
                <w:szCs w:val="26"/>
              </w:rPr>
            </w:pPr>
            <w:r w:rsidRPr="00A45C09">
              <w:rPr>
                <w:rFonts w:ascii="Book Antiqua" w:eastAsia="Book Antiqua" w:hAnsi="Book Antiqua" w:cs="Book Antiqua"/>
                <w:szCs w:val="26"/>
              </w:rPr>
              <w:t>SCE files its Test Year 2021 GRC application, and serves prepared testimony including changes resulting from the RAMP process.</w:t>
            </w:r>
          </w:p>
        </w:tc>
      </w:tr>
      <w:tr w:rsidR="001D245E" w:rsidRPr="00A45C09" w:rsidTr="00EA7D1F">
        <w:trPr>
          <w:trHeight w:hRule="exact" w:val="769"/>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Per Rule 2.6(a)</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Protests and responses filed to SCE’s GRC</w:t>
            </w:r>
            <w:r>
              <w:rPr>
                <w:rFonts w:ascii="Book Antiqua" w:eastAsia="Book Antiqua" w:hAnsi="Book Antiqua" w:cs="Book Antiqua"/>
                <w:szCs w:val="26"/>
              </w:rPr>
              <w:t xml:space="preserve"> </w:t>
            </w:r>
            <w:r w:rsidRPr="00A45C09">
              <w:rPr>
                <w:rFonts w:ascii="Book Antiqua" w:eastAsia="Book Antiqua" w:hAnsi="Book Antiqua" w:cs="Book Antiqua"/>
                <w:szCs w:val="26"/>
              </w:rPr>
              <w:t>application.</w:t>
            </w:r>
          </w:p>
        </w:tc>
      </w:tr>
      <w:tr w:rsidR="001D245E" w:rsidRPr="00A45C09" w:rsidTr="00EA7D1F">
        <w:trPr>
          <w:trHeight w:hRule="exact" w:val="768"/>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By October 15, 2019</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SCE holds public workshop on overall GRC</w:t>
            </w:r>
            <w:r>
              <w:rPr>
                <w:rFonts w:ascii="Book Antiqua" w:eastAsia="Book Antiqua" w:hAnsi="Book Antiqua" w:cs="Book Antiqua"/>
                <w:szCs w:val="26"/>
              </w:rPr>
              <w:t xml:space="preserve"> </w:t>
            </w:r>
            <w:r w:rsidRPr="00A45C09">
              <w:rPr>
                <w:rFonts w:ascii="Book Antiqua" w:eastAsia="Book Antiqua" w:hAnsi="Book Antiqua" w:cs="Book Antiqua"/>
                <w:szCs w:val="26"/>
              </w:rPr>
              <w:t>application.</w:t>
            </w:r>
          </w:p>
        </w:tc>
      </w:tr>
      <w:tr w:rsidR="001D245E" w:rsidRPr="00A45C09" w:rsidTr="00EA7D1F">
        <w:trPr>
          <w:trHeight w:hRule="exact" w:val="1087"/>
        </w:trPr>
        <w:tc>
          <w:tcPr>
            <w:tcW w:w="316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By November 1, 2019</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Prehearing conference to be held in SCE GRC application, and to discuss whether this OII should be consolidated with the GRC application.</w:t>
            </w:r>
          </w:p>
        </w:tc>
      </w:tr>
      <w:tr w:rsidR="001D245E" w:rsidRPr="00A45C09" w:rsidTr="00EA7D1F">
        <w:trPr>
          <w:trHeight w:hRule="exact" w:val="807"/>
        </w:trPr>
        <w:tc>
          <w:tcPr>
            <w:tcW w:w="3169" w:type="dxa"/>
            <w:tcBorders>
              <w:top w:val="single" w:sz="6" w:space="0" w:color="000000"/>
              <w:left w:val="single" w:sz="6" w:space="0" w:color="000000"/>
              <w:bottom w:val="single" w:sz="6" w:space="0" w:color="000000"/>
              <w:right w:val="single" w:sz="6" w:space="0" w:color="000000"/>
            </w:tcBorders>
            <w:hideMark/>
          </w:tcPr>
          <w:p w:rsidR="001D245E"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 xml:space="preserve">Per D.14-12-025 and </w:t>
            </w:r>
          </w:p>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D.16-</w:t>
            </w:r>
            <w:r>
              <w:rPr>
                <w:rFonts w:ascii="Book Antiqua" w:eastAsia="Book Antiqua" w:hAnsi="Book Antiqua" w:cs="Book Antiqua"/>
                <w:szCs w:val="26"/>
              </w:rPr>
              <w:t>08</w:t>
            </w:r>
            <w:r w:rsidRPr="00A45C09">
              <w:rPr>
                <w:rFonts w:ascii="Book Antiqua" w:eastAsia="Book Antiqua" w:hAnsi="Book Antiqua" w:cs="Book Antiqua"/>
                <w:szCs w:val="26"/>
              </w:rPr>
              <w:t>08-018</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Pr="00A45C09"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Other actions being taken in accordance with schedule in D.14-12-025 and D.16-08-018.</w:t>
            </w:r>
          </w:p>
        </w:tc>
      </w:tr>
      <w:tr w:rsidR="001D245E" w:rsidTr="00EA7D1F">
        <w:trPr>
          <w:trHeight w:hRule="exact" w:val="879"/>
        </w:trPr>
        <w:tc>
          <w:tcPr>
            <w:tcW w:w="3169" w:type="dxa"/>
            <w:tcBorders>
              <w:top w:val="single" w:sz="6" w:space="0" w:color="000000"/>
              <w:left w:val="single" w:sz="6" w:space="0" w:color="000000"/>
              <w:bottom w:val="single" w:sz="6" w:space="0" w:color="000000"/>
              <w:right w:val="single" w:sz="6" w:space="0" w:color="000000"/>
            </w:tcBorders>
            <w:hideMark/>
          </w:tcPr>
          <w:p w:rsidR="001D245E" w:rsidRDefault="001D245E" w:rsidP="00600D33">
            <w:pPr>
              <w:spacing w:before="56"/>
              <w:ind w:left="102"/>
              <w:rPr>
                <w:rFonts w:ascii="Book Antiqua" w:eastAsia="Book Antiqua" w:hAnsi="Book Antiqua" w:cs="Book Antiqua"/>
                <w:szCs w:val="26"/>
              </w:rPr>
            </w:pPr>
            <w:r>
              <w:rPr>
                <w:rFonts w:ascii="Book Antiqua" w:eastAsia="Book Antiqua" w:hAnsi="Book Antiqua" w:cs="Book Antiqua"/>
                <w:szCs w:val="26"/>
              </w:rPr>
              <w:lastRenderedPageBreak/>
              <w:t>To be determined</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Default="001D245E" w:rsidP="00600D33">
            <w:pPr>
              <w:spacing w:before="56"/>
              <w:ind w:left="102"/>
              <w:rPr>
                <w:rFonts w:ascii="Book Antiqua" w:eastAsia="Book Antiqua" w:hAnsi="Book Antiqua" w:cs="Book Antiqua"/>
                <w:szCs w:val="26"/>
              </w:rPr>
            </w:pPr>
            <w:r>
              <w:rPr>
                <w:rFonts w:ascii="Book Antiqua" w:eastAsia="Book Antiqua" w:hAnsi="Book Antiqua" w:cs="Book Antiqua"/>
                <w:szCs w:val="26"/>
              </w:rPr>
              <w:t>Propo</w:t>
            </w:r>
            <w:r w:rsidRPr="00A45C09">
              <w:rPr>
                <w:rFonts w:ascii="Book Antiqua" w:eastAsia="Book Antiqua" w:hAnsi="Book Antiqua" w:cs="Book Antiqua"/>
                <w:szCs w:val="26"/>
              </w:rPr>
              <w:t>s</w:t>
            </w:r>
            <w:r>
              <w:rPr>
                <w:rFonts w:ascii="Book Antiqua" w:eastAsia="Book Antiqua" w:hAnsi="Book Antiqua" w:cs="Book Antiqua"/>
                <w:szCs w:val="26"/>
              </w:rPr>
              <w:t>ed</w:t>
            </w:r>
            <w:r w:rsidRPr="00A45C09">
              <w:rPr>
                <w:rFonts w:ascii="Book Antiqua" w:eastAsia="Book Antiqua" w:hAnsi="Book Antiqua" w:cs="Book Antiqua"/>
                <w:szCs w:val="26"/>
              </w:rPr>
              <w:t xml:space="preserve"> </w:t>
            </w:r>
            <w:r>
              <w:rPr>
                <w:rFonts w:ascii="Book Antiqua" w:eastAsia="Book Antiqua" w:hAnsi="Book Antiqua" w:cs="Book Antiqua"/>
                <w:szCs w:val="26"/>
              </w:rPr>
              <w:t>d</w:t>
            </w:r>
            <w:r w:rsidRPr="00A45C09">
              <w:rPr>
                <w:rFonts w:ascii="Book Antiqua" w:eastAsia="Book Antiqua" w:hAnsi="Book Antiqua" w:cs="Book Antiqua"/>
                <w:szCs w:val="26"/>
              </w:rPr>
              <w:t>e</w:t>
            </w:r>
            <w:r>
              <w:rPr>
                <w:rFonts w:ascii="Book Antiqua" w:eastAsia="Book Antiqua" w:hAnsi="Book Antiqua" w:cs="Book Antiqua"/>
                <w:szCs w:val="26"/>
              </w:rPr>
              <w:t>c</w:t>
            </w:r>
            <w:r w:rsidRPr="00A45C09">
              <w:rPr>
                <w:rFonts w:ascii="Book Antiqua" w:eastAsia="Book Antiqua" w:hAnsi="Book Antiqua" w:cs="Book Antiqua"/>
                <w:szCs w:val="26"/>
              </w:rPr>
              <w:t>i</w:t>
            </w:r>
            <w:r>
              <w:rPr>
                <w:rFonts w:ascii="Book Antiqua" w:eastAsia="Book Antiqua" w:hAnsi="Book Antiqua" w:cs="Book Antiqua"/>
                <w:szCs w:val="26"/>
              </w:rPr>
              <w:t>sion</w:t>
            </w:r>
            <w:r w:rsidRPr="00A45C09">
              <w:rPr>
                <w:rFonts w:ascii="Book Antiqua" w:eastAsia="Book Antiqua" w:hAnsi="Book Antiqua" w:cs="Book Antiqua"/>
                <w:szCs w:val="26"/>
              </w:rPr>
              <w:t xml:space="preserve"> i</w:t>
            </w:r>
            <w:r>
              <w:rPr>
                <w:rFonts w:ascii="Book Antiqua" w:eastAsia="Book Antiqua" w:hAnsi="Book Antiqua" w:cs="Book Antiqua"/>
                <w:szCs w:val="26"/>
              </w:rPr>
              <w:t>n</w:t>
            </w:r>
            <w:r w:rsidRPr="00A45C09">
              <w:rPr>
                <w:rFonts w:ascii="Book Antiqua" w:eastAsia="Book Antiqua" w:hAnsi="Book Antiqua" w:cs="Book Antiqua"/>
                <w:szCs w:val="26"/>
              </w:rPr>
              <w:t xml:space="preserve"> SCE G</w:t>
            </w:r>
            <w:r>
              <w:rPr>
                <w:rFonts w:ascii="Book Antiqua" w:eastAsia="Book Antiqua" w:hAnsi="Book Antiqua" w:cs="Book Antiqua"/>
                <w:szCs w:val="26"/>
              </w:rPr>
              <w:t>RC</w:t>
            </w:r>
            <w:r w:rsidRPr="00A45C09">
              <w:rPr>
                <w:rFonts w:ascii="Book Antiqua" w:eastAsia="Book Antiqua" w:hAnsi="Book Antiqua" w:cs="Book Antiqua"/>
                <w:szCs w:val="26"/>
              </w:rPr>
              <w:t xml:space="preserve"> </w:t>
            </w:r>
            <w:r>
              <w:rPr>
                <w:rFonts w:ascii="Book Antiqua" w:eastAsia="Book Antiqua" w:hAnsi="Book Antiqua" w:cs="Book Antiqua"/>
                <w:szCs w:val="26"/>
              </w:rPr>
              <w:t>p</w:t>
            </w:r>
            <w:r w:rsidRPr="00A45C09">
              <w:rPr>
                <w:rFonts w:ascii="Book Antiqua" w:eastAsia="Book Antiqua" w:hAnsi="Book Antiqua" w:cs="Book Antiqua"/>
                <w:szCs w:val="26"/>
              </w:rPr>
              <w:t>r</w:t>
            </w:r>
            <w:r>
              <w:rPr>
                <w:rFonts w:ascii="Book Antiqua" w:eastAsia="Book Antiqua" w:hAnsi="Book Antiqua" w:cs="Book Antiqua"/>
                <w:szCs w:val="26"/>
              </w:rPr>
              <w:t>oc</w:t>
            </w:r>
            <w:r w:rsidRPr="00A45C09">
              <w:rPr>
                <w:rFonts w:ascii="Book Antiqua" w:eastAsia="Book Antiqua" w:hAnsi="Book Antiqua" w:cs="Book Antiqua"/>
                <w:szCs w:val="26"/>
              </w:rPr>
              <w:t>e</w:t>
            </w:r>
            <w:r>
              <w:rPr>
                <w:rFonts w:ascii="Book Antiqua" w:eastAsia="Book Antiqua" w:hAnsi="Book Antiqua" w:cs="Book Antiqua"/>
                <w:szCs w:val="26"/>
              </w:rPr>
              <w:t>eding</w:t>
            </w:r>
            <w:r w:rsidRPr="00A45C09">
              <w:rPr>
                <w:rFonts w:ascii="Book Antiqua" w:eastAsia="Book Antiqua" w:hAnsi="Book Antiqua" w:cs="Book Antiqua"/>
                <w:szCs w:val="26"/>
              </w:rPr>
              <w:t xml:space="preserve"> </w:t>
            </w:r>
            <w:r>
              <w:rPr>
                <w:rFonts w:ascii="Book Antiqua" w:eastAsia="Book Antiqua" w:hAnsi="Book Antiqua" w:cs="Book Antiqua"/>
                <w:szCs w:val="26"/>
              </w:rPr>
              <w:t>and</w:t>
            </w:r>
            <w:r w:rsidRPr="00A45C09">
              <w:rPr>
                <w:rFonts w:ascii="Book Antiqua" w:eastAsia="Book Antiqua" w:hAnsi="Book Antiqua" w:cs="Book Antiqua"/>
                <w:szCs w:val="26"/>
              </w:rPr>
              <w:t xml:space="preserve"> i</w:t>
            </w:r>
            <w:r>
              <w:rPr>
                <w:rFonts w:ascii="Book Antiqua" w:eastAsia="Book Antiqua" w:hAnsi="Book Antiqua" w:cs="Book Antiqua"/>
                <w:szCs w:val="26"/>
              </w:rPr>
              <w:t>n</w:t>
            </w:r>
          </w:p>
          <w:p w:rsidR="001D245E"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OII.</w:t>
            </w:r>
          </w:p>
        </w:tc>
      </w:tr>
      <w:tr w:rsidR="001D245E" w:rsidTr="00EA7D1F">
        <w:trPr>
          <w:trHeight w:hRule="exact" w:val="1077"/>
        </w:trPr>
        <w:tc>
          <w:tcPr>
            <w:tcW w:w="3169" w:type="dxa"/>
            <w:tcBorders>
              <w:top w:val="single" w:sz="6" w:space="0" w:color="000000"/>
              <w:left w:val="single" w:sz="6" w:space="0" w:color="000000"/>
              <w:bottom w:val="single" w:sz="6" w:space="0" w:color="000000"/>
              <w:right w:val="single" w:sz="6" w:space="0" w:color="000000"/>
            </w:tcBorders>
            <w:hideMark/>
          </w:tcPr>
          <w:p w:rsidR="001D245E"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I</w:t>
            </w:r>
            <w:r>
              <w:rPr>
                <w:rFonts w:ascii="Book Antiqua" w:eastAsia="Book Antiqua" w:hAnsi="Book Antiqua" w:cs="Book Antiqua"/>
                <w:szCs w:val="26"/>
              </w:rPr>
              <w:t>n</w:t>
            </w:r>
            <w:r w:rsidRPr="00A45C09">
              <w:rPr>
                <w:rFonts w:ascii="Book Antiqua" w:eastAsia="Book Antiqua" w:hAnsi="Book Antiqua" w:cs="Book Antiqua"/>
                <w:szCs w:val="26"/>
              </w:rPr>
              <w:t xml:space="preserve"> </w:t>
            </w:r>
            <w:r>
              <w:rPr>
                <w:rFonts w:ascii="Book Antiqua" w:eastAsia="Book Antiqua" w:hAnsi="Book Antiqua" w:cs="Book Antiqua"/>
                <w:szCs w:val="26"/>
              </w:rPr>
              <w:t>acco</w:t>
            </w:r>
            <w:r w:rsidRPr="00A45C09">
              <w:rPr>
                <w:rFonts w:ascii="Book Antiqua" w:eastAsia="Book Antiqua" w:hAnsi="Book Antiqua" w:cs="Book Antiqua"/>
                <w:szCs w:val="26"/>
              </w:rPr>
              <w:t>r</w:t>
            </w:r>
            <w:r>
              <w:rPr>
                <w:rFonts w:ascii="Book Antiqua" w:eastAsia="Book Antiqua" w:hAnsi="Book Antiqua" w:cs="Book Antiqua"/>
                <w:szCs w:val="26"/>
              </w:rPr>
              <w:t>dance</w:t>
            </w:r>
            <w:r w:rsidRPr="00A45C09">
              <w:rPr>
                <w:rFonts w:ascii="Book Antiqua" w:eastAsia="Book Antiqua" w:hAnsi="Book Antiqua" w:cs="Book Antiqua"/>
                <w:szCs w:val="26"/>
              </w:rPr>
              <w:t xml:space="preserve"> </w:t>
            </w:r>
            <w:r>
              <w:rPr>
                <w:rFonts w:ascii="Book Antiqua" w:eastAsia="Book Antiqua" w:hAnsi="Book Antiqua" w:cs="Book Antiqua"/>
                <w:szCs w:val="26"/>
              </w:rPr>
              <w:t>w</w:t>
            </w:r>
            <w:r w:rsidRPr="00A45C09">
              <w:rPr>
                <w:rFonts w:ascii="Book Antiqua" w:eastAsia="Book Antiqua" w:hAnsi="Book Antiqua" w:cs="Book Antiqua"/>
                <w:szCs w:val="26"/>
              </w:rPr>
              <w:t>i</w:t>
            </w:r>
            <w:r>
              <w:rPr>
                <w:rFonts w:ascii="Book Antiqua" w:eastAsia="Book Antiqua" w:hAnsi="Book Antiqua" w:cs="Book Antiqua"/>
                <w:szCs w:val="26"/>
              </w:rPr>
              <w:t>th Ve</w:t>
            </w:r>
            <w:r w:rsidRPr="00A45C09">
              <w:rPr>
                <w:rFonts w:ascii="Book Antiqua" w:eastAsia="Book Antiqua" w:hAnsi="Book Antiqua" w:cs="Book Antiqua"/>
                <w:szCs w:val="26"/>
              </w:rPr>
              <w:t>ri</w:t>
            </w:r>
            <w:r>
              <w:rPr>
                <w:rFonts w:ascii="Book Antiqua" w:eastAsia="Book Antiqua" w:hAnsi="Book Antiqua" w:cs="Book Antiqua"/>
                <w:szCs w:val="26"/>
              </w:rPr>
              <w:t>f</w:t>
            </w:r>
            <w:r w:rsidRPr="00A45C09">
              <w:rPr>
                <w:rFonts w:ascii="Book Antiqua" w:eastAsia="Book Antiqua" w:hAnsi="Book Antiqua" w:cs="Book Antiqua"/>
                <w:szCs w:val="26"/>
              </w:rPr>
              <w:t>i</w:t>
            </w:r>
            <w:r>
              <w:rPr>
                <w:rFonts w:ascii="Book Antiqua" w:eastAsia="Book Antiqua" w:hAnsi="Book Antiqua" w:cs="Book Antiqua"/>
                <w:szCs w:val="26"/>
              </w:rPr>
              <w:t>cat</w:t>
            </w:r>
            <w:r w:rsidRPr="00A45C09">
              <w:rPr>
                <w:rFonts w:ascii="Book Antiqua" w:eastAsia="Book Antiqua" w:hAnsi="Book Antiqua" w:cs="Book Antiqua"/>
                <w:szCs w:val="26"/>
              </w:rPr>
              <w:t>i</w:t>
            </w:r>
            <w:r>
              <w:rPr>
                <w:rFonts w:ascii="Book Antiqua" w:eastAsia="Book Antiqua" w:hAnsi="Book Antiqua" w:cs="Book Antiqua"/>
                <w:szCs w:val="26"/>
              </w:rPr>
              <w:t>on</w:t>
            </w:r>
            <w:r w:rsidRPr="00A45C09">
              <w:rPr>
                <w:rFonts w:ascii="Book Antiqua" w:eastAsia="Book Antiqua" w:hAnsi="Book Antiqua" w:cs="Book Antiqua"/>
                <w:szCs w:val="26"/>
              </w:rPr>
              <w:t xml:space="preserve"> s</w:t>
            </w:r>
            <w:r>
              <w:rPr>
                <w:rFonts w:ascii="Book Antiqua" w:eastAsia="Book Antiqua" w:hAnsi="Book Antiqua" w:cs="Book Antiqua"/>
                <w:szCs w:val="26"/>
              </w:rPr>
              <w:t>ch</w:t>
            </w:r>
            <w:r w:rsidRPr="00A45C09">
              <w:rPr>
                <w:rFonts w:ascii="Book Antiqua" w:eastAsia="Book Antiqua" w:hAnsi="Book Antiqua" w:cs="Book Antiqua"/>
                <w:szCs w:val="26"/>
              </w:rPr>
              <w:t>e</w:t>
            </w:r>
            <w:r>
              <w:rPr>
                <w:rFonts w:ascii="Book Antiqua" w:eastAsia="Book Antiqua" w:hAnsi="Book Antiqua" w:cs="Book Antiqua"/>
                <w:szCs w:val="26"/>
              </w:rPr>
              <w:t>du</w:t>
            </w:r>
            <w:r w:rsidRPr="00A45C09">
              <w:rPr>
                <w:rFonts w:ascii="Book Antiqua" w:eastAsia="Book Antiqua" w:hAnsi="Book Antiqua" w:cs="Book Antiqua"/>
                <w:szCs w:val="26"/>
              </w:rPr>
              <w:t>l</w:t>
            </w:r>
            <w:r>
              <w:rPr>
                <w:rFonts w:ascii="Book Antiqua" w:eastAsia="Book Antiqua" w:hAnsi="Book Antiqua" w:cs="Book Antiqua"/>
                <w:szCs w:val="26"/>
              </w:rPr>
              <w:t>e d</w:t>
            </w:r>
            <w:r w:rsidRPr="00A45C09">
              <w:rPr>
                <w:rFonts w:ascii="Book Antiqua" w:eastAsia="Book Antiqua" w:hAnsi="Book Antiqua" w:cs="Book Antiqua"/>
                <w:szCs w:val="26"/>
              </w:rPr>
              <w:t>i</w:t>
            </w:r>
            <w:r>
              <w:rPr>
                <w:rFonts w:ascii="Book Antiqua" w:eastAsia="Book Antiqua" w:hAnsi="Book Antiqua" w:cs="Book Antiqua"/>
                <w:szCs w:val="26"/>
              </w:rPr>
              <w:t>scu</w:t>
            </w:r>
            <w:r w:rsidRPr="00A45C09">
              <w:rPr>
                <w:rFonts w:ascii="Book Antiqua" w:eastAsia="Book Antiqua" w:hAnsi="Book Antiqua" w:cs="Book Antiqua"/>
                <w:szCs w:val="26"/>
              </w:rPr>
              <w:t>s</w:t>
            </w:r>
            <w:r>
              <w:rPr>
                <w:rFonts w:ascii="Book Antiqua" w:eastAsia="Book Antiqua" w:hAnsi="Book Antiqua" w:cs="Book Antiqua"/>
                <w:szCs w:val="26"/>
              </w:rPr>
              <w:t>s</w:t>
            </w:r>
            <w:r w:rsidRPr="00A45C09">
              <w:rPr>
                <w:rFonts w:ascii="Book Antiqua" w:eastAsia="Book Antiqua" w:hAnsi="Book Antiqua" w:cs="Book Antiqua"/>
                <w:szCs w:val="26"/>
              </w:rPr>
              <w:t>e</w:t>
            </w:r>
            <w:r>
              <w:rPr>
                <w:rFonts w:ascii="Book Antiqua" w:eastAsia="Book Antiqua" w:hAnsi="Book Antiqua" w:cs="Book Antiqua"/>
                <w:szCs w:val="26"/>
              </w:rPr>
              <w:t>d</w:t>
            </w:r>
            <w:r w:rsidRPr="00A45C09">
              <w:rPr>
                <w:rFonts w:ascii="Book Antiqua" w:eastAsia="Book Antiqua" w:hAnsi="Book Antiqua" w:cs="Book Antiqua"/>
                <w:szCs w:val="26"/>
              </w:rPr>
              <w:t xml:space="preserve"> i</w:t>
            </w:r>
            <w:r>
              <w:rPr>
                <w:rFonts w:ascii="Book Antiqua" w:eastAsia="Book Antiqua" w:hAnsi="Book Antiqua" w:cs="Book Antiqua"/>
                <w:szCs w:val="26"/>
              </w:rPr>
              <w:t>n</w:t>
            </w:r>
            <w:r w:rsidRPr="00A45C09">
              <w:rPr>
                <w:rFonts w:ascii="Book Antiqua" w:eastAsia="Book Antiqua" w:hAnsi="Book Antiqua" w:cs="Book Antiqua"/>
                <w:szCs w:val="26"/>
              </w:rPr>
              <w:t xml:space="preserve"> D.14-12-025</w:t>
            </w:r>
          </w:p>
        </w:tc>
        <w:tc>
          <w:tcPr>
            <w:tcW w:w="6409" w:type="dxa"/>
            <w:tcBorders>
              <w:top w:val="single" w:sz="6" w:space="0" w:color="000000"/>
              <w:left w:val="single" w:sz="6" w:space="0" w:color="000000"/>
              <w:bottom w:val="single" w:sz="6" w:space="0" w:color="000000"/>
              <w:right w:val="single" w:sz="6" w:space="0" w:color="000000"/>
            </w:tcBorders>
            <w:hideMark/>
          </w:tcPr>
          <w:p w:rsidR="001D245E" w:rsidRDefault="001D245E" w:rsidP="00600D33">
            <w:pPr>
              <w:spacing w:before="56"/>
              <w:ind w:left="102"/>
              <w:rPr>
                <w:rFonts w:ascii="Book Antiqua" w:eastAsia="Book Antiqua" w:hAnsi="Book Antiqua" w:cs="Book Antiqua"/>
                <w:szCs w:val="26"/>
              </w:rPr>
            </w:pPr>
            <w:r>
              <w:rPr>
                <w:rFonts w:ascii="Book Antiqua" w:eastAsia="Book Antiqua" w:hAnsi="Book Antiqua" w:cs="Book Antiqua"/>
                <w:szCs w:val="26"/>
              </w:rPr>
              <w:t>Ut</w:t>
            </w:r>
            <w:r w:rsidRPr="00A45C09">
              <w:rPr>
                <w:rFonts w:ascii="Book Antiqua" w:eastAsia="Book Antiqua" w:hAnsi="Book Antiqua" w:cs="Book Antiqua"/>
                <w:szCs w:val="26"/>
              </w:rPr>
              <w:t>ili</w:t>
            </w:r>
            <w:r>
              <w:rPr>
                <w:rFonts w:ascii="Book Antiqua" w:eastAsia="Book Antiqua" w:hAnsi="Book Antiqua" w:cs="Book Antiqua"/>
                <w:szCs w:val="26"/>
              </w:rPr>
              <w:t>ty</w:t>
            </w:r>
            <w:r w:rsidRPr="00A45C09">
              <w:rPr>
                <w:rFonts w:ascii="Book Antiqua" w:eastAsia="Book Antiqua" w:hAnsi="Book Antiqua" w:cs="Book Antiqua"/>
                <w:szCs w:val="26"/>
              </w:rPr>
              <w:t xml:space="preserve"> </w:t>
            </w:r>
            <w:r>
              <w:rPr>
                <w:rFonts w:ascii="Book Antiqua" w:eastAsia="Book Antiqua" w:hAnsi="Book Antiqua" w:cs="Book Antiqua"/>
                <w:szCs w:val="26"/>
              </w:rPr>
              <w:t>f</w:t>
            </w:r>
            <w:r w:rsidRPr="00A45C09">
              <w:rPr>
                <w:rFonts w:ascii="Book Antiqua" w:eastAsia="Book Antiqua" w:hAnsi="Book Antiqua" w:cs="Book Antiqua"/>
                <w:szCs w:val="26"/>
              </w:rPr>
              <w:t>ile</w:t>
            </w:r>
            <w:r>
              <w:rPr>
                <w:rFonts w:ascii="Book Antiqua" w:eastAsia="Book Antiqua" w:hAnsi="Book Antiqua" w:cs="Book Antiqua"/>
                <w:szCs w:val="26"/>
              </w:rPr>
              <w:t>s</w:t>
            </w:r>
            <w:r w:rsidRPr="00A45C09">
              <w:rPr>
                <w:rFonts w:ascii="Book Antiqua" w:eastAsia="Book Antiqua" w:hAnsi="Book Antiqua" w:cs="Book Antiqua"/>
                <w:szCs w:val="26"/>
              </w:rPr>
              <w:t xml:space="preserve"> </w:t>
            </w:r>
            <w:r>
              <w:rPr>
                <w:rFonts w:ascii="Book Antiqua" w:eastAsia="Book Antiqua" w:hAnsi="Book Antiqua" w:cs="Book Antiqua"/>
                <w:szCs w:val="26"/>
              </w:rPr>
              <w:t>annual</w:t>
            </w:r>
            <w:r w:rsidRPr="00A45C09">
              <w:rPr>
                <w:rFonts w:ascii="Book Antiqua" w:eastAsia="Book Antiqua" w:hAnsi="Book Antiqua" w:cs="Book Antiqua"/>
                <w:szCs w:val="26"/>
              </w:rPr>
              <w:t xml:space="preserve"> Ri</w:t>
            </w:r>
            <w:r>
              <w:rPr>
                <w:rFonts w:ascii="Book Antiqua" w:eastAsia="Book Antiqua" w:hAnsi="Book Antiqua" w:cs="Book Antiqua"/>
                <w:szCs w:val="26"/>
              </w:rPr>
              <w:t>sk</w:t>
            </w:r>
            <w:r w:rsidRPr="00A45C09">
              <w:rPr>
                <w:rFonts w:ascii="Book Antiqua" w:eastAsia="Book Antiqua" w:hAnsi="Book Antiqua" w:cs="Book Antiqua"/>
                <w:szCs w:val="26"/>
              </w:rPr>
              <w:t xml:space="preserve"> </w:t>
            </w:r>
            <w:r>
              <w:rPr>
                <w:rFonts w:ascii="Book Antiqua" w:eastAsia="Book Antiqua" w:hAnsi="Book Antiqua" w:cs="Book Antiqua"/>
                <w:szCs w:val="26"/>
              </w:rPr>
              <w:t>M</w:t>
            </w:r>
            <w:r w:rsidRPr="00A45C09">
              <w:rPr>
                <w:rFonts w:ascii="Book Antiqua" w:eastAsia="Book Antiqua" w:hAnsi="Book Antiqua" w:cs="Book Antiqua"/>
                <w:szCs w:val="26"/>
              </w:rPr>
              <w:t>i</w:t>
            </w:r>
            <w:r>
              <w:rPr>
                <w:rFonts w:ascii="Book Antiqua" w:eastAsia="Book Antiqua" w:hAnsi="Book Antiqua" w:cs="Book Antiqua"/>
                <w:szCs w:val="26"/>
              </w:rPr>
              <w:t>t</w:t>
            </w:r>
            <w:r w:rsidRPr="00A45C09">
              <w:rPr>
                <w:rFonts w:ascii="Book Antiqua" w:eastAsia="Book Antiqua" w:hAnsi="Book Antiqua" w:cs="Book Antiqua"/>
                <w:szCs w:val="26"/>
              </w:rPr>
              <w:t>i</w:t>
            </w:r>
            <w:r>
              <w:rPr>
                <w:rFonts w:ascii="Book Antiqua" w:eastAsia="Book Antiqua" w:hAnsi="Book Antiqua" w:cs="Book Antiqua"/>
                <w:szCs w:val="26"/>
              </w:rPr>
              <w:t>gat</w:t>
            </w:r>
            <w:r w:rsidRPr="00A45C09">
              <w:rPr>
                <w:rFonts w:ascii="Book Antiqua" w:eastAsia="Book Antiqua" w:hAnsi="Book Antiqua" w:cs="Book Antiqua"/>
                <w:szCs w:val="26"/>
              </w:rPr>
              <w:t>i</w:t>
            </w:r>
            <w:r>
              <w:rPr>
                <w:rFonts w:ascii="Book Antiqua" w:eastAsia="Book Antiqua" w:hAnsi="Book Antiqua" w:cs="Book Antiqua"/>
                <w:szCs w:val="26"/>
              </w:rPr>
              <w:t>on</w:t>
            </w:r>
            <w:r w:rsidRPr="00A45C09">
              <w:rPr>
                <w:rFonts w:ascii="Book Antiqua" w:eastAsia="Book Antiqua" w:hAnsi="Book Antiqua" w:cs="Book Antiqua"/>
                <w:szCs w:val="26"/>
              </w:rPr>
              <w:t xml:space="preserve"> </w:t>
            </w:r>
            <w:r>
              <w:rPr>
                <w:rFonts w:ascii="Book Antiqua" w:eastAsia="Book Antiqua" w:hAnsi="Book Antiqua" w:cs="Book Antiqua"/>
                <w:szCs w:val="26"/>
              </w:rPr>
              <w:t>Accounta</w:t>
            </w:r>
            <w:r w:rsidRPr="00A45C09">
              <w:rPr>
                <w:rFonts w:ascii="Book Antiqua" w:eastAsia="Book Antiqua" w:hAnsi="Book Antiqua" w:cs="Book Antiqua"/>
                <w:szCs w:val="26"/>
              </w:rPr>
              <w:t>bili</w:t>
            </w:r>
            <w:r>
              <w:rPr>
                <w:rFonts w:ascii="Book Antiqua" w:eastAsia="Book Antiqua" w:hAnsi="Book Antiqua" w:cs="Book Antiqua"/>
                <w:szCs w:val="26"/>
              </w:rPr>
              <w:t>ty</w:t>
            </w:r>
          </w:p>
          <w:p w:rsidR="001D245E" w:rsidRDefault="001D245E" w:rsidP="00600D33">
            <w:pPr>
              <w:spacing w:before="56"/>
              <w:ind w:left="102"/>
              <w:rPr>
                <w:rFonts w:ascii="Book Antiqua" w:eastAsia="Book Antiqua" w:hAnsi="Book Antiqua" w:cs="Book Antiqua"/>
                <w:szCs w:val="26"/>
              </w:rPr>
            </w:pPr>
            <w:r w:rsidRPr="00A45C09">
              <w:rPr>
                <w:rFonts w:ascii="Book Antiqua" w:eastAsia="Book Antiqua" w:hAnsi="Book Antiqua" w:cs="Book Antiqua"/>
                <w:szCs w:val="26"/>
              </w:rPr>
              <w:t>Report and Risk Spending Accountability Report.</w:t>
            </w:r>
          </w:p>
        </w:tc>
      </w:tr>
    </w:tbl>
    <w:p w:rsidR="001D245E" w:rsidRDefault="001D245E" w:rsidP="003112EE">
      <w:pPr>
        <w:pStyle w:val="standard"/>
        <w:keepNext/>
        <w:keepLines/>
      </w:pPr>
      <w:r w:rsidRPr="00A45C09">
        <w:t>Consistent with Public Utilities Code Section 1701.5 and Rule 6.2, we anticipate that the issues in this proceeding will be resolved within 18 months from the issuance of the scoping memo and ruling,</w:t>
      </w:r>
      <w:r w:rsidR="007860EF">
        <w:t xml:space="preserve"> </w:t>
      </w:r>
      <w:r w:rsidRPr="00A45C09">
        <w:t>or extended pursuant to Public Utilities Code Section 1701.5 due to the OII possibly being consolidated with SCE’s GRC applicati</w:t>
      </w:r>
      <w:r>
        <w:t>on.</w:t>
      </w:r>
    </w:p>
    <w:p w:rsidR="001D245E" w:rsidRPr="00A45C09" w:rsidRDefault="001D245E" w:rsidP="007860EF">
      <w:pPr>
        <w:pStyle w:val="Heading1"/>
        <w:numPr>
          <w:ilvl w:val="0"/>
          <w:numId w:val="4"/>
        </w:numPr>
        <w:spacing w:before="0" w:after="0" w:line="360" w:lineRule="auto"/>
        <w:ind w:left="360"/>
      </w:pPr>
      <w:r w:rsidRPr="00A45C09">
        <w:t>Service of this Order and Service List for</w:t>
      </w:r>
      <w:r>
        <w:t xml:space="preserve"> </w:t>
      </w:r>
      <w:r w:rsidRPr="00A45C09">
        <w:t>Proceeding</w:t>
      </w:r>
    </w:p>
    <w:p w:rsidR="001D245E" w:rsidRPr="00A45C09" w:rsidRDefault="001D245E" w:rsidP="007860EF">
      <w:pPr>
        <w:pStyle w:val="standard"/>
      </w:pPr>
      <w:r w:rsidRPr="00A45C09">
        <w:t>This OII shall be served on the service lists in the most recent GRC proceedings of SCE (Application (A.) 16-09-001), in the proceeding that modified the RCP (Rulemaking 13-11-006), and in the consolidated proceedings addressing the S-MAP in A.15-05-002, A.15-05-003, A.15-05-004, and A.15-05-005.</w:t>
      </w:r>
    </w:p>
    <w:p w:rsidR="001D245E" w:rsidRPr="00A45C09" w:rsidRDefault="001D245E" w:rsidP="001D245E">
      <w:pPr>
        <w:pStyle w:val="standard"/>
      </w:pPr>
      <w:r w:rsidRPr="00A45C09">
        <w:t xml:space="preserve">Since this OII has just been initiated, a new service list will be created for this proceeding. </w:t>
      </w:r>
      <w:r w:rsidR="00F9575E">
        <w:t xml:space="preserve"> </w:t>
      </w:r>
      <w:r w:rsidRPr="00A45C09">
        <w:t xml:space="preserve">SCE shall be a respondent to this OII and shall be included on the service list. </w:t>
      </w:r>
      <w:r w:rsidR="00F9575E">
        <w:t xml:space="preserve"> </w:t>
      </w:r>
      <w:r w:rsidRPr="00A45C09">
        <w:t xml:space="preserve">Within 20 days of the issuance of this </w:t>
      </w:r>
      <w:r w:rsidR="004174DF">
        <w:t>OII</w:t>
      </w:r>
      <w:r w:rsidRPr="00A45C09">
        <w:t xml:space="preserve">, SCE shall mail or e-mail the Commission’s Process Office with a notice of their representative’s contact information for the service list. </w:t>
      </w:r>
      <w:r w:rsidR="00731D06">
        <w:t xml:space="preserve"> </w:t>
      </w:r>
      <w:r w:rsidRPr="00A45C09">
        <w:t>The notice shall specify that it is a respondent to this OII, and shall contain the contact information for SCE’s representative.</w:t>
      </w:r>
      <w:r w:rsidR="004174DF">
        <w:t xml:space="preserve"> </w:t>
      </w:r>
      <w:r w:rsidR="004174DF" w:rsidRPr="004174DF">
        <w:t xml:space="preserve">The </w:t>
      </w:r>
      <w:r w:rsidR="004174DF">
        <w:t>notice</w:t>
      </w:r>
      <w:r w:rsidR="004174DF" w:rsidRPr="004174DF">
        <w:t xml:space="preserve"> must be sent to the Process Office by e-mail (</w:t>
      </w:r>
      <w:hyperlink r:id="rId7" w:history="1">
        <w:r w:rsidR="004174DF" w:rsidRPr="004174DF">
          <w:rPr>
            <w:rStyle w:val="Hyperlink"/>
          </w:rPr>
          <w:t>process_office@cpuc.ca.gov</w:t>
        </w:r>
      </w:hyperlink>
      <w:r w:rsidR="004174DF" w:rsidRPr="004174DF">
        <w:t xml:space="preserve">) or letter (Process Office, California Public Utilities Commission, 505 Van Ness Avenue, San Francisco, California 94102).  Please include the Docket Number of this </w:t>
      </w:r>
      <w:r w:rsidR="004174DF">
        <w:t>OII</w:t>
      </w:r>
      <w:r w:rsidR="004174DF" w:rsidRPr="004174DF">
        <w:t xml:space="preserve"> in the </w:t>
      </w:r>
      <w:proofErr w:type="spellStart"/>
      <w:proofErr w:type="gramStart"/>
      <w:r w:rsidR="004174DF">
        <w:t>notice</w:t>
      </w:r>
      <w:r w:rsidR="004174DF" w:rsidRPr="004174DF">
        <w:t>.</w:t>
      </w:r>
      <w:r w:rsidRPr="00A45C09">
        <w:t>Any</w:t>
      </w:r>
      <w:proofErr w:type="spellEnd"/>
      <w:proofErr w:type="gramEnd"/>
      <w:r w:rsidRPr="00A45C09">
        <w:t xml:space="preserve"> other interested person who desires to be placed on this service list as a party shall file a motion to become a party, and provide the information set</w:t>
      </w:r>
      <w:r>
        <w:t xml:space="preserve"> </w:t>
      </w:r>
      <w:r w:rsidRPr="00A45C09">
        <w:t xml:space="preserve">forth in Rule 1.4. </w:t>
      </w:r>
      <w:r w:rsidR="00731D06">
        <w:t xml:space="preserve"> </w:t>
      </w:r>
      <w:r w:rsidRPr="00A45C09">
        <w:t>The assigned ALJ will then rule on whether the person should be allowed to become a party.</w:t>
      </w:r>
      <w:r w:rsidR="00731D06">
        <w:t xml:space="preserve"> </w:t>
      </w:r>
      <w:r w:rsidRPr="00A45C09">
        <w:t xml:space="preserve"> </w:t>
      </w:r>
      <w:r w:rsidRPr="00A45C09">
        <w:lastRenderedPageBreak/>
        <w:t>Alternatively, the person may make an oral motion at the December 18, 2018 PHC to become a party.</w:t>
      </w:r>
    </w:p>
    <w:p w:rsidR="00731D06" w:rsidRDefault="001D245E" w:rsidP="001D245E">
      <w:pPr>
        <w:pStyle w:val="standard"/>
      </w:pPr>
      <w:r w:rsidRPr="00A45C09">
        <w:t xml:space="preserve">Those persons who do not want to be parties, and only want notice of the hearings, rulings, proposed decisions, and decisions, may send a written or </w:t>
      </w:r>
    </w:p>
    <w:p w:rsidR="001D245E" w:rsidRPr="00A45C09" w:rsidRDefault="001D245E" w:rsidP="00731D06">
      <w:pPr>
        <w:pStyle w:val="standard"/>
        <w:ind w:firstLine="0"/>
      </w:pPr>
      <w:r w:rsidRPr="00A45C09">
        <w:t xml:space="preserve">e- mail request to the Process Office asking that they be added to the service list for information only. </w:t>
      </w:r>
      <w:r w:rsidR="005917A8">
        <w:t xml:space="preserve"> </w:t>
      </w:r>
      <w:r w:rsidRPr="00A45C09">
        <w:t xml:space="preserve">Alternatively, one can sign up for e-mail notifications for the documents that are filed in this proceeding by using the Commission’s subscription service at:  </w:t>
      </w:r>
      <w:hyperlink r:id="rId8" w:history="1">
        <w:r w:rsidRPr="00A45C09">
          <w:rPr>
            <w:rStyle w:val="Hyperlink"/>
          </w:rPr>
          <w:t>http://subscribecpuc.cpuc.ca.gov/.</w:t>
        </w:r>
      </w:hyperlink>
    </w:p>
    <w:p w:rsidR="001D245E" w:rsidRPr="00A45C09" w:rsidRDefault="001D245E" w:rsidP="001D245E">
      <w:pPr>
        <w:pStyle w:val="standard"/>
      </w:pPr>
      <w:r w:rsidRPr="00A45C09">
        <w:t xml:space="preserve">The Process Office will then prepare and maintain the service list for this proceeding, and that service list will be posted on the Commission’s web site at </w:t>
      </w:r>
      <w:hyperlink r:id="rId9" w:history="1">
        <w:r w:rsidRPr="00A45C09">
          <w:rPr>
            <w:rStyle w:val="Hyperlink"/>
          </w:rPr>
          <w:t>www.cpuc.ca.gov.</w:t>
        </w:r>
      </w:hyperlink>
    </w:p>
    <w:p w:rsidR="001D245E" w:rsidRPr="00A45C09" w:rsidRDefault="001D245E" w:rsidP="001D245E">
      <w:pPr>
        <w:pStyle w:val="standard"/>
      </w:pPr>
      <w:r w:rsidRPr="00A45C09">
        <w:t xml:space="preserve">Any person interested in participating in this ruling, but is unfamiliar with the Commission’s procedures, should contact the Commission’s Public Advisor Office in San Francisco at (415) 703-2074, or toll free at </w:t>
      </w:r>
      <w:r w:rsidR="005917A8">
        <w:t>1-</w:t>
      </w:r>
      <w:r w:rsidRPr="00A45C09">
        <w:t>(866) 849-8390.</w:t>
      </w:r>
    </w:p>
    <w:p w:rsidR="001D245E" w:rsidRDefault="001D245E" w:rsidP="001D245E">
      <w:pPr>
        <w:pStyle w:val="standard"/>
      </w:pPr>
      <w:r w:rsidRPr="00A45C09">
        <w:t>Every person on the official service list with an e-mail address shall be served with copies of any pleadings by e-mail.</w:t>
      </w:r>
      <w:r w:rsidR="009904A9">
        <w:t xml:space="preserve"> </w:t>
      </w:r>
      <w:r w:rsidRPr="00A45C09">
        <w:t xml:space="preserve"> There is no need to serve paper copies of pleadings on a person who has an e-mail address. </w:t>
      </w:r>
      <w:r w:rsidR="009904A9">
        <w:t xml:space="preserve"> </w:t>
      </w:r>
      <w:r w:rsidRPr="00A45C09">
        <w:t>However, if a person has not provided an e-mail address, then that person must be served with a</w:t>
      </w:r>
      <w:r>
        <w:t xml:space="preserve"> </w:t>
      </w:r>
      <w:r w:rsidRPr="00A45C09">
        <w:t>paper copy of the pleading</w:t>
      </w:r>
      <w:r>
        <w:t>.</w:t>
      </w:r>
    </w:p>
    <w:p w:rsidR="001D245E" w:rsidRPr="00A45C09" w:rsidRDefault="001D245E" w:rsidP="001D245E">
      <w:pPr>
        <w:pStyle w:val="standard"/>
      </w:pPr>
      <w:r w:rsidRPr="00A45C09">
        <w:t>Unless notified to the contrary, both an electronic and paper copy of each pleading must be served on the assigned Commissioner and assigned ALJ pursuant to Rule 1.10(e).</w:t>
      </w:r>
    </w:p>
    <w:p w:rsidR="001D245E" w:rsidRPr="00A45C09" w:rsidRDefault="001D245E" w:rsidP="009904A9">
      <w:pPr>
        <w:pStyle w:val="Heading1"/>
        <w:numPr>
          <w:ilvl w:val="0"/>
          <w:numId w:val="4"/>
        </w:numPr>
        <w:ind w:left="360"/>
      </w:pPr>
      <w:r w:rsidRPr="00A45C09">
        <w:t>Intervenor Compensation</w:t>
      </w:r>
    </w:p>
    <w:p w:rsidR="001D245E" w:rsidRDefault="001D245E" w:rsidP="001D245E">
      <w:pPr>
        <w:pStyle w:val="standard"/>
      </w:pPr>
      <w:r w:rsidRPr="00A45C09">
        <w:t xml:space="preserve">Any party that expects to claim intervenor compensation for its participation in this OII shall file its notice of intent to claim intervenor compensation no later than 30 days after the PHC, or as otherwise directed by the ALJ. </w:t>
      </w:r>
      <w:r w:rsidR="002645B4">
        <w:t xml:space="preserve"> </w:t>
      </w:r>
      <w:r w:rsidRPr="00A45C09">
        <w:t>(</w:t>
      </w:r>
      <w:r w:rsidRPr="00A45C09">
        <w:rPr>
          <w:i/>
        </w:rPr>
        <w:t xml:space="preserve">See </w:t>
      </w:r>
      <w:r w:rsidRPr="00A45C09">
        <w:t>Rule 17.1.)</w:t>
      </w:r>
      <w:r w:rsidR="00445363">
        <w:t xml:space="preserve"> </w:t>
      </w:r>
      <w:r w:rsidRPr="00A45C09">
        <w:t xml:space="preserve"> Parties are encouraged to use the standardized form </w:t>
      </w:r>
      <w:r w:rsidRPr="00A45C09">
        <w:lastRenderedPageBreak/>
        <w:t>attached to the Intervenor Compensation Program Guide, which may be found</w:t>
      </w:r>
      <w:r>
        <w:t xml:space="preserve"> </w:t>
      </w:r>
      <w:r w:rsidRPr="00A45C09">
        <w:t xml:space="preserve">at: </w:t>
      </w:r>
      <w:r w:rsidR="002645B4">
        <w:t xml:space="preserve">  </w:t>
      </w:r>
      <w:hyperlink r:id="rId10" w:history="1">
        <w:r w:rsidR="006D7364" w:rsidRPr="0073228F">
          <w:rPr>
            <w:rStyle w:val="Hyperlink"/>
          </w:rPr>
          <w:t>http://www.cpuc.ca.gov/PUC/IntervenorCompGuide/.</w:t>
        </w:r>
      </w:hyperlink>
      <w:r w:rsidR="006D7364">
        <w:rPr>
          <w:rStyle w:val="Hyperlink"/>
        </w:rPr>
        <w:t xml:space="preserve">  </w:t>
      </w:r>
      <w:r w:rsidRPr="00A45C09">
        <w:t xml:space="preserve"> Questions about the intervenor compensation program should be directed to the Commission’s Public Advisor.</w:t>
      </w:r>
    </w:p>
    <w:p w:rsidR="001D245E" w:rsidRPr="00A45C09" w:rsidRDefault="001D245E" w:rsidP="00976187">
      <w:pPr>
        <w:pStyle w:val="Heading1"/>
        <w:numPr>
          <w:ilvl w:val="0"/>
          <w:numId w:val="4"/>
        </w:numPr>
        <w:ind w:left="360"/>
      </w:pPr>
      <w:r w:rsidRPr="00A45C09">
        <w:t>Waiver of Comment Period</w:t>
      </w:r>
    </w:p>
    <w:p w:rsidR="001D245E" w:rsidRPr="00A45C09" w:rsidRDefault="001D245E" w:rsidP="001D245E">
      <w:pPr>
        <w:pStyle w:val="standard"/>
      </w:pPr>
      <w:r w:rsidRPr="00A45C09">
        <w:t>Pursuant to Rule 14.7(a) of the Commission’s Rules of Practice and Procedure, the comment period is waived because this is the initial order instituting investigation.</w:t>
      </w:r>
    </w:p>
    <w:p w:rsidR="001D245E" w:rsidRPr="004A2D77" w:rsidRDefault="001D245E" w:rsidP="00987653">
      <w:pPr>
        <w:pStyle w:val="standard"/>
        <w:keepNext/>
        <w:keepLines/>
      </w:pPr>
      <w:r w:rsidRPr="004A2D77">
        <w:t xml:space="preserve">Therefore, </w:t>
      </w:r>
      <w:r w:rsidRPr="004A2D77">
        <w:rPr>
          <w:b/>
        </w:rPr>
        <w:t>IT IS ORDERED</w:t>
      </w:r>
      <w:r w:rsidRPr="004A2D77">
        <w:t xml:space="preserve"> that:</w:t>
      </w:r>
    </w:p>
    <w:p w:rsidR="001E0810" w:rsidRDefault="001D245E" w:rsidP="00987653">
      <w:pPr>
        <w:pStyle w:val="standard"/>
        <w:keepNext/>
        <w:keepLines/>
      </w:pPr>
      <w:r>
        <w:t xml:space="preserve">1.  </w:t>
      </w:r>
      <w:r w:rsidRPr="004A2D77">
        <w:t xml:space="preserve">Based on the August 29, 2018, request of Southern California Edison (SCE), and on the Commission’s own motion in accordance with </w:t>
      </w:r>
    </w:p>
    <w:p w:rsidR="001D245E" w:rsidRDefault="001D245E" w:rsidP="001E0810">
      <w:pPr>
        <w:pStyle w:val="standard"/>
        <w:keepNext/>
        <w:keepLines/>
        <w:ind w:firstLine="0"/>
      </w:pPr>
      <w:r w:rsidRPr="004A2D77">
        <w:t>Decision (D.) 14-12-025 and D.16-08-018, an Order Instituting Investigation is being opened to address SCE’s upcoming November 2018 filing of its Risk Assessment and Mitigation Phase submission.</w:t>
      </w:r>
    </w:p>
    <w:p w:rsidR="001D245E" w:rsidRDefault="001D245E" w:rsidP="001D245E">
      <w:pPr>
        <w:pStyle w:val="standard"/>
      </w:pPr>
      <w:r>
        <w:t xml:space="preserve">2.  </w:t>
      </w:r>
      <w:r w:rsidRPr="004A2D77">
        <w:t>Southern California Edison Company is made a Respondent to this Order</w:t>
      </w:r>
      <w:r>
        <w:t xml:space="preserve"> </w:t>
      </w:r>
      <w:r>
        <w:rPr>
          <w:rFonts w:ascii="Book Antiqua" w:eastAsia="Book Antiqua" w:hAnsi="Book Antiqua" w:cs="Book Antiqua"/>
          <w:spacing w:val="-1"/>
          <w:szCs w:val="26"/>
        </w:rPr>
        <w:t>I</w:t>
      </w:r>
      <w:r>
        <w:rPr>
          <w:rFonts w:ascii="Book Antiqua" w:eastAsia="Book Antiqua" w:hAnsi="Book Antiqua" w:cs="Book Antiqua"/>
          <w:szCs w:val="26"/>
        </w:rPr>
        <w:t>n</w:t>
      </w:r>
      <w:r>
        <w:rPr>
          <w:rFonts w:ascii="Book Antiqua" w:eastAsia="Book Antiqua" w:hAnsi="Book Antiqua" w:cs="Book Antiqua"/>
          <w:spacing w:val="5"/>
          <w:szCs w:val="26"/>
        </w:rPr>
        <w:t>s</w:t>
      </w:r>
      <w:r>
        <w:rPr>
          <w:rFonts w:ascii="Book Antiqua" w:eastAsia="Book Antiqua" w:hAnsi="Book Antiqua" w:cs="Book Antiqua"/>
          <w:szCs w:val="26"/>
        </w:rPr>
        <w:t>t</w:t>
      </w:r>
      <w:r>
        <w:rPr>
          <w:rFonts w:ascii="Book Antiqua" w:eastAsia="Book Antiqua" w:hAnsi="Book Antiqua" w:cs="Book Antiqua"/>
          <w:spacing w:val="-2"/>
          <w:szCs w:val="26"/>
        </w:rPr>
        <w:t>i</w:t>
      </w:r>
      <w:r>
        <w:rPr>
          <w:rFonts w:ascii="Book Antiqua" w:eastAsia="Book Antiqua" w:hAnsi="Book Antiqua" w:cs="Book Antiqua"/>
          <w:szCs w:val="26"/>
        </w:rPr>
        <w:t>t</w:t>
      </w:r>
      <w:r>
        <w:rPr>
          <w:rFonts w:ascii="Book Antiqua" w:eastAsia="Book Antiqua" w:hAnsi="Book Antiqua" w:cs="Book Antiqua"/>
          <w:spacing w:val="-1"/>
          <w:szCs w:val="26"/>
        </w:rPr>
        <w:t>u</w:t>
      </w:r>
      <w:r>
        <w:rPr>
          <w:rFonts w:ascii="Book Antiqua" w:eastAsia="Book Antiqua" w:hAnsi="Book Antiqua" w:cs="Book Antiqua"/>
          <w:szCs w:val="26"/>
        </w:rPr>
        <w:t>t</w:t>
      </w:r>
      <w:r>
        <w:rPr>
          <w:rFonts w:ascii="Book Antiqua" w:eastAsia="Book Antiqua" w:hAnsi="Book Antiqua" w:cs="Book Antiqua"/>
          <w:spacing w:val="-2"/>
          <w:szCs w:val="26"/>
        </w:rPr>
        <w:t>i</w:t>
      </w:r>
      <w:r>
        <w:rPr>
          <w:rFonts w:ascii="Book Antiqua" w:eastAsia="Book Antiqua" w:hAnsi="Book Antiqua" w:cs="Book Antiqua"/>
          <w:szCs w:val="26"/>
        </w:rPr>
        <w:t xml:space="preserve">ng </w:t>
      </w:r>
      <w:r>
        <w:rPr>
          <w:rFonts w:ascii="Book Antiqua" w:eastAsia="Book Antiqua" w:hAnsi="Book Antiqua" w:cs="Book Antiqua"/>
          <w:spacing w:val="-1"/>
          <w:szCs w:val="26"/>
        </w:rPr>
        <w:t>I</w:t>
      </w:r>
      <w:r>
        <w:rPr>
          <w:rFonts w:ascii="Book Antiqua" w:eastAsia="Book Antiqua" w:hAnsi="Book Antiqua" w:cs="Book Antiqua"/>
          <w:szCs w:val="26"/>
        </w:rPr>
        <w:t>nv</w:t>
      </w:r>
      <w:r>
        <w:rPr>
          <w:rFonts w:ascii="Book Antiqua" w:eastAsia="Book Antiqua" w:hAnsi="Book Antiqua" w:cs="Book Antiqua"/>
          <w:spacing w:val="1"/>
          <w:szCs w:val="26"/>
        </w:rPr>
        <w:t>e</w:t>
      </w:r>
      <w:r>
        <w:rPr>
          <w:rFonts w:ascii="Book Antiqua" w:eastAsia="Book Antiqua" w:hAnsi="Book Antiqua" w:cs="Book Antiqua"/>
          <w:szCs w:val="26"/>
        </w:rPr>
        <w:t>st</w:t>
      </w:r>
      <w:r>
        <w:rPr>
          <w:rFonts w:ascii="Book Antiqua" w:eastAsia="Book Antiqua" w:hAnsi="Book Antiqua" w:cs="Book Antiqua"/>
          <w:spacing w:val="-1"/>
          <w:szCs w:val="26"/>
        </w:rPr>
        <w:t>i</w:t>
      </w:r>
      <w:r>
        <w:rPr>
          <w:rFonts w:ascii="Book Antiqua" w:eastAsia="Book Antiqua" w:hAnsi="Book Antiqua" w:cs="Book Antiqua"/>
          <w:szCs w:val="26"/>
        </w:rPr>
        <w:t>gat</w:t>
      </w:r>
      <w:r>
        <w:rPr>
          <w:rFonts w:ascii="Book Antiqua" w:eastAsia="Book Antiqua" w:hAnsi="Book Antiqua" w:cs="Book Antiqua"/>
          <w:spacing w:val="-2"/>
          <w:szCs w:val="26"/>
        </w:rPr>
        <w:t>i</w:t>
      </w:r>
      <w:r>
        <w:rPr>
          <w:rFonts w:ascii="Book Antiqua" w:eastAsia="Book Antiqua" w:hAnsi="Book Antiqua" w:cs="Book Antiqua"/>
          <w:szCs w:val="26"/>
        </w:rPr>
        <w:t>on.</w:t>
      </w:r>
      <w:r w:rsidRPr="004A2D77">
        <w:t xml:space="preserve"> </w:t>
      </w:r>
    </w:p>
    <w:p w:rsidR="001D245E" w:rsidRDefault="001D245E" w:rsidP="001D245E">
      <w:pPr>
        <w:pStyle w:val="standard"/>
        <w:rPr>
          <w:rFonts w:ascii="Book Antiqua" w:eastAsia="Book Antiqua" w:hAnsi="Book Antiqua" w:cs="Book Antiqua"/>
          <w:szCs w:val="26"/>
        </w:rPr>
      </w:pPr>
      <w:r>
        <w:rPr>
          <w:rFonts w:ascii="Book Antiqua" w:eastAsia="Book Antiqua" w:hAnsi="Book Antiqua" w:cs="Book Antiqua"/>
          <w:szCs w:val="26"/>
        </w:rPr>
        <w:t xml:space="preserve">3.  </w:t>
      </w:r>
      <w:r w:rsidRPr="004A2D77">
        <w:rPr>
          <w:rFonts w:ascii="Book Antiqua" w:eastAsia="Book Antiqua" w:hAnsi="Book Antiqua" w:cs="Book Antiqua"/>
          <w:szCs w:val="26"/>
        </w:rPr>
        <w:t>The Commission’s Process Office shall serve this Order Instituting</w:t>
      </w:r>
      <w:r>
        <w:rPr>
          <w:rFonts w:ascii="Book Antiqua" w:eastAsia="Book Antiqua" w:hAnsi="Book Antiqua" w:cs="Book Antiqua"/>
          <w:szCs w:val="26"/>
        </w:rPr>
        <w:t xml:space="preserve"> </w:t>
      </w:r>
      <w:r w:rsidRPr="004A2D77">
        <w:rPr>
          <w:rFonts w:ascii="Book Antiqua" w:eastAsia="Book Antiqua" w:hAnsi="Book Antiqua" w:cs="Book Antiqua"/>
          <w:szCs w:val="26"/>
        </w:rPr>
        <w:t>Investigation on the Respondent, Southern California Edison</w:t>
      </w:r>
      <w:r w:rsidR="004174DF">
        <w:rPr>
          <w:rFonts w:ascii="Book Antiqua" w:eastAsia="Book Antiqua" w:hAnsi="Book Antiqua" w:cs="Book Antiqua"/>
          <w:szCs w:val="26"/>
        </w:rPr>
        <w:t xml:space="preserve"> by first-class mail pursuant to the Commission’s Rules of Practice and Procedure, Rule 1.9(c)</w:t>
      </w:r>
      <w:r>
        <w:rPr>
          <w:rFonts w:ascii="Book Antiqua" w:eastAsia="Book Antiqua" w:hAnsi="Book Antiqua" w:cs="Book Antiqua"/>
          <w:szCs w:val="26"/>
        </w:rPr>
        <w:t>.</w:t>
      </w:r>
    </w:p>
    <w:p w:rsidR="001D245E" w:rsidRPr="004A2D77" w:rsidRDefault="001D245E" w:rsidP="001D245E">
      <w:pPr>
        <w:pStyle w:val="standard"/>
        <w:rPr>
          <w:rFonts w:ascii="Book Antiqua" w:eastAsia="Book Antiqua" w:hAnsi="Book Antiqua" w:cs="Book Antiqua"/>
          <w:szCs w:val="26"/>
        </w:rPr>
      </w:pPr>
      <w:r w:rsidRPr="004A2D77">
        <w:rPr>
          <w:rFonts w:ascii="Book Antiqua" w:eastAsia="Book Antiqua" w:hAnsi="Book Antiqua" w:cs="Book Antiqua"/>
          <w:szCs w:val="26"/>
        </w:rPr>
        <w:t>4.  Southern California Edison shall, within 20 days of the issuance of this Order Instituting Investigation, notify the Commission’s Process Office of its representative’s contact information (name, address, telephone number, and</w:t>
      </w:r>
      <w:r>
        <w:rPr>
          <w:rFonts w:ascii="Book Antiqua" w:eastAsia="Book Antiqua" w:hAnsi="Book Antiqua" w:cs="Book Antiqua"/>
          <w:szCs w:val="26"/>
        </w:rPr>
        <w:t xml:space="preserve"> </w:t>
      </w:r>
      <w:r w:rsidRPr="004A2D77">
        <w:rPr>
          <w:rFonts w:ascii="Book Antiqua" w:eastAsia="Book Antiqua" w:hAnsi="Book Antiqua" w:cs="Book Antiqua"/>
          <w:szCs w:val="26"/>
        </w:rPr>
        <w:t>e-mail) for the service list.</w:t>
      </w:r>
    </w:p>
    <w:p w:rsidR="001D245E" w:rsidRPr="004A2D77" w:rsidRDefault="001D245E" w:rsidP="001D245E">
      <w:pPr>
        <w:pStyle w:val="standard"/>
        <w:rPr>
          <w:rFonts w:ascii="Book Antiqua" w:eastAsia="Book Antiqua" w:hAnsi="Book Antiqua" w:cs="Book Antiqua"/>
          <w:szCs w:val="26"/>
        </w:rPr>
      </w:pPr>
      <w:r w:rsidRPr="004A2D77">
        <w:rPr>
          <w:rFonts w:ascii="Book Antiqua" w:eastAsia="Book Antiqua" w:hAnsi="Book Antiqua" w:cs="Book Antiqua"/>
          <w:szCs w:val="26"/>
        </w:rPr>
        <w:t>5.  The Commission’s Process Office shall serve this Order Instituting</w:t>
      </w:r>
      <w:r>
        <w:rPr>
          <w:rFonts w:ascii="Book Antiqua" w:eastAsia="Book Antiqua" w:hAnsi="Book Antiqua" w:cs="Book Antiqua"/>
          <w:szCs w:val="26"/>
        </w:rPr>
        <w:t xml:space="preserve"> </w:t>
      </w:r>
      <w:r w:rsidRPr="004A2D77">
        <w:rPr>
          <w:rFonts w:ascii="Book Antiqua" w:eastAsia="Book Antiqua" w:hAnsi="Book Antiqua" w:cs="Book Antiqua"/>
          <w:szCs w:val="26"/>
        </w:rPr>
        <w:t>Investigation on the following service lists: Application (A.) A.16-09-001,</w:t>
      </w:r>
      <w:r>
        <w:rPr>
          <w:rFonts w:ascii="Book Antiqua" w:eastAsia="Book Antiqua" w:hAnsi="Book Antiqua" w:cs="Book Antiqua"/>
          <w:szCs w:val="26"/>
        </w:rPr>
        <w:t xml:space="preserve"> </w:t>
      </w:r>
      <w:r w:rsidRPr="004A2D77">
        <w:rPr>
          <w:rFonts w:ascii="Book Antiqua" w:eastAsia="Book Antiqua" w:hAnsi="Book Antiqua" w:cs="Book Antiqua"/>
          <w:szCs w:val="26"/>
        </w:rPr>
        <w:t>Rulemaking 13-11-006, A.15-05-002, A.15-05-003, A.15-05-004, and</w:t>
      </w:r>
      <w:r>
        <w:rPr>
          <w:rFonts w:ascii="Book Antiqua" w:eastAsia="Book Antiqua" w:hAnsi="Book Antiqua" w:cs="Book Antiqua"/>
          <w:szCs w:val="26"/>
        </w:rPr>
        <w:t xml:space="preserve"> </w:t>
      </w:r>
      <w:r w:rsidRPr="004A2D77">
        <w:rPr>
          <w:rFonts w:ascii="Book Antiqua" w:eastAsia="Book Antiqua" w:hAnsi="Book Antiqua" w:cs="Book Antiqua"/>
          <w:szCs w:val="26"/>
        </w:rPr>
        <w:t>A.15-05-005.</w:t>
      </w:r>
    </w:p>
    <w:p w:rsidR="001D245E" w:rsidRPr="004A2D77" w:rsidRDefault="001D245E" w:rsidP="001D245E">
      <w:pPr>
        <w:pStyle w:val="standard"/>
        <w:rPr>
          <w:rFonts w:ascii="Book Antiqua" w:eastAsia="Book Antiqua" w:hAnsi="Book Antiqua" w:cs="Book Antiqua"/>
          <w:szCs w:val="26"/>
        </w:rPr>
      </w:pPr>
      <w:r w:rsidRPr="004A2D77">
        <w:rPr>
          <w:rFonts w:ascii="Book Antiqua" w:eastAsia="Book Antiqua" w:hAnsi="Book Antiqua" w:cs="Book Antiqua"/>
          <w:szCs w:val="26"/>
        </w:rPr>
        <w:lastRenderedPageBreak/>
        <w:t xml:space="preserve">6.  We direct all persons who wish to become a party in this proceeding to file a motion to become a party, or to make an oral motion at the prehearing conference, as described in this Order Instituting Investigation. </w:t>
      </w:r>
      <w:r w:rsidR="009E4068">
        <w:rPr>
          <w:rFonts w:ascii="Book Antiqua" w:eastAsia="Book Antiqua" w:hAnsi="Book Antiqua" w:cs="Book Antiqua"/>
          <w:szCs w:val="26"/>
        </w:rPr>
        <w:t xml:space="preserve"> </w:t>
      </w:r>
      <w:r w:rsidRPr="004A2D77">
        <w:rPr>
          <w:rFonts w:ascii="Book Antiqua" w:eastAsia="Book Antiqua" w:hAnsi="Book Antiqua" w:cs="Book Antiqua"/>
          <w:szCs w:val="26"/>
        </w:rPr>
        <w:t xml:space="preserve">Those persons who want to receive information about this proceeding but do not want to be parties, may send a request to the Process Office asking that they be added as information only, or to sign up for e-mail notifications through the Commission’s subscription service. </w:t>
      </w:r>
      <w:r w:rsidR="00B434C6">
        <w:rPr>
          <w:rFonts w:ascii="Book Antiqua" w:eastAsia="Book Antiqua" w:hAnsi="Book Antiqua" w:cs="Book Antiqua"/>
          <w:szCs w:val="26"/>
        </w:rPr>
        <w:t xml:space="preserve"> </w:t>
      </w:r>
    </w:p>
    <w:p w:rsidR="001D245E" w:rsidRPr="004A2D77" w:rsidRDefault="001D245E" w:rsidP="001D245E">
      <w:pPr>
        <w:pStyle w:val="standard"/>
        <w:rPr>
          <w:rFonts w:ascii="Book Antiqua" w:eastAsia="Book Antiqua" w:hAnsi="Book Antiqua" w:cs="Book Antiqua"/>
          <w:szCs w:val="26"/>
        </w:rPr>
      </w:pPr>
      <w:r w:rsidRPr="004A2D77">
        <w:rPr>
          <w:rFonts w:ascii="Book Antiqua" w:eastAsia="Book Antiqua" w:hAnsi="Book Antiqua" w:cs="Book Antiqua"/>
          <w:szCs w:val="26"/>
        </w:rPr>
        <w:t>7.  As directed in Decision (D.) 14-12-025 and D.16-08-018, Southern California Edison shall file its Risk Assessment and Mitigation Phase submission in this proceeding by November 30, 2018.</w:t>
      </w:r>
    </w:p>
    <w:p w:rsidR="001D245E" w:rsidRPr="004A2D77" w:rsidRDefault="001D245E" w:rsidP="001D245E">
      <w:pPr>
        <w:pStyle w:val="standard"/>
        <w:rPr>
          <w:rFonts w:ascii="Book Antiqua" w:eastAsia="Book Antiqua" w:hAnsi="Book Antiqua" w:cs="Book Antiqua"/>
          <w:szCs w:val="26"/>
        </w:rPr>
      </w:pPr>
      <w:r w:rsidRPr="004A2D77">
        <w:rPr>
          <w:rFonts w:ascii="Book Antiqua" w:eastAsia="Book Antiqua" w:hAnsi="Book Antiqua" w:cs="Book Antiqua"/>
          <w:szCs w:val="26"/>
        </w:rPr>
        <w:t>8.  Any person who plans to file an intervenor compensation claim for participation in this proceeding shall file a notice of intent to claim intervenor compensation no later than 30 days after the date of the prehearing conference, or as otherwise directed by the Administrative Law Judge.</w:t>
      </w:r>
    </w:p>
    <w:p w:rsidR="001D245E" w:rsidRPr="002F0FBB" w:rsidRDefault="001D245E" w:rsidP="00EE1E33">
      <w:pPr>
        <w:pStyle w:val="standard"/>
        <w:keepNext/>
        <w:keepLines/>
        <w:rPr>
          <w:rFonts w:ascii="Book Antiqua" w:eastAsia="Book Antiqua" w:hAnsi="Book Antiqua" w:cs="Book Antiqua"/>
          <w:szCs w:val="26"/>
        </w:rPr>
      </w:pPr>
      <w:r w:rsidRPr="004A2D77">
        <w:rPr>
          <w:rFonts w:ascii="Book Antiqua" w:eastAsia="Book Antiqua" w:hAnsi="Book Antiqua" w:cs="Book Antiqua"/>
          <w:szCs w:val="26"/>
        </w:rPr>
        <w:t xml:space="preserve">9.  </w:t>
      </w:r>
      <w:r w:rsidRPr="004A2D77">
        <w:rPr>
          <w:rFonts w:ascii="Book Antiqua" w:eastAsia="Book Antiqua" w:hAnsi="Book Antiqua" w:cs="Book Antiqua"/>
          <w:i/>
          <w:szCs w:val="26"/>
        </w:rPr>
        <w:t xml:space="preserve">Ex parte </w:t>
      </w:r>
      <w:r w:rsidRPr="004A2D77">
        <w:rPr>
          <w:rFonts w:ascii="Book Antiqua" w:eastAsia="Book Antiqua" w:hAnsi="Book Antiqua" w:cs="Book Antiqua"/>
          <w:szCs w:val="26"/>
        </w:rPr>
        <w:t xml:space="preserve">communications in this proceeding shall follow the </w:t>
      </w:r>
      <w:r w:rsidRPr="004A2D77">
        <w:rPr>
          <w:rFonts w:ascii="Book Antiqua" w:eastAsia="Book Antiqua" w:hAnsi="Book Antiqua" w:cs="Book Antiqua"/>
          <w:i/>
          <w:szCs w:val="26"/>
        </w:rPr>
        <w:t xml:space="preserve">ex parte </w:t>
      </w:r>
      <w:r w:rsidRPr="004A2D77">
        <w:rPr>
          <w:rFonts w:ascii="Book Antiqua" w:eastAsia="Book Antiqua" w:hAnsi="Book Antiqua" w:cs="Book Antiqua"/>
          <w:szCs w:val="26"/>
        </w:rPr>
        <w:t>rules</w:t>
      </w:r>
      <w:r>
        <w:rPr>
          <w:rFonts w:ascii="Book Antiqua" w:eastAsia="Book Antiqua" w:hAnsi="Book Antiqua" w:cs="Book Antiqua"/>
          <w:szCs w:val="26"/>
        </w:rPr>
        <w:t xml:space="preserve"> </w:t>
      </w:r>
      <w:r w:rsidRPr="004A2D77">
        <w:rPr>
          <w:rFonts w:ascii="Book Antiqua" w:eastAsia="Book Antiqua" w:hAnsi="Book Antiqua" w:cs="Book Antiqua"/>
          <w:szCs w:val="26"/>
        </w:rPr>
        <w:t>set forth in Rules 8.1 to 8.5 of the Commission’s Rules of Practice and Procedure.</w:t>
      </w:r>
    </w:p>
    <w:p w:rsidR="001D245E" w:rsidRDefault="001D245E" w:rsidP="00EE1E33">
      <w:pPr>
        <w:pStyle w:val="standard"/>
        <w:keepNext/>
        <w:keepLines/>
      </w:pPr>
      <w:r>
        <w:t>This order is effective today.</w:t>
      </w:r>
    </w:p>
    <w:p w:rsidR="001D245E" w:rsidRDefault="001D245E" w:rsidP="001D245E">
      <w:pPr>
        <w:pStyle w:val="standard"/>
      </w:pPr>
      <w:r>
        <w:t xml:space="preserve">Dated </w:t>
      </w:r>
      <w:r w:rsidR="00305D84">
        <w:t>November 8, 2018</w:t>
      </w:r>
      <w:r>
        <w:t xml:space="preserve">, at </w:t>
      </w:r>
      <w:r w:rsidR="00300055">
        <w:t>Fresno</w:t>
      </w:r>
      <w:r>
        <w:t>, California.</w:t>
      </w:r>
    </w:p>
    <w:p w:rsidR="00386060" w:rsidRDefault="00386060" w:rsidP="001D245E">
      <w:pPr>
        <w:pStyle w:val="standard"/>
      </w:pPr>
    </w:p>
    <w:p w:rsidR="00386060" w:rsidRDefault="00386060" w:rsidP="00386060">
      <w:pPr>
        <w:autoSpaceDE w:val="0"/>
        <w:autoSpaceDN w:val="0"/>
        <w:adjustRightInd w:val="0"/>
        <w:ind w:left="4320"/>
        <w:jc w:val="both"/>
        <w:rPr>
          <w:rFonts w:cs="Palatino"/>
          <w:szCs w:val="26"/>
        </w:rPr>
      </w:pPr>
      <w:r w:rsidRPr="008B63F2">
        <w:rPr>
          <w:rFonts w:cs="Courier New"/>
          <w:szCs w:val="26"/>
        </w:rPr>
        <w:t>MICHAEL PICKER</w:t>
      </w:r>
    </w:p>
    <w:p w:rsidR="00386060" w:rsidRDefault="00386060" w:rsidP="00386060">
      <w:pPr>
        <w:autoSpaceDE w:val="0"/>
        <w:autoSpaceDN w:val="0"/>
        <w:adjustRightInd w:val="0"/>
        <w:ind w:firstLine="720"/>
        <w:jc w:val="both"/>
        <w:rPr>
          <w:rFonts w:cs="Palatino"/>
          <w:szCs w:val="26"/>
        </w:rPr>
      </w:pPr>
      <w:r>
        <w:rPr>
          <w:rFonts w:cs="Palatino"/>
          <w:szCs w:val="26"/>
        </w:rPr>
        <w:tab/>
      </w:r>
      <w:r>
        <w:rPr>
          <w:rFonts w:cs="Palatino"/>
          <w:szCs w:val="26"/>
        </w:rPr>
        <w:tab/>
      </w:r>
      <w:r>
        <w:rPr>
          <w:rFonts w:cs="Palatino"/>
          <w:szCs w:val="26"/>
        </w:rPr>
        <w:tab/>
      </w:r>
      <w:r>
        <w:rPr>
          <w:rFonts w:cs="Palatino"/>
          <w:szCs w:val="26"/>
        </w:rPr>
        <w:tab/>
      </w:r>
      <w:r>
        <w:rPr>
          <w:rFonts w:cs="Palatino"/>
          <w:szCs w:val="26"/>
        </w:rPr>
        <w:tab/>
        <w:t xml:space="preserve">                       President</w:t>
      </w:r>
    </w:p>
    <w:p w:rsidR="00386060" w:rsidRDefault="00386060" w:rsidP="00386060">
      <w:pPr>
        <w:autoSpaceDE w:val="0"/>
        <w:autoSpaceDN w:val="0"/>
        <w:adjustRightInd w:val="0"/>
        <w:ind w:left="4320"/>
        <w:jc w:val="both"/>
        <w:rPr>
          <w:rFonts w:cs="Courier New"/>
          <w:szCs w:val="26"/>
        </w:rPr>
      </w:pPr>
      <w:r w:rsidRPr="00793B6D">
        <w:rPr>
          <w:rFonts w:cs="Courier New"/>
          <w:szCs w:val="26"/>
        </w:rPr>
        <w:t>CARLA J. PETERMAN</w:t>
      </w:r>
    </w:p>
    <w:p w:rsidR="00386060" w:rsidRDefault="00386060" w:rsidP="00386060">
      <w:pPr>
        <w:autoSpaceDE w:val="0"/>
        <w:autoSpaceDN w:val="0"/>
        <w:adjustRightInd w:val="0"/>
        <w:ind w:left="4320"/>
        <w:jc w:val="both"/>
        <w:rPr>
          <w:rFonts w:cs="Courier New"/>
          <w:szCs w:val="26"/>
        </w:rPr>
      </w:pPr>
      <w:r>
        <w:rPr>
          <w:rFonts w:cs="Courier New"/>
          <w:szCs w:val="26"/>
        </w:rPr>
        <w:t>LIANE M. RANDOLPH</w:t>
      </w:r>
    </w:p>
    <w:p w:rsidR="00386060" w:rsidRDefault="00386060" w:rsidP="00386060">
      <w:pPr>
        <w:autoSpaceDE w:val="0"/>
        <w:autoSpaceDN w:val="0"/>
        <w:adjustRightInd w:val="0"/>
        <w:ind w:left="4320"/>
        <w:jc w:val="both"/>
        <w:rPr>
          <w:rFonts w:ascii="Times New Roman" w:hAnsi="Times New Roman"/>
          <w:sz w:val="28"/>
          <w:szCs w:val="28"/>
        </w:rPr>
      </w:pPr>
      <w:r>
        <w:rPr>
          <w:rFonts w:ascii="Times New Roman" w:hAnsi="Times New Roman"/>
          <w:sz w:val="28"/>
          <w:szCs w:val="28"/>
        </w:rPr>
        <w:t>MARTHA GUZMAN ACEVES</w:t>
      </w:r>
    </w:p>
    <w:p w:rsidR="00386060" w:rsidRPr="00793B6D" w:rsidRDefault="00386060" w:rsidP="00386060">
      <w:pPr>
        <w:autoSpaceDE w:val="0"/>
        <w:autoSpaceDN w:val="0"/>
        <w:adjustRightInd w:val="0"/>
        <w:ind w:left="4320"/>
        <w:jc w:val="both"/>
        <w:rPr>
          <w:rFonts w:cs="Courier New"/>
          <w:szCs w:val="26"/>
        </w:rPr>
      </w:pPr>
      <w:r>
        <w:rPr>
          <w:sz w:val="28"/>
          <w:szCs w:val="28"/>
        </w:rPr>
        <w:t>CLIFFORD RECHTSCHAFFEN</w:t>
      </w:r>
    </w:p>
    <w:p w:rsidR="00386060" w:rsidRDefault="00386060" w:rsidP="00386060">
      <w:pPr>
        <w:pStyle w:val="standard"/>
        <w:ind w:firstLine="6390"/>
      </w:pPr>
      <w:r>
        <w:rPr>
          <w:rFonts w:cs="Palatino"/>
          <w:szCs w:val="26"/>
        </w:rPr>
        <w:t xml:space="preserve"> Commissioners</w:t>
      </w:r>
    </w:p>
    <w:sectPr w:rsidR="00386060">
      <w:headerReference w:type="default" r:id="rId11"/>
      <w:footerReference w:type="default" r:id="rId12"/>
      <w:footerReference w:type="first" r:id="rId13"/>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D12" w:rsidRDefault="00267D12">
      <w:r>
        <w:separator/>
      </w:r>
    </w:p>
  </w:endnote>
  <w:endnote w:type="continuationSeparator" w:id="0">
    <w:p w:rsidR="00267D12" w:rsidRDefault="0026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alatino">
    <w:altName w:val="Book Antiqua"/>
    <w:panose1 w:val="02020500000000000000"/>
    <w:charset w:val="00"/>
    <w:family w:val="roman"/>
    <w:notTrueType/>
    <w:pitch w:val="variable"/>
    <w:sig w:usb0="00000003" w:usb1="00000000" w:usb2="00000000" w:usb3="00000000" w:csb0="00000001" w:csb1="00000000"/>
  </w:font>
  <w:font w:name="Helvetica">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6A" w:rsidRDefault="00B80F6A">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90EAE">
      <w:rPr>
        <w:rStyle w:val="PageNumber"/>
        <w:noProof/>
        <w:sz w:val="24"/>
        <w:szCs w:val="24"/>
      </w:rPr>
      <w:t>10</w:t>
    </w:r>
    <w:r>
      <w:rPr>
        <w:rStyle w:val="PageNumber"/>
        <w:sz w:val="24"/>
        <w:szCs w:val="24"/>
      </w:rPr>
      <w:fldChar w:fldCharType="end"/>
    </w:r>
    <w:r>
      <w:rPr>
        <w:rStyle w:val="PageNumbe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6A" w:rsidRDefault="00FD05BB">
    <w:pPr>
      <w:pStyle w:val="Footer"/>
      <w:jc w:val="left"/>
      <w:rPr>
        <w:rStyle w:val="PageNumber"/>
        <w:sz w:val="24"/>
        <w:szCs w:val="24"/>
      </w:rPr>
    </w:pPr>
    <w:r>
      <w:rPr>
        <w:rFonts w:ascii="Tahoma" w:hAnsi="Tahoma" w:cs="Tahoma"/>
        <w:sz w:val="17"/>
        <w:szCs w:val="17"/>
      </w:rPr>
      <w:t>241767507</w:t>
    </w:r>
    <w:r w:rsidR="00B80F6A">
      <w:rPr>
        <w:rStyle w:val="PageNumber"/>
        <w:sz w:val="24"/>
        <w:szCs w:val="24"/>
      </w:rPr>
      <w:tab/>
      <w:t xml:space="preserve">- </w:t>
    </w:r>
    <w:r w:rsidR="00B80F6A">
      <w:rPr>
        <w:rStyle w:val="PageNumber"/>
        <w:sz w:val="24"/>
        <w:szCs w:val="24"/>
      </w:rPr>
      <w:fldChar w:fldCharType="begin"/>
    </w:r>
    <w:r w:rsidR="00B80F6A">
      <w:rPr>
        <w:rStyle w:val="PageNumber"/>
        <w:sz w:val="24"/>
        <w:szCs w:val="24"/>
      </w:rPr>
      <w:instrText xml:space="preserve"> PAGE </w:instrText>
    </w:r>
    <w:r w:rsidR="00B80F6A">
      <w:rPr>
        <w:rStyle w:val="PageNumber"/>
        <w:sz w:val="24"/>
        <w:szCs w:val="24"/>
      </w:rPr>
      <w:fldChar w:fldCharType="separate"/>
    </w:r>
    <w:r w:rsidR="00690EAE">
      <w:rPr>
        <w:rStyle w:val="PageNumber"/>
        <w:noProof/>
        <w:sz w:val="24"/>
        <w:szCs w:val="24"/>
      </w:rPr>
      <w:t>1</w:t>
    </w:r>
    <w:r w:rsidR="00B80F6A">
      <w:rPr>
        <w:rStyle w:val="PageNumber"/>
        <w:sz w:val="24"/>
        <w:szCs w:val="24"/>
      </w:rPr>
      <w:fldChar w:fldCharType="end"/>
    </w:r>
    <w:r w:rsidR="00B80F6A">
      <w:rPr>
        <w:rStyle w:val="PageNumbe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D12" w:rsidRDefault="00267D12">
      <w:r>
        <w:separator/>
      </w:r>
    </w:p>
  </w:footnote>
  <w:footnote w:type="continuationSeparator" w:id="0">
    <w:p w:rsidR="00267D12" w:rsidRDefault="00267D12">
      <w:r>
        <w:continuationSeparator/>
      </w:r>
    </w:p>
  </w:footnote>
  <w:footnote w:type="continuationNotice" w:id="1">
    <w:p w:rsidR="00267D12" w:rsidRDefault="00267D12">
      <w:pPr>
        <w:rPr>
          <w:sz w:val="22"/>
        </w:rPr>
      </w:pPr>
    </w:p>
    <w:p w:rsidR="00267D12" w:rsidRDefault="00267D12">
      <w:pPr>
        <w:jc w:val="right"/>
        <w:rPr>
          <w:sz w:val="22"/>
        </w:rPr>
      </w:pPr>
      <w:r>
        <w:rPr>
          <w:i/>
          <w:sz w:val="22"/>
        </w:rPr>
        <w:t>Footnote continued on next page</w:t>
      </w:r>
    </w:p>
  </w:footnote>
  <w:footnote w:id="2">
    <w:p w:rsidR="001D245E" w:rsidRPr="00247DF1" w:rsidRDefault="001D245E" w:rsidP="00247DF1">
      <w:pPr>
        <w:pStyle w:val="FootnoteText"/>
        <w:spacing w:after="120"/>
        <w:rPr>
          <w:sz w:val="22"/>
          <w:szCs w:val="22"/>
        </w:rPr>
      </w:pPr>
      <w:r w:rsidRPr="00247DF1">
        <w:rPr>
          <w:rStyle w:val="FootnoteReference"/>
          <w:sz w:val="22"/>
          <w:szCs w:val="22"/>
        </w:rPr>
        <w:footnoteRef/>
      </w:r>
      <w:r w:rsidRPr="00247DF1">
        <w:rPr>
          <w:sz w:val="22"/>
          <w:szCs w:val="22"/>
        </w:rPr>
        <w:t xml:space="preserve"> </w:t>
      </w:r>
      <w:r w:rsidR="00247DF1" w:rsidRPr="00247DF1">
        <w:rPr>
          <w:sz w:val="22"/>
          <w:szCs w:val="22"/>
        </w:rPr>
        <w:t xml:space="preserve"> </w:t>
      </w:r>
      <w:r w:rsidRPr="00247DF1">
        <w:rPr>
          <w:sz w:val="22"/>
          <w:szCs w:val="22"/>
        </w:rPr>
        <w:t xml:space="preserve">Due to the timing of D.16-08-018 and when an OII is needed for the RAMP submissions the Commission directed utilities to file their RAMP submission “based on its current risk evaluation and risk-based decision making methodologies, and additional requirements as listed in the ten major components that shall be included in the RAMP filings.”  (D.16-08-018, at 196, Ordering Paragraph 9.)     A pending settlement in the S-MAP proceeding is under consideration, which </w:t>
      </w:r>
      <w:r w:rsidR="00C0349C">
        <w:rPr>
          <w:sz w:val="22"/>
          <w:szCs w:val="22"/>
        </w:rPr>
        <w:t>c</w:t>
      </w:r>
      <w:r w:rsidRPr="00247DF1">
        <w:rPr>
          <w:sz w:val="22"/>
          <w:szCs w:val="22"/>
        </w:rPr>
        <w:t>ould refine RAMP requirements in the future.</w:t>
      </w:r>
    </w:p>
  </w:footnote>
  <w:footnote w:id="3">
    <w:p w:rsidR="001D245E" w:rsidRPr="00DB10DF" w:rsidRDefault="001D245E" w:rsidP="00DB10DF">
      <w:pPr>
        <w:pStyle w:val="FootnoteText"/>
        <w:spacing w:after="120"/>
        <w:rPr>
          <w:sz w:val="22"/>
          <w:szCs w:val="22"/>
        </w:rPr>
      </w:pPr>
      <w:r w:rsidRPr="00DB10DF">
        <w:rPr>
          <w:rStyle w:val="FootnoteReference"/>
          <w:sz w:val="22"/>
          <w:szCs w:val="22"/>
        </w:rPr>
        <w:footnoteRef/>
      </w:r>
      <w:r w:rsidRPr="00DB10DF">
        <w:rPr>
          <w:sz w:val="22"/>
          <w:szCs w:val="22"/>
        </w:rPr>
        <w:t xml:space="preserve"> </w:t>
      </w:r>
      <w:r w:rsidR="00DB10DF" w:rsidRPr="00DB10DF">
        <w:rPr>
          <w:sz w:val="22"/>
          <w:szCs w:val="22"/>
        </w:rPr>
        <w:t xml:space="preserve"> </w:t>
      </w:r>
      <w:r w:rsidRPr="00DB10DF">
        <w:rPr>
          <w:sz w:val="22"/>
          <w:szCs w:val="22"/>
        </w:rPr>
        <w:t>In anticipation of the holding of a PHC, we will reserve December 18, 2018, at 10:00 a.m. at the Commission’s hearing room in San Francisco for this purpose.  This date will be confirmed by the assigned Administrative Law Judge (ALJ) once SCE files its RAMP submission.</w:t>
      </w:r>
    </w:p>
  </w:footnote>
  <w:footnote w:id="4">
    <w:p w:rsidR="001D245E" w:rsidRPr="00325392" w:rsidRDefault="001D245E" w:rsidP="001D245E">
      <w:pPr>
        <w:pStyle w:val="FootnoteText"/>
        <w:rPr>
          <w:sz w:val="22"/>
          <w:szCs w:val="22"/>
        </w:rPr>
      </w:pPr>
      <w:r w:rsidRPr="00325392">
        <w:rPr>
          <w:rStyle w:val="FootnoteReference"/>
          <w:sz w:val="22"/>
          <w:szCs w:val="22"/>
        </w:rPr>
        <w:footnoteRef/>
      </w:r>
      <w:r w:rsidRPr="00325392">
        <w:rPr>
          <w:sz w:val="22"/>
          <w:szCs w:val="22"/>
        </w:rPr>
        <w:t xml:space="preserve"> </w:t>
      </w:r>
      <w:r w:rsidR="00325392" w:rsidRPr="00325392">
        <w:rPr>
          <w:sz w:val="22"/>
          <w:szCs w:val="22"/>
        </w:rPr>
        <w:t xml:space="preserve"> </w:t>
      </w:r>
      <w:r w:rsidRPr="00325392">
        <w:rPr>
          <w:sz w:val="22"/>
          <w:szCs w:val="22"/>
        </w:rPr>
        <w:t>All references to a “Rule” refer to the Commission’s Rules of Practice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6A" w:rsidRDefault="00C52059">
    <w:pPr>
      <w:pStyle w:val="Header"/>
    </w:pPr>
    <w:r>
      <w:t>I.</w:t>
    </w:r>
    <w:r w:rsidR="00FB0217">
      <w:t>18-11-</w:t>
    </w:r>
    <w:proofErr w:type="gramStart"/>
    <w:r w:rsidR="00FB0217">
      <w:t xml:space="preserve">006 </w:t>
    </w:r>
    <w:r w:rsidR="00B80F6A">
      <w:t xml:space="preserve"> ALJ</w:t>
    </w:r>
    <w:proofErr w:type="gramEnd"/>
    <w:r w:rsidR="00B80F6A">
      <w:t>/</w:t>
    </w:r>
    <w:r>
      <w:t>EW2/mph</w:t>
    </w:r>
    <w:r w:rsidR="00B80F6A">
      <w:tab/>
    </w:r>
  </w:p>
  <w:p w:rsidR="00C52059" w:rsidRDefault="00C52059" w:rsidP="00D36D8D">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81E"/>
    <w:multiLevelType w:val="singleLevel"/>
    <w:tmpl w:val="2FB6A734"/>
    <w:lvl w:ilvl="0">
      <w:start w:val="1"/>
      <w:numFmt w:val="decimal"/>
      <w:lvlText w:val="%1."/>
      <w:legacy w:legacy="1" w:legacySpace="144" w:legacyIndent="0"/>
      <w:lvlJc w:val="left"/>
    </w:lvl>
  </w:abstractNum>
  <w:abstractNum w:abstractNumId="1" w15:restartNumberingAfterBreak="0">
    <w:nsid w:val="2DD46003"/>
    <w:multiLevelType w:val="singleLevel"/>
    <w:tmpl w:val="2FB6A734"/>
    <w:lvl w:ilvl="0">
      <w:start w:val="1"/>
      <w:numFmt w:val="decimal"/>
      <w:lvlText w:val="%1."/>
      <w:legacy w:legacy="1" w:legacySpace="144" w:legacyIndent="0"/>
      <w:lvlJc w:val="left"/>
    </w:lvl>
  </w:abstractNum>
  <w:abstractNum w:abstractNumId="2" w15:restartNumberingAfterBreak="0">
    <w:nsid w:val="7A91636C"/>
    <w:multiLevelType w:val="hybridMultilevel"/>
    <w:tmpl w:val="7FB6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C30FD"/>
    <w:multiLevelType w:val="singleLevel"/>
    <w:tmpl w:val="2FB6A734"/>
    <w:lvl w:ilvl="0">
      <w:start w:val="1"/>
      <w:numFmt w:val="decimal"/>
      <w:lvlText w:val="%1."/>
      <w:legacy w:legacy="1" w:legacySpace="144" w:legacyIndent="0"/>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45E"/>
    <w:rsid w:val="0008696A"/>
    <w:rsid w:val="00143ABC"/>
    <w:rsid w:val="001A3F97"/>
    <w:rsid w:val="001C1945"/>
    <w:rsid w:val="001D245E"/>
    <w:rsid w:val="001E0810"/>
    <w:rsid w:val="001E47AD"/>
    <w:rsid w:val="00247DF1"/>
    <w:rsid w:val="002570CF"/>
    <w:rsid w:val="00263268"/>
    <w:rsid w:val="002645B4"/>
    <w:rsid w:val="00267D12"/>
    <w:rsid w:val="002B1483"/>
    <w:rsid w:val="002E68E1"/>
    <w:rsid w:val="00300055"/>
    <w:rsid w:val="00303654"/>
    <w:rsid w:val="00305D84"/>
    <w:rsid w:val="003112EE"/>
    <w:rsid w:val="00325392"/>
    <w:rsid w:val="00386060"/>
    <w:rsid w:val="003B6B8D"/>
    <w:rsid w:val="003B7A86"/>
    <w:rsid w:val="003C7D27"/>
    <w:rsid w:val="003E13F8"/>
    <w:rsid w:val="003F217F"/>
    <w:rsid w:val="00406B8D"/>
    <w:rsid w:val="00407C85"/>
    <w:rsid w:val="004174DF"/>
    <w:rsid w:val="00422E23"/>
    <w:rsid w:val="0042431F"/>
    <w:rsid w:val="00445363"/>
    <w:rsid w:val="0046034C"/>
    <w:rsid w:val="004A780B"/>
    <w:rsid w:val="004D262A"/>
    <w:rsid w:val="005039A1"/>
    <w:rsid w:val="0055615E"/>
    <w:rsid w:val="005917A8"/>
    <w:rsid w:val="00642D16"/>
    <w:rsid w:val="0068785E"/>
    <w:rsid w:val="00690EAE"/>
    <w:rsid w:val="006D7364"/>
    <w:rsid w:val="00712181"/>
    <w:rsid w:val="007275F1"/>
    <w:rsid w:val="00731D06"/>
    <w:rsid w:val="0076264B"/>
    <w:rsid w:val="00764A97"/>
    <w:rsid w:val="007706B5"/>
    <w:rsid w:val="007860EF"/>
    <w:rsid w:val="007B7B5A"/>
    <w:rsid w:val="0080113A"/>
    <w:rsid w:val="0087651F"/>
    <w:rsid w:val="008E733C"/>
    <w:rsid w:val="008F7EA9"/>
    <w:rsid w:val="00903177"/>
    <w:rsid w:val="009674B1"/>
    <w:rsid w:val="00976187"/>
    <w:rsid w:val="00987653"/>
    <w:rsid w:val="009904A9"/>
    <w:rsid w:val="009D144A"/>
    <w:rsid w:val="009E4068"/>
    <w:rsid w:val="00A177E8"/>
    <w:rsid w:val="00A21A07"/>
    <w:rsid w:val="00A5069A"/>
    <w:rsid w:val="00A95122"/>
    <w:rsid w:val="00B37D04"/>
    <w:rsid w:val="00B434C6"/>
    <w:rsid w:val="00B80F6A"/>
    <w:rsid w:val="00BD4768"/>
    <w:rsid w:val="00BE3125"/>
    <w:rsid w:val="00BE7661"/>
    <w:rsid w:val="00BF73ED"/>
    <w:rsid w:val="00C0349C"/>
    <w:rsid w:val="00C20050"/>
    <w:rsid w:val="00C35623"/>
    <w:rsid w:val="00C52059"/>
    <w:rsid w:val="00C803B7"/>
    <w:rsid w:val="00C943C5"/>
    <w:rsid w:val="00CA7507"/>
    <w:rsid w:val="00CD0B97"/>
    <w:rsid w:val="00CE4046"/>
    <w:rsid w:val="00CF771B"/>
    <w:rsid w:val="00D114D3"/>
    <w:rsid w:val="00D12E7E"/>
    <w:rsid w:val="00D25C04"/>
    <w:rsid w:val="00D36D8D"/>
    <w:rsid w:val="00D63C8F"/>
    <w:rsid w:val="00D66ACD"/>
    <w:rsid w:val="00D8788B"/>
    <w:rsid w:val="00DA1DE8"/>
    <w:rsid w:val="00DB10DF"/>
    <w:rsid w:val="00E05497"/>
    <w:rsid w:val="00E52149"/>
    <w:rsid w:val="00E909B8"/>
    <w:rsid w:val="00EA35C8"/>
    <w:rsid w:val="00EA7D1F"/>
    <w:rsid w:val="00EC755C"/>
    <w:rsid w:val="00EE1E33"/>
    <w:rsid w:val="00EE4243"/>
    <w:rsid w:val="00F02B9C"/>
    <w:rsid w:val="00F46B03"/>
    <w:rsid w:val="00F603E6"/>
    <w:rsid w:val="00F72FBD"/>
    <w:rsid w:val="00F9575E"/>
    <w:rsid w:val="00FB0217"/>
    <w:rsid w:val="00FD0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55F2F"/>
  <w15:docId w15:val="{79608200-7C57-44EC-A84E-D0D82A37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12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pPr>
      <w:spacing w:after="240"/>
    </w:pPr>
    <w:rPr>
      <w:sz w:val="24"/>
    </w:rPr>
  </w:style>
  <w:style w:type="character" w:styleId="FootnoteReference">
    <w:name w:val="footnote reference"/>
    <w:aliases w:val="o,fr,o1,o2,o3,o4,o5,o6,o11,o21,o7"/>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rsid w:val="00D36D8D"/>
    <w:rPr>
      <w:rFonts w:ascii="Palatino" w:hAnsi="Palatino"/>
      <w:sz w:val="26"/>
    </w:rPr>
  </w:style>
  <w:style w:type="character" w:styleId="Hyperlink">
    <w:name w:val="Hyperlink"/>
    <w:rsid w:val="001D245E"/>
    <w:rPr>
      <w:color w:val="0000FF"/>
      <w:u w:val="single"/>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rsid w:val="001D245E"/>
    <w:rPr>
      <w:rFonts w:ascii="Palatino" w:hAnsi="Palatino"/>
      <w:sz w:val="24"/>
    </w:rPr>
  </w:style>
  <w:style w:type="character" w:customStyle="1" w:styleId="UnresolvedMention1">
    <w:name w:val="Unresolved Mention1"/>
    <w:uiPriority w:val="99"/>
    <w:semiHidden/>
    <w:unhideWhenUsed/>
    <w:rsid w:val="002645B4"/>
    <w:rPr>
      <w:color w:val="605E5C"/>
      <w:shd w:val="clear" w:color="auto" w:fill="E1DFDD"/>
    </w:rPr>
  </w:style>
  <w:style w:type="paragraph" w:styleId="BalloonText">
    <w:name w:val="Balloon Text"/>
    <w:basedOn w:val="Normal"/>
    <w:link w:val="BalloonTextChar"/>
    <w:rsid w:val="005039A1"/>
    <w:rPr>
      <w:rFonts w:ascii="Segoe UI" w:hAnsi="Segoe UI" w:cs="Segoe UI"/>
      <w:sz w:val="18"/>
      <w:szCs w:val="18"/>
    </w:rPr>
  </w:style>
  <w:style w:type="character" w:customStyle="1" w:styleId="BalloonTextChar">
    <w:name w:val="Balloon Text Char"/>
    <w:basedOn w:val="DefaultParagraphFont"/>
    <w:link w:val="BalloonText"/>
    <w:rsid w:val="00503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337">
      <w:bodyDiv w:val="1"/>
      <w:marLeft w:val="0"/>
      <w:marRight w:val="0"/>
      <w:marTop w:val="0"/>
      <w:marBottom w:val="0"/>
      <w:divBdr>
        <w:top w:val="none" w:sz="0" w:space="0" w:color="auto"/>
        <w:left w:val="none" w:sz="0" w:space="0" w:color="auto"/>
        <w:bottom w:val="none" w:sz="0" w:space="0" w:color="auto"/>
        <w:right w:val="none" w:sz="0" w:space="0" w:color="auto"/>
      </w:divBdr>
    </w:div>
    <w:div w:id="634988568">
      <w:bodyDiv w:val="1"/>
      <w:marLeft w:val="0"/>
      <w:marRight w:val="0"/>
      <w:marTop w:val="0"/>
      <w:marBottom w:val="0"/>
      <w:divBdr>
        <w:top w:val="none" w:sz="0" w:space="0" w:color="auto"/>
        <w:left w:val="none" w:sz="0" w:space="0" w:color="auto"/>
        <w:bottom w:val="none" w:sz="0" w:space="0" w:color="auto"/>
        <w:right w:val="none" w:sz="0" w:space="0" w:color="auto"/>
      </w:divBdr>
    </w:div>
    <w:div w:id="693652005">
      <w:bodyDiv w:val="1"/>
      <w:marLeft w:val="0"/>
      <w:marRight w:val="0"/>
      <w:marTop w:val="0"/>
      <w:marBottom w:val="0"/>
      <w:divBdr>
        <w:top w:val="none" w:sz="0" w:space="0" w:color="auto"/>
        <w:left w:val="none" w:sz="0" w:space="0" w:color="auto"/>
        <w:bottom w:val="none" w:sz="0" w:space="0" w:color="auto"/>
        <w:right w:val="none" w:sz="0" w:space="0" w:color="auto"/>
      </w:divBdr>
    </w:div>
    <w:div w:id="1366522798">
      <w:bodyDiv w:val="1"/>
      <w:marLeft w:val="0"/>
      <w:marRight w:val="0"/>
      <w:marTop w:val="0"/>
      <w:marBottom w:val="0"/>
      <w:divBdr>
        <w:top w:val="none" w:sz="0" w:space="0" w:color="auto"/>
        <w:left w:val="none" w:sz="0" w:space="0" w:color="auto"/>
        <w:bottom w:val="none" w:sz="0" w:space="0" w:color="auto"/>
        <w:right w:val="none" w:sz="0" w:space="0" w:color="auto"/>
      </w:divBdr>
    </w:div>
    <w:div w:id="1476724799">
      <w:bodyDiv w:val="1"/>
      <w:marLeft w:val="0"/>
      <w:marRight w:val="0"/>
      <w:marTop w:val="0"/>
      <w:marBottom w:val="0"/>
      <w:divBdr>
        <w:top w:val="none" w:sz="0" w:space="0" w:color="auto"/>
        <w:left w:val="none" w:sz="0" w:space="0" w:color="auto"/>
        <w:bottom w:val="none" w:sz="0" w:space="0" w:color="auto"/>
        <w:right w:val="none" w:sz="0" w:space="0" w:color="auto"/>
      </w:divBdr>
    </w:div>
    <w:div w:id="19738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bscribecpuc.cpuc.c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cess_office@cpuc.c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puc.ca.gov/PUC/IntervenorCompGuide/." TargetMode="External"/><Relationship Id="rId4" Type="http://schemas.openxmlformats.org/officeDocument/2006/relationships/webSettings" Target="webSettings.xml"/><Relationship Id="rId9" Type="http://schemas.openxmlformats.org/officeDocument/2006/relationships/hyperlink" Target="http://www.cpuc.ca.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H\AppData\Local\Microsoft\Windows\Temporary%20Internet%20Files\Content.IE5\C0F5XROM\Agenda%20Dec.%20(Simple_Short%20Version%20-%20No%20Mail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Dec. (Simple_Short Version - No Mailing)</Template>
  <TotalTime>8</TotalTime>
  <Pages>10</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Decision</vt:lpstr>
    </vt:vector>
  </TitlesOfParts>
  <Company>California Public Utilities Commission (CPUC)</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creator>Hipolito, Marilou A.</dc:creator>
  <cp:lastModifiedBy>Hipolito, Marilou A.</cp:lastModifiedBy>
  <cp:revision>16</cp:revision>
  <cp:lastPrinted>2018-11-06T15:58:00Z</cp:lastPrinted>
  <dcterms:created xsi:type="dcterms:W3CDTF">2018-11-15T23:30:00Z</dcterms:created>
  <dcterms:modified xsi:type="dcterms:W3CDTF">2018-11-15T23:52:00Z</dcterms:modified>
</cp:coreProperties>
</file>