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B58" w:rsidRDefault="005A60C9" w:rsidP="00731B58">
      <w:pPr>
        <w:pStyle w:val="Header"/>
        <w:tabs>
          <w:tab w:val="clear" w:pos="4320"/>
          <w:tab w:val="clear" w:pos="8640"/>
          <w:tab w:val="center" w:pos="4680"/>
          <w:tab w:val="right" w:pos="9360"/>
        </w:tabs>
      </w:pPr>
      <w:bookmarkStart w:id="0" w:name="_GoBack"/>
      <w:bookmarkEnd w:id="0"/>
      <w:r>
        <w:t>ALJ/</w:t>
      </w:r>
      <w:r w:rsidR="000D397F">
        <w:t>DB3</w:t>
      </w:r>
      <w:r>
        <w:t>/</w:t>
      </w:r>
      <w:r w:rsidR="000D397F">
        <w:t>mph</w:t>
      </w:r>
      <w:r>
        <w:tab/>
      </w:r>
      <w:r w:rsidR="00731B58">
        <w:rPr>
          <w:rFonts w:ascii="Helvetica" w:hAnsi="Helvetica"/>
          <w:b/>
          <w:sz w:val="32"/>
          <w:szCs w:val="32"/>
        </w:rPr>
        <w:t>PROPOSED DECISION</w:t>
      </w:r>
      <w:r>
        <w:tab/>
      </w:r>
      <w:r w:rsidR="00731B58">
        <w:t>Agenda ID</w:t>
      </w:r>
      <w:r w:rsidR="00C92644">
        <w:t xml:space="preserve"> </w:t>
      </w:r>
      <w:proofErr w:type="gramStart"/>
      <w:r w:rsidR="00C92644">
        <w:t>16923</w:t>
      </w:r>
      <w:r w:rsidR="00B25280">
        <w:t xml:space="preserve">  (</w:t>
      </w:r>
      <w:proofErr w:type="gramEnd"/>
      <w:r w:rsidR="00B25280">
        <w:t>Rev 1)</w:t>
      </w:r>
    </w:p>
    <w:p w:rsidR="005A60C9" w:rsidRDefault="0080625F" w:rsidP="0080625F">
      <w:pPr>
        <w:pStyle w:val="Header"/>
        <w:tabs>
          <w:tab w:val="clear" w:pos="4320"/>
          <w:tab w:val="clear" w:pos="8640"/>
          <w:tab w:val="center" w:pos="4680"/>
          <w:tab w:val="right" w:pos="9360"/>
        </w:tabs>
        <w:jc w:val="right"/>
      </w:pPr>
      <w:r>
        <w:t>Adjudicatory</w:t>
      </w:r>
    </w:p>
    <w:p w:rsidR="00B25280" w:rsidRDefault="00B25280" w:rsidP="0080625F">
      <w:pPr>
        <w:pStyle w:val="Header"/>
        <w:tabs>
          <w:tab w:val="clear" w:pos="4320"/>
          <w:tab w:val="clear" w:pos="8640"/>
          <w:tab w:val="center" w:pos="4680"/>
          <w:tab w:val="right" w:pos="9360"/>
        </w:tabs>
        <w:jc w:val="right"/>
      </w:pPr>
      <w:r>
        <w:t>11/29/</w:t>
      </w:r>
      <w:proofErr w:type="gramStart"/>
      <w:r>
        <w:t>2018  Item</w:t>
      </w:r>
      <w:proofErr w:type="gramEnd"/>
      <w:r>
        <w:t xml:space="preserve"> #5</w:t>
      </w:r>
    </w:p>
    <w:p w:rsidR="00C5159A" w:rsidRDefault="00C5159A" w:rsidP="0080625F">
      <w:pPr>
        <w:pStyle w:val="Header"/>
        <w:tabs>
          <w:tab w:val="clear" w:pos="4320"/>
          <w:tab w:val="clear" w:pos="8640"/>
          <w:tab w:val="center" w:pos="4680"/>
          <w:tab w:val="right" w:pos="9360"/>
        </w:tabs>
        <w:jc w:val="right"/>
      </w:pPr>
    </w:p>
    <w:p w:rsidR="005A60C9" w:rsidRDefault="005A60C9">
      <w:pPr>
        <w:suppressAutoHyphens/>
      </w:pPr>
      <w:r>
        <w:t xml:space="preserve">Decision </w:t>
      </w:r>
      <w:r w:rsidR="00C5159A" w:rsidRPr="00AE0502">
        <w:rPr>
          <w:b/>
          <w:u w:val="single"/>
        </w:rPr>
        <w:t>PROPOSED DECISION OF ALJ BURCHAM (Mailed 10/</w:t>
      </w:r>
      <w:r w:rsidR="002D33B3">
        <w:rPr>
          <w:b/>
          <w:u w:val="single"/>
        </w:rPr>
        <w:t>30</w:t>
      </w:r>
      <w:r w:rsidR="00C5159A" w:rsidRPr="00AE0502">
        <w:rPr>
          <w:b/>
          <w:u w:val="single"/>
        </w:rPr>
        <w:t>/2018)</w:t>
      </w:r>
    </w:p>
    <w:p w:rsidR="005A60C9" w:rsidRPr="000D397F" w:rsidRDefault="005A60C9">
      <w:pPr>
        <w:suppressAutoHyphens/>
        <w:rPr>
          <w:sz w:val="22"/>
          <w:szCs w:val="22"/>
        </w:rPr>
      </w:pPr>
    </w:p>
    <w:p w:rsidR="005A60C9" w:rsidRDefault="005A60C9">
      <w:pPr>
        <w:pStyle w:val="titlebar"/>
        <w:rPr>
          <w:sz w:val="24"/>
        </w:rPr>
      </w:pPr>
      <w:r>
        <w:rPr>
          <w:sz w:val="24"/>
        </w:rPr>
        <w:t>BEFORE THE PUBLIC UTILITIES COMMISSION OF THE STATE OF CALIFORNIA</w:t>
      </w:r>
    </w:p>
    <w:p w:rsidR="005A60C9" w:rsidRPr="000D397F" w:rsidRDefault="005A60C9">
      <w:pPr>
        <w:suppressAutoHyphens/>
        <w:rPr>
          <w:sz w:val="22"/>
          <w:szCs w:val="22"/>
        </w:rPr>
      </w:pPr>
    </w:p>
    <w:tbl>
      <w:tblPr>
        <w:tblW w:w="0" w:type="auto"/>
        <w:tblLayout w:type="fixed"/>
        <w:tblLook w:val="0000" w:firstRow="0" w:lastRow="0" w:firstColumn="0" w:lastColumn="0" w:noHBand="0" w:noVBand="0"/>
      </w:tblPr>
      <w:tblGrid>
        <w:gridCol w:w="5328"/>
        <w:gridCol w:w="3917"/>
      </w:tblGrid>
      <w:tr w:rsidR="005A60C9">
        <w:tc>
          <w:tcPr>
            <w:tcW w:w="5328" w:type="dxa"/>
            <w:tcBorders>
              <w:bottom w:val="single" w:sz="6" w:space="0" w:color="auto"/>
              <w:right w:val="single" w:sz="6" w:space="0" w:color="auto"/>
            </w:tcBorders>
          </w:tcPr>
          <w:p w:rsidR="000D397F" w:rsidRPr="00626640" w:rsidRDefault="000D397F" w:rsidP="000D397F">
            <w:pPr>
              <w:autoSpaceDE w:val="0"/>
              <w:autoSpaceDN w:val="0"/>
              <w:adjustRightInd w:val="0"/>
              <w:rPr>
                <w:rFonts w:ascii="Book Antiqua" w:hAnsi="Book Antiqua" w:cs="TimesNewRomanPSMT"/>
                <w:szCs w:val="26"/>
              </w:rPr>
            </w:pPr>
            <w:r w:rsidRPr="00626640">
              <w:rPr>
                <w:rFonts w:ascii="Book Antiqua" w:hAnsi="Book Antiqua" w:cs="TimesNewRomanPSMT"/>
                <w:szCs w:val="26"/>
              </w:rPr>
              <w:t xml:space="preserve">Charles Parks, Linda </w:t>
            </w:r>
            <w:proofErr w:type="spellStart"/>
            <w:r w:rsidRPr="00626640">
              <w:rPr>
                <w:rFonts w:ascii="Book Antiqua" w:hAnsi="Book Antiqua" w:cs="TimesNewRomanPSMT"/>
                <w:szCs w:val="26"/>
              </w:rPr>
              <w:t>Salsbury</w:t>
            </w:r>
            <w:proofErr w:type="spellEnd"/>
            <w:r w:rsidRPr="00626640">
              <w:rPr>
                <w:rFonts w:ascii="Book Antiqua" w:hAnsi="Book Antiqua" w:cs="TimesNewRomanPSMT"/>
                <w:szCs w:val="26"/>
              </w:rPr>
              <w:t xml:space="preserve">, Bob Sherrill, Julie Weakley, Janet </w:t>
            </w:r>
            <w:proofErr w:type="spellStart"/>
            <w:r w:rsidRPr="00626640">
              <w:rPr>
                <w:rFonts w:ascii="Book Antiqua" w:hAnsi="Book Antiqua" w:cs="TimesNewRomanPSMT"/>
                <w:szCs w:val="26"/>
              </w:rPr>
              <w:t>Reniere</w:t>
            </w:r>
            <w:proofErr w:type="spellEnd"/>
            <w:r w:rsidRPr="00626640">
              <w:rPr>
                <w:rFonts w:ascii="Book Antiqua" w:hAnsi="Book Antiqua" w:cs="TimesNewRomanPSMT"/>
                <w:szCs w:val="26"/>
              </w:rPr>
              <w:t xml:space="preserve">, Gary Parkinson, Richard Miller, Sharon McMahan, David Andre, Donna Andre, Allan Quist, Sheree Quist, Karen Finley, Willene Howe, Christy Atwood </w:t>
            </w:r>
            <w:proofErr w:type="spellStart"/>
            <w:r w:rsidRPr="00626640">
              <w:rPr>
                <w:rFonts w:ascii="Book Antiqua" w:hAnsi="Book Antiqua" w:cs="TimesNewRomanPSMT"/>
                <w:szCs w:val="26"/>
              </w:rPr>
              <w:t>VanHook</w:t>
            </w:r>
            <w:proofErr w:type="spellEnd"/>
            <w:r w:rsidRPr="00626640">
              <w:rPr>
                <w:rFonts w:ascii="Book Antiqua" w:hAnsi="Book Antiqua" w:cs="TimesNewRomanPSMT"/>
                <w:szCs w:val="26"/>
              </w:rPr>
              <w:t xml:space="preserve">, Winifred Moore, Newton Hightower, Nancy Gerrard, Marc </w:t>
            </w:r>
            <w:proofErr w:type="spellStart"/>
            <w:r w:rsidRPr="00626640">
              <w:rPr>
                <w:rFonts w:ascii="Book Antiqua" w:hAnsi="Book Antiqua" w:cs="TimesNewRomanPSMT"/>
                <w:szCs w:val="26"/>
              </w:rPr>
              <w:t>Scheible</w:t>
            </w:r>
            <w:proofErr w:type="spellEnd"/>
            <w:r w:rsidRPr="00626640">
              <w:rPr>
                <w:rFonts w:ascii="Book Antiqua" w:hAnsi="Book Antiqua" w:cs="TimesNewRomanPSMT"/>
                <w:szCs w:val="26"/>
              </w:rPr>
              <w:t xml:space="preserve">, Debbie </w:t>
            </w:r>
            <w:proofErr w:type="spellStart"/>
            <w:r w:rsidRPr="00626640">
              <w:rPr>
                <w:rFonts w:ascii="Book Antiqua" w:hAnsi="Book Antiqua" w:cs="TimesNewRomanPSMT"/>
                <w:szCs w:val="26"/>
              </w:rPr>
              <w:t>Scheible</w:t>
            </w:r>
            <w:proofErr w:type="spellEnd"/>
            <w:r w:rsidRPr="00626640">
              <w:rPr>
                <w:rFonts w:ascii="Book Antiqua" w:hAnsi="Book Antiqua" w:cs="TimesNewRomanPSMT"/>
                <w:szCs w:val="26"/>
              </w:rPr>
              <w:t xml:space="preserve">, Cheryl Jones, Katie Phillips, Janice Elam, Jeanette Lynn, Justin Edwards, Nancy Edwards, </w:t>
            </w:r>
            <w:proofErr w:type="spellStart"/>
            <w:r w:rsidRPr="00626640">
              <w:rPr>
                <w:rFonts w:ascii="Book Antiqua" w:hAnsi="Book Antiqua" w:cs="TimesNewRomanPSMT"/>
                <w:szCs w:val="26"/>
              </w:rPr>
              <w:t>Franchelle</w:t>
            </w:r>
            <w:proofErr w:type="spellEnd"/>
            <w:r w:rsidRPr="00626640">
              <w:rPr>
                <w:rFonts w:ascii="Book Antiqua" w:hAnsi="Book Antiqua" w:cs="TimesNewRomanPSMT"/>
                <w:szCs w:val="26"/>
              </w:rPr>
              <w:t xml:space="preserve"> </w:t>
            </w:r>
            <w:proofErr w:type="spellStart"/>
            <w:r w:rsidRPr="00626640">
              <w:rPr>
                <w:rFonts w:ascii="Book Antiqua" w:hAnsi="Book Antiqua" w:cs="TimesNewRomanPSMT"/>
                <w:szCs w:val="26"/>
              </w:rPr>
              <w:t>Ellisonn</w:t>
            </w:r>
            <w:proofErr w:type="spellEnd"/>
            <w:r w:rsidRPr="00626640">
              <w:rPr>
                <w:rFonts w:ascii="Book Antiqua" w:hAnsi="Book Antiqua" w:cs="TimesNewRomanPSMT"/>
                <w:szCs w:val="26"/>
              </w:rPr>
              <w:t xml:space="preserve">, Richard Beebe, Kathleen Beebe, Rod Goss, Howard Neely, Irene Richardson, Mark Richardson, Jayne Thurman, Charles Shapiro, Mary Ann Service, Ron Sutton, Gary Rayburn, Mary Browning, Vern </w:t>
            </w:r>
            <w:proofErr w:type="spellStart"/>
            <w:r w:rsidRPr="00626640">
              <w:rPr>
                <w:rFonts w:ascii="Book Antiqua" w:hAnsi="Book Antiqua" w:cs="TimesNewRomanPSMT"/>
                <w:szCs w:val="26"/>
              </w:rPr>
              <w:t>Glomb</w:t>
            </w:r>
            <w:proofErr w:type="spellEnd"/>
            <w:r w:rsidRPr="00626640">
              <w:rPr>
                <w:rFonts w:ascii="Book Antiqua" w:hAnsi="Book Antiqua" w:cs="TimesNewRomanPSMT"/>
                <w:szCs w:val="26"/>
              </w:rPr>
              <w:t xml:space="preserve">, Pri1scilla </w:t>
            </w:r>
            <w:proofErr w:type="spellStart"/>
            <w:r w:rsidRPr="00626640">
              <w:rPr>
                <w:rFonts w:ascii="Book Antiqua" w:hAnsi="Book Antiqua" w:cs="TimesNewRomanPSMT"/>
                <w:szCs w:val="26"/>
              </w:rPr>
              <w:t>Glomb</w:t>
            </w:r>
            <w:proofErr w:type="spellEnd"/>
            <w:r w:rsidRPr="00626640">
              <w:rPr>
                <w:rFonts w:ascii="Book Antiqua" w:hAnsi="Book Antiqua" w:cs="TimesNewRomanPSMT"/>
                <w:szCs w:val="26"/>
              </w:rPr>
              <w:t xml:space="preserve">, Annabelle Barnett, Kenneth Sikes, Debbie McDaniel, Herbert Biddle, Linda </w:t>
            </w:r>
            <w:proofErr w:type="spellStart"/>
            <w:r w:rsidRPr="00626640">
              <w:rPr>
                <w:rFonts w:ascii="Book Antiqua" w:hAnsi="Book Antiqua" w:cs="TimesNewRomanPSMT"/>
                <w:szCs w:val="26"/>
              </w:rPr>
              <w:t>Tayman</w:t>
            </w:r>
            <w:proofErr w:type="spellEnd"/>
            <w:r w:rsidRPr="00626640">
              <w:rPr>
                <w:rFonts w:ascii="Book Antiqua" w:hAnsi="Book Antiqua" w:cs="TimesNewRomanPSMT"/>
                <w:szCs w:val="26"/>
              </w:rPr>
              <w:t xml:space="preserve">, Teresa Strange, Jim Keene, Ruben </w:t>
            </w:r>
            <w:proofErr w:type="spellStart"/>
            <w:r w:rsidRPr="00626640">
              <w:rPr>
                <w:rFonts w:ascii="Book Antiqua" w:hAnsi="Book Antiqua" w:cs="TimesNewRomanPSMT"/>
                <w:szCs w:val="26"/>
              </w:rPr>
              <w:t>Comelli</w:t>
            </w:r>
            <w:proofErr w:type="spellEnd"/>
            <w:r w:rsidRPr="00626640">
              <w:rPr>
                <w:rFonts w:ascii="Book Antiqua" w:hAnsi="Book Antiqua" w:cs="TimesNewRomanPSMT"/>
                <w:szCs w:val="26"/>
              </w:rPr>
              <w:t xml:space="preserve">, Christine </w:t>
            </w:r>
            <w:proofErr w:type="spellStart"/>
            <w:r w:rsidRPr="00626640">
              <w:rPr>
                <w:rFonts w:ascii="Book Antiqua" w:hAnsi="Book Antiqua" w:cs="TimesNewRomanPSMT"/>
                <w:szCs w:val="26"/>
              </w:rPr>
              <w:t>Burciagan</w:t>
            </w:r>
            <w:proofErr w:type="spellEnd"/>
            <w:r w:rsidRPr="00626640">
              <w:rPr>
                <w:rFonts w:ascii="Book Antiqua" w:hAnsi="Book Antiqua" w:cs="TimesNewRomanPSMT"/>
                <w:szCs w:val="26"/>
              </w:rPr>
              <w:t xml:space="preserve"> Phil Maggio, Gail Maggio, Dawn Herrera, Steve </w:t>
            </w:r>
            <w:proofErr w:type="spellStart"/>
            <w:r w:rsidRPr="00626640">
              <w:rPr>
                <w:rFonts w:ascii="Book Antiqua" w:hAnsi="Book Antiqua" w:cs="TimesNewRomanPSMT"/>
                <w:szCs w:val="26"/>
              </w:rPr>
              <w:t>Dimmick</w:t>
            </w:r>
            <w:proofErr w:type="spellEnd"/>
            <w:r w:rsidRPr="00626640">
              <w:rPr>
                <w:rFonts w:ascii="Book Antiqua" w:hAnsi="Book Antiqua" w:cs="TimesNewRomanPSMT"/>
                <w:szCs w:val="26"/>
              </w:rPr>
              <w:t xml:space="preserve">, Joanne </w:t>
            </w:r>
            <w:proofErr w:type="spellStart"/>
            <w:r w:rsidRPr="00626640">
              <w:rPr>
                <w:rFonts w:ascii="Book Antiqua" w:hAnsi="Book Antiqua" w:cs="TimesNewRomanPSMT"/>
                <w:szCs w:val="26"/>
              </w:rPr>
              <w:t>Dimmick</w:t>
            </w:r>
            <w:proofErr w:type="spellEnd"/>
            <w:r w:rsidRPr="00626640">
              <w:rPr>
                <w:rFonts w:ascii="Book Antiqua" w:hAnsi="Book Antiqua" w:cs="TimesNewRomanPSMT"/>
                <w:szCs w:val="26"/>
              </w:rPr>
              <w:t xml:space="preserve">, Rodger </w:t>
            </w:r>
            <w:proofErr w:type="spellStart"/>
            <w:r w:rsidRPr="00626640">
              <w:rPr>
                <w:rFonts w:ascii="Book Antiqua" w:hAnsi="Book Antiqua" w:cs="TimesNewRomanPSMT"/>
                <w:szCs w:val="26"/>
              </w:rPr>
              <w:t>Harmel</w:t>
            </w:r>
            <w:proofErr w:type="spellEnd"/>
            <w:r w:rsidRPr="00626640">
              <w:rPr>
                <w:rFonts w:ascii="Book Antiqua" w:hAnsi="Book Antiqua" w:cs="TimesNewRomanPSMT"/>
                <w:szCs w:val="26"/>
              </w:rPr>
              <w:t>, Sue Stanton,</w:t>
            </w:r>
          </w:p>
          <w:p w:rsidR="000D397F" w:rsidRDefault="000D397F" w:rsidP="000D397F">
            <w:pPr>
              <w:autoSpaceDE w:val="0"/>
              <w:autoSpaceDN w:val="0"/>
              <w:adjustRightInd w:val="0"/>
              <w:jc w:val="right"/>
              <w:rPr>
                <w:rFonts w:ascii="Book Antiqua" w:hAnsi="Book Antiqua" w:cs="TimesNewRomanPSMT"/>
                <w:szCs w:val="26"/>
              </w:rPr>
            </w:pPr>
            <w:r w:rsidRPr="00626640">
              <w:rPr>
                <w:rFonts w:ascii="Book Antiqua" w:hAnsi="Book Antiqua" w:cs="TimesNewRomanPSMT"/>
                <w:szCs w:val="26"/>
              </w:rPr>
              <w:t>Complainants,</w:t>
            </w:r>
          </w:p>
          <w:p w:rsidR="000D397F" w:rsidRPr="000D397F" w:rsidRDefault="000D397F" w:rsidP="000D397F">
            <w:pPr>
              <w:autoSpaceDE w:val="0"/>
              <w:autoSpaceDN w:val="0"/>
              <w:adjustRightInd w:val="0"/>
              <w:jc w:val="center"/>
              <w:rPr>
                <w:rFonts w:ascii="Book Antiqua" w:hAnsi="Book Antiqua" w:cs="TimesNewRomanPSMT"/>
                <w:sz w:val="22"/>
                <w:szCs w:val="22"/>
              </w:rPr>
            </w:pPr>
            <w:r w:rsidRPr="00626640">
              <w:rPr>
                <w:rFonts w:ascii="Book Antiqua" w:hAnsi="Book Antiqua" w:cs="TimesNewRomanPSMT"/>
                <w:szCs w:val="26"/>
              </w:rPr>
              <w:t>vs.</w:t>
            </w:r>
          </w:p>
          <w:p w:rsidR="000D397F" w:rsidRPr="000D397F" w:rsidRDefault="000D397F" w:rsidP="000D397F">
            <w:pPr>
              <w:autoSpaceDE w:val="0"/>
              <w:autoSpaceDN w:val="0"/>
              <w:adjustRightInd w:val="0"/>
              <w:rPr>
                <w:rFonts w:ascii="Book Antiqua" w:hAnsi="Book Antiqua" w:cs="TimesNewRomanPSMT"/>
                <w:sz w:val="22"/>
                <w:szCs w:val="22"/>
              </w:rPr>
            </w:pPr>
          </w:p>
          <w:p w:rsidR="000D397F" w:rsidRPr="00626640" w:rsidRDefault="000D397F" w:rsidP="000D397F">
            <w:pPr>
              <w:autoSpaceDE w:val="0"/>
              <w:autoSpaceDN w:val="0"/>
              <w:adjustRightInd w:val="0"/>
              <w:rPr>
                <w:rFonts w:ascii="Book Antiqua" w:hAnsi="Book Antiqua" w:cs="TimesNewRomanPSMT"/>
                <w:szCs w:val="26"/>
              </w:rPr>
            </w:pPr>
            <w:r w:rsidRPr="00626640">
              <w:rPr>
                <w:rFonts w:ascii="Book Antiqua" w:hAnsi="Book Antiqua" w:cs="TimesNewRomanPSMT"/>
                <w:szCs w:val="26"/>
              </w:rPr>
              <w:t>MESA DUNES MOBILE HOME ESTATES, LLC,</w:t>
            </w:r>
            <w:r>
              <w:rPr>
                <w:rFonts w:ascii="Book Antiqua" w:hAnsi="Book Antiqua" w:cs="TimesNewRomanPSMT"/>
                <w:szCs w:val="26"/>
              </w:rPr>
              <w:t xml:space="preserve"> </w:t>
            </w:r>
            <w:r w:rsidRPr="00626640">
              <w:rPr>
                <w:rFonts w:ascii="Book Antiqua" w:hAnsi="Book Antiqua" w:cs="TimesNewRomanPSMT"/>
                <w:szCs w:val="26"/>
              </w:rPr>
              <w:t>a California Limited Liability Company, dba MESA</w:t>
            </w:r>
            <w:r>
              <w:rPr>
                <w:rFonts w:ascii="Book Antiqua" w:hAnsi="Book Antiqua" w:cs="TimesNewRomanPSMT"/>
                <w:szCs w:val="26"/>
              </w:rPr>
              <w:t xml:space="preserve"> </w:t>
            </w:r>
            <w:r w:rsidRPr="00626640">
              <w:rPr>
                <w:rFonts w:ascii="Book Antiqua" w:hAnsi="Book Antiqua" w:cs="TimesNewRomanPSMT"/>
                <w:szCs w:val="26"/>
              </w:rPr>
              <w:t>DUNES MOBILE HOME ESTATES.</w:t>
            </w:r>
          </w:p>
          <w:p w:rsidR="000D397F" w:rsidRPr="000D397F" w:rsidRDefault="000D397F" w:rsidP="000D397F">
            <w:pPr>
              <w:tabs>
                <w:tab w:val="left" w:pos="2160"/>
                <w:tab w:val="left" w:pos="3600"/>
              </w:tabs>
              <w:rPr>
                <w:rFonts w:ascii="Book Antiqua" w:hAnsi="Book Antiqua" w:cs="TimesNewRomanPSMT"/>
                <w:sz w:val="22"/>
                <w:szCs w:val="22"/>
              </w:rPr>
            </w:pPr>
          </w:p>
          <w:p w:rsidR="005A60C9" w:rsidRDefault="000D397F" w:rsidP="000D397F">
            <w:pPr>
              <w:tabs>
                <w:tab w:val="left" w:pos="2160"/>
                <w:tab w:val="left" w:pos="3600"/>
              </w:tabs>
              <w:jc w:val="right"/>
            </w:pPr>
            <w:r w:rsidRPr="00626640">
              <w:rPr>
                <w:rFonts w:ascii="Book Antiqua" w:hAnsi="Book Antiqua" w:cs="TimesNewRomanPSMT"/>
                <w:szCs w:val="26"/>
              </w:rPr>
              <w:t>Defendant.</w:t>
            </w:r>
          </w:p>
          <w:p w:rsidR="005A60C9" w:rsidRDefault="005A60C9"/>
        </w:tc>
        <w:tc>
          <w:tcPr>
            <w:tcW w:w="3917" w:type="dxa"/>
            <w:tcBorders>
              <w:left w:val="nil"/>
            </w:tcBorders>
          </w:tcPr>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Default="000D397F" w:rsidP="000D397F">
            <w:pPr>
              <w:jc w:val="center"/>
              <w:rPr>
                <w:rFonts w:ascii="Book Antiqua" w:hAnsi="Book Antiqua"/>
              </w:rPr>
            </w:pPr>
          </w:p>
          <w:p w:rsidR="000D397F" w:rsidRPr="00626640" w:rsidRDefault="000D397F" w:rsidP="000D397F">
            <w:pPr>
              <w:jc w:val="center"/>
              <w:rPr>
                <w:rFonts w:ascii="Book Antiqua" w:hAnsi="Book Antiqua"/>
              </w:rPr>
            </w:pPr>
            <w:r w:rsidRPr="00626640">
              <w:rPr>
                <w:rFonts w:ascii="Book Antiqua" w:hAnsi="Book Antiqua"/>
              </w:rPr>
              <w:t>Case 16-12-012</w:t>
            </w:r>
          </w:p>
          <w:p w:rsidR="005A60C9" w:rsidRDefault="005A60C9">
            <w:pPr>
              <w:jc w:val="center"/>
            </w:pPr>
          </w:p>
        </w:tc>
      </w:tr>
    </w:tbl>
    <w:p w:rsidR="005A60C9" w:rsidRDefault="005A60C9">
      <w:pPr>
        <w:suppressAutoHyphens/>
      </w:pPr>
    </w:p>
    <w:p w:rsidR="005A60C9" w:rsidRDefault="000D397F">
      <w:pPr>
        <w:pStyle w:val="main"/>
      </w:pPr>
      <w:r w:rsidRPr="000A3373">
        <w:rPr>
          <w:rFonts w:ascii="Arial" w:hAnsi="Arial" w:cs="Arial"/>
        </w:rPr>
        <w:t>DECISION DISMISSING COMPLAINT</w:t>
      </w:r>
    </w:p>
    <w:p w:rsidR="005A60C9" w:rsidRDefault="005A60C9">
      <w:pPr>
        <w:pStyle w:val="mainex"/>
        <w:jc w:val="left"/>
      </w:pPr>
    </w:p>
    <w:p w:rsidR="005A60C9" w:rsidRDefault="005A60C9">
      <w:pPr>
        <w:pStyle w:val="Heading1"/>
      </w:pPr>
      <w:r>
        <w:t>Summary</w:t>
      </w:r>
    </w:p>
    <w:p w:rsidR="00DC0106" w:rsidRDefault="000D397F" w:rsidP="000D397F">
      <w:pPr>
        <w:pStyle w:val="standard"/>
      </w:pPr>
      <w:r>
        <w:t xml:space="preserve">On December 19, 2016, Charles Parks and 57 other residents (Complainants), filed a complaint with the California Public Utilities Commission (CPUC or Commission) to determine whether the rates charged for metered water service by Mesa Dunes are just and reasonable pursuant to California Public Utilities Code (Pub. Util. Code) § 2705.6.  The complaint was referred to the Commission’s Water Division for analysis.  Although Mesa Dunes is not a water utility generally subject to the Commission’s jurisdiction, the Commission does have jurisdiction to determine the reasonableness of the rates charged when requested to do so.  This decision finds the rates charged by </w:t>
      </w:r>
    </w:p>
    <w:p w:rsidR="000D397F" w:rsidRDefault="000D397F" w:rsidP="00DC0106">
      <w:pPr>
        <w:pStyle w:val="standard"/>
        <w:ind w:firstLine="0"/>
      </w:pPr>
      <w:r>
        <w:t>Mesa Dunes are just and reasonable.  The complaint is dismissed.  The proceeding is closed.</w:t>
      </w:r>
    </w:p>
    <w:p w:rsidR="000D397F" w:rsidRDefault="000D397F" w:rsidP="00625DE2">
      <w:pPr>
        <w:pStyle w:val="Heading1"/>
        <w:numPr>
          <w:ilvl w:val="0"/>
          <w:numId w:val="16"/>
        </w:numPr>
        <w:spacing w:before="120"/>
        <w:ind w:left="360"/>
      </w:pPr>
      <w:r>
        <w:t>Factual Background</w:t>
      </w:r>
    </w:p>
    <w:p w:rsidR="000D397F" w:rsidRDefault="000D397F" w:rsidP="000D397F">
      <w:pPr>
        <w:pStyle w:val="standard"/>
      </w:pPr>
      <w:r>
        <w:t>Dunes</w:t>
      </w:r>
      <w:r w:rsidR="00FA45CE">
        <w:t xml:space="preserve"> (Defendant)</w:t>
      </w:r>
      <w:r>
        <w:t xml:space="preserve"> provides water to residents of the Mesa Dunes Mobile Home Estates from water supplies and facilities that it owns which are not otherwise dedicated to public service.</w:t>
      </w:r>
      <w:r w:rsidR="00BB15FB">
        <w:t xml:space="preserve">  </w:t>
      </w:r>
      <w:r>
        <w:t>On or about June 1, 2016, Mesa Dunes converted non-metered water service to metered service and installed residential meters, including meter boxes for each mobile home residence.  Approximately six months later, the named complainants filed this case with the Commission seeking a determination regarding the reasonableness of the rates charged for water service after converting from non-metered to metered service.</w:t>
      </w:r>
    </w:p>
    <w:p w:rsidR="000D397F" w:rsidRDefault="000D397F" w:rsidP="00625DE2">
      <w:pPr>
        <w:pStyle w:val="Heading1"/>
        <w:numPr>
          <w:ilvl w:val="0"/>
          <w:numId w:val="16"/>
        </w:numPr>
        <w:spacing w:before="120"/>
        <w:ind w:left="360"/>
      </w:pPr>
      <w:r>
        <w:lastRenderedPageBreak/>
        <w:t>Procedural Background</w:t>
      </w:r>
    </w:p>
    <w:p w:rsidR="000D397F" w:rsidRDefault="000D397F" w:rsidP="000D397F">
      <w:pPr>
        <w:pStyle w:val="standard"/>
      </w:pPr>
      <w:r>
        <w:t>Under Pub. Util. Code § 2705.5</w:t>
      </w:r>
      <w:r w:rsidR="00041583">
        <w:t>,</w:t>
      </w:r>
      <w:r>
        <w:rPr>
          <w:rStyle w:val="FootnoteReference"/>
        </w:rPr>
        <w:footnoteReference w:id="2"/>
      </w:r>
      <w:r>
        <w:t xml:space="preserve"> a person or corporation that maintains a mobile home park or a multiple unit residential complex and provides water service to users through a submeter service system is not a public utility and is not subject to the jurisdiction, control, or regulation of the Commission if each user of the submeter service system is charged at the rate which would be applicable if the user were receiving the water directly from a water corporation.  Further, § 2705.6 provides in part, a mobile home park that provides water service only to its tenants from water supplies and facilities that it owns, not otherwise dedicated to public service, is not a water corporation.  </w:t>
      </w:r>
    </w:p>
    <w:p w:rsidR="000D397F" w:rsidRDefault="000D397F" w:rsidP="000D397F">
      <w:pPr>
        <w:pStyle w:val="standard"/>
      </w:pPr>
      <w:r>
        <w:t>However, if a complaint is filed with the Commission by tenants of the mobile home park that represent 10 percent or more of the park’s water service connections during any 12-month period, claiming that the water rates charged by the park are not just and reasonable or that the service is inadequate, the Commission does have jurisdiction to determine the merits of the complaint and to determine, based on all the facts and circumstances, whether the rates charged are just and reasonable and whether the service provided is adequate.</w:t>
      </w:r>
    </w:p>
    <w:p w:rsidR="000D397F" w:rsidRDefault="000D397F" w:rsidP="000D397F">
      <w:pPr>
        <w:pStyle w:val="standard"/>
      </w:pPr>
      <w:r>
        <w:t xml:space="preserve">In this case, on December 19, 2016, a formal complaint was filed with the Commission by 57 current and former residents of Mesa Dunes, representing more than 10 percent of the 304 water service connections during the 12-month period immediately preceding the filing of the complaint.  An amended complaint was filed on June 28, 2017.  The Complainants request a determination regarding the reasonableness of rates charged by Mesa Dunes for residential </w:t>
      </w:r>
      <w:r>
        <w:lastRenderedPageBreak/>
        <w:t>water service, and if the rates are determined to be unreasonable, that the Commission order Mesa Dunes to reimburse the Complainants for any amounts determined to be unreasonable.</w:t>
      </w:r>
      <w:r w:rsidR="00374DA6">
        <w:t xml:space="preserve">  </w:t>
      </w:r>
      <w:r>
        <w:t>On February 17, 2017, Mesa Dunes filed an answer to the complaint, and on July 28, 2017, Mesa Dunes filed a motion to dismiss the complaint as amended.</w:t>
      </w:r>
    </w:p>
    <w:p w:rsidR="00CD3710" w:rsidRDefault="000D397F" w:rsidP="000D397F">
      <w:pPr>
        <w:pStyle w:val="standard"/>
      </w:pPr>
      <w:r>
        <w:t xml:space="preserve">A prehearing conference (PHC) was held in Arroyo Grande on </w:t>
      </w:r>
    </w:p>
    <w:p w:rsidR="000D397F" w:rsidRDefault="000D397F" w:rsidP="00CD3710">
      <w:pPr>
        <w:pStyle w:val="standard"/>
        <w:ind w:firstLine="0"/>
      </w:pPr>
      <w:r>
        <w:t>June 15, 2017.  Three of the named Complainants, Charles Parks, vice president of the Mesa Dunes Home Owners’ Association (HOA), Sharon McMahan, president of the HOA and Gail Maggio, secretary-treasurer of the HOA appeared as representatives of the group of 57 named complainants.  Legal counsel for Defendant Mesa Dunes was also present.  The parties briefly summarized their positions and requested the matter be referred to the Commission’s Division of Water and Audits (Water Division) for an analysis of the reasonableness of the rates at issue.  The parties did not request an evidentiary hearing.</w:t>
      </w:r>
    </w:p>
    <w:p w:rsidR="000D397F" w:rsidRDefault="000D397F" w:rsidP="000D397F">
      <w:pPr>
        <w:pStyle w:val="standard"/>
      </w:pPr>
      <w:r>
        <w:t>On October 11, 2017, the assigned Commissioner issued a Scoping Memo and Ruling.  The matter was referred to the Water Division to investigate the complaint and to report their findings to the assigned Commissioner and A</w:t>
      </w:r>
      <w:r w:rsidR="00142EFD">
        <w:t xml:space="preserve">dministrative </w:t>
      </w:r>
      <w:r>
        <w:t>L</w:t>
      </w:r>
      <w:r w:rsidR="00142EFD">
        <w:t xml:space="preserve">aw </w:t>
      </w:r>
      <w:r>
        <w:t>J</w:t>
      </w:r>
      <w:r w:rsidR="00142EFD">
        <w:t>udge</w:t>
      </w:r>
      <w:r>
        <w:t>.  On August 13, 2018, the Water Division completed their investigation and provided a written report of their findings to the ALJ.</w:t>
      </w:r>
    </w:p>
    <w:p w:rsidR="000D397F" w:rsidRDefault="000D397F" w:rsidP="00625DE2">
      <w:pPr>
        <w:pStyle w:val="Heading1"/>
        <w:numPr>
          <w:ilvl w:val="0"/>
          <w:numId w:val="16"/>
        </w:numPr>
        <w:spacing w:before="120"/>
        <w:ind w:left="360"/>
      </w:pPr>
      <w:r>
        <w:t>Jurisdiction</w:t>
      </w:r>
    </w:p>
    <w:p w:rsidR="000D397F" w:rsidRDefault="000D397F" w:rsidP="000D397F">
      <w:pPr>
        <w:pStyle w:val="standard"/>
      </w:pPr>
      <w:r>
        <w:t>The Commission has jurisdiction to resolve this Complaint pursuant to Pub. Util. Code § 2705.6.</w:t>
      </w:r>
    </w:p>
    <w:p w:rsidR="000D397F" w:rsidRDefault="000D397F" w:rsidP="00851E29">
      <w:pPr>
        <w:pStyle w:val="Heading1"/>
        <w:keepLines/>
        <w:numPr>
          <w:ilvl w:val="0"/>
          <w:numId w:val="16"/>
        </w:numPr>
        <w:spacing w:before="120"/>
        <w:ind w:left="360"/>
      </w:pPr>
      <w:r>
        <w:lastRenderedPageBreak/>
        <w:t>Issue Before the Commission</w:t>
      </w:r>
    </w:p>
    <w:p w:rsidR="000D397F" w:rsidRDefault="000D397F" w:rsidP="00851E29">
      <w:pPr>
        <w:pStyle w:val="standard"/>
        <w:keepNext/>
        <w:keepLines/>
      </w:pPr>
      <w:r>
        <w:t xml:space="preserve">The only issue before the Commission is whether the rates charged by Mesa Dunes for water service to residents of the Mesa Dunes Mobile Home Estates are just and reasonable.  </w:t>
      </w:r>
    </w:p>
    <w:p w:rsidR="000D397F" w:rsidRDefault="000D397F" w:rsidP="00851E29">
      <w:pPr>
        <w:pStyle w:val="standard"/>
        <w:keepNext/>
        <w:keepLines/>
      </w:pPr>
      <w:r>
        <w:t xml:space="preserve">Complainants allege the rates charged by Mesa Dunes are significantly higher than those in neighboring areas, are substantially higher than Mesa Dunes’ costs of service including a reasonable rate of return, and that the tiered rate structure is punitive.  Mesa Dunes contends that the rates it charges residents for water are consistent with its cost of service and provide a reasonable rate of </w:t>
      </w:r>
      <w:proofErr w:type="gramStart"/>
      <w:r>
        <w:t>return,</w:t>
      </w:r>
      <w:r w:rsidR="00A913D0">
        <w:t xml:space="preserve"> </w:t>
      </w:r>
      <w:r>
        <w:t>and</w:t>
      </w:r>
      <w:proofErr w:type="gramEnd"/>
      <w:r>
        <w:t xml:space="preserve"> denies that its tiered rate structure is punitive.</w:t>
      </w:r>
    </w:p>
    <w:p w:rsidR="000D397F" w:rsidRDefault="000D397F" w:rsidP="00625DE2">
      <w:pPr>
        <w:pStyle w:val="Heading1"/>
        <w:numPr>
          <w:ilvl w:val="0"/>
          <w:numId w:val="16"/>
        </w:numPr>
        <w:spacing w:before="120"/>
        <w:ind w:left="360"/>
      </w:pPr>
      <w:r>
        <w:t>Discussion and Analysis</w:t>
      </w:r>
    </w:p>
    <w:p w:rsidR="000D397F" w:rsidRDefault="000D397F" w:rsidP="000D397F">
      <w:pPr>
        <w:pStyle w:val="standard"/>
      </w:pPr>
      <w:r>
        <w:t>The Commission’s Water Division compared existing rates charged to customers by Mesa Dunes, with 304 service connections, to rates charged to customers if Mesa Dunes acted as a Commission-regulated Class D water utility with less than 500 service connections.  As guidance during this investigation, the Water Division used the following policies and criteria applicable to Class D water utilities:</w:t>
      </w:r>
    </w:p>
    <w:p w:rsidR="000D397F" w:rsidRDefault="000D397F" w:rsidP="00851E29">
      <w:pPr>
        <w:pStyle w:val="standard"/>
        <w:widowControl w:val="0"/>
        <w:numPr>
          <w:ilvl w:val="0"/>
          <w:numId w:val="12"/>
        </w:numPr>
        <w:tabs>
          <w:tab w:val="left" w:pos="1080"/>
          <w:tab w:val="left" w:pos="1350"/>
          <w:tab w:val="left" w:pos="1530"/>
        </w:tabs>
        <w:spacing w:after="120" w:line="240" w:lineRule="auto"/>
        <w:ind w:left="720" w:firstLine="0"/>
      </w:pPr>
      <w:r>
        <w:t>CPUC Water Division Standard Practice U-9-W (Processing Informal General Rate Cases of Small Water and Sewer Utilities);</w:t>
      </w:r>
    </w:p>
    <w:p w:rsidR="000D397F" w:rsidRDefault="000D397F" w:rsidP="00851E29">
      <w:pPr>
        <w:pStyle w:val="standard"/>
        <w:widowControl w:val="0"/>
        <w:numPr>
          <w:ilvl w:val="0"/>
          <w:numId w:val="12"/>
        </w:numPr>
        <w:tabs>
          <w:tab w:val="left" w:pos="1080"/>
        </w:tabs>
        <w:spacing w:after="120" w:line="240" w:lineRule="auto"/>
        <w:ind w:left="720" w:firstLine="0"/>
      </w:pPr>
      <w:r>
        <w:t>CPUC Resolution No. W-4524 (Rate of Return and Rate of Margin methodology for Class C and D Water Utilities); and</w:t>
      </w:r>
    </w:p>
    <w:p w:rsidR="000D397F" w:rsidRDefault="000D397F" w:rsidP="00851E29">
      <w:pPr>
        <w:pStyle w:val="standard"/>
        <w:widowControl w:val="0"/>
        <w:numPr>
          <w:ilvl w:val="0"/>
          <w:numId w:val="12"/>
        </w:numPr>
        <w:tabs>
          <w:tab w:val="left" w:pos="1080"/>
        </w:tabs>
        <w:spacing w:after="120" w:line="240" w:lineRule="auto"/>
        <w:ind w:left="720" w:firstLine="0"/>
      </w:pPr>
      <w:r>
        <w:t>CPUC Water Division Standard Practice U-7-W (Rate Design for Water and Sewer System Utilities</w:t>
      </w:r>
      <w:r w:rsidR="00256259">
        <w:t>)</w:t>
      </w:r>
      <w:r>
        <w:t>.</w:t>
      </w:r>
    </w:p>
    <w:p w:rsidR="000D397F" w:rsidRPr="001D23BD" w:rsidRDefault="005E2E94" w:rsidP="00851E29">
      <w:pPr>
        <w:pStyle w:val="standard"/>
        <w:keepNext/>
        <w:keepLines/>
        <w:rPr>
          <w:rFonts w:ascii="Helvetica" w:hAnsi="Helvetica" w:cs="Helvetica"/>
          <w:b/>
        </w:rPr>
      </w:pPr>
      <w:r>
        <w:rPr>
          <w:rFonts w:ascii="Helvetica" w:hAnsi="Helvetica" w:cs="Helvetica"/>
          <w:b/>
        </w:rPr>
        <w:lastRenderedPageBreak/>
        <w:t>5</w:t>
      </w:r>
      <w:r w:rsidR="000D397F" w:rsidRPr="001D23BD">
        <w:rPr>
          <w:rFonts w:ascii="Helvetica" w:hAnsi="Helvetica" w:cs="Helvetica"/>
          <w:b/>
        </w:rPr>
        <w:t>.1</w:t>
      </w:r>
      <w:r w:rsidR="000D397F" w:rsidRPr="001D23BD">
        <w:rPr>
          <w:rFonts w:ascii="Helvetica" w:hAnsi="Helvetica" w:cs="Helvetica"/>
          <w:b/>
        </w:rPr>
        <w:tab/>
        <w:t>Operations and Maintenance Expenses</w:t>
      </w:r>
    </w:p>
    <w:p w:rsidR="000D397F" w:rsidRDefault="000D397F" w:rsidP="00851E29">
      <w:pPr>
        <w:pStyle w:val="standard"/>
        <w:keepNext/>
        <w:keepLines/>
      </w:pPr>
      <w:r>
        <w:tab/>
        <w:t xml:space="preserve">The Water Division reviewed Mesa Dunes’ Operations and Maintenance Expenses (O&amp;M Expenses), which are </w:t>
      </w:r>
      <w:proofErr w:type="gramStart"/>
      <w:r>
        <w:t>similar to</w:t>
      </w:r>
      <w:proofErr w:type="gramEnd"/>
      <w:r>
        <w:t xml:space="preserve"> the CPUC’s uniform system of accounts for O&amp;M Expenses used in Class D water utility general rate cases.  Mesa Dunes’ water source is from wells on the property and there is no purchased water expense.  The Water Division also reviewed the invoices, ledgers, purchased power invoices (electricity), and workpapers justifying each expense item in the table below.</w:t>
      </w:r>
    </w:p>
    <w:tbl>
      <w:tblPr>
        <w:tblStyle w:val="TableGrid"/>
        <w:tblW w:w="0" w:type="auto"/>
        <w:tblLook w:val="04A0" w:firstRow="1" w:lastRow="0" w:firstColumn="1" w:lastColumn="0" w:noHBand="0" w:noVBand="1"/>
      </w:tblPr>
      <w:tblGrid>
        <w:gridCol w:w="3116"/>
        <w:gridCol w:w="3117"/>
        <w:gridCol w:w="3117"/>
      </w:tblGrid>
      <w:tr w:rsidR="000D397F" w:rsidTr="00A913D0">
        <w:tc>
          <w:tcPr>
            <w:tcW w:w="9350" w:type="dxa"/>
            <w:gridSpan w:val="3"/>
          </w:tcPr>
          <w:p w:rsidR="000D397F" w:rsidRDefault="000D397F" w:rsidP="00851E29">
            <w:pPr>
              <w:pStyle w:val="standard"/>
              <w:keepNext/>
              <w:keepLines/>
              <w:ind w:firstLine="0"/>
              <w:jc w:val="center"/>
            </w:pPr>
            <w:r>
              <w:t>Table 1 – Annual O&amp;M Expenses</w:t>
            </w:r>
          </w:p>
        </w:tc>
      </w:tr>
      <w:tr w:rsidR="000D397F" w:rsidRPr="00352ABF" w:rsidTr="00A913D0">
        <w:tc>
          <w:tcPr>
            <w:tcW w:w="3116" w:type="dxa"/>
          </w:tcPr>
          <w:p w:rsidR="000D397F" w:rsidRPr="00352ABF" w:rsidRDefault="000D397F" w:rsidP="00A913D0">
            <w:pPr>
              <w:pStyle w:val="standard"/>
              <w:tabs>
                <w:tab w:val="left" w:pos="2177"/>
              </w:tabs>
              <w:ind w:firstLine="0"/>
              <w:jc w:val="center"/>
              <w:rPr>
                <w:b/>
              </w:rPr>
            </w:pPr>
            <w:r>
              <w:rPr>
                <w:b/>
              </w:rPr>
              <w:t>Service or Vendor</w:t>
            </w:r>
          </w:p>
        </w:tc>
        <w:tc>
          <w:tcPr>
            <w:tcW w:w="3117" w:type="dxa"/>
          </w:tcPr>
          <w:p w:rsidR="000D397F" w:rsidRPr="00352ABF" w:rsidRDefault="000D397F" w:rsidP="00A913D0">
            <w:pPr>
              <w:pStyle w:val="standard"/>
              <w:ind w:firstLine="0"/>
              <w:jc w:val="center"/>
              <w:rPr>
                <w:b/>
              </w:rPr>
            </w:pPr>
            <w:r w:rsidRPr="00352ABF">
              <w:rPr>
                <w:b/>
              </w:rPr>
              <w:t>Purpose</w:t>
            </w:r>
          </w:p>
        </w:tc>
        <w:tc>
          <w:tcPr>
            <w:tcW w:w="3117" w:type="dxa"/>
          </w:tcPr>
          <w:p w:rsidR="000D397F" w:rsidRPr="00352ABF" w:rsidRDefault="000D397F" w:rsidP="00A913D0">
            <w:pPr>
              <w:pStyle w:val="standard"/>
              <w:ind w:firstLine="0"/>
              <w:jc w:val="center"/>
              <w:rPr>
                <w:b/>
              </w:rPr>
            </w:pPr>
            <w:r w:rsidRPr="00352ABF">
              <w:rPr>
                <w:b/>
              </w:rPr>
              <w:t>Annual Cost</w:t>
            </w:r>
          </w:p>
        </w:tc>
      </w:tr>
      <w:tr w:rsidR="000D397F" w:rsidTr="00A913D0">
        <w:tc>
          <w:tcPr>
            <w:tcW w:w="3116" w:type="dxa"/>
          </w:tcPr>
          <w:p w:rsidR="000D397F" w:rsidRDefault="000D397F" w:rsidP="00E3185C">
            <w:pPr>
              <w:pStyle w:val="standard"/>
              <w:spacing w:after="120" w:line="240" w:lineRule="auto"/>
              <w:ind w:firstLine="0"/>
            </w:pPr>
            <w:r>
              <w:t>Lab testing: Abalone Coast Analytical</w:t>
            </w:r>
          </w:p>
        </w:tc>
        <w:tc>
          <w:tcPr>
            <w:tcW w:w="3117" w:type="dxa"/>
          </w:tcPr>
          <w:p w:rsidR="000D397F" w:rsidRDefault="000D397F" w:rsidP="00E3185C">
            <w:pPr>
              <w:pStyle w:val="standard"/>
              <w:spacing w:after="120" w:line="240" w:lineRule="auto"/>
              <w:ind w:firstLine="0"/>
            </w:pPr>
            <w:r>
              <w:t>Testing</w:t>
            </w:r>
          </w:p>
        </w:tc>
        <w:tc>
          <w:tcPr>
            <w:tcW w:w="3117" w:type="dxa"/>
          </w:tcPr>
          <w:p w:rsidR="000D397F" w:rsidRDefault="000D397F" w:rsidP="00A913D0">
            <w:pPr>
              <w:pStyle w:val="standard"/>
              <w:ind w:firstLine="0"/>
              <w:jc w:val="center"/>
            </w:pPr>
            <w:r>
              <w:t>$ 5,730</w:t>
            </w:r>
          </w:p>
        </w:tc>
      </w:tr>
      <w:tr w:rsidR="000D397F" w:rsidTr="00A913D0">
        <w:tc>
          <w:tcPr>
            <w:tcW w:w="3116" w:type="dxa"/>
          </w:tcPr>
          <w:p w:rsidR="000D397F" w:rsidRDefault="000D397F" w:rsidP="00E3185C">
            <w:pPr>
              <w:pStyle w:val="standard"/>
              <w:spacing w:after="120" w:line="240" w:lineRule="auto"/>
              <w:ind w:firstLine="0"/>
            </w:pPr>
            <w:r>
              <w:t>Phone Service (AT&amp;T)</w:t>
            </w:r>
          </w:p>
        </w:tc>
        <w:tc>
          <w:tcPr>
            <w:tcW w:w="3117" w:type="dxa"/>
          </w:tcPr>
          <w:p w:rsidR="000D397F" w:rsidRDefault="000D397F" w:rsidP="00E3185C">
            <w:pPr>
              <w:pStyle w:val="standard"/>
              <w:spacing w:after="120" w:line="240" w:lineRule="auto"/>
              <w:ind w:firstLine="0"/>
            </w:pPr>
            <w:r>
              <w:t>Phone / Admin</w:t>
            </w:r>
          </w:p>
        </w:tc>
        <w:tc>
          <w:tcPr>
            <w:tcW w:w="3117" w:type="dxa"/>
          </w:tcPr>
          <w:p w:rsidR="000D397F" w:rsidRDefault="000D397F" w:rsidP="00A913D0">
            <w:pPr>
              <w:pStyle w:val="standard"/>
              <w:ind w:firstLine="0"/>
              <w:jc w:val="center"/>
            </w:pPr>
            <w:r>
              <w:t>$ 280</w:t>
            </w:r>
          </w:p>
        </w:tc>
      </w:tr>
      <w:tr w:rsidR="000D397F" w:rsidTr="00A913D0">
        <w:tc>
          <w:tcPr>
            <w:tcW w:w="3116" w:type="dxa"/>
          </w:tcPr>
          <w:p w:rsidR="000D397F" w:rsidRDefault="000D397F" w:rsidP="00E3185C">
            <w:pPr>
              <w:pStyle w:val="standard"/>
              <w:spacing w:after="120" w:line="240" w:lineRule="auto"/>
              <w:ind w:firstLine="0"/>
            </w:pPr>
            <w:r>
              <w:t>California Rural Water Association</w:t>
            </w:r>
          </w:p>
        </w:tc>
        <w:tc>
          <w:tcPr>
            <w:tcW w:w="3117" w:type="dxa"/>
          </w:tcPr>
          <w:p w:rsidR="000D397F" w:rsidRDefault="000D397F" w:rsidP="00E3185C">
            <w:pPr>
              <w:pStyle w:val="standard"/>
              <w:spacing w:after="120" w:line="240" w:lineRule="auto"/>
              <w:ind w:firstLine="0"/>
            </w:pPr>
            <w:r>
              <w:t>Industry Dues</w:t>
            </w:r>
          </w:p>
        </w:tc>
        <w:tc>
          <w:tcPr>
            <w:tcW w:w="3117" w:type="dxa"/>
          </w:tcPr>
          <w:p w:rsidR="000D397F" w:rsidRDefault="000D397F" w:rsidP="00A913D0">
            <w:pPr>
              <w:pStyle w:val="standard"/>
              <w:ind w:firstLine="0"/>
              <w:jc w:val="center"/>
            </w:pPr>
            <w:r>
              <w:t>$ 440</w:t>
            </w:r>
          </w:p>
        </w:tc>
      </w:tr>
      <w:tr w:rsidR="000D397F" w:rsidTr="00A913D0">
        <w:tc>
          <w:tcPr>
            <w:tcW w:w="3116" w:type="dxa"/>
          </w:tcPr>
          <w:p w:rsidR="000D397F" w:rsidRDefault="000D397F" w:rsidP="00E3185C">
            <w:pPr>
              <w:pStyle w:val="standard"/>
              <w:spacing w:after="120" w:line="240" w:lineRule="auto"/>
              <w:ind w:firstLine="0"/>
            </w:pPr>
            <w:r>
              <w:t>Community Asset Management</w:t>
            </w:r>
          </w:p>
        </w:tc>
        <w:tc>
          <w:tcPr>
            <w:tcW w:w="3117" w:type="dxa"/>
          </w:tcPr>
          <w:p w:rsidR="000D397F" w:rsidRDefault="000D397F" w:rsidP="00E3185C">
            <w:pPr>
              <w:pStyle w:val="standard"/>
              <w:spacing w:after="120" w:line="240" w:lineRule="auto"/>
              <w:ind w:firstLine="0"/>
            </w:pPr>
            <w:r>
              <w:t>Management</w:t>
            </w:r>
          </w:p>
        </w:tc>
        <w:tc>
          <w:tcPr>
            <w:tcW w:w="3117" w:type="dxa"/>
          </w:tcPr>
          <w:p w:rsidR="000D397F" w:rsidRDefault="000D397F" w:rsidP="00A913D0">
            <w:pPr>
              <w:pStyle w:val="standard"/>
              <w:ind w:firstLine="0"/>
              <w:jc w:val="center"/>
            </w:pPr>
            <w:r>
              <w:t>$ 900</w:t>
            </w:r>
          </w:p>
        </w:tc>
      </w:tr>
      <w:tr w:rsidR="000D397F" w:rsidTr="00A913D0">
        <w:tc>
          <w:tcPr>
            <w:tcW w:w="3116" w:type="dxa"/>
          </w:tcPr>
          <w:p w:rsidR="000D397F" w:rsidRDefault="000D397F" w:rsidP="00E3185C">
            <w:pPr>
              <w:pStyle w:val="standard"/>
              <w:spacing w:after="120" w:line="240" w:lineRule="auto"/>
              <w:ind w:firstLine="0"/>
            </w:pPr>
            <w:r>
              <w:t>Department of Weights and Measures</w:t>
            </w:r>
          </w:p>
        </w:tc>
        <w:tc>
          <w:tcPr>
            <w:tcW w:w="3117" w:type="dxa"/>
          </w:tcPr>
          <w:p w:rsidR="000D397F" w:rsidRDefault="000D397F" w:rsidP="00E3185C">
            <w:pPr>
              <w:pStyle w:val="standard"/>
              <w:spacing w:after="120" w:line="240" w:lineRule="auto"/>
              <w:ind w:firstLine="0"/>
            </w:pPr>
            <w:r>
              <w:t>Government Oversight</w:t>
            </w:r>
          </w:p>
        </w:tc>
        <w:tc>
          <w:tcPr>
            <w:tcW w:w="3117" w:type="dxa"/>
          </w:tcPr>
          <w:p w:rsidR="000D397F" w:rsidRDefault="000D397F" w:rsidP="00A913D0">
            <w:pPr>
              <w:pStyle w:val="standard"/>
              <w:ind w:firstLine="0"/>
              <w:jc w:val="center"/>
            </w:pPr>
            <w:r>
              <w:t>$ 820</w:t>
            </w:r>
          </w:p>
        </w:tc>
      </w:tr>
      <w:tr w:rsidR="000D397F" w:rsidTr="00A913D0">
        <w:tc>
          <w:tcPr>
            <w:tcW w:w="3116" w:type="dxa"/>
          </w:tcPr>
          <w:p w:rsidR="000D397F" w:rsidRDefault="000D397F" w:rsidP="00E3185C">
            <w:pPr>
              <w:pStyle w:val="standard"/>
              <w:spacing w:after="120" w:line="240" w:lineRule="auto"/>
              <w:ind w:firstLine="0"/>
            </w:pPr>
            <w:r>
              <w:t>Operations: Fluid Resource Management</w:t>
            </w:r>
          </w:p>
        </w:tc>
        <w:tc>
          <w:tcPr>
            <w:tcW w:w="3117" w:type="dxa"/>
          </w:tcPr>
          <w:p w:rsidR="000D397F" w:rsidRDefault="000D397F" w:rsidP="00E3185C">
            <w:pPr>
              <w:pStyle w:val="standard"/>
              <w:spacing w:after="120" w:line="240" w:lineRule="auto"/>
              <w:ind w:firstLine="0"/>
            </w:pPr>
            <w:r>
              <w:t>Outside Services</w:t>
            </w:r>
          </w:p>
        </w:tc>
        <w:tc>
          <w:tcPr>
            <w:tcW w:w="3117" w:type="dxa"/>
          </w:tcPr>
          <w:p w:rsidR="000D397F" w:rsidRDefault="000D397F" w:rsidP="00A913D0">
            <w:pPr>
              <w:pStyle w:val="standard"/>
              <w:ind w:firstLine="0"/>
              <w:jc w:val="center"/>
            </w:pPr>
            <w:r>
              <w:t>$ 11,400</w:t>
            </w:r>
          </w:p>
        </w:tc>
      </w:tr>
      <w:tr w:rsidR="000D397F" w:rsidTr="00A913D0">
        <w:tc>
          <w:tcPr>
            <w:tcW w:w="3116" w:type="dxa"/>
          </w:tcPr>
          <w:p w:rsidR="000D397F" w:rsidRDefault="000D397F" w:rsidP="00E3185C">
            <w:pPr>
              <w:pStyle w:val="standard"/>
              <w:spacing w:after="120" w:line="240" w:lineRule="auto"/>
              <w:ind w:firstLine="0"/>
            </w:pPr>
            <w:r>
              <w:t>Misc. Materials – Home Depot</w:t>
            </w:r>
          </w:p>
        </w:tc>
        <w:tc>
          <w:tcPr>
            <w:tcW w:w="3117" w:type="dxa"/>
          </w:tcPr>
          <w:p w:rsidR="000D397F" w:rsidRDefault="000D397F" w:rsidP="00E3185C">
            <w:pPr>
              <w:pStyle w:val="standard"/>
              <w:spacing w:after="120" w:line="240" w:lineRule="auto"/>
              <w:ind w:firstLine="0"/>
            </w:pPr>
            <w:r>
              <w:t>R&amp;M</w:t>
            </w:r>
          </w:p>
        </w:tc>
        <w:tc>
          <w:tcPr>
            <w:tcW w:w="3117" w:type="dxa"/>
          </w:tcPr>
          <w:p w:rsidR="000D397F" w:rsidRDefault="000D397F" w:rsidP="00A913D0">
            <w:pPr>
              <w:pStyle w:val="standard"/>
              <w:ind w:firstLine="0"/>
              <w:jc w:val="center"/>
            </w:pPr>
            <w:r>
              <w:t>$ 200</w:t>
            </w:r>
          </w:p>
        </w:tc>
      </w:tr>
      <w:tr w:rsidR="000D397F" w:rsidTr="00A913D0">
        <w:tc>
          <w:tcPr>
            <w:tcW w:w="3116" w:type="dxa"/>
          </w:tcPr>
          <w:p w:rsidR="000D397F" w:rsidRDefault="000D397F" w:rsidP="00E3185C">
            <w:pPr>
              <w:pStyle w:val="standard"/>
              <w:spacing w:after="120" w:line="240" w:lineRule="auto"/>
              <w:ind w:firstLine="0"/>
            </w:pPr>
            <w:r>
              <w:t>Fuel: JB Dewar</w:t>
            </w:r>
          </w:p>
        </w:tc>
        <w:tc>
          <w:tcPr>
            <w:tcW w:w="3117" w:type="dxa"/>
          </w:tcPr>
          <w:p w:rsidR="000D397F" w:rsidRDefault="000D397F" w:rsidP="00E3185C">
            <w:pPr>
              <w:pStyle w:val="standard"/>
              <w:spacing w:after="120" w:line="240" w:lineRule="auto"/>
              <w:ind w:firstLine="0"/>
            </w:pPr>
            <w:r>
              <w:t>Fuel</w:t>
            </w:r>
          </w:p>
        </w:tc>
        <w:tc>
          <w:tcPr>
            <w:tcW w:w="3117" w:type="dxa"/>
          </w:tcPr>
          <w:p w:rsidR="000D397F" w:rsidRDefault="000D397F" w:rsidP="00A913D0">
            <w:pPr>
              <w:pStyle w:val="standard"/>
              <w:ind w:firstLine="0"/>
              <w:jc w:val="center"/>
            </w:pPr>
            <w:r>
              <w:t>$ 130</w:t>
            </w:r>
          </w:p>
        </w:tc>
      </w:tr>
      <w:tr w:rsidR="000D397F" w:rsidTr="00A913D0">
        <w:tc>
          <w:tcPr>
            <w:tcW w:w="3116" w:type="dxa"/>
          </w:tcPr>
          <w:p w:rsidR="000D397F" w:rsidRDefault="000D397F" w:rsidP="00E3185C">
            <w:pPr>
              <w:pStyle w:val="standard"/>
              <w:spacing w:after="120" w:line="240" w:lineRule="auto"/>
              <w:ind w:firstLine="0"/>
            </w:pPr>
            <w:r>
              <w:t xml:space="preserve">Pump Materials </w:t>
            </w:r>
            <w:proofErr w:type="gramStart"/>
            <w:r>
              <w:t>-  M</w:t>
            </w:r>
            <w:proofErr w:type="gramEnd"/>
            <w:r>
              <w:t>&amp;W Pumps</w:t>
            </w:r>
          </w:p>
        </w:tc>
        <w:tc>
          <w:tcPr>
            <w:tcW w:w="3117" w:type="dxa"/>
          </w:tcPr>
          <w:p w:rsidR="000D397F" w:rsidRDefault="000D397F" w:rsidP="00E3185C">
            <w:pPr>
              <w:pStyle w:val="standard"/>
              <w:spacing w:after="120" w:line="240" w:lineRule="auto"/>
              <w:ind w:firstLine="0"/>
            </w:pPr>
            <w:r>
              <w:t>R&amp;M</w:t>
            </w:r>
          </w:p>
        </w:tc>
        <w:tc>
          <w:tcPr>
            <w:tcW w:w="3117" w:type="dxa"/>
          </w:tcPr>
          <w:p w:rsidR="000D397F" w:rsidRDefault="000D397F" w:rsidP="00A913D0">
            <w:pPr>
              <w:pStyle w:val="standard"/>
              <w:ind w:firstLine="0"/>
              <w:jc w:val="center"/>
            </w:pPr>
            <w:r>
              <w:t>$ 800</w:t>
            </w:r>
          </w:p>
        </w:tc>
      </w:tr>
      <w:tr w:rsidR="000D397F" w:rsidTr="00A913D0">
        <w:tc>
          <w:tcPr>
            <w:tcW w:w="3116" w:type="dxa"/>
          </w:tcPr>
          <w:p w:rsidR="000D397F" w:rsidRDefault="000D397F" w:rsidP="00E3185C">
            <w:pPr>
              <w:pStyle w:val="standard"/>
              <w:spacing w:after="120" w:line="240" w:lineRule="auto"/>
              <w:ind w:firstLine="0"/>
            </w:pPr>
            <w:r>
              <w:t>Measurement Control</w:t>
            </w:r>
          </w:p>
        </w:tc>
        <w:tc>
          <w:tcPr>
            <w:tcW w:w="3117" w:type="dxa"/>
          </w:tcPr>
          <w:p w:rsidR="000D397F" w:rsidRDefault="000D397F" w:rsidP="00E3185C">
            <w:pPr>
              <w:pStyle w:val="standard"/>
              <w:spacing w:after="120" w:line="240" w:lineRule="auto"/>
              <w:ind w:firstLine="0"/>
            </w:pPr>
            <w:r>
              <w:t>Installation</w:t>
            </w:r>
          </w:p>
        </w:tc>
        <w:tc>
          <w:tcPr>
            <w:tcW w:w="3117" w:type="dxa"/>
          </w:tcPr>
          <w:p w:rsidR="000D397F" w:rsidRDefault="000D397F" w:rsidP="00A913D0">
            <w:pPr>
              <w:pStyle w:val="standard"/>
              <w:ind w:firstLine="0"/>
              <w:jc w:val="center"/>
            </w:pPr>
            <w:r>
              <w:t>$ 12,540</w:t>
            </w:r>
          </w:p>
        </w:tc>
      </w:tr>
      <w:tr w:rsidR="000D397F" w:rsidTr="00A913D0">
        <w:tc>
          <w:tcPr>
            <w:tcW w:w="3116" w:type="dxa"/>
          </w:tcPr>
          <w:p w:rsidR="000D397F" w:rsidRDefault="000D397F" w:rsidP="00E3185C">
            <w:pPr>
              <w:pStyle w:val="standard"/>
              <w:spacing w:after="120" w:line="240" w:lineRule="auto"/>
              <w:ind w:firstLine="0"/>
            </w:pPr>
            <w:r>
              <w:t>Misc. Materials – Miners Ace Hardware</w:t>
            </w:r>
          </w:p>
        </w:tc>
        <w:tc>
          <w:tcPr>
            <w:tcW w:w="3117" w:type="dxa"/>
          </w:tcPr>
          <w:p w:rsidR="000D397F" w:rsidRDefault="000D397F" w:rsidP="00E3185C">
            <w:pPr>
              <w:pStyle w:val="standard"/>
              <w:spacing w:after="120" w:line="240" w:lineRule="auto"/>
              <w:ind w:firstLine="0"/>
            </w:pPr>
            <w:r>
              <w:t>R&amp;M</w:t>
            </w:r>
          </w:p>
        </w:tc>
        <w:tc>
          <w:tcPr>
            <w:tcW w:w="3117" w:type="dxa"/>
          </w:tcPr>
          <w:p w:rsidR="000D397F" w:rsidRDefault="000D397F" w:rsidP="00A913D0">
            <w:pPr>
              <w:pStyle w:val="standard"/>
              <w:ind w:firstLine="0"/>
              <w:jc w:val="center"/>
            </w:pPr>
            <w:r>
              <w:t>$ 360</w:t>
            </w:r>
          </w:p>
        </w:tc>
      </w:tr>
      <w:tr w:rsidR="000D397F" w:rsidTr="00A913D0">
        <w:tc>
          <w:tcPr>
            <w:tcW w:w="3116" w:type="dxa"/>
          </w:tcPr>
          <w:p w:rsidR="000D397F" w:rsidRDefault="000D397F" w:rsidP="00E3185C">
            <w:pPr>
              <w:pStyle w:val="standard"/>
              <w:spacing w:after="120" w:line="240" w:lineRule="auto"/>
              <w:ind w:firstLine="0"/>
            </w:pPr>
            <w:r>
              <w:lastRenderedPageBreak/>
              <w:t>Electrical Power – PG&amp;E</w:t>
            </w:r>
          </w:p>
        </w:tc>
        <w:tc>
          <w:tcPr>
            <w:tcW w:w="3117" w:type="dxa"/>
          </w:tcPr>
          <w:p w:rsidR="000D397F" w:rsidRDefault="000D397F" w:rsidP="00E3185C">
            <w:pPr>
              <w:pStyle w:val="standard"/>
              <w:spacing w:after="120" w:line="240" w:lineRule="auto"/>
              <w:ind w:firstLine="0"/>
            </w:pPr>
            <w:r>
              <w:t>Electricity</w:t>
            </w:r>
          </w:p>
        </w:tc>
        <w:tc>
          <w:tcPr>
            <w:tcW w:w="3117" w:type="dxa"/>
          </w:tcPr>
          <w:p w:rsidR="000D397F" w:rsidRDefault="000D397F" w:rsidP="00A913D0">
            <w:pPr>
              <w:pStyle w:val="standard"/>
              <w:ind w:firstLine="0"/>
              <w:jc w:val="center"/>
            </w:pPr>
            <w:r>
              <w:t>$ 24,920</w:t>
            </w:r>
          </w:p>
        </w:tc>
      </w:tr>
      <w:tr w:rsidR="000D397F" w:rsidTr="00A913D0">
        <w:tc>
          <w:tcPr>
            <w:tcW w:w="3116" w:type="dxa"/>
          </w:tcPr>
          <w:p w:rsidR="000D397F" w:rsidRDefault="000D397F" w:rsidP="00E3185C">
            <w:pPr>
              <w:pStyle w:val="standard"/>
              <w:spacing w:after="120" w:line="240" w:lineRule="auto"/>
              <w:ind w:firstLine="0"/>
            </w:pPr>
            <w:r>
              <w:t>Pipeline Plumbing</w:t>
            </w:r>
          </w:p>
        </w:tc>
        <w:tc>
          <w:tcPr>
            <w:tcW w:w="3117" w:type="dxa"/>
          </w:tcPr>
          <w:p w:rsidR="000D397F" w:rsidRDefault="000D397F" w:rsidP="00E3185C">
            <w:pPr>
              <w:pStyle w:val="standard"/>
              <w:spacing w:after="120" w:line="240" w:lineRule="auto"/>
              <w:ind w:firstLine="0"/>
            </w:pPr>
            <w:r>
              <w:t>R&amp;M</w:t>
            </w:r>
          </w:p>
        </w:tc>
        <w:tc>
          <w:tcPr>
            <w:tcW w:w="3117" w:type="dxa"/>
          </w:tcPr>
          <w:p w:rsidR="000D397F" w:rsidRDefault="000D397F" w:rsidP="00A913D0">
            <w:pPr>
              <w:pStyle w:val="standard"/>
              <w:ind w:firstLine="0"/>
              <w:jc w:val="center"/>
            </w:pPr>
            <w:r>
              <w:t>$ 14,830</w:t>
            </w:r>
          </w:p>
        </w:tc>
      </w:tr>
      <w:tr w:rsidR="000D397F" w:rsidTr="00A913D0">
        <w:tc>
          <w:tcPr>
            <w:tcW w:w="3116" w:type="dxa"/>
          </w:tcPr>
          <w:p w:rsidR="000D397F" w:rsidRDefault="000D397F" w:rsidP="00E3185C">
            <w:pPr>
              <w:pStyle w:val="standard"/>
              <w:spacing w:after="120" w:line="240" w:lineRule="auto"/>
              <w:ind w:firstLine="0"/>
            </w:pPr>
            <w:r>
              <w:t>Quill</w:t>
            </w:r>
          </w:p>
        </w:tc>
        <w:tc>
          <w:tcPr>
            <w:tcW w:w="3117" w:type="dxa"/>
          </w:tcPr>
          <w:p w:rsidR="000D397F" w:rsidRDefault="000D397F" w:rsidP="00E3185C">
            <w:pPr>
              <w:pStyle w:val="standard"/>
              <w:spacing w:after="120" w:line="240" w:lineRule="auto"/>
              <w:ind w:firstLine="0"/>
            </w:pPr>
            <w:r>
              <w:t>Admin</w:t>
            </w:r>
          </w:p>
        </w:tc>
        <w:tc>
          <w:tcPr>
            <w:tcW w:w="3117" w:type="dxa"/>
          </w:tcPr>
          <w:p w:rsidR="000D397F" w:rsidRDefault="000D397F" w:rsidP="00A913D0">
            <w:pPr>
              <w:pStyle w:val="standard"/>
              <w:ind w:firstLine="0"/>
              <w:jc w:val="center"/>
            </w:pPr>
            <w:r>
              <w:t>$ 90</w:t>
            </w:r>
          </w:p>
        </w:tc>
      </w:tr>
      <w:tr w:rsidR="000D397F" w:rsidTr="00A913D0">
        <w:tc>
          <w:tcPr>
            <w:tcW w:w="3116" w:type="dxa"/>
          </w:tcPr>
          <w:p w:rsidR="000D397F" w:rsidRDefault="000D397F" w:rsidP="00E3185C">
            <w:pPr>
              <w:pStyle w:val="standard"/>
              <w:spacing w:after="120" w:line="240" w:lineRule="auto"/>
              <w:ind w:firstLine="0"/>
            </w:pPr>
            <w:r>
              <w:t>State Water Resources Control Board</w:t>
            </w:r>
          </w:p>
        </w:tc>
        <w:tc>
          <w:tcPr>
            <w:tcW w:w="3117" w:type="dxa"/>
          </w:tcPr>
          <w:p w:rsidR="000D397F" w:rsidRDefault="000D397F" w:rsidP="00E3185C">
            <w:pPr>
              <w:pStyle w:val="standard"/>
              <w:spacing w:after="120" w:line="240" w:lineRule="auto"/>
              <w:ind w:firstLine="0"/>
            </w:pPr>
            <w:r>
              <w:t>Government Oversight</w:t>
            </w:r>
          </w:p>
        </w:tc>
        <w:tc>
          <w:tcPr>
            <w:tcW w:w="3117" w:type="dxa"/>
          </w:tcPr>
          <w:p w:rsidR="000D397F" w:rsidRDefault="000D397F" w:rsidP="00A913D0">
            <w:pPr>
              <w:pStyle w:val="standard"/>
              <w:ind w:firstLine="0"/>
              <w:jc w:val="center"/>
            </w:pPr>
            <w:r>
              <w:t>$ 340</w:t>
            </w:r>
          </w:p>
        </w:tc>
      </w:tr>
      <w:tr w:rsidR="000D397F" w:rsidTr="00A913D0">
        <w:tc>
          <w:tcPr>
            <w:tcW w:w="3116" w:type="dxa"/>
          </w:tcPr>
          <w:p w:rsidR="000D397F" w:rsidRDefault="000D397F" w:rsidP="00E3185C">
            <w:pPr>
              <w:pStyle w:val="standard"/>
              <w:spacing w:after="120" w:line="240" w:lineRule="auto"/>
              <w:ind w:firstLine="0"/>
            </w:pPr>
            <w:r>
              <w:t>Valley Computer Service</w:t>
            </w:r>
          </w:p>
        </w:tc>
        <w:tc>
          <w:tcPr>
            <w:tcW w:w="3117" w:type="dxa"/>
          </w:tcPr>
          <w:p w:rsidR="000D397F" w:rsidRDefault="000D397F" w:rsidP="00E3185C">
            <w:pPr>
              <w:pStyle w:val="standard"/>
              <w:spacing w:after="120" w:line="240" w:lineRule="auto"/>
              <w:ind w:firstLine="0"/>
            </w:pPr>
            <w:r>
              <w:t>Billing</w:t>
            </w:r>
          </w:p>
        </w:tc>
        <w:tc>
          <w:tcPr>
            <w:tcW w:w="3117" w:type="dxa"/>
          </w:tcPr>
          <w:p w:rsidR="000D397F" w:rsidRDefault="000D397F" w:rsidP="00A913D0">
            <w:pPr>
              <w:pStyle w:val="standard"/>
              <w:ind w:firstLine="0"/>
              <w:jc w:val="center"/>
            </w:pPr>
            <w:r>
              <w:t>$ 4,140</w:t>
            </w:r>
          </w:p>
        </w:tc>
      </w:tr>
      <w:tr w:rsidR="000D397F" w:rsidTr="00A913D0">
        <w:tc>
          <w:tcPr>
            <w:tcW w:w="3116" w:type="dxa"/>
          </w:tcPr>
          <w:p w:rsidR="000D397F" w:rsidRDefault="000D397F" w:rsidP="00E3185C">
            <w:pPr>
              <w:pStyle w:val="standard"/>
              <w:spacing w:after="120" w:line="240" w:lineRule="auto"/>
              <w:ind w:firstLine="0"/>
            </w:pPr>
            <w:r>
              <w:t>On-site Personnel</w:t>
            </w:r>
          </w:p>
        </w:tc>
        <w:tc>
          <w:tcPr>
            <w:tcW w:w="3117" w:type="dxa"/>
          </w:tcPr>
          <w:p w:rsidR="000D397F" w:rsidRDefault="000D397F" w:rsidP="00E3185C">
            <w:pPr>
              <w:pStyle w:val="standard"/>
              <w:spacing w:after="120" w:line="240" w:lineRule="auto"/>
              <w:ind w:firstLine="0"/>
            </w:pPr>
            <w:r>
              <w:t>Management</w:t>
            </w:r>
          </w:p>
        </w:tc>
        <w:tc>
          <w:tcPr>
            <w:tcW w:w="3117" w:type="dxa"/>
          </w:tcPr>
          <w:p w:rsidR="000D397F" w:rsidRDefault="000D397F" w:rsidP="00A913D0">
            <w:pPr>
              <w:pStyle w:val="standard"/>
              <w:ind w:firstLine="0"/>
              <w:jc w:val="center"/>
            </w:pPr>
            <w:r>
              <w:t>$ 13,960</w:t>
            </w:r>
          </w:p>
        </w:tc>
      </w:tr>
      <w:tr w:rsidR="000D397F" w:rsidTr="00A913D0">
        <w:tc>
          <w:tcPr>
            <w:tcW w:w="3116" w:type="dxa"/>
          </w:tcPr>
          <w:p w:rsidR="000D397F" w:rsidRDefault="000D397F" w:rsidP="00E3185C">
            <w:pPr>
              <w:pStyle w:val="standard"/>
              <w:spacing w:after="120" w:line="240" w:lineRule="auto"/>
              <w:ind w:firstLine="0"/>
            </w:pPr>
            <w:r>
              <w:t>Vehicles</w:t>
            </w:r>
          </w:p>
        </w:tc>
        <w:tc>
          <w:tcPr>
            <w:tcW w:w="3117" w:type="dxa"/>
          </w:tcPr>
          <w:p w:rsidR="000D397F" w:rsidRDefault="000D397F" w:rsidP="00E3185C">
            <w:pPr>
              <w:pStyle w:val="standard"/>
              <w:spacing w:after="120" w:line="240" w:lineRule="auto"/>
              <w:ind w:firstLine="0"/>
            </w:pPr>
            <w:r>
              <w:t>Transportation</w:t>
            </w:r>
          </w:p>
        </w:tc>
        <w:tc>
          <w:tcPr>
            <w:tcW w:w="3117" w:type="dxa"/>
          </w:tcPr>
          <w:p w:rsidR="000D397F" w:rsidRDefault="000D397F" w:rsidP="00A913D0">
            <w:pPr>
              <w:pStyle w:val="standard"/>
              <w:ind w:firstLine="0"/>
              <w:jc w:val="center"/>
            </w:pPr>
            <w:r>
              <w:t>$ 730</w:t>
            </w:r>
          </w:p>
        </w:tc>
      </w:tr>
      <w:tr w:rsidR="000D397F" w:rsidTr="00A913D0">
        <w:tc>
          <w:tcPr>
            <w:tcW w:w="3116" w:type="dxa"/>
          </w:tcPr>
          <w:p w:rsidR="000D397F" w:rsidRDefault="000D397F" w:rsidP="00E3185C">
            <w:pPr>
              <w:pStyle w:val="standard"/>
              <w:spacing w:after="120" w:line="240" w:lineRule="auto"/>
              <w:ind w:firstLine="0"/>
            </w:pPr>
            <w:r>
              <w:t>FRM</w:t>
            </w:r>
          </w:p>
        </w:tc>
        <w:tc>
          <w:tcPr>
            <w:tcW w:w="3117" w:type="dxa"/>
          </w:tcPr>
          <w:p w:rsidR="000D397F" w:rsidRDefault="000D397F" w:rsidP="00E3185C">
            <w:pPr>
              <w:pStyle w:val="standard"/>
              <w:spacing w:after="120" w:line="240" w:lineRule="auto"/>
              <w:ind w:firstLine="0"/>
            </w:pPr>
            <w:r>
              <w:t>Annual hydrant testing</w:t>
            </w:r>
          </w:p>
        </w:tc>
        <w:tc>
          <w:tcPr>
            <w:tcW w:w="3117" w:type="dxa"/>
          </w:tcPr>
          <w:p w:rsidR="000D397F" w:rsidRDefault="000D397F" w:rsidP="00A913D0">
            <w:pPr>
              <w:pStyle w:val="standard"/>
              <w:ind w:firstLine="0"/>
              <w:jc w:val="center"/>
            </w:pPr>
            <w:r>
              <w:t>$ 3,000</w:t>
            </w:r>
          </w:p>
        </w:tc>
      </w:tr>
      <w:tr w:rsidR="000D397F" w:rsidTr="00A913D0">
        <w:tc>
          <w:tcPr>
            <w:tcW w:w="6233" w:type="dxa"/>
            <w:gridSpan w:val="2"/>
          </w:tcPr>
          <w:p w:rsidR="000D397F" w:rsidRDefault="000D397F" w:rsidP="00E3185C">
            <w:pPr>
              <w:pStyle w:val="standard"/>
              <w:spacing w:after="120" w:line="240" w:lineRule="auto"/>
              <w:ind w:firstLine="0"/>
            </w:pPr>
            <w:r>
              <w:t>Total O&amp;M Expenses</w:t>
            </w:r>
          </w:p>
        </w:tc>
        <w:tc>
          <w:tcPr>
            <w:tcW w:w="3117" w:type="dxa"/>
          </w:tcPr>
          <w:p w:rsidR="000D397F" w:rsidRDefault="000D397F" w:rsidP="00A913D0">
            <w:pPr>
              <w:pStyle w:val="standard"/>
              <w:ind w:firstLine="0"/>
              <w:jc w:val="center"/>
            </w:pPr>
            <w:r>
              <w:t>$ 95,610</w:t>
            </w:r>
          </w:p>
        </w:tc>
      </w:tr>
      <w:tr w:rsidR="000D397F" w:rsidTr="00A913D0">
        <w:tc>
          <w:tcPr>
            <w:tcW w:w="6233" w:type="dxa"/>
            <w:gridSpan w:val="2"/>
          </w:tcPr>
          <w:p w:rsidR="000D397F" w:rsidRDefault="000D397F" w:rsidP="00E3185C">
            <w:pPr>
              <w:pStyle w:val="standard"/>
              <w:spacing w:after="120" w:line="240" w:lineRule="auto"/>
              <w:ind w:firstLine="0"/>
            </w:pPr>
            <w:r>
              <w:t>Operating Contingency (10%)</w:t>
            </w:r>
          </w:p>
        </w:tc>
        <w:tc>
          <w:tcPr>
            <w:tcW w:w="3117" w:type="dxa"/>
          </w:tcPr>
          <w:p w:rsidR="000D397F" w:rsidRDefault="000D397F" w:rsidP="00A913D0">
            <w:pPr>
              <w:pStyle w:val="standard"/>
              <w:ind w:firstLine="0"/>
              <w:jc w:val="center"/>
            </w:pPr>
            <w:r>
              <w:t>$ 9560</w:t>
            </w:r>
          </w:p>
        </w:tc>
      </w:tr>
      <w:tr w:rsidR="000D397F" w:rsidTr="00A913D0">
        <w:tc>
          <w:tcPr>
            <w:tcW w:w="6233" w:type="dxa"/>
            <w:gridSpan w:val="2"/>
          </w:tcPr>
          <w:p w:rsidR="000D397F" w:rsidRDefault="000D397F" w:rsidP="00901188">
            <w:pPr>
              <w:pStyle w:val="standard"/>
              <w:keepNext/>
              <w:keepLines/>
              <w:spacing w:after="120" w:line="240" w:lineRule="auto"/>
              <w:ind w:firstLine="0"/>
            </w:pPr>
            <w:r>
              <w:t>Grand Total O&amp;M Expenses</w:t>
            </w:r>
          </w:p>
        </w:tc>
        <w:tc>
          <w:tcPr>
            <w:tcW w:w="3117" w:type="dxa"/>
          </w:tcPr>
          <w:p w:rsidR="000D397F" w:rsidRDefault="000D397F" w:rsidP="00901188">
            <w:pPr>
              <w:pStyle w:val="standard"/>
              <w:keepNext/>
              <w:keepLines/>
              <w:ind w:firstLine="0"/>
              <w:jc w:val="center"/>
            </w:pPr>
            <w:r>
              <w:t>$ 105,170</w:t>
            </w:r>
          </w:p>
        </w:tc>
      </w:tr>
    </w:tbl>
    <w:p w:rsidR="000D397F" w:rsidRPr="002E6A61" w:rsidRDefault="000D397F" w:rsidP="00901188">
      <w:pPr>
        <w:pStyle w:val="standard"/>
        <w:keepNext/>
        <w:keepLines/>
        <w:rPr>
          <w:sz w:val="12"/>
          <w:szCs w:val="12"/>
        </w:rPr>
      </w:pPr>
    </w:p>
    <w:p w:rsidR="000D397F" w:rsidRPr="001D23BD" w:rsidRDefault="00057BC2" w:rsidP="00901188">
      <w:pPr>
        <w:pStyle w:val="standard"/>
        <w:keepNext/>
        <w:keepLines/>
        <w:rPr>
          <w:rFonts w:ascii="Helvetica" w:hAnsi="Helvetica" w:cs="Helvetica"/>
          <w:b/>
        </w:rPr>
      </w:pPr>
      <w:r>
        <w:rPr>
          <w:rFonts w:ascii="Helvetica" w:hAnsi="Helvetica" w:cs="Helvetica"/>
          <w:b/>
        </w:rPr>
        <w:t>5</w:t>
      </w:r>
      <w:r w:rsidR="000D397F" w:rsidRPr="001D23BD">
        <w:rPr>
          <w:rFonts w:ascii="Helvetica" w:hAnsi="Helvetica" w:cs="Helvetica"/>
          <w:b/>
        </w:rPr>
        <w:t>.</w:t>
      </w:r>
      <w:r w:rsidR="000D397F">
        <w:rPr>
          <w:rFonts w:ascii="Helvetica" w:hAnsi="Helvetica" w:cs="Helvetica"/>
          <w:b/>
        </w:rPr>
        <w:t>2</w:t>
      </w:r>
      <w:r w:rsidR="000D397F" w:rsidRPr="001D23BD">
        <w:rPr>
          <w:rFonts w:ascii="Helvetica" w:hAnsi="Helvetica" w:cs="Helvetica"/>
          <w:b/>
        </w:rPr>
        <w:tab/>
      </w:r>
      <w:r w:rsidR="000D397F">
        <w:rPr>
          <w:rFonts w:ascii="Helvetica" w:hAnsi="Helvetica" w:cs="Helvetica"/>
          <w:b/>
        </w:rPr>
        <w:t>Plant in Service</w:t>
      </w:r>
    </w:p>
    <w:p w:rsidR="000D397F" w:rsidRDefault="000D397F" w:rsidP="00901188">
      <w:pPr>
        <w:pStyle w:val="standard"/>
        <w:keepNext/>
        <w:keepLines/>
      </w:pPr>
      <w:r>
        <w:t>CPUC-regulated utilities are entitled to a reasonable rate of return on plant investment.  The utilities eventually recover their plant item costs through depreciation over time.  During the approximately 40-year period from 1976 through 2016, Mesa Dunes indicates it invested $1,829,800 in plant in service as shown in the table below.</w:t>
      </w:r>
    </w:p>
    <w:p w:rsidR="00901188" w:rsidRPr="00851E29" w:rsidRDefault="00901188" w:rsidP="005B24E7">
      <w:pPr>
        <w:pStyle w:val="standard"/>
        <w:keepNext/>
        <w:keepLines/>
        <w:jc w:val="center"/>
        <w:rPr>
          <w:sz w:val="2"/>
          <w:szCs w:val="2"/>
        </w:rPr>
      </w:pPr>
    </w:p>
    <w:tbl>
      <w:tblPr>
        <w:tblStyle w:val="TableGrid"/>
        <w:tblW w:w="0" w:type="auto"/>
        <w:tblLook w:val="04A0" w:firstRow="1" w:lastRow="0" w:firstColumn="1" w:lastColumn="0" w:noHBand="0" w:noVBand="1"/>
      </w:tblPr>
      <w:tblGrid>
        <w:gridCol w:w="412"/>
        <w:gridCol w:w="865"/>
        <w:gridCol w:w="832"/>
        <w:gridCol w:w="1022"/>
        <w:gridCol w:w="693"/>
        <w:gridCol w:w="505"/>
        <w:gridCol w:w="667"/>
        <w:gridCol w:w="904"/>
        <w:gridCol w:w="904"/>
        <w:gridCol w:w="907"/>
        <w:gridCol w:w="907"/>
        <w:gridCol w:w="907"/>
      </w:tblGrid>
      <w:tr w:rsidR="000D397F" w:rsidRPr="0071273F" w:rsidTr="00A913D0">
        <w:tc>
          <w:tcPr>
            <w:tcW w:w="9350" w:type="dxa"/>
            <w:gridSpan w:val="12"/>
          </w:tcPr>
          <w:p w:rsidR="000D397F" w:rsidRPr="0071273F" w:rsidRDefault="000D397F" w:rsidP="005B24E7">
            <w:pPr>
              <w:pStyle w:val="standard"/>
              <w:keepNext/>
              <w:keepLines/>
              <w:ind w:firstLine="0"/>
              <w:jc w:val="center"/>
              <w:rPr>
                <w:sz w:val="12"/>
                <w:szCs w:val="12"/>
              </w:rPr>
            </w:pPr>
            <w:r>
              <w:rPr>
                <w:sz w:val="12"/>
                <w:szCs w:val="12"/>
              </w:rPr>
              <w:t>Table 2 – CAPITAL RESERVE ANALYSIS</w:t>
            </w:r>
          </w:p>
        </w:tc>
      </w:tr>
      <w:tr w:rsidR="000D397F" w:rsidRPr="0071273F" w:rsidTr="00A913D0">
        <w:tc>
          <w:tcPr>
            <w:tcW w:w="412" w:type="dxa"/>
          </w:tcPr>
          <w:p w:rsidR="000D397F" w:rsidRPr="0071273F" w:rsidRDefault="000D397F" w:rsidP="005B24E7">
            <w:pPr>
              <w:pStyle w:val="standard"/>
              <w:keepNext/>
              <w:keepLines/>
              <w:ind w:firstLine="0"/>
              <w:jc w:val="center"/>
              <w:rPr>
                <w:sz w:val="12"/>
                <w:szCs w:val="12"/>
              </w:rPr>
            </w:pPr>
            <w:r w:rsidRPr="0071273F">
              <w:rPr>
                <w:sz w:val="12"/>
                <w:szCs w:val="12"/>
              </w:rPr>
              <w:t>No.</w:t>
            </w:r>
          </w:p>
        </w:tc>
        <w:tc>
          <w:tcPr>
            <w:tcW w:w="865" w:type="dxa"/>
          </w:tcPr>
          <w:p w:rsidR="000D397F" w:rsidRPr="0071273F" w:rsidRDefault="000D397F" w:rsidP="005B24E7">
            <w:pPr>
              <w:pStyle w:val="standard"/>
              <w:keepNext/>
              <w:keepLines/>
              <w:ind w:firstLine="0"/>
              <w:jc w:val="center"/>
              <w:rPr>
                <w:sz w:val="12"/>
                <w:szCs w:val="12"/>
              </w:rPr>
            </w:pPr>
            <w:r w:rsidRPr="0071273F">
              <w:rPr>
                <w:sz w:val="12"/>
                <w:szCs w:val="12"/>
              </w:rPr>
              <w:t>Category</w:t>
            </w:r>
          </w:p>
        </w:tc>
        <w:tc>
          <w:tcPr>
            <w:tcW w:w="832" w:type="dxa"/>
          </w:tcPr>
          <w:p w:rsidR="000D397F" w:rsidRPr="0071273F" w:rsidRDefault="000D397F" w:rsidP="005B24E7">
            <w:pPr>
              <w:pStyle w:val="standard"/>
              <w:keepNext/>
              <w:keepLines/>
              <w:ind w:firstLine="0"/>
              <w:jc w:val="center"/>
              <w:rPr>
                <w:sz w:val="12"/>
                <w:szCs w:val="12"/>
              </w:rPr>
            </w:pPr>
            <w:r w:rsidRPr="0071273F">
              <w:rPr>
                <w:sz w:val="12"/>
                <w:szCs w:val="12"/>
              </w:rPr>
              <w:t>Asset Class</w:t>
            </w:r>
          </w:p>
        </w:tc>
        <w:tc>
          <w:tcPr>
            <w:tcW w:w="847" w:type="dxa"/>
          </w:tcPr>
          <w:p w:rsidR="000D397F" w:rsidRPr="0071273F" w:rsidRDefault="000D397F" w:rsidP="005B24E7">
            <w:pPr>
              <w:pStyle w:val="standard"/>
              <w:keepNext/>
              <w:keepLines/>
              <w:ind w:firstLine="0"/>
              <w:jc w:val="center"/>
              <w:rPr>
                <w:sz w:val="12"/>
                <w:szCs w:val="12"/>
              </w:rPr>
            </w:pPr>
            <w:r w:rsidRPr="0071273F">
              <w:rPr>
                <w:sz w:val="12"/>
                <w:szCs w:val="12"/>
              </w:rPr>
              <w:t>Component Description</w:t>
            </w:r>
          </w:p>
        </w:tc>
        <w:tc>
          <w:tcPr>
            <w:tcW w:w="693" w:type="dxa"/>
          </w:tcPr>
          <w:p w:rsidR="000D397F" w:rsidRPr="0071273F" w:rsidRDefault="000D397F" w:rsidP="005B24E7">
            <w:pPr>
              <w:pStyle w:val="standard"/>
              <w:keepNext/>
              <w:keepLines/>
              <w:ind w:firstLine="0"/>
              <w:jc w:val="center"/>
              <w:rPr>
                <w:sz w:val="12"/>
                <w:szCs w:val="12"/>
              </w:rPr>
            </w:pPr>
            <w:r w:rsidRPr="0071273F">
              <w:rPr>
                <w:sz w:val="12"/>
                <w:szCs w:val="12"/>
              </w:rPr>
              <w:t>Quantity</w:t>
            </w:r>
          </w:p>
        </w:tc>
        <w:tc>
          <w:tcPr>
            <w:tcW w:w="505" w:type="dxa"/>
          </w:tcPr>
          <w:p w:rsidR="000D397F" w:rsidRPr="0071273F" w:rsidRDefault="000D397F" w:rsidP="005B24E7">
            <w:pPr>
              <w:pStyle w:val="standard"/>
              <w:keepNext/>
              <w:keepLines/>
              <w:ind w:firstLine="0"/>
              <w:jc w:val="center"/>
              <w:rPr>
                <w:sz w:val="12"/>
                <w:szCs w:val="12"/>
              </w:rPr>
            </w:pPr>
            <w:r w:rsidRPr="0071273F">
              <w:rPr>
                <w:sz w:val="12"/>
                <w:szCs w:val="12"/>
              </w:rPr>
              <w:t>Units</w:t>
            </w:r>
          </w:p>
        </w:tc>
        <w:tc>
          <w:tcPr>
            <w:tcW w:w="667" w:type="dxa"/>
          </w:tcPr>
          <w:p w:rsidR="000D397F" w:rsidRPr="0071273F" w:rsidRDefault="000D397F" w:rsidP="005B24E7">
            <w:pPr>
              <w:pStyle w:val="standard"/>
              <w:keepNext/>
              <w:keepLines/>
              <w:ind w:firstLine="0"/>
              <w:jc w:val="center"/>
              <w:rPr>
                <w:sz w:val="12"/>
                <w:szCs w:val="12"/>
              </w:rPr>
            </w:pPr>
            <w:r w:rsidRPr="0071273F">
              <w:rPr>
                <w:sz w:val="12"/>
                <w:szCs w:val="12"/>
              </w:rPr>
              <w:t>Average Useful Life in Years</w:t>
            </w:r>
          </w:p>
        </w:tc>
        <w:tc>
          <w:tcPr>
            <w:tcW w:w="904" w:type="dxa"/>
          </w:tcPr>
          <w:p w:rsidR="000D397F" w:rsidRDefault="000D397F" w:rsidP="005B24E7">
            <w:pPr>
              <w:pStyle w:val="standard"/>
              <w:keepNext/>
              <w:keepLines/>
              <w:ind w:firstLine="0"/>
              <w:jc w:val="center"/>
              <w:rPr>
                <w:sz w:val="12"/>
                <w:szCs w:val="12"/>
              </w:rPr>
            </w:pPr>
            <w:r w:rsidRPr="0071273F">
              <w:rPr>
                <w:sz w:val="12"/>
                <w:szCs w:val="12"/>
              </w:rPr>
              <w:t>Replacement Value – Unit Price</w:t>
            </w:r>
          </w:p>
          <w:p w:rsidR="000D397F" w:rsidRPr="0071273F" w:rsidRDefault="000D397F" w:rsidP="005B24E7">
            <w:pPr>
              <w:pStyle w:val="standard"/>
              <w:keepNext/>
              <w:keepLines/>
              <w:ind w:firstLine="0"/>
              <w:jc w:val="center"/>
              <w:rPr>
                <w:sz w:val="12"/>
                <w:szCs w:val="12"/>
              </w:rPr>
            </w:pPr>
            <w:r w:rsidRPr="0071273F">
              <w:rPr>
                <w:sz w:val="12"/>
                <w:szCs w:val="12"/>
              </w:rPr>
              <w:t>(2015 dollars)</w:t>
            </w:r>
          </w:p>
        </w:tc>
        <w:tc>
          <w:tcPr>
            <w:tcW w:w="904" w:type="dxa"/>
          </w:tcPr>
          <w:p w:rsidR="000D397F" w:rsidRDefault="000D397F" w:rsidP="005B24E7">
            <w:pPr>
              <w:pStyle w:val="standard"/>
              <w:keepNext/>
              <w:keepLines/>
              <w:ind w:firstLine="0"/>
              <w:jc w:val="center"/>
              <w:rPr>
                <w:sz w:val="12"/>
                <w:szCs w:val="12"/>
              </w:rPr>
            </w:pPr>
            <w:r w:rsidRPr="0071273F">
              <w:rPr>
                <w:sz w:val="12"/>
                <w:szCs w:val="12"/>
              </w:rPr>
              <w:t>Replacement Value -Total Cost</w:t>
            </w:r>
          </w:p>
          <w:p w:rsidR="000D397F" w:rsidRPr="0071273F" w:rsidRDefault="000D397F" w:rsidP="005B24E7">
            <w:pPr>
              <w:pStyle w:val="standard"/>
              <w:keepNext/>
              <w:keepLines/>
              <w:ind w:firstLine="0"/>
              <w:jc w:val="center"/>
              <w:rPr>
                <w:sz w:val="12"/>
                <w:szCs w:val="12"/>
              </w:rPr>
            </w:pPr>
            <w:r w:rsidRPr="0071273F">
              <w:rPr>
                <w:sz w:val="12"/>
                <w:szCs w:val="12"/>
              </w:rPr>
              <w:t>(2015 dollars)</w:t>
            </w:r>
          </w:p>
        </w:tc>
        <w:tc>
          <w:tcPr>
            <w:tcW w:w="907" w:type="dxa"/>
          </w:tcPr>
          <w:p w:rsidR="000D397F" w:rsidRPr="0071273F" w:rsidRDefault="000D397F" w:rsidP="005B24E7">
            <w:pPr>
              <w:pStyle w:val="standard"/>
              <w:keepNext/>
              <w:keepLines/>
              <w:ind w:firstLine="0"/>
              <w:jc w:val="center"/>
              <w:rPr>
                <w:sz w:val="12"/>
                <w:szCs w:val="12"/>
              </w:rPr>
            </w:pPr>
            <w:r>
              <w:rPr>
                <w:sz w:val="12"/>
                <w:szCs w:val="12"/>
              </w:rPr>
              <w:t>Short-Term Annual Reserve Contribution</w:t>
            </w:r>
          </w:p>
        </w:tc>
        <w:tc>
          <w:tcPr>
            <w:tcW w:w="907" w:type="dxa"/>
          </w:tcPr>
          <w:p w:rsidR="000D397F" w:rsidRPr="0071273F" w:rsidRDefault="000D397F" w:rsidP="005B24E7">
            <w:pPr>
              <w:pStyle w:val="standard"/>
              <w:keepNext/>
              <w:keepLines/>
              <w:ind w:firstLine="0"/>
              <w:jc w:val="center"/>
              <w:rPr>
                <w:sz w:val="12"/>
                <w:szCs w:val="12"/>
              </w:rPr>
            </w:pPr>
            <w:r w:rsidRPr="0071273F">
              <w:rPr>
                <w:sz w:val="12"/>
                <w:szCs w:val="12"/>
              </w:rPr>
              <w:t>Long-Term Annual Reserve Contribution</w:t>
            </w:r>
          </w:p>
        </w:tc>
        <w:tc>
          <w:tcPr>
            <w:tcW w:w="907" w:type="dxa"/>
          </w:tcPr>
          <w:p w:rsidR="000D397F" w:rsidRPr="0071273F" w:rsidRDefault="000D397F" w:rsidP="005B24E7">
            <w:pPr>
              <w:pStyle w:val="standard"/>
              <w:keepNext/>
              <w:keepLines/>
              <w:ind w:firstLine="0"/>
              <w:jc w:val="center"/>
              <w:rPr>
                <w:sz w:val="12"/>
                <w:szCs w:val="12"/>
              </w:rPr>
            </w:pPr>
            <w:r w:rsidRPr="0071273F">
              <w:rPr>
                <w:sz w:val="12"/>
                <w:szCs w:val="12"/>
              </w:rPr>
              <w:t>Short and Long-Term Annual Reserve Contribution</w:t>
            </w:r>
          </w:p>
        </w:tc>
      </w:tr>
      <w:tr w:rsidR="000D397F" w:rsidRPr="0071273F" w:rsidTr="00A913D0">
        <w:tc>
          <w:tcPr>
            <w:tcW w:w="412" w:type="dxa"/>
          </w:tcPr>
          <w:p w:rsidR="000D397F" w:rsidRPr="0071273F" w:rsidRDefault="000D397F" w:rsidP="005B24E7">
            <w:pPr>
              <w:pStyle w:val="standard"/>
              <w:keepNext/>
              <w:keepLines/>
              <w:ind w:firstLine="0"/>
              <w:rPr>
                <w:sz w:val="12"/>
                <w:szCs w:val="12"/>
              </w:rPr>
            </w:pPr>
            <w:r>
              <w:rPr>
                <w:sz w:val="12"/>
                <w:szCs w:val="12"/>
              </w:rPr>
              <w:t>1</w:t>
            </w:r>
          </w:p>
        </w:tc>
        <w:tc>
          <w:tcPr>
            <w:tcW w:w="865" w:type="dxa"/>
          </w:tcPr>
          <w:p w:rsidR="000D397F" w:rsidRPr="0071273F" w:rsidRDefault="000D397F" w:rsidP="005B24E7">
            <w:pPr>
              <w:pStyle w:val="standard"/>
              <w:keepNext/>
              <w:keepLines/>
              <w:ind w:firstLine="0"/>
              <w:rPr>
                <w:sz w:val="12"/>
                <w:szCs w:val="12"/>
              </w:rPr>
            </w:pPr>
            <w:r>
              <w:rPr>
                <w:sz w:val="12"/>
                <w:szCs w:val="12"/>
              </w:rPr>
              <w:t>Distribution</w:t>
            </w:r>
          </w:p>
        </w:tc>
        <w:tc>
          <w:tcPr>
            <w:tcW w:w="832" w:type="dxa"/>
          </w:tcPr>
          <w:p w:rsidR="000D397F" w:rsidRPr="0071273F" w:rsidRDefault="000D397F" w:rsidP="005B24E7">
            <w:pPr>
              <w:pStyle w:val="standard"/>
              <w:keepNext/>
              <w:keepLines/>
              <w:ind w:firstLine="0"/>
              <w:rPr>
                <w:sz w:val="12"/>
                <w:szCs w:val="12"/>
              </w:rPr>
            </w:pPr>
            <w:r>
              <w:rPr>
                <w:sz w:val="12"/>
                <w:szCs w:val="12"/>
              </w:rPr>
              <w:t>Short-term</w:t>
            </w:r>
          </w:p>
        </w:tc>
        <w:tc>
          <w:tcPr>
            <w:tcW w:w="847" w:type="dxa"/>
          </w:tcPr>
          <w:p w:rsidR="000D397F" w:rsidRPr="0071273F" w:rsidRDefault="000D397F" w:rsidP="005B24E7">
            <w:pPr>
              <w:pStyle w:val="standard"/>
              <w:keepNext/>
              <w:keepLines/>
              <w:ind w:firstLine="0"/>
              <w:rPr>
                <w:sz w:val="12"/>
                <w:szCs w:val="12"/>
              </w:rPr>
            </w:pPr>
            <w:proofErr w:type="gramStart"/>
            <w:r>
              <w:rPr>
                <w:sz w:val="12"/>
                <w:szCs w:val="12"/>
              </w:rPr>
              <w:t>40,000 gallon</w:t>
            </w:r>
            <w:proofErr w:type="gramEnd"/>
            <w:r>
              <w:rPr>
                <w:sz w:val="12"/>
                <w:szCs w:val="12"/>
              </w:rPr>
              <w:t xml:space="preserve"> storage tank</w:t>
            </w:r>
          </w:p>
        </w:tc>
        <w:tc>
          <w:tcPr>
            <w:tcW w:w="693" w:type="dxa"/>
          </w:tcPr>
          <w:p w:rsidR="000D397F" w:rsidRPr="0071273F" w:rsidRDefault="000D397F" w:rsidP="005B24E7">
            <w:pPr>
              <w:pStyle w:val="standard"/>
              <w:keepNext/>
              <w:keepLines/>
              <w:ind w:firstLine="0"/>
              <w:rPr>
                <w:sz w:val="12"/>
                <w:szCs w:val="12"/>
              </w:rPr>
            </w:pPr>
            <w:r>
              <w:rPr>
                <w:sz w:val="12"/>
                <w:szCs w:val="12"/>
              </w:rPr>
              <w:t>1</w:t>
            </w:r>
          </w:p>
        </w:tc>
        <w:tc>
          <w:tcPr>
            <w:tcW w:w="505" w:type="dxa"/>
          </w:tcPr>
          <w:p w:rsidR="000D397F" w:rsidRPr="0071273F" w:rsidRDefault="000D397F" w:rsidP="005B24E7">
            <w:pPr>
              <w:pStyle w:val="standard"/>
              <w:keepNext/>
              <w:keepLines/>
              <w:ind w:firstLine="0"/>
              <w:rPr>
                <w:sz w:val="12"/>
                <w:szCs w:val="12"/>
              </w:rPr>
            </w:pPr>
            <w:r>
              <w:rPr>
                <w:sz w:val="12"/>
                <w:szCs w:val="12"/>
              </w:rPr>
              <w:t>Each</w:t>
            </w:r>
          </w:p>
        </w:tc>
        <w:tc>
          <w:tcPr>
            <w:tcW w:w="667" w:type="dxa"/>
          </w:tcPr>
          <w:p w:rsidR="000D397F" w:rsidRPr="0071273F" w:rsidRDefault="000D397F" w:rsidP="005B24E7">
            <w:pPr>
              <w:pStyle w:val="standard"/>
              <w:keepNext/>
              <w:keepLines/>
              <w:ind w:firstLine="0"/>
              <w:rPr>
                <w:sz w:val="12"/>
                <w:szCs w:val="12"/>
              </w:rPr>
            </w:pPr>
            <w:r>
              <w:rPr>
                <w:sz w:val="12"/>
                <w:szCs w:val="12"/>
              </w:rPr>
              <w:t>30</w:t>
            </w:r>
          </w:p>
        </w:tc>
        <w:tc>
          <w:tcPr>
            <w:tcW w:w="904" w:type="dxa"/>
          </w:tcPr>
          <w:p w:rsidR="000D397F" w:rsidRPr="0071273F" w:rsidRDefault="000D397F" w:rsidP="005B24E7">
            <w:pPr>
              <w:pStyle w:val="standard"/>
              <w:keepNext/>
              <w:keepLines/>
              <w:ind w:firstLine="0"/>
              <w:rPr>
                <w:sz w:val="12"/>
                <w:szCs w:val="12"/>
              </w:rPr>
            </w:pPr>
            <w:r>
              <w:rPr>
                <w:sz w:val="12"/>
                <w:szCs w:val="12"/>
              </w:rPr>
              <w:t>$ 40,000</w:t>
            </w:r>
          </w:p>
        </w:tc>
        <w:tc>
          <w:tcPr>
            <w:tcW w:w="904" w:type="dxa"/>
          </w:tcPr>
          <w:p w:rsidR="000D397F" w:rsidRPr="0071273F" w:rsidRDefault="000D397F" w:rsidP="005B24E7">
            <w:pPr>
              <w:pStyle w:val="standard"/>
              <w:keepNext/>
              <w:keepLines/>
              <w:ind w:firstLine="0"/>
              <w:rPr>
                <w:sz w:val="12"/>
                <w:szCs w:val="12"/>
              </w:rPr>
            </w:pPr>
            <w:r>
              <w:rPr>
                <w:sz w:val="12"/>
                <w:szCs w:val="12"/>
              </w:rPr>
              <w:t>$ 40,000</w:t>
            </w:r>
          </w:p>
        </w:tc>
        <w:tc>
          <w:tcPr>
            <w:tcW w:w="907" w:type="dxa"/>
          </w:tcPr>
          <w:p w:rsidR="000D397F" w:rsidRPr="0071273F" w:rsidRDefault="000D397F" w:rsidP="005B24E7">
            <w:pPr>
              <w:pStyle w:val="standard"/>
              <w:keepNext/>
              <w:keepLines/>
              <w:ind w:firstLine="0"/>
              <w:rPr>
                <w:sz w:val="12"/>
                <w:szCs w:val="12"/>
              </w:rPr>
            </w:pPr>
            <w:r>
              <w:rPr>
                <w:sz w:val="12"/>
                <w:szCs w:val="12"/>
              </w:rPr>
              <w:t>$ 1,333</w:t>
            </w:r>
          </w:p>
        </w:tc>
        <w:tc>
          <w:tcPr>
            <w:tcW w:w="907" w:type="dxa"/>
          </w:tcPr>
          <w:p w:rsidR="000D397F" w:rsidRPr="0071273F" w:rsidRDefault="000D397F" w:rsidP="005B24E7">
            <w:pPr>
              <w:pStyle w:val="standard"/>
              <w:keepNext/>
              <w:keepLines/>
              <w:ind w:firstLine="0"/>
              <w:rPr>
                <w:sz w:val="12"/>
                <w:szCs w:val="12"/>
              </w:rPr>
            </w:pPr>
            <w:r>
              <w:rPr>
                <w:sz w:val="12"/>
                <w:szCs w:val="12"/>
              </w:rPr>
              <w:t>$ 0</w:t>
            </w:r>
          </w:p>
        </w:tc>
        <w:tc>
          <w:tcPr>
            <w:tcW w:w="907" w:type="dxa"/>
          </w:tcPr>
          <w:p w:rsidR="000D397F" w:rsidRPr="0071273F" w:rsidRDefault="000D397F" w:rsidP="005B24E7">
            <w:pPr>
              <w:pStyle w:val="standard"/>
              <w:keepNext/>
              <w:keepLines/>
              <w:ind w:firstLine="0"/>
              <w:rPr>
                <w:sz w:val="12"/>
                <w:szCs w:val="12"/>
              </w:rPr>
            </w:pPr>
            <w:r>
              <w:rPr>
                <w:sz w:val="12"/>
                <w:szCs w:val="12"/>
              </w:rPr>
              <w:t>$ 1,333</w:t>
            </w:r>
          </w:p>
        </w:tc>
      </w:tr>
      <w:tr w:rsidR="000D397F" w:rsidRPr="0071273F" w:rsidTr="00A913D0">
        <w:tc>
          <w:tcPr>
            <w:tcW w:w="412" w:type="dxa"/>
          </w:tcPr>
          <w:p w:rsidR="000D397F" w:rsidRPr="0071273F" w:rsidRDefault="000D397F" w:rsidP="00901188">
            <w:pPr>
              <w:pStyle w:val="standard"/>
              <w:keepNext/>
              <w:keepLines/>
              <w:ind w:firstLine="0"/>
              <w:rPr>
                <w:sz w:val="12"/>
                <w:szCs w:val="12"/>
              </w:rPr>
            </w:pPr>
            <w:r>
              <w:rPr>
                <w:sz w:val="12"/>
                <w:szCs w:val="12"/>
              </w:rPr>
              <w:t>2</w:t>
            </w:r>
          </w:p>
        </w:tc>
        <w:tc>
          <w:tcPr>
            <w:tcW w:w="865" w:type="dxa"/>
          </w:tcPr>
          <w:p w:rsidR="000D397F" w:rsidRPr="0071273F" w:rsidRDefault="000D397F" w:rsidP="00901188">
            <w:pPr>
              <w:pStyle w:val="standard"/>
              <w:keepNext/>
              <w:keepLines/>
              <w:ind w:firstLine="0"/>
              <w:rPr>
                <w:sz w:val="12"/>
                <w:szCs w:val="12"/>
              </w:rPr>
            </w:pPr>
            <w:r>
              <w:rPr>
                <w:sz w:val="12"/>
                <w:szCs w:val="12"/>
              </w:rPr>
              <w:t>Distribution</w:t>
            </w:r>
          </w:p>
        </w:tc>
        <w:tc>
          <w:tcPr>
            <w:tcW w:w="832" w:type="dxa"/>
          </w:tcPr>
          <w:p w:rsidR="000D397F" w:rsidRPr="0071273F" w:rsidRDefault="000D397F" w:rsidP="00901188">
            <w:pPr>
              <w:pStyle w:val="standard"/>
              <w:keepNext/>
              <w:keepLines/>
              <w:ind w:firstLine="0"/>
              <w:rPr>
                <w:sz w:val="12"/>
                <w:szCs w:val="12"/>
              </w:rPr>
            </w:pPr>
            <w:r>
              <w:rPr>
                <w:sz w:val="12"/>
                <w:szCs w:val="12"/>
              </w:rPr>
              <w:t>Short-term</w:t>
            </w:r>
          </w:p>
        </w:tc>
        <w:tc>
          <w:tcPr>
            <w:tcW w:w="847" w:type="dxa"/>
          </w:tcPr>
          <w:p w:rsidR="000D397F" w:rsidRPr="0071273F" w:rsidRDefault="000D397F" w:rsidP="00901188">
            <w:pPr>
              <w:pStyle w:val="standard"/>
              <w:keepNext/>
              <w:keepLines/>
              <w:ind w:firstLine="0"/>
              <w:rPr>
                <w:sz w:val="12"/>
                <w:szCs w:val="12"/>
              </w:rPr>
            </w:pPr>
            <w:proofErr w:type="gramStart"/>
            <w:r>
              <w:rPr>
                <w:sz w:val="12"/>
                <w:szCs w:val="12"/>
              </w:rPr>
              <w:t>5,000 gallon</w:t>
            </w:r>
            <w:proofErr w:type="gramEnd"/>
            <w:r>
              <w:rPr>
                <w:sz w:val="12"/>
                <w:szCs w:val="12"/>
              </w:rPr>
              <w:t xml:space="preserve"> storage tank</w:t>
            </w:r>
          </w:p>
        </w:tc>
        <w:tc>
          <w:tcPr>
            <w:tcW w:w="693" w:type="dxa"/>
          </w:tcPr>
          <w:p w:rsidR="000D397F" w:rsidRPr="0071273F" w:rsidRDefault="000D397F" w:rsidP="00901188">
            <w:pPr>
              <w:pStyle w:val="standard"/>
              <w:keepNext/>
              <w:keepLines/>
              <w:ind w:firstLine="0"/>
              <w:rPr>
                <w:sz w:val="12"/>
                <w:szCs w:val="12"/>
              </w:rPr>
            </w:pPr>
            <w:r>
              <w:rPr>
                <w:sz w:val="12"/>
                <w:szCs w:val="12"/>
              </w:rPr>
              <w:t>1</w:t>
            </w:r>
          </w:p>
        </w:tc>
        <w:tc>
          <w:tcPr>
            <w:tcW w:w="505" w:type="dxa"/>
          </w:tcPr>
          <w:p w:rsidR="000D397F" w:rsidRPr="0071273F" w:rsidRDefault="000D397F" w:rsidP="00901188">
            <w:pPr>
              <w:pStyle w:val="standard"/>
              <w:keepNext/>
              <w:keepLines/>
              <w:ind w:firstLine="0"/>
              <w:rPr>
                <w:sz w:val="12"/>
                <w:szCs w:val="12"/>
              </w:rPr>
            </w:pPr>
            <w:r>
              <w:rPr>
                <w:sz w:val="12"/>
                <w:szCs w:val="12"/>
              </w:rPr>
              <w:t>Each</w:t>
            </w:r>
          </w:p>
        </w:tc>
        <w:tc>
          <w:tcPr>
            <w:tcW w:w="667" w:type="dxa"/>
          </w:tcPr>
          <w:p w:rsidR="000D397F" w:rsidRPr="0071273F" w:rsidRDefault="000D397F" w:rsidP="00901188">
            <w:pPr>
              <w:pStyle w:val="standard"/>
              <w:keepNext/>
              <w:keepLines/>
              <w:ind w:firstLine="0"/>
              <w:rPr>
                <w:sz w:val="12"/>
                <w:szCs w:val="12"/>
              </w:rPr>
            </w:pPr>
            <w:r>
              <w:rPr>
                <w:sz w:val="12"/>
                <w:szCs w:val="12"/>
              </w:rPr>
              <w:t>30</w:t>
            </w:r>
          </w:p>
        </w:tc>
        <w:tc>
          <w:tcPr>
            <w:tcW w:w="904" w:type="dxa"/>
          </w:tcPr>
          <w:p w:rsidR="000D397F" w:rsidRPr="0071273F" w:rsidRDefault="000D397F" w:rsidP="00901188">
            <w:pPr>
              <w:pStyle w:val="standard"/>
              <w:keepNext/>
              <w:keepLines/>
              <w:ind w:firstLine="0"/>
              <w:rPr>
                <w:sz w:val="12"/>
                <w:szCs w:val="12"/>
              </w:rPr>
            </w:pPr>
            <w:r>
              <w:rPr>
                <w:sz w:val="12"/>
                <w:szCs w:val="12"/>
              </w:rPr>
              <w:t>$ 5,000</w:t>
            </w:r>
          </w:p>
        </w:tc>
        <w:tc>
          <w:tcPr>
            <w:tcW w:w="904" w:type="dxa"/>
          </w:tcPr>
          <w:p w:rsidR="000D397F" w:rsidRPr="0071273F" w:rsidRDefault="000D397F" w:rsidP="00901188">
            <w:pPr>
              <w:pStyle w:val="standard"/>
              <w:keepNext/>
              <w:keepLines/>
              <w:ind w:firstLine="0"/>
              <w:rPr>
                <w:sz w:val="12"/>
                <w:szCs w:val="12"/>
              </w:rPr>
            </w:pPr>
            <w:r>
              <w:rPr>
                <w:sz w:val="12"/>
                <w:szCs w:val="12"/>
              </w:rPr>
              <w:t>$ 5,000</w:t>
            </w:r>
          </w:p>
        </w:tc>
        <w:tc>
          <w:tcPr>
            <w:tcW w:w="907" w:type="dxa"/>
          </w:tcPr>
          <w:p w:rsidR="000D397F" w:rsidRPr="0071273F" w:rsidRDefault="000D397F" w:rsidP="00901188">
            <w:pPr>
              <w:pStyle w:val="standard"/>
              <w:keepNext/>
              <w:keepLines/>
              <w:ind w:firstLine="0"/>
              <w:rPr>
                <w:sz w:val="12"/>
                <w:szCs w:val="12"/>
              </w:rPr>
            </w:pPr>
            <w:r>
              <w:rPr>
                <w:sz w:val="12"/>
                <w:szCs w:val="12"/>
              </w:rPr>
              <w:t>$ 167</w:t>
            </w:r>
          </w:p>
        </w:tc>
        <w:tc>
          <w:tcPr>
            <w:tcW w:w="907" w:type="dxa"/>
          </w:tcPr>
          <w:p w:rsidR="000D397F" w:rsidRPr="0071273F" w:rsidRDefault="000D397F" w:rsidP="00901188">
            <w:pPr>
              <w:pStyle w:val="standard"/>
              <w:keepNext/>
              <w:keepLines/>
              <w:tabs>
                <w:tab w:val="left" w:pos="450"/>
              </w:tabs>
              <w:ind w:firstLine="0"/>
              <w:rPr>
                <w:sz w:val="12"/>
                <w:szCs w:val="12"/>
              </w:rPr>
            </w:pPr>
            <w:r>
              <w:rPr>
                <w:sz w:val="12"/>
                <w:szCs w:val="12"/>
              </w:rPr>
              <w:t>$ 0</w:t>
            </w:r>
          </w:p>
        </w:tc>
        <w:tc>
          <w:tcPr>
            <w:tcW w:w="907" w:type="dxa"/>
          </w:tcPr>
          <w:p w:rsidR="000D397F" w:rsidRPr="0071273F" w:rsidRDefault="000D397F" w:rsidP="00901188">
            <w:pPr>
              <w:pStyle w:val="standard"/>
              <w:keepNext/>
              <w:keepLines/>
              <w:ind w:firstLine="0"/>
              <w:rPr>
                <w:sz w:val="12"/>
                <w:szCs w:val="12"/>
              </w:rPr>
            </w:pPr>
            <w:r>
              <w:rPr>
                <w:sz w:val="12"/>
                <w:szCs w:val="12"/>
              </w:rPr>
              <w:t>$ 167</w:t>
            </w:r>
          </w:p>
        </w:tc>
      </w:tr>
      <w:tr w:rsidR="000D397F" w:rsidRPr="0071273F" w:rsidTr="00A913D0">
        <w:tc>
          <w:tcPr>
            <w:tcW w:w="412" w:type="dxa"/>
          </w:tcPr>
          <w:p w:rsidR="000D397F" w:rsidRPr="0071273F" w:rsidRDefault="000D397F" w:rsidP="00A913D0">
            <w:pPr>
              <w:pStyle w:val="standard"/>
              <w:ind w:firstLine="0"/>
              <w:rPr>
                <w:sz w:val="12"/>
                <w:szCs w:val="12"/>
              </w:rPr>
            </w:pPr>
            <w:r>
              <w:rPr>
                <w:sz w:val="12"/>
                <w:szCs w:val="12"/>
              </w:rPr>
              <w:t>3</w:t>
            </w:r>
          </w:p>
        </w:tc>
        <w:tc>
          <w:tcPr>
            <w:tcW w:w="865" w:type="dxa"/>
          </w:tcPr>
          <w:p w:rsidR="000D397F" w:rsidRPr="0071273F" w:rsidRDefault="000D397F" w:rsidP="00A913D0">
            <w:pPr>
              <w:pStyle w:val="standard"/>
              <w:ind w:firstLine="0"/>
              <w:rPr>
                <w:sz w:val="12"/>
                <w:szCs w:val="12"/>
              </w:rPr>
            </w:pPr>
            <w:r>
              <w:rPr>
                <w:sz w:val="12"/>
                <w:szCs w:val="12"/>
              </w:rPr>
              <w:t>Distribution</w:t>
            </w:r>
          </w:p>
        </w:tc>
        <w:tc>
          <w:tcPr>
            <w:tcW w:w="832" w:type="dxa"/>
          </w:tcPr>
          <w:p w:rsidR="000D397F" w:rsidRPr="0071273F" w:rsidRDefault="000D397F" w:rsidP="00A913D0">
            <w:pPr>
              <w:pStyle w:val="standard"/>
              <w:ind w:firstLine="0"/>
              <w:rPr>
                <w:sz w:val="12"/>
                <w:szCs w:val="12"/>
              </w:rPr>
            </w:pPr>
            <w:r>
              <w:rPr>
                <w:sz w:val="12"/>
                <w:szCs w:val="12"/>
              </w:rPr>
              <w:t>Short-term</w:t>
            </w:r>
          </w:p>
        </w:tc>
        <w:tc>
          <w:tcPr>
            <w:tcW w:w="847" w:type="dxa"/>
          </w:tcPr>
          <w:p w:rsidR="000D397F" w:rsidRPr="0071273F" w:rsidRDefault="000D397F" w:rsidP="00A913D0">
            <w:pPr>
              <w:pStyle w:val="standard"/>
              <w:ind w:firstLine="0"/>
              <w:rPr>
                <w:sz w:val="12"/>
                <w:szCs w:val="12"/>
              </w:rPr>
            </w:pPr>
            <w:r>
              <w:rPr>
                <w:sz w:val="12"/>
                <w:szCs w:val="12"/>
              </w:rPr>
              <w:t>Booster station and controls, including electrical and generator</w:t>
            </w:r>
          </w:p>
        </w:tc>
        <w:tc>
          <w:tcPr>
            <w:tcW w:w="693" w:type="dxa"/>
          </w:tcPr>
          <w:p w:rsidR="000D397F" w:rsidRPr="0071273F" w:rsidRDefault="000D397F" w:rsidP="00A913D0">
            <w:pPr>
              <w:pStyle w:val="standard"/>
              <w:ind w:firstLine="0"/>
              <w:rPr>
                <w:sz w:val="12"/>
                <w:szCs w:val="12"/>
              </w:rPr>
            </w:pPr>
            <w:r>
              <w:rPr>
                <w:sz w:val="12"/>
                <w:szCs w:val="12"/>
              </w:rPr>
              <w:t>1</w:t>
            </w:r>
          </w:p>
        </w:tc>
        <w:tc>
          <w:tcPr>
            <w:tcW w:w="505" w:type="dxa"/>
          </w:tcPr>
          <w:p w:rsidR="000D397F" w:rsidRPr="0071273F" w:rsidRDefault="000D397F" w:rsidP="00A913D0">
            <w:pPr>
              <w:pStyle w:val="standard"/>
              <w:ind w:firstLine="0"/>
              <w:rPr>
                <w:sz w:val="12"/>
                <w:szCs w:val="12"/>
              </w:rPr>
            </w:pPr>
            <w:r>
              <w:rPr>
                <w:sz w:val="12"/>
                <w:szCs w:val="12"/>
              </w:rPr>
              <w:t>Each</w:t>
            </w:r>
          </w:p>
        </w:tc>
        <w:tc>
          <w:tcPr>
            <w:tcW w:w="667" w:type="dxa"/>
          </w:tcPr>
          <w:p w:rsidR="000D397F" w:rsidRPr="0071273F" w:rsidRDefault="000D397F" w:rsidP="00A913D0">
            <w:pPr>
              <w:pStyle w:val="standard"/>
              <w:ind w:firstLine="0"/>
              <w:rPr>
                <w:sz w:val="12"/>
                <w:szCs w:val="12"/>
              </w:rPr>
            </w:pPr>
            <w:r>
              <w:rPr>
                <w:sz w:val="12"/>
                <w:szCs w:val="12"/>
              </w:rPr>
              <w:t>20</w:t>
            </w:r>
          </w:p>
        </w:tc>
        <w:tc>
          <w:tcPr>
            <w:tcW w:w="904" w:type="dxa"/>
          </w:tcPr>
          <w:p w:rsidR="000D397F" w:rsidRPr="0071273F" w:rsidRDefault="000D397F" w:rsidP="00A913D0">
            <w:pPr>
              <w:pStyle w:val="standard"/>
              <w:ind w:firstLine="0"/>
              <w:rPr>
                <w:sz w:val="12"/>
                <w:szCs w:val="12"/>
              </w:rPr>
            </w:pPr>
            <w:r>
              <w:rPr>
                <w:sz w:val="12"/>
                <w:szCs w:val="12"/>
              </w:rPr>
              <w:t>$ 150,000</w:t>
            </w:r>
          </w:p>
        </w:tc>
        <w:tc>
          <w:tcPr>
            <w:tcW w:w="904" w:type="dxa"/>
          </w:tcPr>
          <w:p w:rsidR="000D397F" w:rsidRPr="0071273F" w:rsidRDefault="000D397F" w:rsidP="00A913D0">
            <w:pPr>
              <w:pStyle w:val="standard"/>
              <w:ind w:firstLine="0"/>
              <w:rPr>
                <w:sz w:val="12"/>
                <w:szCs w:val="12"/>
              </w:rPr>
            </w:pPr>
            <w:r>
              <w:rPr>
                <w:sz w:val="12"/>
                <w:szCs w:val="12"/>
              </w:rPr>
              <w:t>$ 150,000</w:t>
            </w:r>
          </w:p>
        </w:tc>
        <w:tc>
          <w:tcPr>
            <w:tcW w:w="907" w:type="dxa"/>
          </w:tcPr>
          <w:p w:rsidR="000D397F" w:rsidRPr="0071273F" w:rsidRDefault="000D397F" w:rsidP="00A913D0">
            <w:pPr>
              <w:pStyle w:val="standard"/>
              <w:ind w:firstLine="0"/>
              <w:rPr>
                <w:sz w:val="12"/>
                <w:szCs w:val="12"/>
              </w:rPr>
            </w:pPr>
            <w:r>
              <w:rPr>
                <w:sz w:val="12"/>
                <w:szCs w:val="12"/>
              </w:rPr>
              <w:t>$ 7,500</w:t>
            </w:r>
          </w:p>
        </w:tc>
        <w:tc>
          <w:tcPr>
            <w:tcW w:w="907" w:type="dxa"/>
          </w:tcPr>
          <w:p w:rsidR="000D397F" w:rsidRPr="0071273F" w:rsidRDefault="000D397F" w:rsidP="00A913D0">
            <w:pPr>
              <w:pStyle w:val="standard"/>
              <w:ind w:firstLine="0"/>
              <w:rPr>
                <w:sz w:val="12"/>
                <w:szCs w:val="12"/>
              </w:rPr>
            </w:pPr>
            <w:r>
              <w:rPr>
                <w:sz w:val="12"/>
                <w:szCs w:val="12"/>
              </w:rPr>
              <w:t>$ 0</w:t>
            </w:r>
          </w:p>
        </w:tc>
        <w:tc>
          <w:tcPr>
            <w:tcW w:w="907" w:type="dxa"/>
          </w:tcPr>
          <w:p w:rsidR="000D397F" w:rsidRPr="0071273F" w:rsidRDefault="000D397F" w:rsidP="00A913D0">
            <w:pPr>
              <w:pStyle w:val="standard"/>
              <w:ind w:firstLine="0"/>
              <w:rPr>
                <w:sz w:val="12"/>
                <w:szCs w:val="12"/>
              </w:rPr>
            </w:pPr>
            <w:r>
              <w:rPr>
                <w:sz w:val="12"/>
                <w:szCs w:val="12"/>
              </w:rPr>
              <w:t>$ 7,500</w:t>
            </w:r>
          </w:p>
        </w:tc>
      </w:tr>
      <w:tr w:rsidR="000D397F" w:rsidRPr="0071273F" w:rsidTr="00A913D0">
        <w:tc>
          <w:tcPr>
            <w:tcW w:w="412" w:type="dxa"/>
          </w:tcPr>
          <w:p w:rsidR="000D397F" w:rsidRPr="0071273F" w:rsidRDefault="000D397F" w:rsidP="00A913D0">
            <w:pPr>
              <w:pStyle w:val="standard"/>
              <w:ind w:firstLine="0"/>
              <w:rPr>
                <w:sz w:val="12"/>
                <w:szCs w:val="12"/>
              </w:rPr>
            </w:pPr>
            <w:r>
              <w:rPr>
                <w:sz w:val="12"/>
                <w:szCs w:val="12"/>
              </w:rPr>
              <w:t>4</w:t>
            </w:r>
          </w:p>
        </w:tc>
        <w:tc>
          <w:tcPr>
            <w:tcW w:w="865" w:type="dxa"/>
          </w:tcPr>
          <w:p w:rsidR="000D397F" w:rsidRPr="0071273F" w:rsidRDefault="000D397F" w:rsidP="00A913D0">
            <w:pPr>
              <w:pStyle w:val="standard"/>
              <w:ind w:firstLine="0"/>
              <w:rPr>
                <w:sz w:val="12"/>
                <w:szCs w:val="12"/>
              </w:rPr>
            </w:pPr>
            <w:r>
              <w:rPr>
                <w:sz w:val="12"/>
                <w:szCs w:val="12"/>
              </w:rPr>
              <w:t>Distribution</w:t>
            </w:r>
          </w:p>
        </w:tc>
        <w:tc>
          <w:tcPr>
            <w:tcW w:w="832" w:type="dxa"/>
          </w:tcPr>
          <w:p w:rsidR="000D397F" w:rsidRPr="0071273F" w:rsidRDefault="000D397F" w:rsidP="00A913D0">
            <w:pPr>
              <w:pStyle w:val="standard"/>
              <w:ind w:firstLine="0"/>
              <w:rPr>
                <w:sz w:val="12"/>
                <w:szCs w:val="12"/>
              </w:rPr>
            </w:pPr>
            <w:r>
              <w:rPr>
                <w:sz w:val="12"/>
                <w:szCs w:val="12"/>
              </w:rPr>
              <w:t>Long-term</w:t>
            </w:r>
          </w:p>
        </w:tc>
        <w:tc>
          <w:tcPr>
            <w:tcW w:w="847" w:type="dxa"/>
          </w:tcPr>
          <w:p w:rsidR="000D397F" w:rsidRPr="0071273F" w:rsidRDefault="000D397F" w:rsidP="00A913D0">
            <w:pPr>
              <w:pStyle w:val="standard"/>
              <w:ind w:firstLine="0"/>
              <w:rPr>
                <w:sz w:val="12"/>
                <w:szCs w:val="12"/>
              </w:rPr>
            </w:pPr>
            <w:r>
              <w:rPr>
                <w:sz w:val="12"/>
                <w:szCs w:val="12"/>
              </w:rPr>
              <w:t xml:space="preserve">Water mains </w:t>
            </w:r>
            <w:r>
              <w:rPr>
                <w:sz w:val="12"/>
                <w:szCs w:val="12"/>
              </w:rPr>
              <w:lastRenderedPageBreak/>
              <w:t>(6” to 8”) – length estimated</w:t>
            </w:r>
          </w:p>
        </w:tc>
        <w:tc>
          <w:tcPr>
            <w:tcW w:w="693" w:type="dxa"/>
          </w:tcPr>
          <w:p w:rsidR="000D397F" w:rsidRPr="0071273F" w:rsidRDefault="000D397F" w:rsidP="00A913D0">
            <w:pPr>
              <w:pStyle w:val="standard"/>
              <w:ind w:firstLine="0"/>
              <w:rPr>
                <w:sz w:val="12"/>
                <w:szCs w:val="12"/>
              </w:rPr>
            </w:pPr>
            <w:r>
              <w:rPr>
                <w:sz w:val="12"/>
                <w:szCs w:val="12"/>
              </w:rPr>
              <w:lastRenderedPageBreak/>
              <w:t>9,000</w:t>
            </w:r>
          </w:p>
        </w:tc>
        <w:tc>
          <w:tcPr>
            <w:tcW w:w="505" w:type="dxa"/>
          </w:tcPr>
          <w:p w:rsidR="000D397F" w:rsidRPr="0071273F" w:rsidRDefault="000D397F" w:rsidP="00A913D0">
            <w:pPr>
              <w:pStyle w:val="standard"/>
              <w:ind w:firstLine="0"/>
              <w:rPr>
                <w:sz w:val="12"/>
                <w:szCs w:val="12"/>
              </w:rPr>
            </w:pPr>
            <w:r>
              <w:rPr>
                <w:sz w:val="12"/>
                <w:szCs w:val="12"/>
              </w:rPr>
              <w:t>LF</w:t>
            </w:r>
          </w:p>
        </w:tc>
        <w:tc>
          <w:tcPr>
            <w:tcW w:w="667" w:type="dxa"/>
          </w:tcPr>
          <w:p w:rsidR="000D397F" w:rsidRPr="0071273F" w:rsidRDefault="000D397F" w:rsidP="00A913D0">
            <w:pPr>
              <w:pStyle w:val="standard"/>
              <w:ind w:firstLine="0"/>
              <w:rPr>
                <w:sz w:val="12"/>
                <w:szCs w:val="12"/>
              </w:rPr>
            </w:pPr>
            <w:r>
              <w:rPr>
                <w:sz w:val="12"/>
                <w:szCs w:val="12"/>
              </w:rPr>
              <w:t>70</w:t>
            </w:r>
          </w:p>
        </w:tc>
        <w:tc>
          <w:tcPr>
            <w:tcW w:w="904" w:type="dxa"/>
          </w:tcPr>
          <w:p w:rsidR="000D397F" w:rsidRPr="0071273F" w:rsidRDefault="000D397F" w:rsidP="00A913D0">
            <w:pPr>
              <w:pStyle w:val="standard"/>
              <w:ind w:firstLine="0"/>
              <w:rPr>
                <w:sz w:val="12"/>
                <w:szCs w:val="12"/>
              </w:rPr>
            </w:pPr>
            <w:r>
              <w:rPr>
                <w:sz w:val="12"/>
                <w:szCs w:val="12"/>
              </w:rPr>
              <w:t>$ 100</w:t>
            </w:r>
          </w:p>
        </w:tc>
        <w:tc>
          <w:tcPr>
            <w:tcW w:w="904" w:type="dxa"/>
          </w:tcPr>
          <w:p w:rsidR="000D397F" w:rsidRPr="0071273F" w:rsidRDefault="000D397F" w:rsidP="00A913D0">
            <w:pPr>
              <w:pStyle w:val="standard"/>
              <w:ind w:firstLine="0"/>
              <w:rPr>
                <w:sz w:val="12"/>
                <w:szCs w:val="12"/>
              </w:rPr>
            </w:pPr>
            <w:r>
              <w:rPr>
                <w:sz w:val="12"/>
                <w:szCs w:val="12"/>
              </w:rPr>
              <w:t>$ 900,000</w:t>
            </w:r>
          </w:p>
        </w:tc>
        <w:tc>
          <w:tcPr>
            <w:tcW w:w="907" w:type="dxa"/>
          </w:tcPr>
          <w:p w:rsidR="000D397F" w:rsidRPr="0071273F" w:rsidRDefault="000D397F" w:rsidP="00A913D0">
            <w:pPr>
              <w:pStyle w:val="standard"/>
              <w:ind w:firstLine="0"/>
              <w:rPr>
                <w:sz w:val="12"/>
                <w:szCs w:val="12"/>
              </w:rPr>
            </w:pPr>
            <w:r>
              <w:rPr>
                <w:sz w:val="12"/>
                <w:szCs w:val="12"/>
              </w:rPr>
              <w:t>$ 0</w:t>
            </w:r>
          </w:p>
        </w:tc>
        <w:tc>
          <w:tcPr>
            <w:tcW w:w="907" w:type="dxa"/>
          </w:tcPr>
          <w:p w:rsidR="000D397F" w:rsidRPr="0071273F" w:rsidRDefault="000D397F" w:rsidP="00A913D0">
            <w:pPr>
              <w:pStyle w:val="standard"/>
              <w:ind w:firstLine="0"/>
              <w:rPr>
                <w:sz w:val="12"/>
                <w:szCs w:val="12"/>
              </w:rPr>
            </w:pPr>
            <w:r>
              <w:rPr>
                <w:sz w:val="12"/>
                <w:szCs w:val="12"/>
              </w:rPr>
              <w:t>$ 12,857</w:t>
            </w:r>
          </w:p>
        </w:tc>
        <w:tc>
          <w:tcPr>
            <w:tcW w:w="907" w:type="dxa"/>
          </w:tcPr>
          <w:p w:rsidR="000D397F" w:rsidRPr="0071273F" w:rsidRDefault="000D397F" w:rsidP="00A913D0">
            <w:pPr>
              <w:pStyle w:val="standard"/>
              <w:ind w:firstLine="0"/>
              <w:rPr>
                <w:sz w:val="12"/>
                <w:szCs w:val="12"/>
              </w:rPr>
            </w:pPr>
            <w:r>
              <w:rPr>
                <w:sz w:val="12"/>
                <w:szCs w:val="12"/>
              </w:rPr>
              <w:t>$ 12,857</w:t>
            </w:r>
          </w:p>
        </w:tc>
      </w:tr>
      <w:tr w:rsidR="000D397F" w:rsidRPr="0071273F" w:rsidTr="00A913D0">
        <w:tc>
          <w:tcPr>
            <w:tcW w:w="412" w:type="dxa"/>
          </w:tcPr>
          <w:p w:rsidR="000D397F" w:rsidRPr="0071273F" w:rsidRDefault="000D397F" w:rsidP="00A913D0">
            <w:pPr>
              <w:pStyle w:val="standard"/>
              <w:ind w:firstLine="0"/>
              <w:rPr>
                <w:sz w:val="12"/>
                <w:szCs w:val="12"/>
              </w:rPr>
            </w:pPr>
            <w:r>
              <w:rPr>
                <w:sz w:val="12"/>
                <w:szCs w:val="12"/>
              </w:rPr>
              <w:t>5</w:t>
            </w:r>
          </w:p>
        </w:tc>
        <w:tc>
          <w:tcPr>
            <w:tcW w:w="865" w:type="dxa"/>
          </w:tcPr>
          <w:p w:rsidR="000D397F" w:rsidRPr="0071273F" w:rsidRDefault="000D397F" w:rsidP="00A913D0">
            <w:pPr>
              <w:pStyle w:val="standard"/>
              <w:ind w:firstLine="0"/>
              <w:rPr>
                <w:sz w:val="12"/>
                <w:szCs w:val="12"/>
              </w:rPr>
            </w:pPr>
            <w:r>
              <w:rPr>
                <w:sz w:val="12"/>
                <w:szCs w:val="12"/>
              </w:rPr>
              <w:t>Distribution</w:t>
            </w:r>
          </w:p>
        </w:tc>
        <w:tc>
          <w:tcPr>
            <w:tcW w:w="832" w:type="dxa"/>
          </w:tcPr>
          <w:p w:rsidR="000D397F" w:rsidRPr="0071273F" w:rsidRDefault="000D397F" w:rsidP="00A913D0">
            <w:pPr>
              <w:pStyle w:val="standard"/>
              <w:ind w:firstLine="0"/>
              <w:rPr>
                <w:sz w:val="12"/>
                <w:szCs w:val="12"/>
              </w:rPr>
            </w:pPr>
            <w:r>
              <w:rPr>
                <w:sz w:val="12"/>
                <w:szCs w:val="12"/>
              </w:rPr>
              <w:t>Long-term</w:t>
            </w:r>
          </w:p>
        </w:tc>
        <w:tc>
          <w:tcPr>
            <w:tcW w:w="847" w:type="dxa"/>
          </w:tcPr>
          <w:p w:rsidR="000D397F" w:rsidRPr="0071273F" w:rsidRDefault="000D397F" w:rsidP="00A913D0">
            <w:pPr>
              <w:pStyle w:val="standard"/>
              <w:ind w:firstLine="0"/>
              <w:rPr>
                <w:sz w:val="12"/>
                <w:szCs w:val="12"/>
              </w:rPr>
            </w:pPr>
            <w:r>
              <w:rPr>
                <w:sz w:val="12"/>
                <w:szCs w:val="12"/>
              </w:rPr>
              <w:t>Water services, including meter boxes</w:t>
            </w:r>
          </w:p>
        </w:tc>
        <w:tc>
          <w:tcPr>
            <w:tcW w:w="693" w:type="dxa"/>
          </w:tcPr>
          <w:p w:rsidR="000D397F" w:rsidRPr="0071273F" w:rsidRDefault="000D397F" w:rsidP="00A913D0">
            <w:pPr>
              <w:pStyle w:val="standard"/>
              <w:ind w:firstLine="0"/>
              <w:rPr>
                <w:sz w:val="12"/>
                <w:szCs w:val="12"/>
              </w:rPr>
            </w:pPr>
            <w:r>
              <w:rPr>
                <w:sz w:val="12"/>
                <w:szCs w:val="12"/>
              </w:rPr>
              <w:t>304</w:t>
            </w:r>
          </w:p>
        </w:tc>
        <w:tc>
          <w:tcPr>
            <w:tcW w:w="505" w:type="dxa"/>
          </w:tcPr>
          <w:p w:rsidR="000D397F" w:rsidRPr="0071273F" w:rsidRDefault="000D397F" w:rsidP="00A913D0">
            <w:pPr>
              <w:pStyle w:val="standard"/>
              <w:ind w:firstLine="0"/>
              <w:rPr>
                <w:sz w:val="12"/>
                <w:szCs w:val="12"/>
              </w:rPr>
            </w:pPr>
            <w:r>
              <w:rPr>
                <w:sz w:val="12"/>
                <w:szCs w:val="12"/>
              </w:rPr>
              <w:t>Each</w:t>
            </w:r>
          </w:p>
        </w:tc>
        <w:tc>
          <w:tcPr>
            <w:tcW w:w="667" w:type="dxa"/>
          </w:tcPr>
          <w:p w:rsidR="000D397F" w:rsidRPr="0071273F" w:rsidRDefault="000D397F" w:rsidP="00A913D0">
            <w:pPr>
              <w:pStyle w:val="standard"/>
              <w:ind w:firstLine="0"/>
              <w:rPr>
                <w:sz w:val="12"/>
                <w:szCs w:val="12"/>
              </w:rPr>
            </w:pPr>
            <w:r>
              <w:rPr>
                <w:sz w:val="12"/>
                <w:szCs w:val="12"/>
              </w:rPr>
              <w:t>20</w:t>
            </w:r>
          </w:p>
        </w:tc>
        <w:tc>
          <w:tcPr>
            <w:tcW w:w="904" w:type="dxa"/>
          </w:tcPr>
          <w:p w:rsidR="000D397F" w:rsidRPr="0071273F" w:rsidRDefault="000D397F" w:rsidP="00A913D0">
            <w:pPr>
              <w:pStyle w:val="standard"/>
              <w:ind w:firstLine="0"/>
              <w:rPr>
                <w:sz w:val="12"/>
                <w:szCs w:val="12"/>
              </w:rPr>
            </w:pPr>
            <w:r>
              <w:rPr>
                <w:sz w:val="12"/>
                <w:szCs w:val="12"/>
              </w:rPr>
              <w:t>$ 1,000</w:t>
            </w:r>
          </w:p>
        </w:tc>
        <w:tc>
          <w:tcPr>
            <w:tcW w:w="904" w:type="dxa"/>
          </w:tcPr>
          <w:p w:rsidR="000D397F" w:rsidRPr="0071273F" w:rsidRDefault="000D397F" w:rsidP="00A913D0">
            <w:pPr>
              <w:pStyle w:val="standard"/>
              <w:ind w:firstLine="0"/>
              <w:rPr>
                <w:sz w:val="12"/>
                <w:szCs w:val="12"/>
              </w:rPr>
            </w:pPr>
            <w:r>
              <w:rPr>
                <w:sz w:val="12"/>
                <w:szCs w:val="12"/>
              </w:rPr>
              <w:t>$ 304,000</w:t>
            </w:r>
          </w:p>
        </w:tc>
        <w:tc>
          <w:tcPr>
            <w:tcW w:w="907" w:type="dxa"/>
          </w:tcPr>
          <w:p w:rsidR="000D397F" w:rsidRPr="0071273F" w:rsidRDefault="000D397F" w:rsidP="00A913D0">
            <w:pPr>
              <w:pStyle w:val="standard"/>
              <w:ind w:firstLine="0"/>
              <w:rPr>
                <w:sz w:val="12"/>
                <w:szCs w:val="12"/>
              </w:rPr>
            </w:pPr>
            <w:r>
              <w:rPr>
                <w:sz w:val="12"/>
                <w:szCs w:val="12"/>
              </w:rPr>
              <w:t>$ 0</w:t>
            </w:r>
          </w:p>
        </w:tc>
        <w:tc>
          <w:tcPr>
            <w:tcW w:w="907" w:type="dxa"/>
          </w:tcPr>
          <w:p w:rsidR="000D397F" w:rsidRPr="0071273F" w:rsidRDefault="000D397F" w:rsidP="00A913D0">
            <w:pPr>
              <w:pStyle w:val="standard"/>
              <w:ind w:firstLine="0"/>
              <w:rPr>
                <w:sz w:val="12"/>
                <w:szCs w:val="12"/>
              </w:rPr>
            </w:pPr>
            <w:r>
              <w:rPr>
                <w:sz w:val="12"/>
                <w:szCs w:val="12"/>
              </w:rPr>
              <w:t>$ 15,200</w:t>
            </w:r>
          </w:p>
        </w:tc>
        <w:tc>
          <w:tcPr>
            <w:tcW w:w="907" w:type="dxa"/>
          </w:tcPr>
          <w:p w:rsidR="000D397F" w:rsidRPr="0071273F" w:rsidRDefault="000D397F" w:rsidP="00A913D0">
            <w:pPr>
              <w:pStyle w:val="standard"/>
              <w:ind w:firstLine="0"/>
              <w:rPr>
                <w:sz w:val="12"/>
                <w:szCs w:val="12"/>
              </w:rPr>
            </w:pPr>
            <w:r>
              <w:rPr>
                <w:sz w:val="12"/>
                <w:szCs w:val="12"/>
              </w:rPr>
              <w:t>$ 15,200</w:t>
            </w:r>
          </w:p>
        </w:tc>
      </w:tr>
      <w:tr w:rsidR="000D397F" w:rsidRPr="0071273F" w:rsidTr="00A913D0">
        <w:tc>
          <w:tcPr>
            <w:tcW w:w="412" w:type="dxa"/>
          </w:tcPr>
          <w:p w:rsidR="000D397F" w:rsidRPr="0071273F" w:rsidRDefault="000D397F" w:rsidP="00A913D0">
            <w:pPr>
              <w:pStyle w:val="standard"/>
              <w:ind w:firstLine="0"/>
              <w:rPr>
                <w:sz w:val="12"/>
                <w:szCs w:val="12"/>
              </w:rPr>
            </w:pPr>
            <w:r>
              <w:rPr>
                <w:sz w:val="12"/>
                <w:szCs w:val="12"/>
              </w:rPr>
              <w:t>6</w:t>
            </w:r>
          </w:p>
        </w:tc>
        <w:tc>
          <w:tcPr>
            <w:tcW w:w="865" w:type="dxa"/>
          </w:tcPr>
          <w:p w:rsidR="000D397F" w:rsidRPr="0071273F" w:rsidRDefault="000D397F" w:rsidP="00A913D0">
            <w:pPr>
              <w:pStyle w:val="standard"/>
              <w:ind w:firstLine="0"/>
              <w:rPr>
                <w:sz w:val="12"/>
                <w:szCs w:val="12"/>
              </w:rPr>
            </w:pPr>
            <w:r>
              <w:rPr>
                <w:sz w:val="12"/>
                <w:szCs w:val="12"/>
              </w:rPr>
              <w:t>Distribution</w:t>
            </w:r>
          </w:p>
        </w:tc>
        <w:tc>
          <w:tcPr>
            <w:tcW w:w="832" w:type="dxa"/>
          </w:tcPr>
          <w:p w:rsidR="000D397F" w:rsidRPr="0071273F" w:rsidRDefault="000D397F" w:rsidP="00A913D0">
            <w:pPr>
              <w:pStyle w:val="standard"/>
              <w:ind w:firstLine="0"/>
              <w:rPr>
                <w:sz w:val="12"/>
                <w:szCs w:val="12"/>
              </w:rPr>
            </w:pPr>
            <w:r>
              <w:rPr>
                <w:sz w:val="12"/>
                <w:szCs w:val="12"/>
              </w:rPr>
              <w:t>Long-term</w:t>
            </w:r>
          </w:p>
        </w:tc>
        <w:tc>
          <w:tcPr>
            <w:tcW w:w="847" w:type="dxa"/>
          </w:tcPr>
          <w:p w:rsidR="000D397F" w:rsidRPr="0071273F" w:rsidRDefault="000D397F" w:rsidP="00A913D0">
            <w:pPr>
              <w:pStyle w:val="standard"/>
              <w:ind w:firstLine="0"/>
              <w:rPr>
                <w:sz w:val="12"/>
                <w:szCs w:val="12"/>
              </w:rPr>
            </w:pPr>
            <w:r>
              <w:rPr>
                <w:sz w:val="12"/>
                <w:szCs w:val="12"/>
              </w:rPr>
              <w:t>Water meters</w:t>
            </w:r>
          </w:p>
        </w:tc>
        <w:tc>
          <w:tcPr>
            <w:tcW w:w="693" w:type="dxa"/>
          </w:tcPr>
          <w:p w:rsidR="000D397F" w:rsidRPr="0071273F" w:rsidRDefault="000D397F" w:rsidP="00A913D0">
            <w:pPr>
              <w:pStyle w:val="standard"/>
              <w:ind w:firstLine="0"/>
              <w:rPr>
                <w:sz w:val="12"/>
                <w:szCs w:val="12"/>
              </w:rPr>
            </w:pPr>
            <w:r>
              <w:rPr>
                <w:sz w:val="12"/>
                <w:szCs w:val="12"/>
              </w:rPr>
              <w:t>304</w:t>
            </w:r>
          </w:p>
        </w:tc>
        <w:tc>
          <w:tcPr>
            <w:tcW w:w="505" w:type="dxa"/>
          </w:tcPr>
          <w:p w:rsidR="000D397F" w:rsidRPr="0071273F" w:rsidRDefault="000D397F" w:rsidP="00A913D0">
            <w:pPr>
              <w:pStyle w:val="standard"/>
              <w:ind w:firstLine="0"/>
              <w:rPr>
                <w:sz w:val="12"/>
                <w:szCs w:val="12"/>
              </w:rPr>
            </w:pPr>
            <w:r>
              <w:rPr>
                <w:sz w:val="12"/>
                <w:szCs w:val="12"/>
              </w:rPr>
              <w:t>Each</w:t>
            </w:r>
          </w:p>
        </w:tc>
        <w:tc>
          <w:tcPr>
            <w:tcW w:w="667" w:type="dxa"/>
          </w:tcPr>
          <w:p w:rsidR="000D397F" w:rsidRPr="0071273F" w:rsidRDefault="000D397F" w:rsidP="00A913D0">
            <w:pPr>
              <w:pStyle w:val="standard"/>
              <w:ind w:firstLine="0"/>
              <w:rPr>
                <w:sz w:val="12"/>
                <w:szCs w:val="12"/>
              </w:rPr>
            </w:pPr>
            <w:r>
              <w:rPr>
                <w:sz w:val="12"/>
                <w:szCs w:val="12"/>
              </w:rPr>
              <w:t>15</w:t>
            </w:r>
          </w:p>
        </w:tc>
        <w:tc>
          <w:tcPr>
            <w:tcW w:w="904" w:type="dxa"/>
          </w:tcPr>
          <w:p w:rsidR="000D397F" w:rsidRPr="0071273F" w:rsidRDefault="000D397F" w:rsidP="00A913D0">
            <w:pPr>
              <w:pStyle w:val="standard"/>
              <w:ind w:firstLine="0"/>
              <w:rPr>
                <w:sz w:val="12"/>
                <w:szCs w:val="12"/>
              </w:rPr>
            </w:pPr>
            <w:r>
              <w:rPr>
                <w:sz w:val="12"/>
                <w:szCs w:val="12"/>
              </w:rPr>
              <w:t>$ 200</w:t>
            </w:r>
          </w:p>
        </w:tc>
        <w:tc>
          <w:tcPr>
            <w:tcW w:w="904" w:type="dxa"/>
          </w:tcPr>
          <w:p w:rsidR="000D397F" w:rsidRPr="0071273F" w:rsidRDefault="000D397F" w:rsidP="00A913D0">
            <w:pPr>
              <w:pStyle w:val="standard"/>
              <w:ind w:firstLine="0"/>
              <w:rPr>
                <w:sz w:val="12"/>
                <w:szCs w:val="12"/>
              </w:rPr>
            </w:pPr>
            <w:r>
              <w:rPr>
                <w:sz w:val="12"/>
                <w:szCs w:val="12"/>
              </w:rPr>
              <w:t>$ 60,800</w:t>
            </w:r>
          </w:p>
        </w:tc>
        <w:tc>
          <w:tcPr>
            <w:tcW w:w="907" w:type="dxa"/>
          </w:tcPr>
          <w:p w:rsidR="000D397F" w:rsidRPr="0071273F" w:rsidRDefault="000D397F" w:rsidP="00A913D0">
            <w:pPr>
              <w:pStyle w:val="standard"/>
              <w:ind w:firstLine="0"/>
              <w:rPr>
                <w:sz w:val="12"/>
                <w:szCs w:val="12"/>
              </w:rPr>
            </w:pPr>
            <w:r>
              <w:rPr>
                <w:sz w:val="12"/>
                <w:szCs w:val="12"/>
              </w:rPr>
              <w:t>$ 0</w:t>
            </w:r>
          </w:p>
        </w:tc>
        <w:tc>
          <w:tcPr>
            <w:tcW w:w="907" w:type="dxa"/>
          </w:tcPr>
          <w:p w:rsidR="000D397F" w:rsidRPr="0071273F" w:rsidRDefault="000D397F" w:rsidP="00A913D0">
            <w:pPr>
              <w:pStyle w:val="standard"/>
              <w:ind w:firstLine="0"/>
              <w:rPr>
                <w:sz w:val="12"/>
                <w:szCs w:val="12"/>
              </w:rPr>
            </w:pPr>
            <w:r>
              <w:rPr>
                <w:sz w:val="12"/>
                <w:szCs w:val="12"/>
              </w:rPr>
              <w:t>$ 4,053</w:t>
            </w:r>
          </w:p>
        </w:tc>
        <w:tc>
          <w:tcPr>
            <w:tcW w:w="907" w:type="dxa"/>
          </w:tcPr>
          <w:p w:rsidR="000D397F" w:rsidRPr="0071273F" w:rsidRDefault="000D397F" w:rsidP="00A913D0">
            <w:pPr>
              <w:pStyle w:val="standard"/>
              <w:ind w:firstLine="0"/>
              <w:rPr>
                <w:sz w:val="12"/>
                <w:szCs w:val="12"/>
              </w:rPr>
            </w:pPr>
            <w:r>
              <w:rPr>
                <w:sz w:val="12"/>
                <w:szCs w:val="12"/>
              </w:rPr>
              <w:t>$ 4,053</w:t>
            </w:r>
          </w:p>
        </w:tc>
      </w:tr>
      <w:tr w:rsidR="000D397F" w:rsidRPr="0071273F" w:rsidTr="00A913D0">
        <w:tc>
          <w:tcPr>
            <w:tcW w:w="412" w:type="dxa"/>
          </w:tcPr>
          <w:p w:rsidR="000D397F" w:rsidRPr="0071273F" w:rsidRDefault="000D397F" w:rsidP="00A913D0">
            <w:pPr>
              <w:pStyle w:val="standard"/>
              <w:ind w:firstLine="0"/>
              <w:rPr>
                <w:sz w:val="12"/>
                <w:szCs w:val="12"/>
              </w:rPr>
            </w:pPr>
            <w:r>
              <w:rPr>
                <w:sz w:val="12"/>
                <w:szCs w:val="12"/>
              </w:rPr>
              <w:t>7</w:t>
            </w:r>
          </w:p>
        </w:tc>
        <w:tc>
          <w:tcPr>
            <w:tcW w:w="865" w:type="dxa"/>
          </w:tcPr>
          <w:p w:rsidR="000D397F" w:rsidRPr="0071273F" w:rsidRDefault="000D397F" w:rsidP="00A913D0">
            <w:pPr>
              <w:pStyle w:val="standard"/>
              <w:ind w:firstLine="0"/>
              <w:rPr>
                <w:sz w:val="12"/>
                <w:szCs w:val="12"/>
              </w:rPr>
            </w:pPr>
            <w:r>
              <w:rPr>
                <w:sz w:val="12"/>
                <w:szCs w:val="12"/>
              </w:rPr>
              <w:t>Distribution</w:t>
            </w:r>
          </w:p>
        </w:tc>
        <w:tc>
          <w:tcPr>
            <w:tcW w:w="832" w:type="dxa"/>
          </w:tcPr>
          <w:p w:rsidR="000D397F" w:rsidRPr="0071273F" w:rsidRDefault="000D397F" w:rsidP="00A913D0">
            <w:pPr>
              <w:pStyle w:val="standard"/>
              <w:ind w:firstLine="0"/>
              <w:rPr>
                <w:sz w:val="12"/>
                <w:szCs w:val="12"/>
              </w:rPr>
            </w:pPr>
            <w:r>
              <w:rPr>
                <w:sz w:val="12"/>
                <w:szCs w:val="12"/>
              </w:rPr>
              <w:t>Long-term</w:t>
            </w:r>
          </w:p>
        </w:tc>
        <w:tc>
          <w:tcPr>
            <w:tcW w:w="847" w:type="dxa"/>
          </w:tcPr>
          <w:p w:rsidR="000D397F" w:rsidRPr="0071273F" w:rsidRDefault="000D397F" w:rsidP="00A913D0">
            <w:pPr>
              <w:pStyle w:val="standard"/>
              <w:ind w:firstLine="0"/>
              <w:rPr>
                <w:sz w:val="12"/>
                <w:szCs w:val="12"/>
              </w:rPr>
            </w:pPr>
            <w:r>
              <w:rPr>
                <w:sz w:val="12"/>
                <w:szCs w:val="12"/>
              </w:rPr>
              <w:t>Fire hydrants, including valve and piping (number estimated)</w:t>
            </w:r>
          </w:p>
        </w:tc>
        <w:tc>
          <w:tcPr>
            <w:tcW w:w="693" w:type="dxa"/>
          </w:tcPr>
          <w:p w:rsidR="000D397F" w:rsidRPr="0071273F" w:rsidRDefault="000D397F" w:rsidP="00A913D0">
            <w:pPr>
              <w:pStyle w:val="standard"/>
              <w:ind w:firstLine="0"/>
              <w:rPr>
                <w:sz w:val="12"/>
                <w:szCs w:val="12"/>
              </w:rPr>
            </w:pPr>
            <w:r>
              <w:rPr>
                <w:sz w:val="12"/>
                <w:szCs w:val="12"/>
              </w:rPr>
              <w:t>25</w:t>
            </w:r>
          </w:p>
        </w:tc>
        <w:tc>
          <w:tcPr>
            <w:tcW w:w="505" w:type="dxa"/>
          </w:tcPr>
          <w:p w:rsidR="000D397F" w:rsidRPr="0071273F" w:rsidRDefault="000D397F" w:rsidP="00A913D0">
            <w:pPr>
              <w:pStyle w:val="standard"/>
              <w:ind w:firstLine="0"/>
              <w:rPr>
                <w:sz w:val="12"/>
                <w:szCs w:val="12"/>
              </w:rPr>
            </w:pPr>
            <w:r>
              <w:rPr>
                <w:sz w:val="12"/>
                <w:szCs w:val="12"/>
              </w:rPr>
              <w:t>Each</w:t>
            </w:r>
          </w:p>
        </w:tc>
        <w:tc>
          <w:tcPr>
            <w:tcW w:w="667" w:type="dxa"/>
          </w:tcPr>
          <w:p w:rsidR="000D397F" w:rsidRPr="0071273F" w:rsidRDefault="000D397F" w:rsidP="00A913D0">
            <w:pPr>
              <w:pStyle w:val="standard"/>
              <w:ind w:firstLine="0"/>
              <w:rPr>
                <w:sz w:val="12"/>
                <w:szCs w:val="12"/>
              </w:rPr>
            </w:pPr>
            <w:r>
              <w:rPr>
                <w:sz w:val="12"/>
                <w:szCs w:val="12"/>
              </w:rPr>
              <w:t>30</w:t>
            </w:r>
          </w:p>
        </w:tc>
        <w:tc>
          <w:tcPr>
            <w:tcW w:w="904" w:type="dxa"/>
          </w:tcPr>
          <w:p w:rsidR="000D397F" w:rsidRPr="0071273F" w:rsidRDefault="000D397F" w:rsidP="00A913D0">
            <w:pPr>
              <w:pStyle w:val="standard"/>
              <w:ind w:firstLine="0"/>
              <w:rPr>
                <w:sz w:val="12"/>
                <w:szCs w:val="12"/>
              </w:rPr>
            </w:pPr>
            <w:r>
              <w:rPr>
                <w:sz w:val="12"/>
                <w:szCs w:val="12"/>
              </w:rPr>
              <w:t>$ 2,000</w:t>
            </w:r>
          </w:p>
        </w:tc>
        <w:tc>
          <w:tcPr>
            <w:tcW w:w="904" w:type="dxa"/>
          </w:tcPr>
          <w:p w:rsidR="000D397F" w:rsidRPr="0071273F" w:rsidRDefault="000D397F" w:rsidP="00A913D0">
            <w:pPr>
              <w:pStyle w:val="standard"/>
              <w:ind w:firstLine="0"/>
              <w:rPr>
                <w:sz w:val="12"/>
                <w:szCs w:val="12"/>
              </w:rPr>
            </w:pPr>
            <w:r>
              <w:rPr>
                <w:sz w:val="12"/>
                <w:szCs w:val="12"/>
              </w:rPr>
              <w:t>$ 50,000</w:t>
            </w:r>
          </w:p>
        </w:tc>
        <w:tc>
          <w:tcPr>
            <w:tcW w:w="907" w:type="dxa"/>
          </w:tcPr>
          <w:p w:rsidR="000D397F" w:rsidRPr="0071273F" w:rsidRDefault="000D397F" w:rsidP="00A913D0">
            <w:pPr>
              <w:pStyle w:val="standard"/>
              <w:ind w:firstLine="0"/>
              <w:rPr>
                <w:sz w:val="12"/>
                <w:szCs w:val="12"/>
              </w:rPr>
            </w:pPr>
            <w:r>
              <w:rPr>
                <w:sz w:val="12"/>
                <w:szCs w:val="12"/>
              </w:rPr>
              <w:t>$ 0</w:t>
            </w:r>
          </w:p>
        </w:tc>
        <w:tc>
          <w:tcPr>
            <w:tcW w:w="907" w:type="dxa"/>
          </w:tcPr>
          <w:p w:rsidR="000D397F" w:rsidRPr="0071273F" w:rsidRDefault="000D397F" w:rsidP="00A913D0">
            <w:pPr>
              <w:pStyle w:val="standard"/>
              <w:ind w:firstLine="0"/>
              <w:rPr>
                <w:sz w:val="12"/>
                <w:szCs w:val="12"/>
              </w:rPr>
            </w:pPr>
            <w:r>
              <w:rPr>
                <w:sz w:val="12"/>
                <w:szCs w:val="12"/>
              </w:rPr>
              <w:t>$ 1,667</w:t>
            </w:r>
          </w:p>
        </w:tc>
        <w:tc>
          <w:tcPr>
            <w:tcW w:w="907" w:type="dxa"/>
          </w:tcPr>
          <w:p w:rsidR="000D397F" w:rsidRPr="0071273F" w:rsidRDefault="000D397F" w:rsidP="00A913D0">
            <w:pPr>
              <w:pStyle w:val="standard"/>
              <w:ind w:firstLine="0"/>
              <w:rPr>
                <w:sz w:val="12"/>
                <w:szCs w:val="12"/>
              </w:rPr>
            </w:pPr>
            <w:r>
              <w:rPr>
                <w:sz w:val="12"/>
                <w:szCs w:val="12"/>
              </w:rPr>
              <w:t>$ 1,667</w:t>
            </w:r>
          </w:p>
        </w:tc>
      </w:tr>
      <w:tr w:rsidR="000D397F" w:rsidRPr="0071273F" w:rsidTr="00A913D0">
        <w:tc>
          <w:tcPr>
            <w:tcW w:w="412" w:type="dxa"/>
          </w:tcPr>
          <w:p w:rsidR="000D397F" w:rsidRPr="0071273F" w:rsidRDefault="000D397F" w:rsidP="00A913D0">
            <w:pPr>
              <w:pStyle w:val="standard"/>
              <w:ind w:firstLine="0"/>
              <w:rPr>
                <w:sz w:val="12"/>
                <w:szCs w:val="12"/>
              </w:rPr>
            </w:pPr>
            <w:r>
              <w:rPr>
                <w:sz w:val="12"/>
                <w:szCs w:val="12"/>
              </w:rPr>
              <w:t>8</w:t>
            </w:r>
          </w:p>
        </w:tc>
        <w:tc>
          <w:tcPr>
            <w:tcW w:w="865" w:type="dxa"/>
          </w:tcPr>
          <w:p w:rsidR="000D397F" w:rsidRPr="0071273F" w:rsidRDefault="000D397F" w:rsidP="00A913D0">
            <w:pPr>
              <w:pStyle w:val="standard"/>
              <w:ind w:firstLine="0"/>
              <w:rPr>
                <w:sz w:val="12"/>
                <w:szCs w:val="12"/>
              </w:rPr>
            </w:pPr>
            <w:r>
              <w:rPr>
                <w:sz w:val="12"/>
                <w:szCs w:val="12"/>
              </w:rPr>
              <w:t>Supply</w:t>
            </w:r>
          </w:p>
        </w:tc>
        <w:tc>
          <w:tcPr>
            <w:tcW w:w="832" w:type="dxa"/>
          </w:tcPr>
          <w:p w:rsidR="000D397F" w:rsidRPr="0071273F" w:rsidRDefault="000D397F" w:rsidP="00A913D0">
            <w:pPr>
              <w:pStyle w:val="standard"/>
              <w:ind w:firstLine="0"/>
              <w:rPr>
                <w:sz w:val="12"/>
                <w:szCs w:val="12"/>
              </w:rPr>
            </w:pPr>
            <w:r>
              <w:rPr>
                <w:sz w:val="12"/>
                <w:szCs w:val="12"/>
              </w:rPr>
              <w:t>Long-term</w:t>
            </w:r>
          </w:p>
        </w:tc>
        <w:tc>
          <w:tcPr>
            <w:tcW w:w="847" w:type="dxa"/>
          </w:tcPr>
          <w:p w:rsidR="000D397F" w:rsidRPr="0071273F" w:rsidRDefault="000D397F" w:rsidP="00A913D0">
            <w:pPr>
              <w:pStyle w:val="standard"/>
              <w:ind w:firstLine="0"/>
              <w:rPr>
                <w:sz w:val="12"/>
                <w:szCs w:val="12"/>
              </w:rPr>
            </w:pPr>
            <w:r>
              <w:rPr>
                <w:sz w:val="12"/>
                <w:szCs w:val="12"/>
              </w:rPr>
              <w:t>Water wells – casing/drilling</w:t>
            </w:r>
          </w:p>
        </w:tc>
        <w:tc>
          <w:tcPr>
            <w:tcW w:w="693" w:type="dxa"/>
          </w:tcPr>
          <w:p w:rsidR="000D397F" w:rsidRPr="0071273F" w:rsidRDefault="000D397F" w:rsidP="00A913D0">
            <w:pPr>
              <w:pStyle w:val="standard"/>
              <w:ind w:firstLine="0"/>
              <w:rPr>
                <w:sz w:val="12"/>
                <w:szCs w:val="12"/>
              </w:rPr>
            </w:pPr>
            <w:r>
              <w:rPr>
                <w:sz w:val="12"/>
                <w:szCs w:val="12"/>
              </w:rPr>
              <w:t>4</w:t>
            </w:r>
          </w:p>
        </w:tc>
        <w:tc>
          <w:tcPr>
            <w:tcW w:w="505" w:type="dxa"/>
          </w:tcPr>
          <w:p w:rsidR="000D397F" w:rsidRPr="0071273F" w:rsidRDefault="000D397F" w:rsidP="00A913D0">
            <w:pPr>
              <w:pStyle w:val="standard"/>
              <w:ind w:firstLine="0"/>
              <w:rPr>
                <w:sz w:val="12"/>
                <w:szCs w:val="12"/>
              </w:rPr>
            </w:pPr>
            <w:r>
              <w:rPr>
                <w:sz w:val="12"/>
                <w:szCs w:val="12"/>
              </w:rPr>
              <w:t>Each</w:t>
            </w:r>
          </w:p>
        </w:tc>
        <w:tc>
          <w:tcPr>
            <w:tcW w:w="667" w:type="dxa"/>
          </w:tcPr>
          <w:p w:rsidR="000D397F" w:rsidRPr="0071273F" w:rsidRDefault="000D397F" w:rsidP="00A913D0">
            <w:pPr>
              <w:pStyle w:val="standard"/>
              <w:ind w:firstLine="0"/>
              <w:rPr>
                <w:sz w:val="12"/>
                <w:szCs w:val="12"/>
              </w:rPr>
            </w:pPr>
            <w:r>
              <w:rPr>
                <w:sz w:val="12"/>
                <w:szCs w:val="12"/>
              </w:rPr>
              <w:t>30</w:t>
            </w:r>
          </w:p>
        </w:tc>
        <w:tc>
          <w:tcPr>
            <w:tcW w:w="904" w:type="dxa"/>
          </w:tcPr>
          <w:p w:rsidR="000D397F" w:rsidRPr="0071273F" w:rsidRDefault="000D397F" w:rsidP="00A913D0">
            <w:pPr>
              <w:pStyle w:val="standard"/>
              <w:ind w:firstLine="0"/>
              <w:rPr>
                <w:sz w:val="12"/>
                <w:szCs w:val="12"/>
              </w:rPr>
            </w:pPr>
            <w:r>
              <w:rPr>
                <w:sz w:val="12"/>
                <w:szCs w:val="12"/>
              </w:rPr>
              <w:t>$ 70,000</w:t>
            </w:r>
          </w:p>
        </w:tc>
        <w:tc>
          <w:tcPr>
            <w:tcW w:w="904" w:type="dxa"/>
          </w:tcPr>
          <w:p w:rsidR="000D397F" w:rsidRPr="0071273F" w:rsidRDefault="000D397F" w:rsidP="00A913D0">
            <w:pPr>
              <w:pStyle w:val="standard"/>
              <w:ind w:firstLine="0"/>
              <w:rPr>
                <w:sz w:val="12"/>
                <w:szCs w:val="12"/>
              </w:rPr>
            </w:pPr>
            <w:r>
              <w:rPr>
                <w:sz w:val="12"/>
                <w:szCs w:val="12"/>
              </w:rPr>
              <w:t>$ 280,000</w:t>
            </w:r>
          </w:p>
        </w:tc>
        <w:tc>
          <w:tcPr>
            <w:tcW w:w="907" w:type="dxa"/>
          </w:tcPr>
          <w:p w:rsidR="000D397F" w:rsidRPr="0071273F" w:rsidRDefault="000D397F" w:rsidP="00A913D0">
            <w:pPr>
              <w:pStyle w:val="standard"/>
              <w:ind w:firstLine="0"/>
              <w:rPr>
                <w:sz w:val="12"/>
                <w:szCs w:val="12"/>
              </w:rPr>
            </w:pPr>
            <w:r>
              <w:rPr>
                <w:sz w:val="12"/>
                <w:szCs w:val="12"/>
              </w:rPr>
              <w:t>$ 0</w:t>
            </w:r>
          </w:p>
        </w:tc>
        <w:tc>
          <w:tcPr>
            <w:tcW w:w="907" w:type="dxa"/>
          </w:tcPr>
          <w:p w:rsidR="000D397F" w:rsidRPr="0071273F" w:rsidRDefault="000D397F" w:rsidP="00A913D0">
            <w:pPr>
              <w:pStyle w:val="standard"/>
              <w:ind w:firstLine="0"/>
              <w:rPr>
                <w:sz w:val="12"/>
                <w:szCs w:val="12"/>
              </w:rPr>
            </w:pPr>
            <w:r>
              <w:rPr>
                <w:sz w:val="12"/>
                <w:szCs w:val="12"/>
              </w:rPr>
              <w:t>$ 9,333</w:t>
            </w:r>
          </w:p>
        </w:tc>
        <w:tc>
          <w:tcPr>
            <w:tcW w:w="907" w:type="dxa"/>
          </w:tcPr>
          <w:p w:rsidR="000D397F" w:rsidRPr="0071273F" w:rsidRDefault="000D397F" w:rsidP="00A913D0">
            <w:pPr>
              <w:pStyle w:val="standard"/>
              <w:ind w:firstLine="0"/>
              <w:rPr>
                <w:sz w:val="12"/>
                <w:szCs w:val="12"/>
              </w:rPr>
            </w:pPr>
            <w:r>
              <w:rPr>
                <w:sz w:val="12"/>
                <w:szCs w:val="12"/>
              </w:rPr>
              <w:t>$ 9,333</w:t>
            </w:r>
          </w:p>
        </w:tc>
      </w:tr>
      <w:tr w:rsidR="000D397F" w:rsidRPr="0071273F" w:rsidTr="00A913D0">
        <w:tc>
          <w:tcPr>
            <w:tcW w:w="412" w:type="dxa"/>
          </w:tcPr>
          <w:p w:rsidR="000D397F" w:rsidRPr="0071273F" w:rsidRDefault="000D397F" w:rsidP="00A913D0">
            <w:pPr>
              <w:pStyle w:val="standard"/>
              <w:ind w:firstLine="0"/>
              <w:rPr>
                <w:sz w:val="12"/>
                <w:szCs w:val="12"/>
              </w:rPr>
            </w:pPr>
            <w:r>
              <w:rPr>
                <w:sz w:val="12"/>
                <w:szCs w:val="12"/>
              </w:rPr>
              <w:t>9</w:t>
            </w:r>
          </w:p>
        </w:tc>
        <w:tc>
          <w:tcPr>
            <w:tcW w:w="865" w:type="dxa"/>
          </w:tcPr>
          <w:p w:rsidR="000D397F" w:rsidRPr="0071273F" w:rsidRDefault="000D397F" w:rsidP="00A913D0">
            <w:pPr>
              <w:pStyle w:val="standard"/>
              <w:ind w:firstLine="0"/>
              <w:rPr>
                <w:sz w:val="12"/>
                <w:szCs w:val="12"/>
              </w:rPr>
            </w:pPr>
            <w:r>
              <w:rPr>
                <w:sz w:val="12"/>
                <w:szCs w:val="12"/>
              </w:rPr>
              <w:t>Supply</w:t>
            </w:r>
          </w:p>
        </w:tc>
        <w:tc>
          <w:tcPr>
            <w:tcW w:w="832" w:type="dxa"/>
          </w:tcPr>
          <w:p w:rsidR="000D397F" w:rsidRPr="0071273F" w:rsidRDefault="000D397F" w:rsidP="00A913D0">
            <w:pPr>
              <w:pStyle w:val="standard"/>
              <w:ind w:firstLine="0"/>
              <w:rPr>
                <w:sz w:val="12"/>
                <w:szCs w:val="12"/>
              </w:rPr>
            </w:pPr>
            <w:r>
              <w:rPr>
                <w:sz w:val="12"/>
                <w:szCs w:val="12"/>
              </w:rPr>
              <w:t>Short-term</w:t>
            </w:r>
          </w:p>
        </w:tc>
        <w:tc>
          <w:tcPr>
            <w:tcW w:w="847" w:type="dxa"/>
          </w:tcPr>
          <w:p w:rsidR="000D397F" w:rsidRPr="0071273F" w:rsidRDefault="000D397F" w:rsidP="00A913D0">
            <w:pPr>
              <w:pStyle w:val="standard"/>
              <w:ind w:firstLine="0"/>
              <w:rPr>
                <w:sz w:val="12"/>
                <w:szCs w:val="12"/>
              </w:rPr>
            </w:pPr>
            <w:r>
              <w:rPr>
                <w:sz w:val="12"/>
                <w:szCs w:val="12"/>
              </w:rPr>
              <w:t>Water wells – pumps and mechanical</w:t>
            </w:r>
          </w:p>
        </w:tc>
        <w:tc>
          <w:tcPr>
            <w:tcW w:w="693" w:type="dxa"/>
          </w:tcPr>
          <w:p w:rsidR="000D397F" w:rsidRPr="0071273F" w:rsidRDefault="000D397F" w:rsidP="00A913D0">
            <w:pPr>
              <w:pStyle w:val="standard"/>
              <w:ind w:firstLine="0"/>
              <w:rPr>
                <w:sz w:val="12"/>
                <w:szCs w:val="12"/>
              </w:rPr>
            </w:pPr>
            <w:r>
              <w:rPr>
                <w:sz w:val="12"/>
                <w:szCs w:val="12"/>
              </w:rPr>
              <w:t>4</w:t>
            </w:r>
          </w:p>
        </w:tc>
        <w:tc>
          <w:tcPr>
            <w:tcW w:w="505" w:type="dxa"/>
          </w:tcPr>
          <w:p w:rsidR="000D397F" w:rsidRPr="0071273F" w:rsidRDefault="000D397F" w:rsidP="00A913D0">
            <w:pPr>
              <w:pStyle w:val="standard"/>
              <w:ind w:firstLine="0"/>
              <w:rPr>
                <w:sz w:val="12"/>
                <w:szCs w:val="12"/>
              </w:rPr>
            </w:pPr>
            <w:r>
              <w:rPr>
                <w:sz w:val="12"/>
                <w:szCs w:val="12"/>
              </w:rPr>
              <w:t>Each</w:t>
            </w:r>
          </w:p>
        </w:tc>
        <w:tc>
          <w:tcPr>
            <w:tcW w:w="667" w:type="dxa"/>
          </w:tcPr>
          <w:p w:rsidR="000D397F" w:rsidRPr="0071273F" w:rsidRDefault="000D397F" w:rsidP="00A913D0">
            <w:pPr>
              <w:pStyle w:val="standard"/>
              <w:ind w:firstLine="0"/>
              <w:rPr>
                <w:sz w:val="12"/>
                <w:szCs w:val="12"/>
              </w:rPr>
            </w:pPr>
            <w:r>
              <w:rPr>
                <w:sz w:val="12"/>
                <w:szCs w:val="12"/>
              </w:rPr>
              <w:t>10</w:t>
            </w:r>
          </w:p>
        </w:tc>
        <w:tc>
          <w:tcPr>
            <w:tcW w:w="904" w:type="dxa"/>
          </w:tcPr>
          <w:p w:rsidR="000D397F" w:rsidRPr="0071273F" w:rsidRDefault="000D397F" w:rsidP="00A913D0">
            <w:pPr>
              <w:pStyle w:val="standard"/>
              <w:ind w:firstLine="0"/>
              <w:rPr>
                <w:sz w:val="12"/>
                <w:szCs w:val="12"/>
              </w:rPr>
            </w:pPr>
            <w:r>
              <w:rPr>
                <w:sz w:val="12"/>
                <w:szCs w:val="12"/>
              </w:rPr>
              <w:t>$ 10,000</w:t>
            </w:r>
          </w:p>
        </w:tc>
        <w:tc>
          <w:tcPr>
            <w:tcW w:w="904" w:type="dxa"/>
          </w:tcPr>
          <w:p w:rsidR="000D397F" w:rsidRPr="0071273F" w:rsidRDefault="000D397F" w:rsidP="00A913D0">
            <w:pPr>
              <w:pStyle w:val="standard"/>
              <w:ind w:firstLine="0"/>
              <w:rPr>
                <w:sz w:val="12"/>
                <w:szCs w:val="12"/>
              </w:rPr>
            </w:pPr>
            <w:r>
              <w:rPr>
                <w:sz w:val="12"/>
                <w:szCs w:val="12"/>
              </w:rPr>
              <w:t>$ 40,000</w:t>
            </w:r>
          </w:p>
        </w:tc>
        <w:tc>
          <w:tcPr>
            <w:tcW w:w="907" w:type="dxa"/>
          </w:tcPr>
          <w:p w:rsidR="000D397F" w:rsidRPr="0071273F" w:rsidRDefault="000D397F" w:rsidP="00A913D0">
            <w:pPr>
              <w:pStyle w:val="standard"/>
              <w:ind w:firstLine="0"/>
              <w:rPr>
                <w:sz w:val="12"/>
                <w:szCs w:val="12"/>
              </w:rPr>
            </w:pPr>
            <w:r>
              <w:rPr>
                <w:sz w:val="12"/>
                <w:szCs w:val="12"/>
              </w:rPr>
              <w:t>$ 4,000</w:t>
            </w:r>
          </w:p>
        </w:tc>
        <w:tc>
          <w:tcPr>
            <w:tcW w:w="907" w:type="dxa"/>
          </w:tcPr>
          <w:p w:rsidR="000D397F" w:rsidRPr="0071273F" w:rsidRDefault="000D397F" w:rsidP="00A913D0">
            <w:pPr>
              <w:pStyle w:val="standard"/>
              <w:ind w:firstLine="0"/>
              <w:rPr>
                <w:sz w:val="12"/>
                <w:szCs w:val="12"/>
              </w:rPr>
            </w:pPr>
            <w:r>
              <w:rPr>
                <w:sz w:val="12"/>
                <w:szCs w:val="12"/>
              </w:rPr>
              <w:t>$ 0</w:t>
            </w:r>
          </w:p>
        </w:tc>
        <w:tc>
          <w:tcPr>
            <w:tcW w:w="907" w:type="dxa"/>
          </w:tcPr>
          <w:p w:rsidR="000D397F" w:rsidRPr="0071273F" w:rsidRDefault="000D397F" w:rsidP="00A913D0">
            <w:pPr>
              <w:pStyle w:val="standard"/>
              <w:ind w:firstLine="0"/>
              <w:rPr>
                <w:sz w:val="12"/>
                <w:szCs w:val="12"/>
              </w:rPr>
            </w:pPr>
            <w:r>
              <w:rPr>
                <w:sz w:val="12"/>
                <w:szCs w:val="12"/>
              </w:rPr>
              <w:t>$ 4,000</w:t>
            </w:r>
          </w:p>
        </w:tc>
      </w:tr>
      <w:tr w:rsidR="000D397F" w:rsidRPr="0071273F" w:rsidTr="00A913D0">
        <w:tc>
          <w:tcPr>
            <w:tcW w:w="5725" w:type="dxa"/>
            <w:gridSpan w:val="8"/>
          </w:tcPr>
          <w:p w:rsidR="000D397F" w:rsidRPr="0071273F" w:rsidRDefault="000D397F" w:rsidP="00A913D0">
            <w:pPr>
              <w:pStyle w:val="standard"/>
              <w:ind w:firstLine="0"/>
              <w:jc w:val="center"/>
              <w:rPr>
                <w:sz w:val="12"/>
                <w:szCs w:val="12"/>
              </w:rPr>
            </w:pPr>
            <w:r>
              <w:rPr>
                <w:sz w:val="12"/>
                <w:szCs w:val="12"/>
              </w:rPr>
              <w:t>Totals</w:t>
            </w:r>
          </w:p>
        </w:tc>
        <w:tc>
          <w:tcPr>
            <w:tcW w:w="904" w:type="dxa"/>
          </w:tcPr>
          <w:p w:rsidR="000D397F" w:rsidRPr="0071273F" w:rsidRDefault="000D397F" w:rsidP="00A913D0">
            <w:pPr>
              <w:pStyle w:val="standard"/>
              <w:ind w:firstLine="0"/>
              <w:rPr>
                <w:sz w:val="12"/>
                <w:szCs w:val="12"/>
              </w:rPr>
            </w:pPr>
            <w:r>
              <w:rPr>
                <w:sz w:val="12"/>
                <w:szCs w:val="12"/>
              </w:rPr>
              <w:t>$ 1,829,800</w:t>
            </w:r>
          </w:p>
        </w:tc>
        <w:tc>
          <w:tcPr>
            <w:tcW w:w="907" w:type="dxa"/>
          </w:tcPr>
          <w:p w:rsidR="000D397F" w:rsidRPr="0071273F" w:rsidRDefault="000D397F" w:rsidP="00A913D0">
            <w:pPr>
              <w:pStyle w:val="standard"/>
              <w:ind w:firstLine="0"/>
              <w:rPr>
                <w:sz w:val="12"/>
                <w:szCs w:val="12"/>
              </w:rPr>
            </w:pPr>
            <w:r>
              <w:rPr>
                <w:sz w:val="12"/>
                <w:szCs w:val="12"/>
              </w:rPr>
              <w:t>$ 13,000</w:t>
            </w:r>
          </w:p>
        </w:tc>
        <w:tc>
          <w:tcPr>
            <w:tcW w:w="907" w:type="dxa"/>
          </w:tcPr>
          <w:p w:rsidR="000D397F" w:rsidRPr="0071273F" w:rsidRDefault="000D397F" w:rsidP="00A913D0">
            <w:pPr>
              <w:pStyle w:val="standard"/>
              <w:ind w:firstLine="0"/>
              <w:rPr>
                <w:sz w:val="12"/>
                <w:szCs w:val="12"/>
              </w:rPr>
            </w:pPr>
            <w:r>
              <w:rPr>
                <w:sz w:val="12"/>
                <w:szCs w:val="12"/>
              </w:rPr>
              <w:t>$ 43,110</w:t>
            </w:r>
          </w:p>
        </w:tc>
        <w:tc>
          <w:tcPr>
            <w:tcW w:w="907" w:type="dxa"/>
          </w:tcPr>
          <w:p w:rsidR="000D397F" w:rsidRPr="0071273F" w:rsidRDefault="000D397F" w:rsidP="00A913D0">
            <w:pPr>
              <w:pStyle w:val="standard"/>
              <w:ind w:firstLine="0"/>
              <w:rPr>
                <w:sz w:val="12"/>
                <w:szCs w:val="12"/>
              </w:rPr>
            </w:pPr>
            <w:r>
              <w:rPr>
                <w:sz w:val="12"/>
                <w:szCs w:val="12"/>
              </w:rPr>
              <w:t>$ 56,110</w:t>
            </w:r>
          </w:p>
        </w:tc>
      </w:tr>
    </w:tbl>
    <w:p w:rsidR="000D397F" w:rsidRPr="000A1BEB" w:rsidRDefault="000D397F" w:rsidP="000D397F">
      <w:pPr>
        <w:pStyle w:val="standard"/>
        <w:rPr>
          <w:sz w:val="12"/>
          <w:szCs w:val="12"/>
        </w:rPr>
      </w:pPr>
    </w:p>
    <w:p w:rsidR="000D397F" w:rsidRDefault="000D397F" w:rsidP="000D397F">
      <w:pPr>
        <w:pStyle w:val="standard"/>
      </w:pPr>
      <w:r>
        <w:t>Mesa Dunes categorizes its assets as either long-term assets or short-term assets.</w:t>
      </w:r>
    </w:p>
    <w:p w:rsidR="000D397F" w:rsidRPr="00750E7C" w:rsidRDefault="000D397F" w:rsidP="000D397F">
      <w:pPr>
        <w:pStyle w:val="standard"/>
        <w:ind w:firstLine="0"/>
        <w:rPr>
          <w:i/>
        </w:rPr>
      </w:pPr>
      <w:r>
        <w:rPr>
          <w:i/>
        </w:rPr>
        <w:t>Long-Term Assets:</w:t>
      </w:r>
    </w:p>
    <w:p w:rsidR="000D397F" w:rsidRDefault="000D397F" w:rsidP="00E41205">
      <w:pPr>
        <w:pStyle w:val="standard"/>
        <w:numPr>
          <w:ilvl w:val="0"/>
          <w:numId w:val="13"/>
        </w:numPr>
        <w:spacing w:after="120" w:line="240" w:lineRule="auto"/>
      </w:pPr>
      <w:r>
        <w:t>Water mains (6-inch to 8-inch) estimated at 9,000 linear feet.</w:t>
      </w:r>
    </w:p>
    <w:p w:rsidR="000D397F" w:rsidRDefault="000D397F" w:rsidP="00E41205">
      <w:pPr>
        <w:pStyle w:val="standard"/>
        <w:tabs>
          <w:tab w:val="right" w:pos="9180"/>
        </w:tabs>
        <w:spacing w:after="120" w:line="240" w:lineRule="auto"/>
        <w:ind w:left="1440" w:firstLine="0"/>
      </w:pPr>
      <w:r>
        <w:t>Estimated replacement value cost (2015 dollars)</w:t>
      </w:r>
      <w:r>
        <w:tab/>
        <w:t>$ 900,000</w:t>
      </w:r>
    </w:p>
    <w:p w:rsidR="000D397F" w:rsidRDefault="000D397F" w:rsidP="00E41205">
      <w:pPr>
        <w:pStyle w:val="standard"/>
        <w:numPr>
          <w:ilvl w:val="0"/>
          <w:numId w:val="13"/>
        </w:numPr>
        <w:tabs>
          <w:tab w:val="right" w:pos="9180"/>
        </w:tabs>
        <w:spacing w:after="120" w:line="240" w:lineRule="auto"/>
      </w:pPr>
      <w:r>
        <w:t>Water services, including meter boxes, at 304 units</w:t>
      </w:r>
      <w:r>
        <w:tab/>
        <w:t>$ 304,000</w:t>
      </w:r>
    </w:p>
    <w:p w:rsidR="000D397F" w:rsidRDefault="000D397F" w:rsidP="00E41205">
      <w:pPr>
        <w:pStyle w:val="standard"/>
        <w:numPr>
          <w:ilvl w:val="0"/>
          <w:numId w:val="13"/>
        </w:numPr>
        <w:tabs>
          <w:tab w:val="right" w:pos="9180"/>
        </w:tabs>
        <w:spacing w:after="120" w:line="240" w:lineRule="auto"/>
      </w:pPr>
      <w:r>
        <w:t>Water meters: estimated replacement cost</w:t>
      </w:r>
      <w:r>
        <w:tab/>
      </w:r>
      <w:proofErr w:type="gramStart"/>
      <w:r>
        <w:t>$  60,800</w:t>
      </w:r>
      <w:proofErr w:type="gramEnd"/>
    </w:p>
    <w:p w:rsidR="000D397F" w:rsidRDefault="000D397F" w:rsidP="00E41205">
      <w:pPr>
        <w:pStyle w:val="standard"/>
        <w:numPr>
          <w:ilvl w:val="0"/>
          <w:numId w:val="13"/>
        </w:numPr>
        <w:tabs>
          <w:tab w:val="right" w:pos="9180"/>
        </w:tabs>
        <w:spacing w:after="120" w:line="240" w:lineRule="auto"/>
      </w:pPr>
      <w:r>
        <w:t>Fire hydrants, including valves and piping</w:t>
      </w:r>
      <w:r>
        <w:tab/>
      </w:r>
      <w:proofErr w:type="gramStart"/>
      <w:r>
        <w:t>$  50,000</w:t>
      </w:r>
      <w:proofErr w:type="gramEnd"/>
    </w:p>
    <w:p w:rsidR="000D397F" w:rsidRDefault="000D397F" w:rsidP="00E41205">
      <w:pPr>
        <w:pStyle w:val="standard"/>
        <w:numPr>
          <w:ilvl w:val="0"/>
          <w:numId w:val="13"/>
        </w:numPr>
        <w:tabs>
          <w:tab w:val="right" w:pos="9180"/>
        </w:tabs>
        <w:spacing w:after="120" w:line="240" w:lineRule="auto"/>
      </w:pPr>
      <w:r>
        <w:t>Water wells – casing and drilling</w:t>
      </w:r>
      <w:r>
        <w:tab/>
        <w:t>$ 280,000</w:t>
      </w:r>
    </w:p>
    <w:p w:rsidR="000D397F" w:rsidRDefault="000D397F" w:rsidP="00E41205">
      <w:pPr>
        <w:pStyle w:val="standard"/>
        <w:tabs>
          <w:tab w:val="right" w:pos="9180"/>
        </w:tabs>
        <w:spacing w:after="120" w:line="240" w:lineRule="auto"/>
        <w:ind w:left="3600" w:firstLine="0"/>
      </w:pPr>
      <w:r w:rsidRPr="004711C8">
        <w:rPr>
          <w:b/>
        </w:rPr>
        <w:t>Total Long-Term Assets</w:t>
      </w:r>
      <w:r>
        <w:tab/>
        <w:t>$1,594,800</w:t>
      </w:r>
    </w:p>
    <w:p w:rsidR="000D397F" w:rsidRDefault="000D397F" w:rsidP="00432272">
      <w:pPr>
        <w:pStyle w:val="standard"/>
        <w:keepNext/>
        <w:keepLines/>
        <w:ind w:firstLine="0"/>
      </w:pPr>
      <w:r>
        <w:rPr>
          <w:i/>
        </w:rPr>
        <w:lastRenderedPageBreak/>
        <w:t>Short-Term Assets</w:t>
      </w:r>
    </w:p>
    <w:p w:rsidR="000D397F" w:rsidRDefault="000D397F" w:rsidP="00432272">
      <w:pPr>
        <w:pStyle w:val="standard"/>
        <w:keepNext/>
        <w:keepLines/>
        <w:numPr>
          <w:ilvl w:val="0"/>
          <w:numId w:val="14"/>
        </w:numPr>
        <w:tabs>
          <w:tab w:val="right" w:pos="9180"/>
        </w:tabs>
        <w:spacing w:after="120" w:line="240" w:lineRule="auto"/>
      </w:pPr>
      <w:proofErr w:type="gramStart"/>
      <w:r>
        <w:t>40,000 gallon</w:t>
      </w:r>
      <w:proofErr w:type="gramEnd"/>
      <w:r>
        <w:t xml:space="preserve"> storage tank</w:t>
      </w:r>
    </w:p>
    <w:p w:rsidR="000D397F" w:rsidRDefault="000D397F" w:rsidP="00432272">
      <w:pPr>
        <w:pStyle w:val="standard"/>
        <w:keepNext/>
        <w:keepLines/>
        <w:tabs>
          <w:tab w:val="right" w:pos="9180"/>
        </w:tabs>
        <w:spacing w:after="120" w:line="240" w:lineRule="auto"/>
        <w:ind w:left="1440" w:firstLine="0"/>
      </w:pPr>
      <w:r>
        <w:t>Estimated replacement cost (2015 dollars)</w:t>
      </w:r>
      <w:r>
        <w:tab/>
      </w:r>
      <w:proofErr w:type="gramStart"/>
      <w:r>
        <w:t>$  40,000</w:t>
      </w:r>
      <w:proofErr w:type="gramEnd"/>
    </w:p>
    <w:p w:rsidR="000D397F" w:rsidRDefault="000D397F" w:rsidP="00432272">
      <w:pPr>
        <w:pStyle w:val="standard"/>
        <w:keepNext/>
        <w:keepLines/>
        <w:numPr>
          <w:ilvl w:val="0"/>
          <w:numId w:val="14"/>
        </w:numPr>
        <w:tabs>
          <w:tab w:val="right" w:pos="9180"/>
        </w:tabs>
        <w:spacing w:after="120" w:line="240" w:lineRule="auto"/>
      </w:pPr>
      <w:proofErr w:type="gramStart"/>
      <w:r>
        <w:t>5,000 gallon</w:t>
      </w:r>
      <w:proofErr w:type="gramEnd"/>
      <w:r>
        <w:t xml:space="preserve"> storage tank</w:t>
      </w:r>
      <w:r>
        <w:tab/>
        <w:t>$    5,000</w:t>
      </w:r>
    </w:p>
    <w:p w:rsidR="000D397F" w:rsidRDefault="000D397F" w:rsidP="00432272">
      <w:pPr>
        <w:pStyle w:val="standard"/>
        <w:keepNext/>
        <w:keepLines/>
        <w:numPr>
          <w:ilvl w:val="0"/>
          <w:numId w:val="14"/>
        </w:numPr>
        <w:tabs>
          <w:tab w:val="right" w:pos="9180"/>
        </w:tabs>
        <w:spacing w:after="120" w:line="240" w:lineRule="auto"/>
      </w:pPr>
      <w:r>
        <w:t xml:space="preserve">Booster station and controls, including electrical and </w:t>
      </w:r>
      <w:r>
        <w:tab/>
        <w:t>$ 150,000</w:t>
      </w:r>
    </w:p>
    <w:p w:rsidR="000D397F" w:rsidRDefault="000D397F" w:rsidP="00432272">
      <w:pPr>
        <w:pStyle w:val="standard"/>
        <w:keepNext/>
        <w:keepLines/>
        <w:tabs>
          <w:tab w:val="right" w:pos="9180"/>
        </w:tabs>
        <w:spacing w:after="120" w:line="240" w:lineRule="auto"/>
        <w:ind w:left="1440" w:firstLine="0"/>
      </w:pPr>
      <w:r>
        <w:t>Generator</w:t>
      </w:r>
    </w:p>
    <w:p w:rsidR="000D397F" w:rsidRDefault="000D397F" w:rsidP="00432272">
      <w:pPr>
        <w:pStyle w:val="standard"/>
        <w:keepNext/>
        <w:keepLines/>
        <w:numPr>
          <w:ilvl w:val="0"/>
          <w:numId w:val="14"/>
        </w:numPr>
        <w:tabs>
          <w:tab w:val="right" w:pos="9180"/>
        </w:tabs>
        <w:spacing w:after="120" w:line="240" w:lineRule="auto"/>
      </w:pPr>
      <w:r>
        <w:t>Water wells – pumps and mechanical</w:t>
      </w:r>
      <w:r>
        <w:tab/>
      </w:r>
      <w:proofErr w:type="gramStart"/>
      <w:r>
        <w:t>$  40,000</w:t>
      </w:r>
      <w:proofErr w:type="gramEnd"/>
    </w:p>
    <w:p w:rsidR="000D397F" w:rsidRDefault="000D397F" w:rsidP="003C16F2">
      <w:pPr>
        <w:pStyle w:val="standard"/>
        <w:keepNext/>
        <w:keepLines/>
        <w:tabs>
          <w:tab w:val="right" w:pos="9180"/>
        </w:tabs>
        <w:ind w:left="2880"/>
      </w:pPr>
      <w:r w:rsidRPr="004711C8">
        <w:rPr>
          <w:b/>
        </w:rPr>
        <w:t>Total Short-Term Assets</w:t>
      </w:r>
      <w:r>
        <w:tab/>
        <w:t>$ 235,000</w:t>
      </w:r>
    </w:p>
    <w:p w:rsidR="000D397F" w:rsidRDefault="000D397F" w:rsidP="003C16F2">
      <w:pPr>
        <w:pStyle w:val="standard"/>
        <w:numPr>
          <w:ilvl w:val="1"/>
          <w:numId w:val="16"/>
        </w:numPr>
        <w:rPr>
          <w:rFonts w:ascii="Helvetica" w:hAnsi="Helvetica" w:cs="Helvetica"/>
          <w:b/>
        </w:rPr>
      </w:pPr>
      <w:r>
        <w:rPr>
          <w:rFonts w:ascii="Helvetica" w:hAnsi="Helvetica" w:cs="Helvetica"/>
          <w:b/>
        </w:rPr>
        <w:t>Net Income</w:t>
      </w:r>
    </w:p>
    <w:p w:rsidR="000D397F" w:rsidRDefault="000D397F" w:rsidP="00471D71">
      <w:pPr>
        <w:pStyle w:val="standard"/>
        <w:spacing w:before="120" w:after="120"/>
        <w:ind w:firstLine="0"/>
      </w:pPr>
      <w:r>
        <w:tab/>
        <w:t>Mesa Dunes is not bound by the CPUC’s revenue requirement methodology which provides net income.  Mesa Dunes applied its own net income methodology by taking the replacement value cost of each short-term asset and dividing it by the average useful life in years.</w:t>
      </w:r>
    </w:p>
    <w:p w:rsidR="000D397F" w:rsidRPr="002639BA" w:rsidRDefault="000D397F" w:rsidP="00471D71">
      <w:pPr>
        <w:pStyle w:val="standard"/>
        <w:tabs>
          <w:tab w:val="left" w:pos="3600"/>
          <w:tab w:val="right" w:pos="9180"/>
        </w:tabs>
        <w:spacing w:before="120" w:after="120"/>
        <w:ind w:firstLine="0"/>
        <w:rPr>
          <w:b/>
        </w:rPr>
      </w:pPr>
      <w:r w:rsidRPr="002639BA">
        <w:rPr>
          <w:b/>
        </w:rPr>
        <w:t>Net Income Calculation:</w:t>
      </w:r>
    </w:p>
    <w:p w:rsidR="000D397F" w:rsidRDefault="000D397F" w:rsidP="00124DE9">
      <w:pPr>
        <w:pStyle w:val="standard"/>
        <w:tabs>
          <w:tab w:val="left" w:pos="3600"/>
          <w:tab w:val="right" w:pos="9180"/>
        </w:tabs>
        <w:spacing w:before="240" w:after="120" w:line="240" w:lineRule="auto"/>
        <w:ind w:firstLine="0"/>
      </w:pPr>
      <w:r>
        <w:t>40,000 gallon tank</w:t>
      </w:r>
      <w:r>
        <w:tab/>
        <w:t>$40,000 / 30 years</w:t>
      </w:r>
      <w:r>
        <w:tab/>
      </w:r>
      <w:proofErr w:type="gramStart"/>
      <w:r>
        <w:t>$  1,333</w:t>
      </w:r>
      <w:proofErr w:type="gramEnd"/>
    </w:p>
    <w:p w:rsidR="000D397F" w:rsidRDefault="000D397F" w:rsidP="00124DE9">
      <w:pPr>
        <w:pStyle w:val="standard"/>
        <w:tabs>
          <w:tab w:val="left" w:pos="3600"/>
          <w:tab w:val="right" w:pos="9180"/>
        </w:tabs>
        <w:spacing w:before="240" w:after="120" w:line="240" w:lineRule="auto"/>
        <w:ind w:firstLine="0"/>
      </w:pPr>
      <w:proofErr w:type="gramStart"/>
      <w:r>
        <w:t>5,000 gallon</w:t>
      </w:r>
      <w:proofErr w:type="gramEnd"/>
      <w:r>
        <w:t xml:space="preserve"> tank</w:t>
      </w:r>
      <w:r>
        <w:tab/>
        <w:t>$5,000 / 30 years</w:t>
      </w:r>
      <w:r>
        <w:tab/>
        <w:t>$    167</w:t>
      </w:r>
    </w:p>
    <w:p w:rsidR="000D397F" w:rsidRDefault="000D397F" w:rsidP="00124DE9">
      <w:pPr>
        <w:pStyle w:val="standard"/>
        <w:tabs>
          <w:tab w:val="left" w:pos="3600"/>
          <w:tab w:val="right" w:pos="9180"/>
        </w:tabs>
        <w:spacing w:before="240" w:after="120" w:line="240" w:lineRule="auto"/>
        <w:ind w:firstLine="0"/>
      </w:pPr>
      <w:r>
        <w:t>Booster station and controls</w:t>
      </w:r>
      <w:r>
        <w:tab/>
        <w:t>$150,000 / 20 years</w:t>
      </w:r>
      <w:r>
        <w:tab/>
      </w:r>
      <w:proofErr w:type="gramStart"/>
      <w:r>
        <w:t>$  7,500</w:t>
      </w:r>
      <w:proofErr w:type="gramEnd"/>
    </w:p>
    <w:p w:rsidR="000D397F" w:rsidRDefault="000D397F" w:rsidP="00124DE9">
      <w:pPr>
        <w:pStyle w:val="standard"/>
        <w:tabs>
          <w:tab w:val="left" w:pos="3600"/>
          <w:tab w:val="right" w:pos="9180"/>
        </w:tabs>
        <w:spacing w:before="240" w:after="120" w:line="240" w:lineRule="auto"/>
        <w:ind w:firstLine="0"/>
      </w:pPr>
      <w:r>
        <w:t>Water wells</w:t>
      </w:r>
      <w:r>
        <w:tab/>
      </w:r>
      <w:proofErr w:type="gramStart"/>
      <w:r>
        <w:t>$  40,000</w:t>
      </w:r>
      <w:proofErr w:type="gramEnd"/>
      <w:r>
        <w:t xml:space="preserve"> / 10 years</w:t>
      </w:r>
      <w:r>
        <w:tab/>
        <w:t>$  4,000</w:t>
      </w:r>
    </w:p>
    <w:p w:rsidR="000D397F" w:rsidRPr="001D23BD" w:rsidRDefault="00EC455C" w:rsidP="003C16F2">
      <w:pPr>
        <w:pStyle w:val="standard"/>
        <w:rPr>
          <w:rFonts w:ascii="Helvetica" w:hAnsi="Helvetica" w:cs="Helvetica"/>
          <w:b/>
        </w:rPr>
      </w:pPr>
      <w:r>
        <w:rPr>
          <w:rFonts w:ascii="Helvetica" w:hAnsi="Helvetica" w:cs="Helvetica"/>
          <w:b/>
        </w:rPr>
        <w:t>5</w:t>
      </w:r>
      <w:r w:rsidR="000D397F" w:rsidRPr="001D23BD">
        <w:rPr>
          <w:rFonts w:ascii="Helvetica" w:hAnsi="Helvetica" w:cs="Helvetica"/>
          <w:b/>
        </w:rPr>
        <w:t>.</w:t>
      </w:r>
      <w:r w:rsidR="000D397F">
        <w:rPr>
          <w:rFonts w:ascii="Helvetica" w:hAnsi="Helvetica" w:cs="Helvetica"/>
          <w:b/>
        </w:rPr>
        <w:t>4</w:t>
      </w:r>
      <w:r w:rsidR="000D397F" w:rsidRPr="001D23BD">
        <w:rPr>
          <w:rFonts w:ascii="Helvetica" w:hAnsi="Helvetica" w:cs="Helvetica"/>
          <w:b/>
        </w:rPr>
        <w:tab/>
      </w:r>
      <w:r w:rsidR="000D397F">
        <w:rPr>
          <w:rFonts w:ascii="Helvetica" w:hAnsi="Helvetica" w:cs="Helvetica"/>
          <w:b/>
        </w:rPr>
        <w:t>Revenue Requirement</w:t>
      </w:r>
    </w:p>
    <w:p w:rsidR="000D397F" w:rsidRDefault="000D397F" w:rsidP="003C16F2">
      <w:pPr>
        <w:pStyle w:val="standard"/>
        <w:tabs>
          <w:tab w:val="right" w:pos="9180"/>
        </w:tabs>
        <w:ind w:firstLine="0"/>
      </w:pPr>
      <w:r>
        <w:tab/>
        <w:t>Mesa Dunes determined its revenue requirement by determining the sum of expenses and net income, as follows:</w:t>
      </w:r>
    </w:p>
    <w:p w:rsidR="000D397F" w:rsidRDefault="000D397F" w:rsidP="003C16F2">
      <w:pPr>
        <w:pStyle w:val="standard"/>
        <w:tabs>
          <w:tab w:val="right" w:pos="9180"/>
        </w:tabs>
        <w:ind w:firstLine="0"/>
      </w:pPr>
      <w:r>
        <w:t>Operations &amp; Maintenance Expenses</w:t>
      </w:r>
      <w:r>
        <w:tab/>
        <w:t>$ 105,170</w:t>
      </w:r>
    </w:p>
    <w:p w:rsidR="000D397F" w:rsidRDefault="000D397F" w:rsidP="003C16F2">
      <w:pPr>
        <w:pStyle w:val="standard"/>
        <w:tabs>
          <w:tab w:val="left" w:pos="3600"/>
          <w:tab w:val="right" w:pos="9180"/>
        </w:tabs>
        <w:ind w:firstLine="0"/>
      </w:pPr>
      <w:r>
        <w:t>Net Income</w:t>
      </w:r>
      <w:r>
        <w:tab/>
        <w:t>+</w:t>
      </w:r>
      <w:r>
        <w:tab/>
      </w:r>
      <w:r w:rsidRPr="004B18C4">
        <w:rPr>
          <w:u w:val="double"/>
        </w:rPr>
        <w:t>$   13,000</w:t>
      </w:r>
    </w:p>
    <w:p w:rsidR="000D397F" w:rsidRDefault="000D397F" w:rsidP="003C16F2">
      <w:pPr>
        <w:pStyle w:val="standard"/>
        <w:tabs>
          <w:tab w:val="left" w:pos="3600"/>
          <w:tab w:val="right" w:pos="9180"/>
        </w:tabs>
        <w:ind w:firstLine="0"/>
      </w:pPr>
      <w:r>
        <w:t>Revenue Requirement</w:t>
      </w:r>
      <w:r>
        <w:tab/>
        <w:t>=</w:t>
      </w:r>
      <w:r>
        <w:tab/>
        <w:t>$ 118,170</w:t>
      </w:r>
    </w:p>
    <w:p w:rsidR="000D397F" w:rsidRPr="00F74121" w:rsidRDefault="000D397F" w:rsidP="009C16CB">
      <w:pPr>
        <w:pStyle w:val="standard"/>
        <w:keepNext/>
        <w:keepLines/>
        <w:ind w:firstLine="0"/>
        <w:rPr>
          <w:b/>
          <w:u w:val="single"/>
        </w:rPr>
      </w:pPr>
      <w:r w:rsidRPr="00F74121">
        <w:rPr>
          <w:b/>
          <w:u w:val="single"/>
        </w:rPr>
        <w:lastRenderedPageBreak/>
        <w:t>Water Division Revenue Requirement</w:t>
      </w:r>
    </w:p>
    <w:p w:rsidR="000D397F" w:rsidRDefault="000D397F" w:rsidP="009C16CB">
      <w:pPr>
        <w:pStyle w:val="standard"/>
        <w:keepNext/>
        <w:keepLines/>
        <w:ind w:firstLine="0"/>
      </w:pPr>
      <w:r>
        <w:tab/>
        <w:t xml:space="preserve">The Water Division reviewed Mesa Dunes’ Operation and Maintenance Expenses (O&amp;M expenses) which are </w:t>
      </w:r>
      <w:proofErr w:type="gramStart"/>
      <w:r>
        <w:t>similar to</w:t>
      </w:r>
      <w:proofErr w:type="gramEnd"/>
      <w:r>
        <w:t xml:space="preserve"> the Commission’s uniform system of accounts for O&amp;M expenses used in Class D water utility general rate cases.  The Water Division’s review and analysis of rates used the same annual O&amp;M expenses provided in the table submitted by Mesa Dunes.</w:t>
      </w:r>
    </w:p>
    <w:p w:rsidR="000D397F" w:rsidRDefault="000D397F" w:rsidP="003C16F2">
      <w:pPr>
        <w:pStyle w:val="standard"/>
        <w:ind w:firstLine="0"/>
      </w:pPr>
      <w:r>
        <w:tab/>
        <w:t>In addition to O&amp;M expenses, a Class D water utility may include depreciation and tax expenses.</w:t>
      </w:r>
    </w:p>
    <w:p w:rsidR="000D397F" w:rsidRPr="00D9744F" w:rsidRDefault="000D397F" w:rsidP="003C16F2">
      <w:pPr>
        <w:pStyle w:val="standard"/>
        <w:ind w:firstLine="0"/>
        <w:rPr>
          <w:b/>
          <w:u w:val="single"/>
        </w:rPr>
      </w:pPr>
      <w:r w:rsidRPr="00D9744F">
        <w:rPr>
          <w:b/>
          <w:u w:val="single"/>
        </w:rPr>
        <w:t>Depreciation Expense</w:t>
      </w:r>
    </w:p>
    <w:p w:rsidR="000D397F" w:rsidRDefault="000D397F" w:rsidP="003C16F2">
      <w:pPr>
        <w:pStyle w:val="standard"/>
        <w:ind w:firstLine="0"/>
      </w:pPr>
      <w:r>
        <w:tab/>
        <w:t>CPUC-regulated utilities are entitled to a reasonable rate of return on plant investment, and these utilities eventually recover their plant item costs through depreciation.  Because Mesa Dunes is not regulated by the Commission, it did not record depreciation.</w:t>
      </w:r>
    </w:p>
    <w:p w:rsidR="000D397F" w:rsidRDefault="000D397F" w:rsidP="008C5EA4">
      <w:pPr>
        <w:pStyle w:val="standard"/>
        <w:spacing w:before="120" w:after="120"/>
        <w:ind w:firstLine="0"/>
      </w:pPr>
      <w:r>
        <w:tab/>
        <w:t xml:space="preserve">It is reasonable to assume that much of the plant investment classified as long-term assets are fully depreciated with little salvage value.  Assuming a </w:t>
      </w:r>
      <w:proofErr w:type="gramStart"/>
      <w:r>
        <w:t>straight line</w:t>
      </w:r>
      <w:proofErr w:type="gramEnd"/>
      <w:r>
        <w:t xml:space="preserve"> average plant depreciation rate of short-term assets over a 30-year period for the purpose of estimating a depreciation expense for Mesa Dunes, the Water Division estimates an annual depreciation expense of $7,833.</w:t>
      </w:r>
    </w:p>
    <w:p w:rsidR="000D397F" w:rsidRPr="006146DF" w:rsidRDefault="000D397F" w:rsidP="008C5EA4">
      <w:pPr>
        <w:pStyle w:val="standard"/>
        <w:spacing w:before="120" w:after="120"/>
        <w:ind w:firstLine="0"/>
        <w:rPr>
          <w:b/>
          <w:u w:val="single"/>
        </w:rPr>
      </w:pPr>
      <w:r w:rsidRPr="006146DF">
        <w:rPr>
          <w:b/>
          <w:u w:val="single"/>
        </w:rPr>
        <w:t>State and Federal Taxes and Other Fees</w:t>
      </w:r>
    </w:p>
    <w:p w:rsidR="000D397F" w:rsidRDefault="000D397F" w:rsidP="008C5EA4">
      <w:pPr>
        <w:pStyle w:val="standard"/>
        <w:spacing w:before="120" w:after="120"/>
        <w:ind w:firstLine="0"/>
      </w:pPr>
      <w:r>
        <w:tab/>
        <w:t xml:space="preserve">Investor-owned CPUC-regulated Class D water utilities are required to pay federal, state and local taxes and franchise fees.  Using the Internal Revenue Service’s corporate tax rate, and the California Franchise Tax Board’s corporate tax rate, and estimates for local city and/or county taxes and fees, the Water Division estimates approximately one-third of its net income would be subject to taxable corporate income.  In addition, Class D water utilities of similar size and </w:t>
      </w:r>
      <w:r>
        <w:lastRenderedPageBreak/>
        <w:t>scope to Mesa Dunes are required to pay franchise fees and other fees from local government agencies.  Such fees were not included by Mesa Dunes or the Water Division for purposes of estimating revenue.</w:t>
      </w:r>
    </w:p>
    <w:p w:rsidR="000D397F" w:rsidRPr="003C0385" w:rsidRDefault="000D397F" w:rsidP="003C16F2">
      <w:pPr>
        <w:pStyle w:val="standard"/>
        <w:keepNext/>
        <w:keepLines/>
        <w:ind w:firstLine="0"/>
        <w:rPr>
          <w:b/>
          <w:u w:val="single"/>
        </w:rPr>
      </w:pPr>
      <w:r w:rsidRPr="003C0385">
        <w:rPr>
          <w:b/>
          <w:u w:val="single"/>
        </w:rPr>
        <w:t>Net Income – Water Division</w:t>
      </w:r>
    </w:p>
    <w:p w:rsidR="000D397F" w:rsidRDefault="000D397F" w:rsidP="003C16F2">
      <w:pPr>
        <w:pStyle w:val="standard"/>
        <w:keepNext/>
        <w:keepLines/>
        <w:ind w:firstLine="0"/>
      </w:pPr>
      <w:r>
        <w:tab/>
        <w:t>The Commission utilizes two methods to calculate the net income for a Class D water utility and applies the higher of the two results.</w:t>
      </w:r>
      <w:r>
        <w:rPr>
          <w:rStyle w:val="FootnoteReference"/>
        </w:rPr>
        <w:footnoteReference w:id="3"/>
      </w:r>
      <w:r>
        <w:t xml:space="preserve">  The Commission’s two methods used to calculate net income are as follows:</w:t>
      </w:r>
    </w:p>
    <w:p w:rsidR="000D397F" w:rsidRPr="000A1CD3" w:rsidRDefault="000D397F" w:rsidP="00361DBE">
      <w:pPr>
        <w:pStyle w:val="standard"/>
        <w:ind w:firstLine="0"/>
        <w:rPr>
          <w:i/>
        </w:rPr>
      </w:pPr>
      <w:r w:rsidRPr="000A1CD3">
        <w:rPr>
          <w:i/>
        </w:rPr>
        <w:t>Rate of Return (ROR):</w:t>
      </w:r>
    </w:p>
    <w:p w:rsidR="000D397F" w:rsidRDefault="000D397F" w:rsidP="00361DBE">
      <w:pPr>
        <w:pStyle w:val="standard"/>
        <w:ind w:firstLine="0"/>
      </w:pPr>
      <w:r>
        <w:tab/>
        <w:t>Net Income (ROR) = [Plant in service] x ROR</w:t>
      </w:r>
    </w:p>
    <w:p w:rsidR="000D397F" w:rsidRPr="000A1CD3" w:rsidRDefault="000D397F" w:rsidP="00361DBE">
      <w:pPr>
        <w:pStyle w:val="standard"/>
        <w:ind w:firstLine="0"/>
        <w:rPr>
          <w:i/>
        </w:rPr>
      </w:pPr>
      <w:r w:rsidRPr="000A1CD3">
        <w:rPr>
          <w:i/>
        </w:rPr>
        <w:t>Rate of Margin (ROM):</w:t>
      </w:r>
    </w:p>
    <w:p w:rsidR="000D397F" w:rsidRDefault="000D397F" w:rsidP="00361DBE">
      <w:pPr>
        <w:pStyle w:val="standard"/>
        <w:ind w:firstLine="0"/>
      </w:pPr>
      <w:r>
        <w:tab/>
        <w:t>Net Income (ROM) = [O&amp;M Expenses + Depreciation + Taxes x ROM</w:t>
      </w:r>
    </w:p>
    <w:p w:rsidR="000D397F" w:rsidRDefault="000D397F" w:rsidP="00B314EB">
      <w:pPr>
        <w:pStyle w:val="standard"/>
        <w:spacing w:before="120" w:after="120"/>
        <w:ind w:firstLine="0"/>
      </w:pPr>
      <w:r>
        <w:tab/>
        <w:t>Because the Water Division compared the rates charged by Mesa Dunes to rates which Mesa Dunes would charge if they were a Commission-regulated Class D water utility, the Water Division calculated the net income using these two methods.</w:t>
      </w:r>
    </w:p>
    <w:p w:rsidR="000D397F" w:rsidRPr="003C0385" w:rsidRDefault="000D397F" w:rsidP="00B314EB">
      <w:pPr>
        <w:pStyle w:val="standard"/>
        <w:spacing w:before="120" w:after="120"/>
        <w:ind w:firstLine="0"/>
        <w:rPr>
          <w:b/>
        </w:rPr>
      </w:pPr>
      <w:r w:rsidRPr="003C0385">
        <w:rPr>
          <w:b/>
          <w:u w:val="single"/>
        </w:rPr>
        <w:t>Rate of Return (ROR)</w:t>
      </w:r>
    </w:p>
    <w:p w:rsidR="000413A0" w:rsidRDefault="000D397F" w:rsidP="00B314EB">
      <w:pPr>
        <w:pStyle w:val="standard"/>
        <w:spacing w:before="120" w:after="120"/>
        <w:ind w:firstLine="0"/>
      </w:pPr>
      <w:r>
        <w:tab/>
        <w:t>In 2017, the Water Division recommended a Rate of Return on rate base (plant in service) from 10.50 percent to 11.50 percent for a Class D water utility.</w:t>
      </w:r>
      <w:r>
        <w:rPr>
          <w:rStyle w:val="FootnoteReference"/>
        </w:rPr>
        <w:footnoteReference w:id="4"/>
      </w:r>
      <w:r>
        <w:t xml:space="preserve">  The Water Division </w:t>
      </w:r>
      <w:proofErr w:type="gramStart"/>
      <w:r>
        <w:t>estimates</w:t>
      </w:r>
      <w:proofErr w:type="gramEnd"/>
      <w:r>
        <w:t xml:space="preserve"> Mesa Dunes’ plant in service at $235,000 by applying the total short-term assets from the plant in service analysis above.  For </w:t>
      </w:r>
      <w:r>
        <w:lastRenderedPageBreak/>
        <w:t xml:space="preserve">purposes of this analysis, we assume that long-term assets are depreciated plant and therefore not applicable to receive a rate of return on investment.  </w:t>
      </w:r>
    </w:p>
    <w:p w:rsidR="000D397F" w:rsidRDefault="000D397F" w:rsidP="000E5CFC">
      <w:pPr>
        <w:pStyle w:val="standard"/>
        <w:spacing w:before="120" w:after="120"/>
        <w:ind w:firstLine="0"/>
      </w:pPr>
      <w:r>
        <w:t>Mesa Dunes also excluded long-term assets in its net income calculation and only applied short-term assets for its plant in service.</w:t>
      </w:r>
    </w:p>
    <w:p w:rsidR="000D397F" w:rsidRDefault="000D397F" w:rsidP="000E5CFC">
      <w:pPr>
        <w:pStyle w:val="standard"/>
        <w:spacing w:before="120" w:after="120"/>
        <w:ind w:firstLine="0"/>
      </w:pPr>
      <w:r>
        <w:tab/>
        <w:t>Below is the Water Division’s calculation to determine net income treating Mesa Dunes as the equivalent of a CPUC-regulated Class D water utility, and applying a Rate of Return of 11.50 percent on plant in service:</w:t>
      </w:r>
    </w:p>
    <w:p w:rsidR="000D397F" w:rsidRDefault="000D397F" w:rsidP="007D05EE">
      <w:pPr>
        <w:pStyle w:val="standard"/>
        <w:spacing w:after="120" w:line="240" w:lineRule="auto"/>
        <w:ind w:firstLine="0"/>
      </w:pPr>
      <w:r>
        <w:tab/>
        <w:t>Net Income (ROR) = [Plant in service] x ROR</w:t>
      </w:r>
    </w:p>
    <w:p w:rsidR="000D397F" w:rsidRDefault="000D397F" w:rsidP="007D05EE">
      <w:pPr>
        <w:pStyle w:val="standard"/>
        <w:spacing w:after="120" w:line="240" w:lineRule="auto"/>
        <w:ind w:firstLine="0"/>
      </w:pPr>
      <w:r>
        <w:tab/>
        <w:t>Net Income (ROR) = $235,000 x 11.50% = $27,025</w:t>
      </w:r>
    </w:p>
    <w:p w:rsidR="000D397F" w:rsidRPr="000071C4" w:rsidRDefault="000D397F" w:rsidP="000071C4">
      <w:pPr>
        <w:pStyle w:val="standard"/>
        <w:keepNext/>
        <w:keepLines/>
        <w:spacing w:before="120" w:after="120"/>
        <w:ind w:firstLine="0"/>
        <w:rPr>
          <w:b/>
          <w:u w:val="single"/>
        </w:rPr>
      </w:pPr>
      <w:r w:rsidRPr="000071C4">
        <w:rPr>
          <w:b/>
          <w:u w:val="single"/>
        </w:rPr>
        <w:t>Rate of Margin (ROM)</w:t>
      </w:r>
    </w:p>
    <w:p w:rsidR="000D397F" w:rsidRDefault="000D397F" w:rsidP="0037432E">
      <w:pPr>
        <w:pStyle w:val="standard"/>
        <w:keepNext/>
        <w:keepLines/>
        <w:ind w:firstLine="0"/>
      </w:pPr>
      <w:r>
        <w:tab/>
        <w:t>In 2017, the Water Division recommended a Rate of Margin of 23.87 percent for a Class D water utility.</w:t>
      </w:r>
      <w:r>
        <w:rPr>
          <w:rStyle w:val="FootnoteReference"/>
        </w:rPr>
        <w:footnoteReference w:id="5"/>
      </w:r>
      <w:r>
        <w:t xml:space="preserve">  In the ROM method, the utility’s net income is defined as the sum of its operating and maintenance expenses, depreciation, income and other taxes, multiplied by the ROM.  Below is the Water Division’s calculation to determine net income, treating Mesa Dunes as the equivalent of a CPUC-regulated Class D water utility and applying a Rate of Margin of 23.87 percent:</w:t>
      </w:r>
    </w:p>
    <w:p w:rsidR="000D397F" w:rsidRDefault="000D397F" w:rsidP="0037432E">
      <w:pPr>
        <w:pStyle w:val="standard"/>
        <w:spacing w:line="240" w:lineRule="auto"/>
        <w:ind w:firstLine="0"/>
      </w:pPr>
      <w:r>
        <w:tab/>
        <w:t>Net Income (ROM) = [O&amp;M Expenses + Depreciation + Taxes] x ROM</w:t>
      </w:r>
    </w:p>
    <w:p w:rsidR="000D397F" w:rsidRDefault="000D397F" w:rsidP="000F273D">
      <w:pPr>
        <w:pStyle w:val="standard"/>
        <w:spacing w:after="120" w:line="240" w:lineRule="auto"/>
        <w:ind w:firstLine="0"/>
      </w:pPr>
      <w:r>
        <w:tab/>
        <w:t>Net Income (ROM) = $122,665 x 23.87% = $29,280</w:t>
      </w:r>
    </w:p>
    <w:p w:rsidR="000D397F" w:rsidRDefault="000D397F" w:rsidP="003C16F2">
      <w:pPr>
        <w:pStyle w:val="standard"/>
        <w:ind w:firstLine="0"/>
      </w:pPr>
      <w:r>
        <w:tab/>
        <w:t>The Water Division applies the method which produces the higher net income.  A comparison of the two methods indicates that the ROM of $29,280 produces a higher net income than the ROR method of $27,015.</w:t>
      </w:r>
    </w:p>
    <w:p w:rsidR="000D397F" w:rsidRDefault="000D397F" w:rsidP="00CC58B2">
      <w:pPr>
        <w:pStyle w:val="standard"/>
        <w:keepNext/>
        <w:keepLines/>
        <w:ind w:firstLine="0"/>
      </w:pPr>
      <w:r>
        <w:lastRenderedPageBreak/>
        <w:tab/>
        <w:t>The following compares Mesa Dunes’ and Water Division’s computations for net income:</w:t>
      </w:r>
    </w:p>
    <w:p w:rsidR="000D397F" w:rsidRDefault="000D397F" w:rsidP="00CC58B2">
      <w:pPr>
        <w:pStyle w:val="standard"/>
        <w:keepNext/>
        <w:keepLines/>
        <w:ind w:firstLine="0"/>
      </w:pPr>
      <w:r>
        <w:tab/>
        <w:t>Mesa Dunes</w:t>
      </w:r>
      <w:r>
        <w:tab/>
      </w:r>
      <w:r>
        <w:tab/>
        <w:t>$ 13,000</w:t>
      </w:r>
      <w:r>
        <w:tab/>
      </w:r>
      <w:r>
        <w:tab/>
        <w:t>Water Division</w:t>
      </w:r>
      <w:r>
        <w:tab/>
        <w:t>$ 29,280</w:t>
      </w:r>
    </w:p>
    <w:p w:rsidR="000D397F" w:rsidRDefault="000D397F" w:rsidP="00CC58B2">
      <w:pPr>
        <w:pStyle w:val="standard"/>
        <w:keepNext/>
        <w:keepLines/>
        <w:spacing w:before="240"/>
        <w:ind w:firstLine="0"/>
      </w:pPr>
      <w:r>
        <w:t>The Water Division’s estimate of required net income exceeds Mesa Dunes’ estimate by $16,280, or 125.2 percent.</w:t>
      </w:r>
    </w:p>
    <w:p w:rsidR="000D397F" w:rsidRPr="00A764C2" w:rsidRDefault="000D397F" w:rsidP="00746DBA">
      <w:pPr>
        <w:pStyle w:val="standard"/>
        <w:keepNext/>
        <w:keepLines/>
        <w:spacing w:after="120"/>
        <w:ind w:firstLine="0"/>
        <w:rPr>
          <w:b/>
          <w:u w:val="single"/>
        </w:rPr>
      </w:pPr>
      <w:r w:rsidRPr="00A764C2">
        <w:rPr>
          <w:b/>
          <w:u w:val="single"/>
        </w:rPr>
        <w:t>Revenue Requirement – Water Division</w:t>
      </w:r>
    </w:p>
    <w:p w:rsidR="000D397F" w:rsidRDefault="000D397F" w:rsidP="00746DBA">
      <w:pPr>
        <w:pStyle w:val="standard"/>
        <w:keepNext/>
        <w:keepLines/>
        <w:spacing w:after="120"/>
        <w:ind w:firstLine="0"/>
      </w:pPr>
      <w:r>
        <w:tab/>
        <w:t>The following is the Water Division’s calculation to determine Mesa Dunes’ revenue requirement if it was treated as a Class D water utility:</w:t>
      </w:r>
    </w:p>
    <w:p w:rsidR="000D397F" w:rsidRPr="009A0953" w:rsidRDefault="000D397F" w:rsidP="00723ECF">
      <w:pPr>
        <w:pStyle w:val="standard"/>
        <w:spacing w:before="120" w:after="120"/>
        <w:ind w:firstLine="0"/>
        <w:jc w:val="center"/>
        <w:rPr>
          <w:b/>
          <w:u w:val="single"/>
        </w:rPr>
      </w:pPr>
      <w:r w:rsidRPr="009A0953">
        <w:rPr>
          <w:b/>
          <w:u w:val="single"/>
        </w:rPr>
        <w:t>Water Division’s Comparable Summary of Earnings (2017)</w:t>
      </w:r>
    </w:p>
    <w:p w:rsidR="000D397F" w:rsidRPr="008E56AD" w:rsidRDefault="000D397F" w:rsidP="00723ECF">
      <w:pPr>
        <w:pStyle w:val="standard"/>
        <w:spacing w:before="120" w:after="120"/>
        <w:ind w:firstLine="0"/>
        <w:jc w:val="both"/>
        <w:rPr>
          <w:b/>
        </w:rPr>
      </w:pPr>
      <w:r w:rsidRPr="008E56AD">
        <w:rPr>
          <w:b/>
        </w:rPr>
        <w:tab/>
      </w:r>
      <w:r w:rsidRPr="008E56AD">
        <w:rPr>
          <w:b/>
          <w:u w:val="single"/>
        </w:rPr>
        <w:t>Revenue Requirement</w:t>
      </w:r>
      <w:r w:rsidRPr="008E56AD">
        <w:rPr>
          <w:b/>
        </w:rPr>
        <w:tab/>
      </w:r>
      <w:r w:rsidRPr="008E56AD">
        <w:rPr>
          <w:b/>
        </w:rPr>
        <w:tab/>
      </w:r>
      <w:r w:rsidRPr="008E56AD">
        <w:rPr>
          <w:b/>
        </w:rPr>
        <w:tab/>
      </w:r>
      <w:r w:rsidRPr="008E56AD">
        <w:rPr>
          <w:b/>
        </w:rPr>
        <w:tab/>
      </w:r>
      <w:r w:rsidRPr="008E56AD">
        <w:rPr>
          <w:b/>
        </w:rPr>
        <w:tab/>
      </w:r>
      <w:r w:rsidRPr="008E56AD">
        <w:rPr>
          <w:b/>
          <w:u w:val="single"/>
        </w:rPr>
        <w:t>$151,946</w:t>
      </w:r>
    </w:p>
    <w:p w:rsidR="000D397F" w:rsidRDefault="000D397F" w:rsidP="0093700B">
      <w:pPr>
        <w:pStyle w:val="standard"/>
        <w:spacing w:after="120" w:line="240" w:lineRule="auto"/>
        <w:ind w:firstLine="0"/>
        <w:jc w:val="both"/>
      </w:pPr>
      <w:r>
        <w:tab/>
        <w:t>Operations &amp; Maintenance Expenses</w:t>
      </w:r>
      <w:r>
        <w:tab/>
      </w:r>
      <w:r>
        <w:tab/>
      </w:r>
      <w:r>
        <w:tab/>
        <w:t>$105,170</w:t>
      </w:r>
    </w:p>
    <w:p w:rsidR="000D397F" w:rsidRDefault="000D397F" w:rsidP="0093700B">
      <w:pPr>
        <w:pStyle w:val="standard"/>
        <w:spacing w:after="120" w:line="240" w:lineRule="auto"/>
        <w:ind w:firstLine="0"/>
        <w:jc w:val="both"/>
      </w:pPr>
      <w:r>
        <w:tab/>
        <w:t>Depreciation Expense</w:t>
      </w:r>
      <w:r>
        <w:tab/>
      </w:r>
      <w:r>
        <w:tab/>
      </w:r>
      <w:r>
        <w:tab/>
      </w:r>
      <w:r>
        <w:tab/>
      </w:r>
      <w:r>
        <w:tab/>
        <w:t xml:space="preserve">      7,833</w:t>
      </w:r>
    </w:p>
    <w:p w:rsidR="000D397F" w:rsidRDefault="000D397F" w:rsidP="0093700B">
      <w:pPr>
        <w:pStyle w:val="standard"/>
        <w:spacing w:after="120" w:line="240" w:lineRule="auto"/>
        <w:ind w:firstLine="0"/>
        <w:jc w:val="both"/>
      </w:pPr>
      <w:r>
        <w:tab/>
        <w:t>State &amp; Federal Taxes</w:t>
      </w:r>
      <w:r>
        <w:tab/>
      </w:r>
      <w:r>
        <w:tab/>
      </w:r>
      <w:r>
        <w:tab/>
      </w:r>
      <w:r>
        <w:tab/>
      </w:r>
      <w:r>
        <w:tab/>
        <w:t xml:space="preserve">      9,662</w:t>
      </w:r>
    </w:p>
    <w:p w:rsidR="000D397F" w:rsidRDefault="000D397F" w:rsidP="0093700B">
      <w:pPr>
        <w:pStyle w:val="standard"/>
        <w:spacing w:after="120" w:line="240" w:lineRule="auto"/>
        <w:ind w:firstLine="0"/>
        <w:jc w:val="both"/>
      </w:pPr>
      <w:r>
        <w:tab/>
      </w:r>
      <w:r>
        <w:tab/>
        <w:t>Total Deductions</w:t>
      </w:r>
      <w:r>
        <w:tab/>
      </w:r>
      <w:r>
        <w:tab/>
      </w:r>
      <w:r>
        <w:tab/>
      </w:r>
      <w:r>
        <w:tab/>
      </w:r>
      <w:r>
        <w:tab/>
        <w:t>$122,665</w:t>
      </w:r>
    </w:p>
    <w:p w:rsidR="000D397F" w:rsidRPr="008E56AD" w:rsidRDefault="000D397F" w:rsidP="0093700B">
      <w:pPr>
        <w:pStyle w:val="standard"/>
        <w:spacing w:after="120" w:line="240" w:lineRule="auto"/>
        <w:ind w:firstLine="0"/>
        <w:jc w:val="both"/>
        <w:rPr>
          <w:strike/>
        </w:rPr>
      </w:pPr>
      <w:r>
        <w:tab/>
      </w:r>
      <w:r w:rsidRPr="008E56AD">
        <w:rPr>
          <w:strike/>
        </w:rPr>
        <w:t>Net Income (ROR)</w:t>
      </w:r>
      <w:r w:rsidRPr="008E56AD">
        <w:rPr>
          <w:strike/>
        </w:rPr>
        <w:tab/>
      </w:r>
      <w:r w:rsidRPr="008E56AD">
        <w:rPr>
          <w:strike/>
        </w:rPr>
        <w:tab/>
      </w:r>
      <w:r w:rsidRPr="008E56AD">
        <w:rPr>
          <w:strike/>
        </w:rPr>
        <w:tab/>
      </w:r>
      <w:r w:rsidRPr="008E56AD">
        <w:rPr>
          <w:strike/>
        </w:rPr>
        <w:tab/>
      </w:r>
      <w:r w:rsidRPr="008E56AD">
        <w:rPr>
          <w:strike/>
        </w:rPr>
        <w:tab/>
      </w:r>
      <w:r w:rsidRPr="008E56AD">
        <w:rPr>
          <w:strike/>
        </w:rPr>
        <w:tab/>
      </w:r>
      <w:proofErr w:type="gramStart"/>
      <w:r w:rsidRPr="008E56AD">
        <w:rPr>
          <w:strike/>
        </w:rPr>
        <w:t>$  27,025</w:t>
      </w:r>
      <w:proofErr w:type="gramEnd"/>
    </w:p>
    <w:p w:rsidR="000D397F" w:rsidRDefault="000D397F" w:rsidP="0093700B">
      <w:pPr>
        <w:pStyle w:val="standard"/>
        <w:spacing w:after="120" w:line="240" w:lineRule="auto"/>
        <w:ind w:firstLine="0"/>
        <w:jc w:val="both"/>
      </w:pPr>
      <w:r>
        <w:tab/>
        <w:t>Net Income (ROM) – Applied</w:t>
      </w:r>
      <w:r>
        <w:tab/>
      </w:r>
      <w:r>
        <w:tab/>
      </w:r>
      <w:r>
        <w:tab/>
      </w:r>
      <w:r>
        <w:tab/>
      </w:r>
      <w:proofErr w:type="gramStart"/>
      <w:r>
        <w:t>$  29,280</w:t>
      </w:r>
      <w:proofErr w:type="gramEnd"/>
    </w:p>
    <w:p w:rsidR="000D397F" w:rsidRDefault="000D397F" w:rsidP="0093700B">
      <w:pPr>
        <w:pStyle w:val="standard"/>
        <w:spacing w:after="120" w:line="240" w:lineRule="auto"/>
        <w:ind w:firstLine="0"/>
        <w:jc w:val="both"/>
      </w:pPr>
      <w:r>
        <w:tab/>
        <w:t>Plant in Service</w:t>
      </w:r>
      <w:r>
        <w:tab/>
      </w:r>
      <w:r>
        <w:tab/>
      </w:r>
      <w:r>
        <w:tab/>
      </w:r>
      <w:r>
        <w:tab/>
      </w:r>
      <w:r>
        <w:tab/>
      </w:r>
      <w:r>
        <w:tab/>
        <w:t>$235,000</w:t>
      </w:r>
    </w:p>
    <w:p w:rsidR="000D397F" w:rsidRDefault="000D397F" w:rsidP="0093700B">
      <w:pPr>
        <w:pStyle w:val="standard"/>
        <w:spacing w:after="120" w:line="240" w:lineRule="auto"/>
        <w:ind w:firstLine="0"/>
        <w:jc w:val="both"/>
      </w:pPr>
      <w:r>
        <w:tab/>
        <w:t>Rate of Return</w:t>
      </w:r>
      <w:r>
        <w:tab/>
      </w:r>
      <w:r>
        <w:tab/>
      </w:r>
      <w:r>
        <w:tab/>
      </w:r>
      <w:r>
        <w:tab/>
      </w:r>
      <w:r>
        <w:tab/>
      </w:r>
      <w:r>
        <w:tab/>
        <w:t>11.50 %</w:t>
      </w:r>
    </w:p>
    <w:p w:rsidR="000D397F" w:rsidRDefault="000D397F" w:rsidP="0093700B">
      <w:pPr>
        <w:pStyle w:val="standard"/>
        <w:spacing w:after="120" w:line="240" w:lineRule="auto"/>
        <w:ind w:firstLine="0"/>
        <w:jc w:val="both"/>
      </w:pPr>
      <w:r>
        <w:tab/>
        <w:t>Rate of Margin</w:t>
      </w:r>
      <w:r>
        <w:tab/>
      </w:r>
      <w:r>
        <w:tab/>
      </w:r>
      <w:r>
        <w:tab/>
      </w:r>
      <w:r>
        <w:tab/>
      </w:r>
      <w:r>
        <w:tab/>
      </w:r>
      <w:r>
        <w:tab/>
        <w:t>23.87 %</w:t>
      </w:r>
    </w:p>
    <w:p w:rsidR="000D397F" w:rsidRDefault="000D397F" w:rsidP="00B304E6">
      <w:pPr>
        <w:pStyle w:val="standard"/>
        <w:ind w:firstLine="0"/>
        <w:jc w:val="both"/>
      </w:pPr>
      <w:r>
        <w:tab/>
        <w:t>Further, since Mesa Dunes does not include depreciation expense and taxes into its rate analysis, Mesa Dunes’ rates are lower than a comparable CPUC-regulated Class D water utility in which such expenses would be incurred.</w:t>
      </w:r>
    </w:p>
    <w:p w:rsidR="000D397F" w:rsidRDefault="000D397F" w:rsidP="00B304E6">
      <w:pPr>
        <w:pStyle w:val="standard"/>
        <w:ind w:firstLine="0"/>
      </w:pPr>
      <w:r>
        <w:tab/>
        <w:t xml:space="preserve">Mesa Dunes determined its revenue requirement to be $118,170.  Based on the Water Division’s calculations, if Mesa Dunes was a regulated Class D water </w:t>
      </w:r>
      <w:r>
        <w:lastRenderedPageBreak/>
        <w:t>utility, its estimated revenue requirement would be $151,946.  Water Division’s revenue requirement exceeds Mesa Dunes’ by $33,776, or 28.6 percent.</w:t>
      </w:r>
    </w:p>
    <w:p w:rsidR="000D397F" w:rsidRPr="008625AA" w:rsidRDefault="000D397F" w:rsidP="001D3283">
      <w:pPr>
        <w:pStyle w:val="standard"/>
        <w:keepNext/>
        <w:keepLines/>
        <w:ind w:firstLine="0"/>
        <w:rPr>
          <w:b/>
          <w:u w:val="single"/>
        </w:rPr>
      </w:pPr>
      <w:r w:rsidRPr="008625AA">
        <w:rPr>
          <w:b/>
          <w:u w:val="single"/>
        </w:rPr>
        <w:t>Mesa Dunes Rate Design</w:t>
      </w:r>
    </w:p>
    <w:p w:rsidR="000D397F" w:rsidRDefault="000D397F" w:rsidP="009752A2">
      <w:pPr>
        <w:pStyle w:val="standard"/>
        <w:keepNext/>
        <w:keepLines/>
        <w:ind w:firstLine="0"/>
      </w:pPr>
      <w:r>
        <w:tab/>
        <w:t xml:space="preserve">The Water Division reviewed and analyzed the merits of Mesa Dunes’ rate design based on the facts and circumstances presented </w:t>
      </w:r>
      <w:proofErr w:type="gramStart"/>
      <w:r>
        <w:t>below, and</w:t>
      </w:r>
      <w:proofErr w:type="gramEnd"/>
      <w:r>
        <w:t xml:space="preserve"> concluded this rate design is reasonable.</w:t>
      </w:r>
    </w:p>
    <w:p w:rsidR="000D397F" w:rsidRPr="002D6F7A" w:rsidRDefault="000D397F" w:rsidP="009752A2">
      <w:pPr>
        <w:pStyle w:val="standard"/>
        <w:keepNext/>
        <w:keepLines/>
        <w:ind w:firstLine="0"/>
        <w:rPr>
          <w:b/>
        </w:rPr>
      </w:pPr>
      <w:r w:rsidRPr="002D6F7A">
        <w:rPr>
          <w:b/>
          <w:u w:val="single"/>
        </w:rPr>
        <w:t>Quantity Rates</w:t>
      </w:r>
    </w:p>
    <w:p w:rsidR="000D397F" w:rsidRPr="00DF5229" w:rsidRDefault="000D397F" w:rsidP="009752A2">
      <w:pPr>
        <w:pStyle w:val="standard"/>
        <w:keepNext/>
        <w:keepLines/>
        <w:ind w:firstLine="0"/>
      </w:pPr>
      <w:r>
        <w:tab/>
      </w:r>
      <w:proofErr w:type="gramStart"/>
      <w:r>
        <w:t>In an effort to</w:t>
      </w:r>
      <w:proofErr w:type="gramEnd"/>
      <w:r>
        <w:t xml:space="preserve"> promote and encourage conservation, Mesa Dunes applies a two-tier rate structure.  In Mesa Dunes’ workpapers, it indicates the average use for a mobilehome is approximately 115 gallons per day, or about 4.53 CCF</w:t>
      </w:r>
      <w:r>
        <w:rPr>
          <w:rStyle w:val="FootnoteReference"/>
        </w:rPr>
        <w:footnoteReference w:id="6"/>
      </w:r>
      <w:r>
        <w:t xml:space="preserve"> per month.  Mesa Dunes further indicates that average daily consumption for a mobilehome is 80 percent of a typical single-family residence.</w:t>
      </w:r>
      <w:r>
        <w:rPr>
          <w:rStyle w:val="FootnoteReference"/>
        </w:rPr>
        <w:footnoteReference w:id="7"/>
      </w:r>
    </w:p>
    <w:p w:rsidR="000D397F" w:rsidRDefault="000D397F" w:rsidP="000D397F">
      <w:pPr>
        <w:pStyle w:val="standard"/>
        <w:ind w:firstLine="0"/>
      </w:pPr>
      <w:r>
        <w:tab/>
        <w:t>Based upon total annual water volume delivered at 21,990 CCF, the Tier 1 rate equates to $3.06 per CCF for the first 4.553 CCF per month.  Mesa Dunes applies a Tier 2 multiplier of 1.5 for consumption over 4.53 CCF per month which equates to $4.59 per CCF.  In summary, Mesa Dunes’ rates are as follows:</w:t>
      </w:r>
    </w:p>
    <w:p w:rsidR="000D397F" w:rsidRDefault="000D397F" w:rsidP="000D397F">
      <w:pPr>
        <w:pStyle w:val="standard"/>
        <w:ind w:firstLine="0"/>
      </w:pPr>
      <w:r>
        <w:tab/>
        <w:t>Monthly Service Charge:</w:t>
      </w:r>
      <w:r>
        <w:tab/>
      </w:r>
      <w:r>
        <w:tab/>
        <w:t>$ 10.69 per month</w:t>
      </w:r>
    </w:p>
    <w:p w:rsidR="000D397F" w:rsidRDefault="000D397F" w:rsidP="000D397F">
      <w:pPr>
        <w:pStyle w:val="standard"/>
        <w:ind w:firstLine="0"/>
      </w:pPr>
      <w:r>
        <w:tab/>
        <w:t>Tier 1 Cost per CCF:</w:t>
      </w:r>
      <w:r>
        <w:tab/>
      </w:r>
      <w:r>
        <w:tab/>
      </w:r>
      <w:proofErr w:type="gramStart"/>
      <w:r>
        <w:t>$  3.06</w:t>
      </w:r>
      <w:proofErr w:type="gramEnd"/>
      <w:r>
        <w:t xml:space="preserve"> for up to 4.53 CCF</w:t>
      </w:r>
    </w:p>
    <w:p w:rsidR="000D397F" w:rsidRDefault="000D397F" w:rsidP="000D397F">
      <w:pPr>
        <w:pStyle w:val="standard"/>
        <w:ind w:firstLine="0"/>
      </w:pPr>
      <w:r>
        <w:tab/>
        <w:t>Tier 2 Cost per CCF:</w:t>
      </w:r>
      <w:r>
        <w:tab/>
      </w:r>
      <w:r>
        <w:tab/>
      </w:r>
      <w:proofErr w:type="gramStart"/>
      <w:r>
        <w:t>$  4.59</w:t>
      </w:r>
      <w:proofErr w:type="gramEnd"/>
      <w:r>
        <w:t xml:space="preserve"> for over 4.53 CCF</w:t>
      </w:r>
    </w:p>
    <w:p w:rsidR="000D397F" w:rsidRDefault="000D397F" w:rsidP="00865771">
      <w:pPr>
        <w:pStyle w:val="standard"/>
        <w:keepNext/>
        <w:keepLines/>
        <w:ind w:firstLine="0"/>
      </w:pPr>
      <w:r>
        <w:lastRenderedPageBreak/>
        <w:tab/>
        <w:t>Below is a table of the monthly bill for a Mesa Dunes customer based upon monthly usage:</w:t>
      </w:r>
    </w:p>
    <w:tbl>
      <w:tblPr>
        <w:tblStyle w:val="TableGrid"/>
        <w:tblW w:w="0" w:type="auto"/>
        <w:jc w:val="center"/>
        <w:tblLook w:val="04A0" w:firstRow="1" w:lastRow="0" w:firstColumn="1" w:lastColumn="0" w:noHBand="0" w:noVBand="1"/>
      </w:tblPr>
      <w:tblGrid>
        <w:gridCol w:w="2337"/>
        <w:gridCol w:w="2337"/>
        <w:gridCol w:w="2338"/>
        <w:gridCol w:w="2338"/>
      </w:tblGrid>
      <w:tr w:rsidR="000D397F" w:rsidTr="00A913D0">
        <w:trPr>
          <w:jc w:val="center"/>
        </w:trPr>
        <w:tc>
          <w:tcPr>
            <w:tcW w:w="9350" w:type="dxa"/>
            <w:gridSpan w:val="4"/>
          </w:tcPr>
          <w:p w:rsidR="000D397F" w:rsidRDefault="000D397F" w:rsidP="00865771">
            <w:pPr>
              <w:pStyle w:val="standard"/>
              <w:keepNext/>
              <w:keepLines/>
              <w:ind w:firstLine="0"/>
              <w:jc w:val="center"/>
            </w:pPr>
            <w:r>
              <w:t>Mesa Dunes Monthly Water Bill</w:t>
            </w:r>
          </w:p>
        </w:tc>
      </w:tr>
      <w:tr w:rsidR="000D397F" w:rsidTr="00A913D0">
        <w:trPr>
          <w:jc w:val="center"/>
        </w:trPr>
        <w:tc>
          <w:tcPr>
            <w:tcW w:w="2337" w:type="dxa"/>
          </w:tcPr>
          <w:p w:rsidR="000D397F" w:rsidRDefault="000D397F" w:rsidP="00865771">
            <w:pPr>
              <w:pStyle w:val="standard"/>
              <w:keepNext/>
              <w:keepLines/>
              <w:ind w:firstLine="0"/>
              <w:jc w:val="center"/>
            </w:pPr>
            <w:r>
              <w:t>Usage in CCF</w:t>
            </w:r>
          </w:p>
        </w:tc>
        <w:tc>
          <w:tcPr>
            <w:tcW w:w="2337" w:type="dxa"/>
          </w:tcPr>
          <w:p w:rsidR="000D397F" w:rsidRDefault="000D397F" w:rsidP="00865771">
            <w:pPr>
              <w:pStyle w:val="standard"/>
              <w:keepNext/>
              <w:keepLines/>
              <w:ind w:firstLine="0"/>
              <w:jc w:val="center"/>
            </w:pPr>
            <w:r>
              <w:t>Service Charge</w:t>
            </w:r>
          </w:p>
        </w:tc>
        <w:tc>
          <w:tcPr>
            <w:tcW w:w="2338" w:type="dxa"/>
          </w:tcPr>
          <w:p w:rsidR="000D397F" w:rsidRDefault="000D397F" w:rsidP="00865771">
            <w:pPr>
              <w:pStyle w:val="standard"/>
              <w:keepNext/>
              <w:keepLines/>
              <w:ind w:firstLine="0"/>
              <w:jc w:val="center"/>
            </w:pPr>
            <w:r>
              <w:t>Quantity Charge</w:t>
            </w:r>
          </w:p>
        </w:tc>
        <w:tc>
          <w:tcPr>
            <w:tcW w:w="2338" w:type="dxa"/>
          </w:tcPr>
          <w:p w:rsidR="000D397F" w:rsidRDefault="000D397F" w:rsidP="00865771">
            <w:pPr>
              <w:pStyle w:val="standard"/>
              <w:keepNext/>
              <w:keepLines/>
              <w:ind w:firstLine="0"/>
              <w:jc w:val="center"/>
            </w:pPr>
            <w:r>
              <w:t>Total</w:t>
            </w:r>
          </w:p>
        </w:tc>
      </w:tr>
      <w:tr w:rsidR="000D397F" w:rsidTr="00A913D0">
        <w:trPr>
          <w:jc w:val="center"/>
        </w:trPr>
        <w:tc>
          <w:tcPr>
            <w:tcW w:w="2337" w:type="dxa"/>
          </w:tcPr>
          <w:p w:rsidR="000D397F" w:rsidRDefault="000D397F" w:rsidP="005117F6">
            <w:pPr>
              <w:pStyle w:val="standard"/>
              <w:keepNext/>
              <w:keepLines/>
              <w:ind w:firstLine="0"/>
              <w:jc w:val="center"/>
            </w:pPr>
            <w:r>
              <w:t>0</w:t>
            </w:r>
          </w:p>
        </w:tc>
        <w:tc>
          <w:tcPr>
            <w:tcW w:w="2337" w:type="dxa"/>
          </w:tcPr>
          <w:p w:rsidR="000D397F" w:rsidRDefault="000D397F" w:rsidP="005117F6">
            <w:pPr>
              <w:pStyle w:val="standard"/>
              <w:keepNext/>
              <w:keepLines/>
              <w:ind w:firstLine="0"/>
              <w:jc w:val="center"/>
            </w:pPr>
            <w:r>
              <w:t>10.69</w:t>
            </w:r>
          </w:p>
        </w:tc>
        <w:tc>
          <w:tcPr>
            <w:tcW w:w="2338" w:type="dxa"/>
          </w:tcPr>
          <w:p w:rsidR="000D397F" w:rsidRDefault="000D397F" w:rsidP="005117F6">
            <w:pPr>
              <w:pStyle w:val="standard"/>
              <w:keepNext/>
              <w:keepLines/>
              <w:ind w:firstLine="0"/>
              <w:jc w:val="center"/>
            </w:pPr>
            <w:r>
              <w:t>0.00</w:t>
            </w:r>
          </w:p>
        </w:tc>
        <w:tc>
          <w:tcPr>
            <w:tcW w:w="2338" w:type="dxa"/>
          </w:tcPr>
          <w:p w:rsidR="000D397F" w:rsidRDefault="000D397F" w:rsidP="005117F6">
            <w:pPr>
              <w:pStyle w:val="standard"/>
              <w:keepNext/>
              <w:keepLines/>
              <w:ind w:firstLine="0"/>
              <w:jc w:val="center"/>
            </w:pPr>
            <w:r>
              <w:t>$ 10.69</w:t>
            </w:r>
          </w:p>
        </w:tc>
      </w:tr>
      <w:tr w:rsidR="000D397F" w:rsidTr="00A913D0">
        <w:trPr>
          <w:jc w:val="center"/>
        </w:trPr>
        <w:tc>
          <w:tcPr>
            <w:tcW w:w="2337" w:type="dxa"/>
          </w:tcPr>
          <w:p w:rsidR="000D397F" w:rsidRDefault="000D397F" w:rsidP="005117F6">
            <w:pPr>
              <w:pStyle w:val="standard"/>
              <w:keepNext/>
              <w:keepLines/>
              <w:ind w:firstLine="0"/>
              <w:jc w:val="center"/>
            </w:pPr>
            <w:r>
              <w:t>1</w:t>
            </w:r>
          </w:p>
        </w:tc>
        <w:tc>
          <w:tcPr>
            <w:tcW w:w="2337" w:type="dxa"/>
          </w:tcPr>
          <w:p w:rsidR="000D397F" w:rsidRDefault="000D397F" w:rsidP="005117F6">
            <w:pPr>
              <w:pStyle w:val="standard"/>
              <w:keepNext/>
              <w:keepLines/>
              <w:ind w:firstLine="0"/>
              <w:jc w:val="center"/>
            </w:pPr>
            <w:r>
              <w:t>10.69</w:t>
            </w:r>
          </w:p>
        </w:tc>
        <w:tc>
          <w:tcPr>
            <w:tcW w:w="2338" w:type="dxa"/>
          </w:tcPr>
          <w:p w:rsidR="000D397F" w:rsidRDefault="000D397F" w:rsidP="005117F6">
            <w:pPr>
              <w:pStyle w:val="standard"/>
              <w:keepNext/>
              <w:keepLines/>
              <w:ind w:firstLine="0"/>
              <w:jc w:val="center"/>
            </w:pPr>
            <w:r>
              <w:t>3.06</w:t>
            </w:r>
          </w:p>
        </w:tc>
        <w:tc>
          <w:tcPr>
            <w:tcW w:w="2338" w:type="dxa"/>
          </w:tcPr>
          <w:p w:rsidR="000D397F" w:rsidRDefault="000D397F" w:rsidP="005117F6">
            <w:pPr>
              <w:pStyle w:val="standard"/>
              <w:keepNext/>
              <w:keepLines/>
              <w:ind w:firstLine="0"/>
              <w:jc w:val="center"/>
            </w:pPr>
            <w:r>
              <w:t>$ 13.75</w:t>
            </w:r>
          </w:p>
        </w:tc>
      </w:tr>
      <w:tr w:rsidR="000D397F" w:rsidTr="00A913D0">
        <w:trPr>
          <w:jc w:val="center"/>
        </w:trPr>
        <w:tc>
          <w:tcPr>
            <w:tcW w:w="2337" w:type="dxa"/>
          </w:tcPr>
          <w:p w:rsidR="000D397F" w:rsidRDefault="000D397F" w:rsidP="00A913D0">
            <w:pPr>
              <w:pStyle w:val="standard"/>
              <w:ind w:firstLine="0"/>
              <w:jc w:val="center"/>
            </w:pPr>
            <w:r>
              <w:t>2</w:t>
            </w:r>
          </w:p>
        </w:tc>
        <w:tc>
          <w:tcPr>
            <w:tcW w:w="2337" w:type="dxa"/>
          </w:tcPr>
          <w:p w:rsidR="000D397F" w:rsidRDefault="000D397F" w:rsidP="00A913D0">
            <w:pPr>
              <w:pStyle w:val="standard"/>
              <w:ind w:firstLine="0"/>
              <w:jc w:val="center"/>
            </w:pPr>
            <w:r>
              <w:t>10.69</w:t>
            </w:r>
          </w:p>
        </w:tc>
        <w:tc>
          <w:tcPr>
            <w:tcW w:w="2338" w:type="dxa"/>
          </w:tcPr>
          <w:p w:rsidR="000D397F" w:rsidRDefault="000D397F" w:rsidP="00A913D0">
            <w:pPr>
              <w:pStyle w:val="standard"/>
              <w:ind w:firstLine="0"/>
              <w:jc w:val="center"/>
            </w:pPr>
            <w:r>
              <w:t>6.12</w:t>
            </w:r>
          </w:p>
        </w:tc>
        <w:tc>
          <w:tcPr>
            <w:tcW w:w="2338" w:type="dxa"/>
          </w:tcPr>
          <w:p w:rsidR="000D397F" w:rsidRDefault="000D397F" w:rsidP="00A913D0">
            <w:pPr>
              <w:pStyle w:val="standard"/>
              <w:ind w:firstLine="0"/>
              <w:jc w:val="center"/>
            </w:pPr>
            <w:r>
              <w:t>$ 16.81</w:t>
            </w:r>
          </w:p>
        </w:tc>
      </w:tr>
      <w:tr w:rsidR="000D397F" w:rsidTr="00A913D0">
        <w:trPr>
          <w:jc w:val="center"/>
        </w:trPr>
        <w:tc>
          <w:tcPr>
            <w:tcW w:w="2337" w:type="dxa"/>
          </w:tcPr>
          <w:p w:rsidR="000D397F" w:rsidRDefault="000D397F" w:rsidP="00A913D0">
            <w:pPr>
              <w:pStyle w:val="standard"/>
              <w:ind w:firstLine="0"/>
              <w:jc w:val="center"/>
            </w:pPr>
            <w:r>
              <w:t>3</w:t>
            </w:r>
          </w:p>
        </w:tc>
        <w:tc>
          <w:tcPr>
            <w:tcW w:w="2337" w:type="dxa"/>
          </w:tcPr>
          <w:p w:rsidR="000D397F" w:rsidRDefault="000D397F" w:rsidP="00A913D0">
            <w:pPr>
              <w:pStyle w:val="standard"/>
              <w:ind w:firstLine="0"/>
              <w:jc w:val="center"/>
            </w:pPr>
            <w:r>
              <w:t>10.69</w:t>
            </w:r>
          </w:p>
        </w:tc>
        <w:tc>
          <w:tcPr>
            <w:tcW w:w="2338" w:type="dxa"/>
          </w:tcPr>
          <w:p w:rsidR="000D397F" w:rsidRDefault="000D397F" w:rsidP="00A913D0">
            <w:pPr>
              <w:pStyle w:val="standard"/>
              <w:ind w:firstLine="0"/>
              <w:jc w:val="center"/>
            </w:pPr>
            <w:r>
              <w:t>9.18</w:t>
            </w:r>
          </w:p>
        </w:tc>
        <w:tc>
          <w:tcPr>
            <w:tcW w:w="2338" w:type="dxa"/>
          </w:tcPr>
          <w:p w:rsidR="000D397F" w:rsidRDefault="000D397F" w:rsidP="00A913D0">
            <w:pPr>
              <w:pStyle w:val="standard"/>
              <w:ind w:firstLine="0"/>
              <w:jc w:val="center"/>
            </w:pPr>
            <w:r>
              <w:t>$ 19.87</w:t>
            </w:r>
          </w:p>
        </w:tc>
      </w:tr>
      <w:tr w:rsidR="000D397F" w:rsidTr="00A913D0">
        <w:trPr>
          <w:jc w:val="center"/>
        </w:trPr>
        <w:tc>
          <w:tcPr>
            <w:tcW w:w="2337" w:type="dxa"/>
          </w:tcPr>
          <w:p w:rsidR="000D397F" w:rsidRDefault="000D397F" w:rsidP="00A913D0">
            <w:pPr>
              <w:pStyle w:val="standard"/>
              <w:ind w:firstLine="0"/>
              <w:jc w:val="center"/>
            </w:pPr>
            <w:r>
              <w:t>4.53 (average)</w:t>
            </w:r>
          </w:p>
        </w:tc>
        <w:tc>
          <w:tcPr>
            <w:tcW w:w="2337" w:type="dxa"/>
          </w:tcPr>
          <w:p w:rsidR="000D397F" w:rsidRDefault="000D397F" w:rsidP="00A913D0">
            <w:pPr>
              <w:pStyle w:val="standard"/>
              <w:ind w:firstLine="0"/>
              <w:jc w:val="center"/>
            </w:pPr>
            <w:r>
              <w:t>10.69</w:t>
            </w:r>
          </w:p>
        </w:tc>
        <w:tc>
          <w:tcPr>
            <w:tcW w:w="2338" w:type="dxa"/>
          </w:tcPr>
          <w:p w:rsidR="000D397F" w:rsidRDefault="000D397F" w:rsidP="00A913D0">
            <w:pPr>
              <w:pStyle w:val="standard"/>
              <w:ind w:firstLine="0"/>
              <w:jc w:val="center"/>
            </w:pPr>
            <w:r>
              <w:t>13.86</w:t>
            </w:r>
          </w:p>
        </w:tc>
        <w:tc>
          <w:tcPr>
            <w:tcW w:w="2338" w:type="dxa"/>
          </w:tcPr>
          <w:p w:rsidR="000D397F" w:rsidRDefault="000D397F" w:rsidP="00A913D0">
            <w:pPr>
              <w:pStyle w:val="standard"/>
              <w:ind w:firstLine="0"/>
              <w:jc w:val="center"/>
            </w:pPr>
            <w:r>
              <w:t>$ 24.55</w:t>
            </w:r>
          </w:p>
        </w:tc>
      </w:tr>
      <w:tr w:rsidR="000D397F" w:rsidTr="00A913D0">
        <w:trPr>
          <w:jc w:val="center"/>
        </w:trPr>
        <w:tc>
          <w:tcPr>
            <w:tcW w:w="2337" w:type="dxa"/>
          </w:tcPr>
          <w:p w:rsidR="000D397F" w:rsidRDefault="000D397F" w:rsidP="00A913D0">
            <w:pPr>
              <w:pStyle w:val="standard"/>
              <w:ind w:firstLine="0"/>
              <w:jc w:val="center"/>
            </w:pPr>
            <w:r>
              <w:t>6</w:t>
            </w:r>
          </w:p>
        </w:tc>
        <w:tc>
          <w:tcPr>
            <w:tcW w:w="2337" w:type="dxa"/>
          </w:tcPr>
          <w:p w:rsidR="000D397F" w:rsidRDefault="000D397F" w:rsidP="00A913D0">
            <w:pPr>
              <w:pStyle w:val="standard"/>
              <w:ind w:firstLine="0"/>
              <w:jc w:val="center"/>
            </w:pPr>
            <w:r>
              <w:t>10.69</w:t>
            </w:r>
          </w:p>
        </w:tc>
        <w:tc>
          <w:tcPr>
            <w:tcW w:w="2338" w:type="dxa"/>
          </w:tcPr>
          <w:p w:rsidR="000D397F" w:rsidRDefault="000D397F" w:rsidP="00A913D0">
            <w:pPr>
              <w:pStyle w:val="standard"/>
              <w:ind w:firstLine="0"/>
              <w:jc w:val="center"/>
            </w:pPr>
            <w:r>
              <w:t>20.61</w:t>
            </w:r>
          </w:p>
        </w:tc>
        <w:tc>
          <w:tcPr>
            <w:tcW w:w="2338" w:type="dxa"/>
          </w:tcPr>
          <w:p w:rsidR="000D397F" w:rsidRDefault="000D397F" w:rsidP="00A913D0">
            <w:pPr>
              <w:pStyle w:val="standard"/>
              <w:ind w:firstLine="0"/>
              <w:jc w:val="center"/>
            </w:pPr>
            <w:r>
              <w:t>$ 31.30</w:t>
            </w:r>
          </w:p>
        </w:tc>
      </w:tr>
      <w:tr w:rsidR="000D397F" w:rsidTr="00A913D0">
        <w:trPr>
          <w:jc w:val="center"/>
        </w:trPr>
        <w:tc>
          <w:tcPr>
            <w:tcW w:w="2337" w:type="dxa"/>
          </w:tcPr>
          <w:p w:rsidR="000D397F" w:rsidRDefault="000D397F" w:rsidP="00A913D0">
            <w:pPr>
              <w:pStyle w:val="standard"/>
              <w:ind w:firstLine="0"/>
              <w:jc w:val="center"/>
            </w:pPr>
            <w:r>
              <w:t>7</w:t>
            </w:r>
          </w:p>
        </w:tc>
        <w:tc>
          <w:tcPr>
            <w:tcW w:w="2337" w:type="dxa"/>
          </w:tcPr>
          <w:p w:rsidR="000D397F" w:rsidRDefault="000D397F" w:rsidP="00A913D0">
            <w:pPr>
              <w:pStyle w:val="standard"/>
              <w:ind w:firstLine="0"/>
              <w:jc w:val="center"/>
            </w:pPr>
            <w:r>
              <w:t>10.69</w:t>
            </w:r>
          </w:p>
        </w:tc>
        <w:tc>
          <w:tcPr>
            <w:tcW w:w="2338" w:type="dxa"/>
          </w:tcPr>
          <w:p w:rsidR="000D397F" w:rsidRDefault="000D397F" w:rsidP="00A913D0">
            <w:pPr>
              <w:pStyle w:val="standard"/>
              <w:ind w:firstLine="0"/>
              <w:jc w:val="center"/>
            </w:pPr>
            <w:r>
              <w:t>25.20</w:t>
            </w:r>
          </w:p>
        </w:tc>
        <w:tc>
          <w:tcPr>
            <w:tcW w:w="2338" w:type="dxa"/>
          </w:tcPr>
          <w:p w:rsidR="000D397F" w:rsidRDefault="000D397F" w:rsidP="00A913D0">
            <w:pPr>
              <w:pStyle w:val="standard"/>
              <w:ind w:firstLine="0"/>
              <w:jc w:val="center"/>
            </w:pPr>
            <w:r>
              <w:t>$ 35.89</w:t>
            </w:r>
          </w:p>
        </w:tc>
      </w:tr>
      <w:tr w:rsidR="000D397F" w:rsidTr="00A913D0">
        <w:trPr>
          <w:jc w:val="center"/>
        </w:trPr>
        <w:tc>
          <w:tcPr>
            <w:tcW w:w="2337" w:type="dxa"/>
          </w:tcPr>
          <w:p w:rsidR="000D397F" w:rsidRDefault="000D397F" w:rsidP="00A913D0">
            <w:pPr>
              <w:pStyle w:val="standard"/>
              <w:ind w:firstLine="0"/>
              <w:jc w:val="center"/>
            </w:pPr>
            <w:r>
              <w:t>8</w:t>
            </w:r>
          </w:p>
        </w:tc>
        <w:tc>
          <w:tcPr>
            <w:tcW w:w="2337" w:type="dxa"/>
          </w:tcPr>
          <w:p w:rsidR="000D397F" w:rsidRDefault="000D397F" w:rsidP="00A913D0">
            <w:pPr>
              <w:pStyle w:val="standard"/>
              <w:ind w:firstLine="0"/>
              <w:jc w:val="center"/>
            </w:pPr>
            <w:r>
              <w:t>10.69</w:t>
            </w:r>
          </w:p>
        </w:tc>
        <w:tc>
          <w:tcPr>
            <w:tcW w:w="2338" w:type="dxa"/>
          </w:tcPr>
          <w:p w:rsidR="000D397F" w:rsidRDefault="000D397F" w:rsidP="00A913D0">
            <w:pPr>
              <w:pStyle w:val="standard"/>
              <w:ind w:firstLine="0"/>
              <w:jc w:val="center"/>
            </w:pPr>
            <w:r>
              <w:t>29.79</w:t>
            </w:r>
          </w:p>
        </w:tc>
        <w:tc>
          <w:tcPr>
            <w:tcW w:w="2338" w:type="dxa"/>
          </w:tcPr>
          <w:p w:rsidR="000D397F" w:rsidRDefault="000D397F" w:rsidP="00A913D0">
            <w:pPr>
              <w:pStyle w:val="standard"/>
              <w:ind w:firstLine="0"/>
              <w:jc w:val="center"/>
            </w:pPr>
            <w:r>
              <w:t xml:space="preserve"> $ 40.48</w:t>
            </w:r>
          </w:p>
        </w:tc>
      </w:tr>
      <w:tr w:rsidR="000D397F" w:rsidTr="00A913D0">
        <w:trPr>
          <w:jc w:val="center"/>
        </w:trPr>
        <w:tc>
          <w:tcPr>
            <w:tcW w:w="2337" w:type="dxa"/>
          </w:tcPr>
          <w:p w:rsidR="000D397F" w:rsidRDefault="000D397F" w:rsidP="00A913D0">
            <w:pPr>
              <w:pStyle w:val="standard"/>
              <w:ind w:firstLine="0"/>
              <w:jc w:val="center"/>
            </w:pPr>
            <w:r>
              <w:t>9</w:t>
            </w:r>
          </w:p>
        </w:tc>
        <w:tc>
          <w:tcPr>
            <w:tcW w:w="2337" w:type="dxa"/>
          </w:tcPr>
          <w:p w:rsidR="000D397F" w:rsidRDefault="000D397F" w:rsidP="00A913D0">
            <w:pPr>
              <w:pStyle w:val="standard"/>
              <w:ind w:firstLine="0"/>
              <w:jc w:val="center"/>
            </w:pPr>
            <w:r>
              <w:t>10.69</w:t>
            </w:r>
          </w:p>
        </w:tc>
        <w:tc>
          <w:tcPr>
            <w:tcW w:w="2338" w:type="dxa"/>
          </w:tcPr>
          <w:p w:rsidR="000D397F" w:rsidRDefault="000D397F" w:rsidP="00A913D0">
            <w:pPr>
              <w:pStyle w:val="standard"/>
              <w:ind w:firstLine="0"/>
              <w:jc w:val="center"/>
            </w:pPr>
            <w:r>
              <w:t>34.38</w:t>
            </w:r>
          </w:p>
        </w:tc>
        <w:tc>
          <w:tcPr>
            <w:tcW w:w="2338" w:type="dxa"/>
          </w:tcPr>
          <w:p w:rsidR="000D397F" w:rsidRDefault="000D397F" w:rsidP="00A913D0">
            <w:pPr>
              <w:pStyle w:val="standard"/>
              <w:ind w:firstLine="0"/>
              <w:jc w:val="center"/>
            </w:pPr>
            <w:r>
              <w:t>$ 45.07</w:t>
            </w:r>
          </w:p>
        </w:tc>
      </w:tr>
      <w:tr w:rsidR="000D397F" w:rsidTr="00A913D0">
        <w:trPr>
          <w:jc w:val="center"/>
        </w:trPr>
        <w:tc>
          <w:tcPr>
            <w:tcW w:w="2337" w:type="dxa"/>
          </w:tcPr>
          <w:p w:rsidR="000D397F" w:rsidRDefault="000D397F" w:rsidP="00A913D0">
            <w:pPr>
              <w:pStyle w:val="standard"/>
              <w:ind w:firstLine="0"/>
              <w:jc w:val="center"/>
            </w:pPr>
            <w:r>
              <w:t>10</w:t>
            </w:r>
          </w:p>
        </w:tc>
        <w:tc>
          <w:tcPr>
            <w:tcW w:w="2337" w:type="dxa"/>
          </w:tcPr>
          <w:p w:rsidR="000D397F" w:rsidRDefault="000D397F" w:rsidP="00A913D0">
            <w:pPr>
              <w:pStyle w:val="standard"/>
              <w:ind w:firstLine="0"/>
              <w:jc w:val="center"/>
            </w:pPr>
            <w:r>
              <w:t>10.69</w:t>
            </w:r>
          </w:p>
        </w:tc>
        <w:tc>
          <w:tcPr>
            <w:tcW w:w="2338" w:type="dxa"/>
          </w:tcPr>
          <w:p w:rsidR="000D397F" w:rsidRDefault="000D397F" w:rsidP="00A913D0">
            <w:pPr>
              <w:pStyle w:val="standard"/>
              <w:ind w:firstLine="0"/>
              <w:jc w:val="center"/>
            </w:pPr>
            <w:r>
              <w:t>38.97</w:t>
            </w:r>
          </w:p>
        </w:tc>
        <w:tc>
          <w:tcPr>
            <w:tcW w:w="2338" w:type="dxa"/>
          </w:tcPr>
          <w:p w:rsidR="000D397F" w:rsidRDefault="000D397F" w:rsidP="00A913D0">
            <w:pPr>
              <w:pStyle w:val="standard"/>
              <w:ind w:firstLine="0"/>
              <w:jc w:val="center"/>
            </w:pPr>
            <w:r>
              <w:t>$ 49.66</w:t>
            </w:r>
          </w:p>
        </w:tc>
      </w:tr>
      <w:tr w:rsidR="000D397F" w:rsidTr="00A913D0">
        <w:trPr>
          <w:jc w:val="center"/>
        </w:trPr>
        <w:tc>
          <w:tcPr>
            <w:tcW w:w="2337" w:type="dxa"/>
          </w:tcPr>
          <w:p w:rsidR="000D397F" w:rsidRDefault="000D397F" w:rsidP="00A913D0">
            <w:pPr>
              <w:pStyle w:val="standard"/>
              <w:ind w:firstLine="0"/>
              <w:jc w:val="center"/>
            </w:pPr>
            <w:r>
              <w:t>11</w:t>
            </w:r>
          </w:p>
        </w:tc>
        <w:tc>
          <w:tcPr>
            <w:tcW w:w="2337" w:type="dxa"/>
          </w:tcPr>
          <w:p w:rsidR="000D397F" w:rsidRDefault="000D397F" w:rsidP="00A913D0">
            <w:pPr>
              <w:pStyle w:val="standard"/>
              <w:ind w:firstLine="0"/>
              <w:jc w:val="center"/>
            </w:pPr>
            <w:r>
              <w:t>10.69</w:t>
            </w:r>
          </w:p>
        </w:tc>
        <w:tc>
          <w:tcPr>
            <w:tcW w:w="2338" w:type="dxa"/>
          </w:tcPr>
          <w:p w:rsidR="000D397F" w:rsidRDefault="000D397F" w:rsidP="00A913D0">
            <w:pPr>
              <w:pStyle w:val="standard"/>
              <w:ind w:firstLine="0"/>
              <w:jc w:val="center"/>
            </w:pPr>
            <w:r>
              <w:t>43.56</w:t>
            </w:r>
          </w:p>
        </w:tc>
        <w:tc>
          <w:tcPr>
            <w:tcW w:w="2338" w:type="dxa"/>
          </w:tcPr>
          <w:p w:rsidR="000D397F" w:rsidRDefault="000D397F" w:rsidP="00A913D0">
            <w:pPr>
              <w:pStyle w:val="standard"/>
              <w:ind w:firstLine="0"/>
              <w:jc w:val="center"/>
            </w:pPr>
            <w:r>
              <w:t>$ 54.25</w:t>
            </w:r>
          </w:p>
        </w:tc>
      </w:tr>
    </w:tbl>
    <w:p w:rsidR="000D397F" w:rsidRPr="005117F6" w:rsidRDefault="000D397F" w:rsidP="000D397F">
      <w:pPr>
        <w:pStyle w:val="standard"/>
        <w:ind w:firstLine="0"/>
        <w:rPr>
          <w:sz w:val="12"/>
          <w:szCs w:val="12"/>
        </w:rPr>
      </w:pPr>
    </w:p>
    <w:p w:rsidR="000D397F" w:rsidRPr="001D14C1" w:rsidRDefault="000D397F" w:rsidP="000D397F">
      <w:pPr>
        <w:pStyle w:val="standard"/>
        <w:ind w:firstLine="0"/>
        <w:rPr>
          <w:b/>
        </w:rPr>
      </w:pPr>
      <w:r w:rsidRPr="001D14C1">
        <w:rPr>
          <w:b/>
          <w:u w:val="single"/>
        </w:rPr>
        <w:t>Rate Comparison if Mesa Dunes Was a CPUC-Regulated Class D Water Utility</w:t>
      </w:r>
    </w:p>
    <w:p w:rsidR="000D397F" w:rsidRDefault="000D397F" w:rsidP="000D397F">
      <w:pPr>
        <w:pStyle w:val="standard"/>
        <w:ind w:firstLine="0"/>
      </w:pPr>
      <w:r>
        <w:tab/>
        <w:t>Using the CPUC calculated revenue of $151,946 and its methodology to determine rates, Water Division estimates Mesa Dunes’ rates as follows:</w:t>
      </w:r>
    </w:p>
    <w:p w:rsidR="000D397F" w:rsidRDefault="000D397F" w:rsidP="004E4C96">
      <w:pPr>
        <w:pStyle w:val="standard"/>
        <w:spacing w:after="120" w:line="240" w:lineRule="auto"/>
        <w:ind w:firstLine="0"/>
      </w:pPr>
      <w:r>
        <w:tab/>
        <w:t>Monthly Service Charge:</w:t>
      </w:r>
      <w:r>
        <w:tab/>
      </w:r>
      <w:r>
        <w:tab/>
      </w:r>
      <w:r>
        <w:tab/>
        <w:t>$ 19.14 per month</w:t>
      </w:r>
    </w:p>
    <w:p w:rsidR="000D397F" w:rsidRDefault="000D397F" w:rsidP="004E4C96">
      <w:pPr>
        <w:pStyle w:val="standard"/>
        <w:spacing w:after="120" w:line="240" w:lineRule="auto"/>
        <w:ind w:firstLine="0"/>
      </w:pPr>
      <w:r>
        <w:tab/>
        <w:t>Quantify Rate:</w:t>
      </w:r>
      <w:r>
        <w:tab/>
      </w:r>
      <w:r>
        <w:tab/>
      </w:r>
      <w:r>
        <w:tab/>
      </w:r>
      <w:r>
        <w:tab/>
        <w:t>$ 3.73 per CCF</w:t>
      </w:r>
    </w:p>
    <w:p w:rsidR="000D397F" w:rsidRDefault="000D397F" w:rsidP="000D397F">
      <w:pPr>
        <w:pStyle w:val="standard"/>
        <w:ind w:firstLine="0"/>
      </w:pPr>
      <w:r>
        <w:tab/>
        <w:t>Using the Water Division’s rates and methodology, the average monthly bill for a mobilehome unit consuming 4.53 CCF per month would be $36.05, which is $11.50 (or 46.8 percent) higher than the rates charged by Mesa Dunes.</w:t>
      </w:r>
    </w:p>
    <w:p w:rsidR="000D397F" w:rsidRPr="007B1E51" w:rsidRDefault="000D397F" w:rsidP="007B1E51">
      <w:pPr>
        <w:pStyle w:val="standard"/>
        <w:keepNext/>
        <w:keepLines/>
        <w:ind w:firstLine="0"/>
        <w:rPr>
          <w:b/>
        </w:rPr>
      </w:pPr>
      <w:r w:rsidRPr="007B1E51">
        <w:rPr>
          <w:b/>
          <w:u w:val="single"/>
        </w:rPr>
        <w:lastRenderedPageBreak/>
        <w:t>Mesa Dunes’ Rates Compared to Surrounding Areas</w:t>
      </w:r>
    </w:p>
    <w:p w:rsidR="00FF69B0" w:rsidRDefault="000D397F" w:rsidP="007B1E51">
      <w:pPr>
        <w:pStyle w:val="standard"/>
        <w:keepNext/>
        <w:keepLines/>
        <w:ind w:firstLine="0"/>
      </w:pPr>
      <w:r>
        <w:tab/>
        <w:t xml:space="preserve">In response to the complainants’ contention that the rates charged by </w:t>
      </w:r>
    </w:p>
    <w:p w:rsidR="000D397F" w:rsidRDefault="000D397F" w:rsidP="007B1E51">
      <w:pPr>
        <w:pStyle w:val="standard"/>
        <w:keepNext/>
        <w:keepLines/>
        <w:ind w:firstLine="0"/>
      </w:pPr>
      <w:r>
        <w:t>Mesa Dunes are higher than the water rates charged in surrounding areas, Mesa Dunes provided the following comparison of water bills from surrounding communities receiving water service from the Heritage Ranch Community Services District (HRCSD) calculated for both single family residences (SFR) and prorated 80 percent for mobilehomes:</w:t>
      </w:r>
    </w:p>
    <w:tbl>
      <w:tblPr>
        <w:tblStyle w:val="TableGrid"/>
        <w:tblW w:w="0" w:type="auto"/>
        <w:tblLook w:val="04A0" w:firstRow="1" w:lastRow="0" w:firstColumn="1" w:lastColumn="0" w:noHBand="0" w:noVBand="1"/>
      </w:tblPr>
      <w:tblGrid>
        <w:gridCol w:w="1870"/>
        <w:gridCol w:w="1870"/>
        <w:gridCol w:w="1870"/>
        <w:gridCol w:w="1870"/>
        <w:gridCol w:w="1870"/>
      </w:tblGrid>
      <w:tr w:rsidR="000D397F" w:rsidTr="00A913D0">
        <w:tc>
          <w:tcPr>
            <w:tcW w:w="1870" w:type="dxa"/>
          </w:tcPr>
          <w:p w:rsidR="000D397F" w:rsidRDefault="000D397F" w:rsidP="00793A79">
            <w:pPr>
              <w:pStyle w:val="standard"/>
              <w:spacing w:after="120" w:line="240" w:lineRule="auto"/>
              <w:ind w:firstLine="0"/>
              <w:jc w:val="center"/>
            </w:pPr>
          </w:p>
          <w:p w:rsidR="000D397F" w:rsidRDefault="000D397F" w:rsidP="00793A79">
            <w:pPr>
              <w:pStyle w:val="standard"/>
              <w:spacing w:after="120" w:line="240" w:lineRule="auto"/>
              <w:ind w:firstLine="0"/>
              <w:jc w:val="center"/>
            </w:pPr>
            <w:r>
              <w:t>City</w:t>
            </w:r>
          </w:p>
        </w:tc>
        <w:tc>
          <w:tcPr>
            <w:tcW w:w="1870" w:type="dxa"/>
          </w:tcPr>
          <w:p w:rsidR="000D397F" w:rsidRDefault="000D397F" w:rsidP="00793A79">
            <w:pPr>
              <w:pStyle w:val="standard"/>
              <w:spacing w:after="120" w:line="240" w:lineRule="auto"/>
              <w:ind w:firstLine="0"/>
              <w:jc w:val="center"/>
            </w:pPr>
            <w:r>
              <w:t>HRCSD</w:t>
            </w:r>
          </w:p>
          <w:p w:rsidR="000D397F" w:rsidRDefault="000D397F" w:rsidP="00793A79">
            <w:pPr>
              <w:pStyle w:val="standard"/>
              <w:spacing w:after="120" w:line="240" w:lineRule="auto"/>
              <w:ind w:firstLine="0"/>
              <w:jc w:val="center"/>
            </w:pPr>
            <w:r>
              <w:t>SFR 7 CCF</w:t>
            </w:r>
          </w:p>
        </w:tc>
        <w:tc>
          <w:tcPr>
            <w:tcW w:w="1870" w:type="dxa"/>
          </w:tcPr>
          <w:p w:rsidR="000D397F" w:rsidRDefault="000D397F" w:rsidP="00793A79">
            <w:pPr>
              <w:pStyle w:val="standard"/>
              <w:spacing w:after="120" w:line="240" w:lineRule="auto"/>
              <w:ind w:firstLine="0"/>
              <w:jc w:val="center"/>
            </w:pPr>
            <w:r>
              <w:t>Prorated for MDMHE 6.03 CCF</w:t>
            </w:r>
            <w:r>
              <w:rPr>
                <w:rStyle w:val="FootnoteReference"/>
              </w:rPr>
              <w:footnoteReference w:id="8"/>
            </w:r>
          </w:p>
        </w:tc>
        <w:tc>
          <w:tcPr>
            <w:tcW w:w="1870" w:type="dxa"/>
          </w:tcPr>
          <w:p w:rsidR="000D397F" w:rsidRDefault="000D397F" w:rsidP="00793A79">
            <w:pPr>
              <w:pStyle w:val="standard"/>
              <w:spacing w:after="120" w:line="240" w:lineRule="auto"/>
              <w:ind w:firstLine="0"/>
              <w:jc w:val="center"/>
            </w:pPr>
            <w:r>
              <w:t>Prorated 80 percent for Mobilehomes</w:t>
            </w:r>
          </w:p>
        </w:tc>
        <w:tc>
          <w:tcPr>
            <w:tcW w:w="1870" w:type="dxa"/>
          </w:tcPr>
          <w:p w:rsidR="000D397F" w:rsidRDefault="000D397F" w:rsidP="00793A79">
            <w:pPr>
              <w:pStyle w:val="standard"/>
              <w:spacing w:after="120" w:line="240" w:lineRule="auto"/>
              <w:ind w:firstLine="0"/>
              <w:jc w:val="center"/>
            </w:pPr>
          </w:p>
          <w:p w:rsidR="000D397F" w:rsidRDefault="000D397F" w:rsidP="00793A79">
            <w:pPr>
              <w:pStyle w:val="standard"/>
              <w:spacing w:after="120" w:line="240" w:lineRule="auto"/>
              <w:ind w:firstLine="0"/>
              <w:jc w:val="center"/>
            </w:pPr>
            <w:r>
              <w:t>Difference</w:t>
            </w:r>
          </w:p>
        </w:tc>
      </w:tr>
      <w:tr w:rsidR="000D397F" w:rsidRPr="00C6416B" w:rsidTr="00A913D0">
        <w:tc>
          <w:tcPr>
            <w:tcW w:w="9350" w:type="dxa"/>
            <w:gridSpan w:val="5"/>
          </w:tcPr>
          <w:p w:rsidR="000D397F" w:rsidRPr="00C6416B" w:rsidRDefault="000D397F" w:rsidP="00793A79">
            <w:pPr>
              <w:pStyle w:val="standard"/>
              <w:spacing w:after="120" w:line="240" w:lineRule="auto"/>
              <w:ind w:firstLine="0"/>
              <w:jc w:val="center"/>
              <w:rPr>
                <w:sz w:val="16"/>
                <w:szCs w:val="16"/>
              </w:rPr>
            </w:pPr>
          </w:p>
        </w:tc>
      </w:tr>
      <w:tr w:rsidR="000D397F" w:rsidTr="00A913D0">
        <w:tc>
          <w:tcPr>
            <w:tcW w:w="1870" w:type="dxa"/>
          </w:tcPr>
          <w:p w:rsidR="000D397F" w:rsidRDefault="000D397F" w:rsidP="00793A79">
            <w:pPr>
              <w:pStyle w:val="standard"/>
              <w:spacing w:after="120" w:line="240" w:lineRule="auto"/>
              <w:ind w:firstLine="0"/>
              <w:jc w:val="center"/>
            </w:pPr>
            <w:r>
              <w:t>MDMHE</w:t>
            </w:r>
          </w:p>
        </w:tc>
        <w:tc>
          <w:tcPr>
            <w:tcW w:w="1870" w:type="dxa"/>
          </w:tcPr>
          <w:p w:rsidR="000D397F" w:rsidRDefault="000D397F" w:rsidP="00793A79">
            <w:pPr>
              <w:pStyle w:val="standard"/>
              <w:spacing w:after="120" w:line="240" w:lineRule="auto"/>
              <w:ind w:firstLine="0"/>
            </w:pPr>
          </w:p>
        </w:tc>
        <w:tc>
          <w:tcPr>
            <w:tcW w:w="1870" w:type="dxa"/>
          </w:tcPr>
          <w:p w:rsidR="000D397F" w:rsidRDefault="000D397F" w:rsidP="00793A79">
            <w:pPr>
              <w:pStyle w:val="standard"/>
              <w:spacing w:after="120" w:line="240" w:lineRule="auto"/>
              <w:ind w:firstLine="0"/>
              <w:jc w:val="center"/>
            </w:pPr>
          </w:p>
        </w:tc>
        <w:tc>
          <w:tcPr>
            <w:tcW w:w="1870" w:type="dxa"/>
          </w:tcPr>
          <w:p w:rsidR="000D397F" w:rsidRDefault="000D397F" w:rsidP="00793A79">
            <w:pPr>
              <w:pStyle w:val="standard"/>
              <w:spacing w:after="120" w:line="240" w:lineRule="auto"/>
              <w:ind w:firstLine="0"/>
              <w:jc w:val="center"/>
            </w:pPr>
            <w:r>
              <w:t>$ 30.72</w:t>
            </w:r>
          </w:p>
        </w:tc>
        <w:tc>
          <w:tcPr>
            <w:tcW w:w="1870" w:type="dxa"/>
          </w:tcPr>
          <w:p w:rsidR="000D397F" w:rsidRDefault="000D397F" w:rsidP="00793A79">
            <w:pPr>
              <w:pStyle w:val="standard"/>
              <w:spacing w:after="120" w:line="240" w:lineRule="auto"/>
              <w:ind w:firstLine="0"/>
              <w:jc w:val="center"/>
            </w:pPr>
          </w:p>
        </w:tc>
      </w:tr>
      <w:tr w:rsidR="000D397F" w:rsidRPr="00C6416B" w:rsidTr="00A913D0">
        <w:tc>
          <w:tcPr>
            <w:tcW w:w="9350" w:type="dxa"/>
            <w:gridSpan w:val="5"/>
          </w:tcPr>
          <w:p w:rsidR="000D397F" w:rsidRPr="00C56096" w:rsidRDefault="000D397F" w:rsidP="00793A79">
            <w:pPr>
              <w:pStyle w:val="standard"/>
              <w:spacing w:after="120" w:line="240" w:lineRule="auto"/>
              <w:ind w:firstLine="0"/>
              <w:jc w:val="center"/>
              <w:rPr>
                <w:color w:val="C4BC96" w:themeColor="background2" w:themeShade="BF"/>
                <w:sz w:val="16"/>
                <w:szCs w:val="16"/>
              </w:rPr>
            </w:pPr>
          </w:p>
        </w:tc>
      </w:tr>
      <w:tr w:rsidR="000D397F" w:rsidTr="00A913D0">
        <w:tc>
          <w:tcPr>
            <w:tcW w:w="1870" w:type="dxa"/>
          </w:tcPr>
          <w:p w:rsidR="000D397F" w:rsidRDefault="000D397F" w:rsidP="00793A79">
            <w:pPr>
              <w:pStyle w:val="standard"/>
              <w:spacing w:after="120" w:line="240" w:lineRule="auto"/>
              <w:ind w:firstLine="0"/>
              <w:jc w:val="center"/>
            </w:pPr>
            <w:r>
              <w:t>Grover Beach</w:t>
            </w:r>
          </w:p>
        </w:tc>
        <w:tc>
          <w:tcPr>
            <w:tcW w:w="1870" w:type="dxa"/>
          </w:tcPr>
          <w:p w:rsidR="000D397F" w:rsidRDefault="000D397F" w:rsidP="00793A79">
            <w:pPr>
              <w:pStyle w:val="standard"/>
              <w:spacing w:after="120" w:line="240" w:lineRule="auto"/>
              <w:ind w:firstLine="0"/>
              <w:jc w:val="center"/>
            </w:pPr>
            <w:r>
              <w:t>$ 55.82</w:t>
            </w:r>
          </w:p>
        </w:tc>
        <w:tc>
          <w:tcPr>
            <w:tcW w:w="1870" w:type="dxa"/>
          </w:tcPr>
          <w:p w:rsidR="000D397F" w:rsidRDefault="000D397F" w:rsidP="00793A79">
            <w:pPr>
              <w:pStyle w:val="standard"/>
              <w:spacing w:after="120" w:line="240" w:lineRule="auto"/>
              <w:ind w:firstLine="0"/>
              <w:jc w:val="center"/>
            </w:pPr>
            <w:r>
              <w:t>$ 47.84</w:t>
            </w:r>
          </w:p>
        </w:tc>
        <w:tc>
          <w:tcPr>
            <w:tcW w:w="1870" w:type="dxa"/>
          </w:tcPr>
          <w:p w:rsidR="000D397F" w:rsidRDefault="000D397F" w:rsidP="00793A79">
            <w:pPr>
              <w:pStyle w:val="standard"/>
              <w:spacing w:after="120" w:line="240" w:lineRule="auto"/>
              <w:ind w:firstLine="0"/>
              <w:jc w:val="center"/>
            </w:pPr>
            <w:r>
              <w:t>$ 38.27</w:t>
            </w:r>
          </w:p>
        </w:tc>
        <w:tc>
          <w:tcPr>
            <w:tcW w:w="1870" w:type="dxa"/>
          </w:tcPr>
          <w:p w:rsidR="000D397F" w:rsidRDefault="000D397F" w:rsidP="00793A79">
            <w:pPr>
              <w:pStyle w:val="standard"/>
              <w:spacing w:after="120" w:line="240" w:lineRule="auto"/>
              <w:ind w:firstLine="0"/>
              <w:jc w:val="center"/>
            </w:pPr>
            <w:r>
              <w:t>+ 125 %</w:t>
            </w:r>
          </w:p>
        </w:tc>
      </w:tr>
      <w:tr w:rsidR="000D397F" w:rsidTr="00A913D0">
        <w:tc>
          <w:tcPr>
            <w:tcW w:w="1870" w:type="dxa"/>
          </w:tcPr>
          <w:p w:rsidR="000D397F" w:rsidRDefault="000D397F" w:rsidP="00793A79">
            <w:pPr>
              <w:pStyle w:val="standard"/>
              <w:spacing w:after="120" w:line="240" w:lineRule="auto"/>
              <w:ind w:firstLine="0"/>
              <w:jc w:val="center"/>
            </w:pPr>
            <w:r>
              <w:t>Arroyo Grande</w:t>
            </w:r>
          </w:p>
        </w:tc>
        <w:tc>
          <w:tcPr>
            <w:tcW w:w="1870" w:type="dxa"/>
          </w:tcPr>
          <w:p w:rsidR="000D397F" w:rsidRDefault="000D397F" w:rsidP="00793A79">
            <w:pPr>
              <w:pStyle w:val="standard"/>
              <w:spacing w:after="120" w:line="240" w:lineRule="auto"/>
              <w:ind w:firstLine="0"/>
              <w:jc w:val="center"/>
            </w:pPr>
            <w:r>
              <w:t>$ 69.76</w:t>
            </w:r>
          </w:p>
        </w:tc>
        <w:tc>
          <w:tcPr>
            <w:tcW w:w="1870" w:type="dxa"/>
          </w:tcPr>
          <w:p w:rsidR="000D397F" w:rsidRDefault="000D397F" w:rsidP="00793A79">
            <w:pPr>
              <w:pStyle w:val="standard"/>
              <w:spacing w:after="120" w:line="240" w:lineRule="auto"/>
              <w:ind w:firstLine="0"/>
              <w:jc w:val="center"/>
            </w:pPr>
            <w:r>
              <w:t>$ 59.79</w:t>
            </w:r>
          </w:p>
        </w:tc>
        <w:tc>
          <w:tcPr>
            <w:tcW w:w="1870" w:type="dxa"/>
          </w:tcPr>
          <w:p w:rsidR="000D397F" w:rsidRDefault="000D397F" w:rsidP="00793A79">
            <w:pPr>
              <w:pStyle w:val="standard"/>
              <w:spacing w:after="120" w:line="240" w:lineRule="auto"/>
              <w:ind w:firstLine="0"/>
              <w:jc w:val="center"/>
            </w:pPr>
            <w:r>
              <w:t>$ 47.83</w:t>
            </w:r>
          </w:p>
        </w:tc>
        <w:tc>
          <w:tcPr>
            <w:tcW w:w="1870" w:type="dxa"/>
          </w:tcPr>
          <w:p w:rsidR="000D397F" w:rsidRDefault="000D397F" w:rsidP="00793A79">
            <w:pPr>
              <w:pStyle w:val="standard"/>
              <w:spacing w:after="120" w:line="240" w:lineRule="auto"/>
              <w:ind w:firstLine="0"/>
              <w:jc w:val="center"/>
            </w:pPr>
            <w:r>
              <w:t>+ 156 %</w:t>
            </w:r>
          </w:p>
        </w:tc>
      </w:tr>
      <w:tr w:rsidR="000D397F" w:rsidTr="00A913D0">
        <w:tc>
          <w:tcPr>
            <w:tcW w:w="1870" w:type="dxa"/>
          </w:tcPr>
          <w:p w:rsidR="000D397F" w:rsidRDefault="000D397F" w:rsidP="00793A79">
            <w:pPr>
              <w:pStyle w:val="standard"/>
              <w:spacing w:after="120" w:line="240" w:lineRule="auto"/>
              <w:ind w:firstLine="0"/>
              <w:jc w:val="center"/>
            </w:pPr>
            <w:r>
              <w:t>Pismo Beach</w:t>
            </w:r>
          </w:p>
        </w:tc>
        <w:tc>
          <w:tcPr>
            <w:tcW w:w="1870" w:type="dxa"/>
          </w:tcPr>
          <w:p w:rsidR="000D397F" w:rsidRDefault="000D397F" w:rsidP="00793A79">
            <w:pPr>
              <w:pStyle w:val="standard"/>
              <w:spacing w:after="120" w:line="240" w:lineRule="auto"/>
              <w:ind w:firstLine="0"/>
              <w:jc w:val="center"/>
            </w:pPr>
            <w:r>
              <w:t>$ 76.75</w:t>
            </w:r>
          </w:p>
        </w:tc>
        <w:tc>
          <w:tcPr>
            <w:tcW w:w="1870" w:type="dxa"/>
          </w:tcPr>
          <w:p w:rsidR="000D397F" w:rsidRDefault="000D397F" w:rsidP="00793A79">
            <w:pPr>
              <w:pStyle w:val="standard"/>
              <w:spacing w:after="120" w:line="240" w:lineRule="auto"/>
              <w:ind w:firstLine="0"/>
              <w:jc w:val="center"/>
            </w:pPr>
            <w:r>
              <w:t>$ 65.78</w:t>
            </w:r>
          </w:p>
        </w:tc>
        <w:tc>
          <w:tcPr>
            <w:tcW w:w="1870" w:type="dxa"/>
          </w:tcPr>
          <w:p w:rsidR="000D397F" w:rsidRDefault="000D397F" w:rsidP="00793A79">
            <w:pPr>
              <w:pStyle w:val="standard"/>
              <w:spacing w:after="120" w:line="240" w:lineRule="auto"/>
              <w:ind w:firstLine="0"/>
              <w:jc w:val="center"/>
            </w:pPr>
            <w:r>
              <w:t>$ 52.62</w:t>
            </w:r>
          </w:p>
        </w:tc>
        <w:tc>
          <w:tcPr>
            <w:tcW w:w="1870" w:type="dxa"/>
          </w:tcPr>
          <w:p w:rsidR="000D397F" w:rsidRDefault="000D397F" w:rsidP="00793A79">
            <w:pPr>
              <w:pStyle w:val="standard"/>
              <w:spacing w:after="120" w:line="240" w:lineRule="auto"/>
              <w:ind w:firstLine="0"/>
              <w:jc w:val="center"/>
            </w:pPr>
            <w:r>
              <w:t>+ 171 %</w:t>
            </w:r>
          </w:p>
        </w:tc>
      </w:tr>
      <w:tr w:rsidR="000D397F" w:rsidTr="00A913D0">
        <w:tc>
          <w:tcPr>
            <w:tcW w:w="1870" w:type="dxa"/>
          </w:tcPr>
          <w:p w:rsidR="000D397F" w:rsidRDefault="000D397F" w:rsidP="00793A79">
            <w:pPr>
              <w:pStyle w:val="standard"/>
              <w:spacing w:after="120" w:line="240" w:lineRule="auto"/>
              <w:ind w:firstLine="0"/>
              <w:jc w:val="center"/>
            </w:pPr>
            <w:r>
              <w:t>Santa Maria</w:t>
            </w:r>
          </w:p>
        </w:tc>
        <w:tc>
          <w:tcPr>
            <w:tcW w:w="1870" w:type="dxa"/>
          </w:tcPr>
          <w:p w:rsidR="000D397F" w:rsidRDefault="000D397F" w:rsidP="00793A79">
            <w:pPr>
              <w:pStyle w:val="standard"/>
              <w:spacing w:after="120" w:line="240" w:lineRule="auto"/>
              <w:ind w:firstLine="0"/>
              <w:jc w:val="center"/>
            </w:pPr>
            <w:r>
              <w:t>$ 78.47</w:t>
            </w:r>
          </w:p>
        </w:tc>
        <w:tc>
          <w:tcPr>
            <w:tcW w:w="1870" w:type="dxa"/>
          </w:tcPr>
          <w:p w:rsidR="000D397F" w:rsidRDefault="000D397F" w:rsidP="00793A79">
            <w:pPr>
              <w:pStyle w:val="standard"/>
              <w:spacing w:after="120" w:line="240" w:lineRule="auto"/>
              <w:ind w:firstLine="0"/>
              <w:jc w:val="center"/>
            </w:pPr>
            <w:r>
              <w:t>$ 67.26</w:t>
            </w:r>
          </w:p>
        </w:tc>
        <w:tc>
          <w:tcPr>
            <w:tcW w:w="1870" w:type="dxa"/>
          </w:tcPr>
          <w:p w:rsidR="000D397F" w:rsidRDefault="000D397F" w:rsidP="00793A79">
            <w:pPr>
              <w:pStyle w:val="standard"/>
              <w:spacing w:after="120" w:line="240" w:lineRule="auto"/>
              <w:ind w:firstLine="0"/>
              <w:jc w:val="center"/>
            </w:pPr>
            <w:r>
              <w:t>$ 53.81</w:t>
            </w:r>
          </w:p>
        </w:tc>
        <w:tc>
          <w:tcPr>
            <w:tcW w:w="1870" w:type="dxa"/>
          </w:tcPr>
          <w:p w:rsidR="000D397F" w:rsidRDefault="000D397F" w:rsidP="00793A79">
            <w:pPr>
              <w:pStyle w:val="standard"/>
              <w:spacing w:after="120" w:line="240" w:lineRule="auto"/>
              <w:ind w:firstLine="0"/>
              <w:jc w:val="center"/>
            </w:pPr>
            <w:r>
              <w:t>+ 175 %</w:t>
            </w:r>
          </w:p>
        </w:tc>
      </w:tr>
      <w:tr w:rsidR="000D397F" w:rsidTr="00A913D0">
        <w:tc>
          <w:tcPr>
            <w:tcW w:w="1870" w:type="dxa"/>
          </w:tcPr>
          <w:p w:rsidR="000D397F" w:rsidRDefault="000D397F" w:rsidP="00793A79">
            <w:pPr>
              <w:pStyle w:val="standard"/>
              <w:spacing w:after="120" w:line="240" w:lineRule="auto"/>
              <w:ind w:firstLine="0"/>
              <w:jc w:val="center"/>
            </w:pPr>
            <w:r>
              <w:t>San Luis Obispo</w:t>
            </w:r>
          </w:p>
        </w:tc>
        <w:tc>
          <w:tcPr>
            <w:tcW w:w="1870" w:type="dxa"/>
          </w:tcPr>
          <w:p w:rsidR="000D397F" w:rsidRDefault="000D397F" w:rsidP="00793A79">
            <w:pPr>
              <w:pStyle w:val="standard"/>
              <w:spacing w:after="120" w:line="240" w:lineRule="auto"/>
              <w:ind w:firstLine="0"/>
              <w:jc w:val="center"/>
            </w:pPr>
            <w:r>
              <w:t>$ 69.43</w:t>
            </w:r>
          </w:p>
        </w:tc>
        <w:tc>
          <w:tcPr>
            <w:tcW w:w="1870" w:type="dxa"/>
          </w:tcPr>
          <w:p w:rsidR="000D397F" w:rsidRDefault="000D397F" w:rsidP="00793A79">
            <w:pPr>
              <w:pStyle w:val="standard"/>
              <w:spacing w:after="120" w:line="240" w:lineRule="auto"/>
              <w:ind w:firstLine="0"/>
              <w:jc w:val="center"/>
            </w:pPr>
            <w:r>
              <w:t>$ 59.51</w:t>
            </w:r>
          </w:p>
        </w:tc>
        <w:tc>
          <w:tcPr>
            <w:tcW w:w="1870" w:type="dxa"/>
          </w:tcPr>
          <w:p w:rsidR="000D397F" w:rsidRDefault="000D397F" w:rsidP="00793A79">
            <w:pPr>
              <w:pStyle w:val="standard"/>
              <w:spacing w:after="120" w:line="240" w:lineRule="auto"/>
              <w:ind w:firstLine="0"/>
              <w:jc w:val="center"/>
            </w:pPr>
            <w:r>
              <w:t>$ 47.61</w:t>
            </w:r>
          </w:p>
        </w:tc>
        <w:tc>
          <w:tcPr>
            <w:tcW w:w="1870" w:type="dxa"/>
          </w:tcPr>
          <w:p w:rsidR="000D397F" w:rsidRDefault="000D397F" w:rsidP="00793A79">
            <w:pPr>
              <w:pStyle w:val="standard"/>
              <w:spacing w:after="120" w:line="240" w:lineRule="auto"/>
              <w:ind w:firstLine="0"/>
              <w:jc w:val="center"/>
            </w:pPr>
            <w:r>
              <w:t>+ 155%</w:t>
            </w:r>
          </w:p>
        </w:tc>
      </w:tr>
    </w:tbl>
    <w:p w:rsidR="000D397F" w:rsidRPr="003B689F" w:rsidRDefault="000D397F" w:rsidP="000D397F">
      <w:pPr>
        <w:pStyle w:val="standard"/>
        <w:ind w:firstLine="0"/>
        <w:rPr>
          <w:sz w:val="12"/>
          <w:szCs w:val="12"/>
        </w:rPr>
      </w:pPr>
    </w:p>
    <w:p w:rsidR="000D397F" w:rsidRPr="00B674DB" w:rsidRDefault="000D397F" w:rsidP="000D397F">
      <w:pPr>
        <w:pStyle w:val="standard"/>
        <w:ind w:firstLine="0"/>
        <w:rPr>
          <w:b/>
          <w:u w:val="single"/>
        </w:rPr>
      </w:pPr>
      <w:r w:rsidRPr="00B674DB">
        <w:rPr>
          <w:b/>
          <w:u w:val="single"/>
        </w:rPr>
        <w:t>Seasonal Customers and Vacant Lots</w:t>
      </w:r>
    </w:p>
    <w:p w:rsidR="00B674DB" w:rsidRDefault="000D397F" w:rsidP="000D397F">
      <w:pPr>
        <w:pStyle w:val="standard"/>
      </w:pPr>
      <w:r>
        <w:t xml:space="preserve">Mesa Dunes assesses both seasonal residents and vacant lots a </w:t>
      </w:r>
    </w:p>
    <w:p w:rsidR="000D397F" w:rsidRDefault="000D397F" w:rsidP="00B674DB">
      <w:pPr>
        <w:pStyle w:val="standard"/>
        <w:ind w:firstLine="0"/>
      </w:pPr>
      <w:r>
        <w:t xml:space="preserve">$10.69 monthly service charge.  Doing so recognizes there are fixed costs associated with maintaining safe and reliable water service including, but not </w:t>
      </w:r>
      <w:r>
        <w:lastRenderedPageBreak/>
        <w:t>limited to, storage tanks, treatment facilities, water mains, etc.  This spreads the costs equally among all residents in an equitable manner.</w:t>
      </w:r>
    </w:p>
    <w:p w:rsidR="000D397F" w:rsidRDefault="000D397F" w:rsidP="00625DE2">
      <w:pPr>
        <w:pStyle w:val="Heading1"/>
        <w:numPr>
          <w:ilvl w:val="0"/>
          <w:numId w:val="16"/>
        </w:numPr>
        <w:spacing w:before="120"/>
        <w:ind w:left="360"/>
      </w:pPr>
      <w:r>
        <w:t>Conclusion</w:t>
      </w:r>
    </w:p>
    <w:p w:rsidR="0021578E" w:rsidRDefault="000D397F" w:rsidP="000D397F">
      <w:pPr>
        <w:pStyle w:val="standard"/>
      </w:pPr>
      <w:r>
        <w:t xml:space="preserve">Based on the Water Division’s analysis of Mesa Dunes’ rates and methodology, and comparing those with rates which would likely be approved if Mesa Dunes was a CPUC-regulated Class D water utility with fewer than </w:t>
      </w:r>
    </w:p>
    <w:p w:rsidR="000D397F" w:rsidRDefault="000D397F" w:rsidP="0021578E">
      <w:pPr>
        <w:pStyle w:val="standard"/>
        <w:ind w:firstLine="0"/>
      </w:pPr>
      <w:r>
        <w:t>500 service connections, Mesa Dunes’ rates are less than rates which would be set if Mesa Dunes was a regulated Class D water utility.  The existing rates charged by Mesa Dunes are just and reasonable.</w:t>
      </w:r>
    </w:p>
    <w:p w:rsidR="000D397F" w:rsidRDefault="000D397F" w:rsidP="00625DE2">
      <w:pPr>
        <w:pStyle w:val="Heading1"/>
        <w:numPr>
          <w:ilvl w:val="0"/>
          <w:numId w:val="16"/>
        </w:numPr>
        <w:spacing w:before="120"/>
        <w:ind w:left="360"/>
      </w:pPr>
      <w:r>
        <w:t>Categorization and Need for Hearing</w:t>
      </w:r>
    </w:p>
    <w:p w:rsidR="000D397F" w:rsidRDefault="004549CD" w:rsidP="000D397F">
      <w:pPr>
        <w:pStyle w:val="standard"/>
      </w:pPr>
      <w:r w:rsidRPr="00F074B9">
        <w:t xml:space="preserve">Given that no hearings were held in the current proceeding, we change our </w:t>
      </w:r>
      <w:r w:rsidR="00394E28" w:rsidRPr="00F074B9">
        <w:t>preliminary and Scoping Memo determination regarding, hearings to reflect hat hearing are not necessary</w:t>
      </w:r>
      <w:r w:rsidR="00394E28" w:rsidRPr="00107E8D">
        <w:t>.</w:t>
      </w:r>
    </w:p>
    <w:p w:rsidR="000D397F" w:rsidRDefault="000D397F" w:rsidP="00625DE2">
      <w:pPr>
        <w:pStyle w:val="Heading1"/>
        <w:numPr>
          <w:ilvl w:val="0"/>
          <w:numId w:val="16"/>
        </w:numPr>
        <w:spacing w:before="120"/>
        <w:ind w:left="360"/>
      </w:pPr>
      <w:r>
        <w:t>Comments on Proposed Decision</w:t>
      </w:r>
    </w:p>
    <w:p w:rsidR="000D397F" w:rsidRDefault="00394E28" w:rsidP="000D397F">
      <w:pPr>
        <w:pStyle w:val="standard"/>
      </w:pPr>
      <w:r>
        <w:t>The proposed decision of A</w:t>
      </w:r>
      <w:r w:rsidR="00B0620D">
        <w:t xml:space="preserve">dministrative </w:t>
      </w:r>
      <w:r>
        <w:t>L</w:t>
      </w:r>
      <w:r w:rsidR="00B0620D">
        <w:t xml:space="preserve">aw </w:t>
      </w:r>
      <w:r>
        <w:t>J</w:t>
      </w:r>
      <w:r w:rsidR="00B0620D">
        <w:t>udge</w:t>
      </w:r>
      <w:r>
        <w:t xml:space="preserve"> Burcham in this matter was mailed to the parties in accordance with Section 311 of the Public Utilities Code and comments were allowed under Rule 14.3 of the Commission’s Rules of Practice and Procedure. </w:t>
      </w:r>
      <w:r w:rsidR="00E518C3">
        <w:t xml:space="preserve"> No comments were received.</w:t>
      </w:r>
    </w:p>
    <w:p w:rsidR="000D397F" w:rsidRDefault="000D397F" w:rsidP="00625DE2">
      <w:pPr>
        <w:pStyle w:val="Heading1"/>
        <w:numPr>
          <w:ilvl w:val="0"/>
          <w:numId w:val="16"/>
        </w:numPr>
        <w:spacing w:before="120"/>
        <w:ind w:left="360"/>
      </w:pPr>
      <w:r>
        <w:t>Assignment of Proceeding</w:t>
      </w:r>
    </w:p>
    <w:p w:rsidR="000D397F" w:rsidRDefault="000D397F" w:rsidP="000D397F">
      <w:pPr>
        <w:pStyle w:val="standard"/>
      </w:pPr>
      <w:r>
        <w:t>Liane M. Randolph is the assigned Commissioner and Dan H. Burcham is the assigned ALJ</w:t>
      </w:r>
      <w:r w:rsidR="00DC22D1">
        <w:t xml:space="preserve"> </w:t>
      </w:r>
      <w:r>
        <w:t>in this proceeding.</w:t>
      </w:r>
    </w:p>
    <w:p w:rsidR="000D397F" w:rsidRDefault="000D397F" w:rsidP="00C74B45">
      <w:pPr>
        <w:pStyle w:val="dummy"/>
        <w:keepLines/>
      </w:pPr>
      <w:bookmarkStart w:id="1" w:name="_Toc450990219"/>
      <w:bookmarkStart w:id="2" w:name="_Toc451151266"/>
      <w:r>
        <w:lastRenderedPageBreak/>
        <w:t>Findings of Fact</w:t>
      </w:r>
      <w:bookmarkEnd w:id="1"/>
      <w:bookmarkEnd w:id="2"/>
    </w:p>
    <w:p w:rsidR="000D397F" w:rsidRDefault="000D397F" w:rsidP="00C74B45">
      <w:pPr>
        <w:pStyle w:val="num1"/>
        <w:keepNext/>
        <w:keepLines/>
        <w:numPr>
          <w:ilvl w:val="0"/>
          <w:numId w:val="2"/>
        </w:numPr>
      </w:pPr>
      <w:r>
        <w:t>Mesa Dunes Mobile Home Estates has 304 residential water service connections.</w:t>
      </w:r>
    </w:p>
    <w:p w:rsidR="000D397F" w:rsidRDefault="000D397F" w:rsidP="00C74B45">
      <w:pPr>
        <w:pStyle w:val="num1"/>
        <w:keepNext/>
        <w:keepLines/>
        <w:numPr>
          <w:ilvl w:val="0"/>
          <w:numId w:val="2"/>
        </w:numPr>
      </w:pPr>
      <w:r>
        <w:t xml:space="preserve">Mesa Dunes Mobile Home Estates is not regulated by the </w:t>
      </w:r>
      <w:proofErr w:type="gramStart"/>
      <w:r>
        <w:t>Commission,</w:t>
      </w:r>
      <w:r w:rsidR="00A606E9">
        <w:t xml:space="preserve"> </w:t>
      </w:r>
      <w:r>
        <w:t>but</w:t>
      </w:r>
      <w:proofErr w:type="gramEnd"/>
      <w:r>
        <w:t xml:space="preserve"> would be a Class D water utility if it was.</w:t>
      </w:r>
    </w:p>
    <w:p w:rsidR="000D397F" w:rsidRDefault="000D397F" w:rsidP="009752A2">
      <w:pPr>
        <w:pStyle w:val="num1"/>
        <w:keepNext/>
        <w:keepLines/>
        <w:numPr>
          <w:ilvl w:val="0"/>
          <w:numId w:val="2"/>
        </w:numPr>
      </w:pPr>
      <w:r>
        <w:t>A complaint was filed with the Commission by a group of residents of Mesa Dunes Mobile Home Estates representing more than 10 percent of the water service connections, requesting the Commission perform a study to determine whether the rates Mesa Dunes charges for water are just and reasonable.</w:t>
      </w:r>
    </w:p>
    <w:p w:rsidR="001915B8" w:rsidRDefault="000D397F" w:rsidP="000D397F">
      <w:pPr>
        <w:pStyle w:val="num1"/>
        <w:numPr>
          <w:ilvl w:val="0"/>
          <w:numId w:val="2"/>
        </w:numPr>
      </w:pPr>
      <w:r>
        <w:t xml:space="preserve">The Water Division analyzed the rates and methodology used by </w:t>
      </w:r>
    </w:p>
    <w:p w:rsidR="000D397F" w:rsidRDefault="000D397F" w:rsidP="001915B8">
      <w:pPr>
        <w:pStyle w:val="num1"/>
        <w:ind w:firstLine="0"/>
      </w:pPr>
      <w:r>
        <w:t xml:space="preserve">Mesa Dunes in setting its </w:t>
      </w:r>
      <w:proofErr w:type="gramStart"/>
      <w:r>
        <w:t>rates, and</w:t>
      </w:r>
      <w:proofErr w:type="gramEnd"/>
      <w:r>
        <w:t xml:space="preserve"> compared those to rates which would be authorized if Mesa Dunes was a Commission-regulated Class D water utility.</w:t>
      </w:r>
    </w:p>
    <w:p w:rsidR="000D397F" w:rsidRDefault="000D397F" w:rsidP="000D397F">
      <w:pPr>
        <w:pStyle w:val="num1"/>
        <w:numPr>
          <w:ilvl w:val="0"/>
          <w:numId w:val="2"/>
        </w:numPr>
      </w:pPr>
      <w:r>
        <w:t>The rates charged by Mesa Dunes to be less than rates which would be charged if Mesa Dunes was a regulated Class D water utility.</w:t>
      </w:r>
    </w:p>
    <w:p w:rsidR="000D397F" w:rsidRDefault="000D397F" w:rsidP="000D397F">
      <w:pPr>
        <w:pStyle w:val="num1"/>
        <w:numPr>
          <w:ilvl w:val="0"/>
          <w:numId w:val="2"/>
        </w:numPr>
      </w:pPr>
      <w:r>
        <w:t>The rates charged by Mesa Dunes are less than rates charged in neighboring areas by the Heritage Ranch Community Services District.</w:t>
      </w:r>
    </w:p>
    <w:p w:rsidR="000D397F" w:rsidRDefault="000D397F" w:rsidP="000D397F">
      <w:pPr>
        <w:pStyle w:val="dummy"/>
      </w:pPr>
      <w:bookmarkStart w:id="3" w:name="_Toc370798914"/>
      <w:bookmarkStart w:id="4" w:name="_Toc450990220"/>
      <w:bookmarkStart w:id="5" w:name="_Toc451151267"/>
      <w:r>
        <w:t>Conclusions of Law</w:t>
      </w:r>
      <w:bookmarkEnd w:id="3"/>
      <w:bookmarkEnd w:id="4"/>
      <w:bookmarkEnd w:id="5"/>
    </w:p>
    <w:p w:rsidR="00F5769E" w:rsidRDefault="000D397F" w:rsidP="000D397F">
      <w:pPr>
        <w:pStyle w:val="num1"/>
        <w:numPr>
          <w:ilvl w:val="0"/>
          <w:numId w:val="11"/>
        </w:numPr>
      </w:pPr>
      <w:r>
        <w:t xml:space="preserve">Because the rates charged by Mesa Dunes are less than would be allowed if it was a regulated Class D water utility, and less than the rates charged for water in neighboring areas by the Heritage Ranch Community Services District, </w:t>
      </w:r>
    </w:p>
    <w:p w:rsidR="000D397F" w:rsidRDefault="000D397F" w:rsidP="00F5769E">
      <w:pPr>
        <w:pStyle w:val="num1"/>
        <w:ind w:firstLine="0"/>
      </w:pPr>
      <w:r>
        <w:t>Mesa Dunes’ rates should be found to be just and reasonable.</w:t>
      </w:r>
    </w:p>
    <w:p w:rsidR="000D397F" w:rsidRDefault="000D397F" w:rsidP="000D397F">
      <w:pPr>
        <w:pStyle w:val="num1"/>
        <w:numPr>
          <w:ilvl w:val="0"/>
          <w:numId w:val="11"/>
        </w:numPr>
      </w:pPr>
      <w:r>
        <w:t>Because the rates charged by Mesa Dunes for residential water service are just and reasonable, the complaint should be dismissed.</w:t>
      </w:r>
    </w:p>
    <w:p w:rsidR="000D397F" w:rsidRDefault="000D397F" w:rsidP="000D397F">
      <w:pPr>
        <w:pStyle w:val="mainex"/>
      </w:pPr>
      <w:bookmarkStart w:id="6" w:name="_Toc370798915"/>
      <w:bookmarkStart w:id="7" w:name="_Toc450990221"/>
      <w:bookmarkStart w:id="8" w:name="_Toc451151268"/>
      <w:bookmarkStart w:id="9" w:name="OLE_LINK1"/>
      <w:bookmarkStart w:id="10" w:name="OLE_LINK2"/>
    </w:p>
    <w:p w:rsidR="000D397F" w:rsidRDefault="000D397F" w:rsidP="000D397F">
      <w:pPr>
        <w:pStyle w:val="mainex"/>
      </w:pPr>
      <w:r>
        <w:t>ORDER</w:t>
      </w:r>
      <w:bookmarkEnd w:id="6"/>
      <w:bookmarkEnd w:id="7"/>
      <w:bookmarkEnd w:id="8"/>
    </w:p>
    <w:bookmarkEnd w:id="9"/>
    <w:bookmarkEnd w:id="10"/>
    <w:p w:rsidR="000D397F" w:rsidRDefault="000D397F" w:rsidP="000D397F">
      <w:pPr>
        <w:pStyle w:val="standard"/>
        <w:keepNext/>
        <w:keepLines/>
      </w:pPr>
      <w:r>
        <w:rPr>
          <w:b/>
        </w:rPr>
        <w:t>IT IS ORDERED</w:t>
      </w:r>
      <w:r>
        <w:t xml:space="preserve"> that:</w:t>
      </w:r>
    </w:p>
    <w:p w:rsidR="000D397F" w:rsidRDefault="000D397F" w:rsidP="000D397F">
      <w:pPr>
        <w:pStyle w:val="num1"/>
        <w:keepNext/>
        <w:keepLines/>
        <w:numPr>
          <w:ilvl w:val="0"/>
          <w:numId w:val="3"/>
        </w:numPr>
      </w:pPr>
      <w:r>
        <w:t>The rates currently charged by Mesa Dunes Mobile Home Estates for residential water service are just and reasonable.</w:t>
      </w:r>
    </w:p>
    <w:p w:rsidR="000D397F" w:rsidRDefault="000D397F" w:rsidP="000D397F">
      <w:pPr>
        <w:pStyle w:val="num1"/>
        <w:keepNext/>
        <w:keepLines/>
        <w:numPr>
          <w:ilvl w:val="0"/>
          <w:numId w:val="3"/>
        </w:numPr>
      </w:pPr>
      <w:r>
        <w:t>All motions not previously ruled upon are hereby denied.</w:t>
      </w:r>
    </w:p>
    <w:p w:rsidR="000D397F" w:rsidRDefault="000D397F" w:rsidP="009752A2">
      <w:pPr>
        <w:pStyle w:val="num1"/>
        <w:keepNext/>
        <w:keepLines/>
        <w:numPr>
          <w:ilvl w:val="0"/>
          <w:numId w:val="3"/>
        </w:numPr>
      </w:pPr>
      <w:r>
        <w:t>The investigation into C</w:t>
      </w:r>
      <w:r w:rsidR="00B43ECD">
        <w:t>ase</w:t>
      </w:r>
      <w:r>
        <w:t xml:space="preserve"> 16-12-012 is closed.</w:t>
      </w:r>
    </w:p>
    <w:p w:rsidR="000D397F" w:rsidRDefault="000D397F" w:rsidP="009752A2">
      <w:pPr>
        <w:pStyle w:val="num1"/>
        <w:keepNext/>
        <w:keepLines/>
        <w:numPr>
          <w:ilvl w:val="0"/>
          <w:numId w:val="3"/>
        </w:numPr>
      </w:pPr>
      <w:r>
        <w:t>C</w:t>
      </w:r>
      <w:r w:rsidR="00A24078">
        <w:t>ase</w:t>
      </w:r>
      <w:r>
        <w:t xml:space="preserve"> 16-12-012 is dismissed.</w:t>
      </w:r>
    </w:p>
    <w:p w:rsidR="000D397F" w:rsidRDefault="000D397F" w:rsidP="009752A2">
      <w:pPr>
        <w:pStyle w:val="standard"/>
        <w:keepNext/>
        <w:keepLines/>
      </w:pPr>
      <w:r>
        <w:t>This order is effective today.</w:t>
      </w:r>
    </w:p>
    <w:p w:rsidR="000D397F" w:rsidRDefault="000D397F" w:rsidP="000D397F">
      <w:pPr>
        <w:pStyle w:val="standard"/>
        <w:tabs>
          <w:tab w:val="left" w:pos="5040"/>
        </w:tabs>
      </w:pPr>
      <w:r>
        <w:t xml:space="preserve">Dated </w:t>
      </w:r>
      <w:r>
        <w:rPr>
          <w:u w:val="single"/>
        </w:rPr>
        <w:tab/>
      </w:r>
      <w:r>
        <w:t xml:space="preserve">, at </w:t>
      </w:r>
      <w:r w:rsidR="007D0988">
        <w:t>Fresno</w:t>
      </w:r>
      <w:r>
        <w:t xml:space="preserve">, California. </w:t>
      </w:r>
    </w:p>
    <w:sectPr w:rsidR="000D397F" w:rsidSect="00EE2D52">
      <w:headerReference w:type="default" r:id="rId8"/>
      <w:footerReference w:type="default" r:id="rId9"/>
      <w:footerReference w:type="first" r:id="rId10"/>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DDE" w:rsidRDefault="00833DDE">
      <w:r>
        <w:separator/>
      </w:r>
    </w:p>
  </w:endnote>
  <w:endnote w:type="continuationSeparator" w:id="0">
    <w:p w:rsidR="00833DDE" w:rsidRDefault="0083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2020500000000000000"/>
    <w:charset w:val="00"/>
    <w:family w:val="roman"/>
    <w:notTrueType/>
    <w:pitch w:val="variable"/>
    <w:sig w:usb0="00000003" w:usb1="00000000" w:usb2="00000000" w:usb3="00000000" w:csb0="00000001" w:csb1="00000000"/>
  </w:font>
  <w:font w:name="Helvetica">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D71" w:rsidRDefault="00471D71">
    <w:pPr>
      <w:pStyle w:val="Footer"/>
      <w:tabs>
        <w:tab w:val="clear" w:pos="4320"/>
        <w:tab w:val="center" w:pos="4680"/>
      </w:tabs>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D71" w:rsidRDefault="00794D72">
    <w:pPr>
      <w:pStyle w:val="Footer"/>
      <w:tabs>
        <w:tab w:val="clear" w:pos="4320"/>
        <w:tab w:val="center" w:pos="4680"/>
      </w:tabs>
      <w:jc w:val="left"/>
      <w:rPr>
        <w:rStyle w:val="PageNumber"/>
        <w:szCs w:val="26"/>
      </w:rPr>
    </w:pPr>
    <w:r>
      <w:rPr>
        <w:rFonts w:ascii="Tahoma" w:hAnsi="Tahoma" w:cs="Tahoma"/>
        <w:sz w:val="17"/>
        <w:szCs w:val="17"/>
      </w:rPr>
      <w:t>245589715</w:t>
    </w:r>
    <w:r w:rsidR="00471D71">
      <w:rPr>
        <w:rStyle w:val="PageNumber"/>
        <w:sz w:val="24"/>
        <w:szCs w:val="24"/>
      </w:rPr>
      <w:tab/>
    </w:r>
    <w:r w:rsidR="00471D71">
      <w:rPr>
        <w:rStyle w:val="PageNumber"/>
        <w:szCs w:val="26"/>
      </w:rPr>
      <w:t xml:space="preserve">- </w:t>
    </w:r>
    <w:r w:rsidR="00471D71">
      <w:rPr>
        <w:rStyle w:val="PageNumber"/>
        <w:szCs w:val="26"/>
      </w:rPr>
      <w:fldChar w:fldCharType="begin"/>
    </w:r>
    <w:r w:rsidR="00471D71">
      <w:rPr>
        <w:rStyle w:val="PageNumber"/>
        <w:szCs w:val="26"/>
      </w:rPr>
      <w:instrText xml:space="preserve"> PAGE </w:instrText>
    </w:r>
    <w:r w:rsidR="00471D71">
      <w:rPr>
        <w:rStyle w:val="PageNumber"/>
        <w:szCs w:val="26"/>
      </w:rPr>
      <w:fldChar w:fldCharType="separate"/>
    </w:r>
    <w:r w:rsidR="00471D71">
      <w:rPr>
        <w:rStyle w:val="PageNumber"/>
        <w:noProof/>
        <w:szCs w:val="26"/>
      </w:rPr>
      <w:t>1</w:t>
    </w:r>
    <w:r w:rsidR="00471D71">
      <w:rPr>
        <w:rStyle w:val="PageNumber"/>
        <w:szCs w:val="26"/>
      </w:rPr>
      <w:fldChar w:fldCharType="end"/>
    </w:r>
    <w:r w:rsidR="00471D71">
      <w:rPr>
        <w:rStyle w:val="PageNumber"/>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DDE" w:rsidRDefault="00833DDE">
      <w:r>
        <w:separator/>
      </w:r>
    </w:p>
  </w:footnote>
  <w:footnote w:type="continuationSeparator" w:id="0">
    <w:p w:rsidR="00833DDE" w:rsidRDefault="00833DDE">
      <w:r>
        <w:continuationSeparator/>
      </w:r>
    </w:p>
  </w:footnote>
  <w:footnote w:type="continuationNotice" w:id="1">
    <w:p w:rsidR="00833DDE" w:rsidRDefault="00833DDE">
      <w:pPr>
        <w:rPr>
          <w:sz w:val="22"/>
        </w:rPr>
      </w:pPr>
    </w:p>
    <w:p w:rsidR="00833DDE" w:rsidRDefault="00833DDE">
      <w:pPr>
        <w:jc w:val="right"/>
        <w:rPr>
          <w:sz w:val="22"/>
        </w:rPr>
      </w:pPr>
      <w:r>
        <w:rPr>
          <w:i/>
          <w:sz w:val="22"/>
        </w:rPr>
        <w:t>Footnote continued on next page</w:t>
      </w:r>
    </w:p>
  </w:footnote>
  <w:footnote w:id="2">
    <w:p w:rsidR="00471D71" w:rsidRPr="001E5D19" w:rsidRDefault="00471D71" w:rsidP="000D397F">
      <w:pPr>
        <w:pStyle w:val="FootnoteText"/>
        <w:rPr>
          <w:sz w:val="22"/>
          <w:szCs w:val="22"/>
        </w:rPr>
      </w:pPr>
      <w:r w:rsidRPr="001E5D19">
        <w:rPr>
          <w:rStyle w:val="FootnoteReference"/>
          <w:sz w:val="22"/>
          <w:szCs w:val="22"/>
        </w:rPr>
        <w:footnoteRef/>
      </w:r>
      <w:r w:rsidRPr="001E5D19">
        <w:rPr>
          <w:sz w:val="22"/>
          <w:szCs w:val="22"/>
        </w:rPr>
        <w:t xml:space="preserve">  All statutory references are to the Pub. Util. Code unless otherwise indicated.</w:t>
      </w:r>
    </w:p>
  </w:footnote>
  <w:footnote w:id="3">
    <w:p w:rsidR="00471D71" w:rsidRPr="001E6560" w:rsidRDefault="00471D71" w:rsidP="001E6560">
      <w:pPr>
        <w:pStyle w:val="FootnoteText"/>
        <w:spacing w:after="120"/>
        <w:rPr>
          <w:sz w:val="22"/>
          <w:szCs w:val="22"/>
        </w:rPr>
      </w:pPr>
      <w:r w:rsidRPr="001E6560">
        <w:rPr>
          <w:rStyle w:val="FootnoteReference"/>
          <w:sz w:val="22"/>
          <w:szCs w:val="22"/>
        </w:rPr>
        <w:footnoteRef/>
      </w:r>
      <w:r w:rsidRPr="001E6560">
        <w:rPr>
          <w:sz w:val="22"/>
          <w:szCs w:val="22"/>
        </w:rPr>
        <w:t xml:space="preserve">  Commission ratemaking policy for Class C and D water utilities involves calculating a utility’s revenue using the ROR and ROM method, and recommending the ratemaking method which results in the greater return as authorized by Decision (D.)92-03-093.</w:t>
      </w:r>
    </w:p>
  </w:footnote>
  <w:footnote w:id="4">
    <w:p w:rsidR="00471D71" w:rsidRPr="00CC4756" w:rsidRDefault="00471D71" w:rsidP="00CC4756">
      <w:pPr>
        <w:pStyle w:val="FootnoteText"/>
        <w:spacing w:after="120"/>
        <w:rPr>
          <w:sz w:val="22"/>
          <w:szCs w:val="22"/>
        </w:rPr>
      </w:pPr>
      <w:r w:rsidRPr="00CC4756">
        <w:rPr>
          <w:rStyle w:val="FootnoteReference"/>
          <w:sz w:val="22"/>
          <w:szCs w:val="22"/>
        </w:rPr>
        <w:footnoteRef/>
      </w:r>
      <w:r w:rsidRPr="00CC4756">
        <w:rPr>
          <w:sz w:val="22"/>
          <w:szCs w:val="22"/>
        </w:rPr>
        <w:t xml:space="preserve">  Water Division Memorandum entitled “Rates of Return and Rates of Margin for Class C and Class D Water Utilities”dated February 4, 2017.</w:t>
      </w:r>
    </w:p>
  </w:footnote>
  <w:footnote w:id="5">
    <w:p w:rsidR="00471D71" w:rsidRPr="00020F71" w:rsidRDefault="00471D71" w:rsidP="000D397F">
      <w:pPr>
        <w:pStyle w:val="FootnoteText"/>
        <w:rPr>
          <w:sz w:val="22"/>
          <w:szCs w:val="22"/>
        </w:rPr>
      </w:pPr>
      <w:r w:rsidRPr="00020F71">
        <w:rPr>
          <w:rStyle w:val="FootnoteReference"/>
          <w:sz w:val="22"/>
          <w:szCs w:val="22"/>
        </w:rPr>
        <w:footnoteRef/>
      </w:r>
      <w:r>
        <w:rPr>
          <w:sz w:val="22"/>
          <w:szCs w:val="22"/>
        </w:rPr>
        <w:t xml:space="preserve"> </w:t>
      </w:r>
      <w:r w:rsidRPr="00020F71">
        <w:rPr>
          <w:sz w:val="22"/>
          <w:szCs w:val="22"/>
        </w:rPr>
        <w:t xml:space="preserve"> </w:t>
      </w:r>
      <w:r w:rsidRPr="00020F71">
        <w:rPr>
          <w:i/>
          <w:sz w:val="22"/>
          <w:szCs w:val="22"/>
        </w:rPr>
        <w:t>Ibid</w:t>
      </w:r>
      <w:r w:rsidRPr="00020F71">
        <w:rPr>
          <w:sz w:val="22"/>
          <w:szCs w:val="22"/>
        </w:rPr>
        <w:t>.</w:t>
      </w:r>
    </w:p>
  </w:footnote>
  <w:footnote w:id="6">
    <w:p w:rsidR="00471D71" w:rsidRPr="00C06102" w:rsidRDefault="00471D71" w:rsidP="00C06102">
      <w:pPr>
        <w:pStyle w:val="FootnoteText"/>
        <w:spacing w:after="120"/>
        <w:rPr>
          <w:sz w:val="22"/>
          <w:szCs w:val="22"/>
        </w:rPr>
      </w:pPr>
      <w:r w:rsidRPr="00C06102">
        <w:rPr>
          <w:rStyle w:val="FootnoteReference"/>
          <w:sz w:val="22"/>
          <w:szCs w:val="22"/>
        </w:rPr>
        <w:footnoteRef/>
      </w:r>
      <w:r w:rsidRPr="00C06102">
        <w:rPr>
          <w:sz w:val="22"/>
          <w:szCs w:val="22"/>
        </w:rPr>
        <w:t xml:space="preserve">  115 gallons per day equals 4.53 CCF per month.</w:t>
      </w:r>
    </w:p>
  </w:footnote>
  <w:footnote w:id="7">
    <w:p w:rsidR="00471D71" w:rsidRPr="00C06102" w:rsidRDefault="00471D71" w:rsidP="00C06102">
      <w:pPr>
        <w:pStyle w:val="FootnoteText"/>
        <w:spacing w:after="120"/>
        <w:rPr>
          <w:sz w:val="22"/>
          <w:szCs w:val="22"/>
        </w:rPr>
      </w:pPr>
      <w:r w:rsidRPr="00C06102">
        <w:rPr>
          <w:rStyle w:val="FootnoteReference"/>
          <w:sz w:val="22"/>
          <w:szCs w:val="22"/>
        </w:rPr>
        <w:footnoteRef/>
      </w:r>
      <w:r w:rsidRPr="00C06102">
        <w:rPr>
          <w:sz w:val="22"/>
          <w:szCs w:val="22"/>
        </w:rPr>
        <w:t xml:space="preserve">  Mesa Dunes assumed, conservatively, that mobilehomes use 80 percent of the water used by a single-family residence, although most water systems currently assign rates based upon meter size rather than dwelling size or type.</w:t>
      </w:r>
    </w:p>
  </w:footnote>
  <w:footnote w:id="8">
    <w:p w:rsidR="00471D71" w:rsidRPr="003B689F" w:rsidRDefault="00471D71" w:rsidP="000D397F">
      <w:pPr>
        <w:pStyle w:val="FootnoteText"/>
        <w:rPr>
          <w:sz w:val="22"/>
          <w:szCs w:val="22"/>
        </w:rPr>
      </w:pPr>
      <w:r w:rsidRPr="003B689F">
        <w:rPr>
          <w:rStyle w:val="FootnoteReference"/>
          <w:sz w:val="22"/>
          <w:szCs w:val="22"/>
        </w:rPr>
        <w:footnoteRef/>
      </w:r>
      <w:r w:rsidRPr="003B689F">
        <w:rPr>
          <w:sz w:val="22"/>
          <w:szCs w:val="22"/>
        </w:rPr>
        <w:t xml:space="preserve">  Mesa Dunes’ Mobile Home Estates average usage.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D71" w:rsidRDefault="00471D71">
    <w:pPr>
      <w:pStyle w:val="Header"/>
    </w:pPr>
    <w:r>
      <w:t>C.16-12-</w:t>
    </w:r>
    <w:proofErr w:type="gramStart"/>
    <w:r>
      <w:t>012  ALJ</w:t>
    </w:r>
    <w:proofErr w:type="gramEnd"/>
    <w:r>
      <w:t>/DB3/mph</w:t>
    </w:r>
    <w:r>
      <w:tab/>
    </w:r>
    <w:r>
      <w:tab/>
    </w:r>
    <w:r>
      <w:rPr>
        <w:rFonts w:ascii="Helvetica" w:hAnsi="Helvetica"/>
        <w:b/>
        <w:sz w:val="32"/>
        <w:szCs w:val="32"/>
      </w:rPr>
      <w:t>PROPOSED DECISION</w:t>
    </w:r>
    <w:r w:rsidR="00B25280">
      <w:rPr>
        <w:rFonts w:ascii="Helvetica" w:hAnsi="Helvetica"/>
        <w:b/>
        <w:sz w:val="32"/>
        <w:szCs w:val="32"/>
      </w:rPr>
      <w:t xml:space="preserve">  (Rev 1)</w:t>
    </w:r>
  </w:p>
  <w:p w:rsidR="00471D71" w:rsidRDefault="00471D71" w:rsidP="00731B58">
    <w:pPr>
      <w:pStyle w:val="Header"/>
      <w:rPr>
        <w:i/>
      </w:rPr>
    </w:pPr>
  </w:p>
  <w:p w:rsidR="00471D71" w:rsidRDefault="00471D71" w:rsidP="00731B58">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C4C"/>
    <w:multiLevelType w:val="hybridMultilevel"/>
    <w:tmpl w:val="739A51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6438E7"/>
    <w:multiLevelType w:val="hybridMultilevel"/>
    <w:tmpl w:val="88F236B0"/>
    <w:lvl w:ilvl="0" w:tplc="B2FCD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3B381E"/>
    <w:multiLevelType w:val="singleLevel"/>
    <w:tmpl w:val="2FB6A734"/>
    <w:lvl w:ilvl="0">
      <w:start w:val="1"/>
      <w:numFmt w:val="decimal"/>
      <w:lvlText w:val="%1."/>
      <w:legacy w:legacy="1" w:legacySpace="144" w:legacyIndent="0"/>
      <w:lvlJc w:val="left"/>
    </w:lvl>
  </w:abstractNum>
  <w:abstractNum w:abstractNumId="3" w15:restartNumberingAfterBreak="0">
    <w:nsid w:val="182A29F3"/>
    <w:multiLevelType w:val="hybridMultilevel"/>
    <w:tmpl w:val="861A2150"/>
    <w:lvl w:ilvl="0" w:tplc="C8643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C37371"/>
    <w:multiLevelType w:val="hybridMultilevel"/>
    <w:tmpl w:val="9B9C3C86"/>
    <w:lvl w:ilvl="0" w:tplc="820A510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8A2C79"/>
    <w:multiLevelType w:val="multilevel"/>
    <w:tmpl w:val="5C0A4B1C"/>
    <w:lvl w:ilvl="0">
      <w:start w:val="1"/>
      <w:numFmt w:val="decimal"/>
      <w:lvlText w:val="%1."/>
      <w:lvlJc w:val="left"/>
      <w:pPr>
        <w:ind w:left="72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23A5285"/>
    <w:multiLevelType w:val="singleLevel"/>
    <w:tmpl w:val="00000000"/>
    <w:lvl w:ilvl="0">
      <w:start w:val="1"/>
      <w:numFmt w:val="decimal"/>
      <w:lvlText w:val="%1."/>
      <w:legacy w:legacy="1" w:legacySpace="144" w:legacyIndent="0"/>
      <w:lvlJc w:val="left"/>
    </w:lvl>
  </w:abstractNum>
  <w:abstractNum w:abstractNumId="7" w15:restartNumberingAfterBreak="0">
    <w:nsid w:val="2DD46003"/>
    <w:multiLevelType w:val="singleLevel"/>
    <w:tmpl w:val="2FB6A734"/>
    <w:lvl w:ilvl="0">
      <w:start w:val="1"/>
      <w:numFmt w:val="decimal"/>
      <w:lvlText w:val="%1."/>
      <w:legacy w:legacy="1" w:legacySpace="144" w:legacyIndent="0"/>
      <w:lvlJc w:val="left"/>
    </w:lvl>
  </w:abstractNum>
  <w:abstractNum w:abstractNumId="8" w15:restartNumberingAfterBreak="0">
    <w:nsid w:val="37224E1B"/>
    <w:multiLevelType w:val="hybridMultilevel"/>
    <w:tmpl w:val="4CB2C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6F1A1D"/>
    <w:multiLevelType w:val="singleLevel"/>
    <w:tmpl w:val="739A51AE"/>
    <w:lvl w:ilvl="0">
      <w:start w:val="1"/>
      <w:numFmt w:val="decimal"/>
      <w:lvlText w:val="%1."/>
      <w:legacy w:legacy="1" w:legacySpace="144" w:legacyIndent="0"/>
      <w:lvlJc w:val="left"/>
    </w:lvl>
  </w:abstractNum>
  <w:abstractNum w:abstractNumId="10" w15:restartNumberingAfterBreak="0">
    <w:nsid w:val="55DB70D1"/>
    <w:multiLevelType w:val="singleLevel"/>
    <w:tmpl w:val="739A51AE"/>
    <w:lvl w:ilvl="0">
      <w:start w:val="1"/>
      <w:numFmt w:val="decimal"/>
      <w:lvlText w:val="%1."/>
      <w:legacy w:legacy="1" w:legacySpace="144" w:legacyIndent="0"/>
      <w:lvlJc w:val="left"/>
    </w:lvl>
  </w:abstractNum>
  <w:abstractNum w:abstractNumId="11" w15:restartNumberingAfterBreak="0">
    <w:nsid w:val="57D9700C"/>
    <w:multiLevelType w:val="singleLevel"/>
    <w:tmpl w:val="739A51AE"/>
    <w:lvl w:ilvl="0">
      <w:start w:val="1"/>
      <w:numFmt w:val="decimal"/>
      <w:lvlText w:val="%1."/>
      <w:legacy w:legacy="1" w:legacySpace="144" w:legacyIndent="0"/>
      <w:lvlJc w:val="left"/>
    </w:lvl>
  </w:abstractNum>
  <w:abstractNum w:abstractNumId="12" w15:restartNumberingAfterBreak="0">
    <w:nsid w:val="58673877"/>
    <w:multiLevelType w:val="singleLevel"/>
    <w:tmpl w:val="739A51AE"/>
    <w:lvl w:ilvl="0">
      <w:start w:val="1"/>
      <w:numFmt w:val="decimal"/>
      <w:lvlText w:val="%1."/>
      <w:legacy w:legacy="1" w:legacySpace="144" w:legacyIndent="0"/>
      <w:lvlJc w:val="left"/>
    </w:lvl>
  </w:abstractNum>
  <w:abstractNum w:abstractNumId="13" w15:restartNumberingAfterBreak="0">
    <w:nsid w:val="6E3D726F"/>
    <w:multiLevelType w:val="singleLevel"/>
    <w:tmpl w:val="2FB6A734"/>
    <w:lvl w:ilvl="0">
      <w:start w:val="1"/>
      <w:numFmt w:val="decimal"/>
      <w:lvlText w:val="%1."/>
      <w:legacy w:legacy="1" w:legacySpace="144" w:legacyIndent="0"/>
      <w:lvlJc w:val="left"/>
    </w:lvl>
  </w:abstractNum>
  <w:abstractNum w:abstractNumId="14" w15:restartNumberingAfterBreak="0">
    <w:nsid w:val="7B1C30FD"/>
    <w:multiLevelType w:val="singleLevel"/>
    <w:tmpl w:val="2FB6A734"/>
    <w:lvl w:ilvl="0">
      <w:start w:val="1"/>
      <w:numFmt w:val="decimal"/>
      <w:lvlText w:val="%1."/>
      <w:legacy w:legacy="1" w:legacySpace="144" w:legacyIndent="0"/>
      <w:lvlJc w:val="left"/>
    </w:lvl>
  </w:abstractNum>
  <w:num w:numId="1">
    <w:abstractNumId w:val="7"/>
  </w:num>
  <w:num w:numId="2">
    <w:abstractNumId w:val="2"/>
  </w:num>
  <w:num w:numId="3">
    <w:abstractNumId w:val="14"/>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2"/>
  </w:num>
  <w:num w:numId="9">
    <w:abstractNumId w:val="10"/>
  </w:num>
  <w:num w:numId="10">
    <w:abstractNumId w:val="9"/>
  </w:num>
  <w:num w:numId="11">
    <w:abstractNumId w:val="13"/>
  </w:num>
  <w:num w:numId="12">
    <w:abstractNumId w:val="8"/>
  </w:num>
  <w:num w:numId="13">
    <w:abstractNumId w:val="3"/>
  </w:num>
  <w:num w:numId="14">
    <w:abstractNumId w:val="1"/>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D397F"/>
    <w:rsid w:val="000049FD"/>
    <w:rsid w:val="000071C4"/>
    <w:rsid w:val="00011314"/>
    <w:rsid w:val="00020F71"/>
    <w:rsid w:val="000413A0"/>
    <w:rsid w:val="00041583"/>
    <w:rsid w:val="000471F6"/>
    <w:rsid w:val="00057BC2"/>
    <w:rsid w:val="0006032B"/>
    <w:rsid w:val="0008008D"/>
    <w:rsid w:val="00087AE8"/>
    <w:rsid w:val="000A1BEB"/>
    <w:rsid w:val="000A6975"/>
    <w:rsid w:val="000C6888"/>
    <w:rsid w:val="000D397F"/>
    <w:rsid w:val="000E5CFC"/>
    <w:rsid w:val="000F273D"/>
    <w:rsid w:val="00107E8D"/>
    <w:rsid w:val="001146BC"/>
    <w:rsid w:val="00124DE9"/>
    <w:rsid w:val="001374A2"/>
    <w:rsid w:val="00142EFD"/>
    <w:rsid w:val="0014729F"/>
    <w:rsid w:val="001559C8"/>
    <w:rsid w:val="001915B8"/>
    <w:rsid w:val="001B50A1"/>
    <w:rsid w:val="001D14C1"/>
    <w:rsid w:val="001D3283"/>
    <w:rsid w:val="001E5D19"/>
    <w:rsid w:val="001E6560"/>
    <w:rsid w:val="0020277E"/>
    <w:rsid w:val="0021578E"/>
    <w:rsid w:val="00223C75"/>
    <w:rsid w:val="002263D5"/>
    <w:rsid w:val="00231C5D"/>
    <w:rsid w:val="00256259"/>
    <w:rsid w:val="002639BA"/>
    <w:rsid w:val="002639E6"/>
    <w:rsid w:val="00263FCB"/>
    <w:rsid w:val="00291A52"/>
    <w:rsid w:val="002A7CCA"/>
    <w:rsid w:val="002D33B3"/>
    <w:rsid w:val="002D6F7A"/>
    <w:rsid w:val="002E6A61"/>
    <w:rsid w:val="003003AA"/>
    <w:rsid w:val="003440BF"/>
    <w:rsid w:val="00361DBE"/>
    <w:rsid w:val="0037432E"/>
    <w:rsid w:val="00374DA6"/>
    <w:rsid w:val="00382907"/>
    <w:rsid w:val="00394E28"/>
    <w:rsid w:val="003A0B23"/>
    <w:rsid w:val="003A26D2"/>
    <w:rsid w:val="003A6FC2"/>
    <w:rsid w:val="003B689F"/>
    <w:rsid w:val="003B7471"/>
    <w:rsid w:val="003C01A8"/>
    <w:rsid w:val="003C0385"/>
    <w:rsid w:val="003C16F2"/>
    <w:rsid w:val="003C36EE"/>
    <w:rsid w:val="003E197B"/>
    <w:rsid w:val="00432272"/>
    <w:rsid w:val="004549CD"/>
    <w:rsid w:val="004711C8"/>
    <w:rsid w:val="00471D71"/>
    <w:rsid w:val="004B09D4"/>
    <w:rsid w:val="004B490F"/>
    <w:rsid w:val="004B7343"/>
    <w:rsid w:val="004E4C96"/>
    <w:rsid w:val="005063A4"/>
    <w:rsid w:val="005117F6"/>
    <w:rsid w:val="0052262C"/>
    <w:rsid w:val="00523C4B"/>
    <w:rsid w:val="005443A6"/>
    <w:rsid w:val="00572F3D"/>
    <w:rsid w:val="005755AA"/>
    <w:rsid w:val="005A60C9"/>
    <w:rsid w:val="005B24E7"/>
    <w:rsid w:val="005E2E94"/>
    <w:rsid w:val="005F1351"/>
    <w:rsid w:val="006146DF"/>
    <w:rsid w:val="00622FA6"/>
    <w:rsid w:val="00625DE2"/>
    <w:rsid w:val="00702C2D"/>
    <w:rsid w:val="00723ECF"/>
    <w:rsid w:val="00731B58"/>
    <w:rsid w:val="0073458F"/>
    <w:rsid w:val="00746DBA"/>
    <w:rsid w:val="007727A4"/>
    <w:rsid w:val="00785406"/>
    <w:rsid w:val="00793A79"/>
    <w:rsid w:val="00794D72"/>
    <w:rsid w:val="007B1E51"/>
    <w:rsid w:val="007B286D"/>
    <w:rsid w:val="007D05EE"/>
    <w:rsid w:val="007D0988"/>
    <w:rsid w:val="007D36CC"/>
    <w:rsid w:val="007F3FF5"/>
    <w:rsid w:val="0080625F"/>
    <w:rsid w:val="00825916"/>
    <w:rsid w:val="00833DDE"/>
    <w:rsid w:val="008510F2"/>
    <w:rsid w:val="00851E29"/>
    <w:rsid w:val="00865771"/>
    <w:rsid w:val="00885F7D"/>
    <w:rsid w:val="00890BB4"/>
    <w:rsid w:val="008C5EA4"/>
    <w:rsid w:val="00901188"/>
    <w:rsid w:val="00906250"/>
    <w:rsid w:val="00926A31"/>
    <w:rsid w:val="0093700B"/>
    <w:rsid w:val="009752A2"/>
    <w:rsid w:val="00995BBF"/>
    <w:rsid w:val="009C16CB"/>
    <w:rsid w:val="009C54B7"/>
    <w:rsid w:val="009E1AE1"/>
    <w:rsid w:val="009E305E"/>
    <w:rsid w:val="009E7DAD"/>
    <w:rsid w:val="00A039D0"/>
    <w:rsid w:val="00A15610"/>
    <w:rsid w:val="00A24078"/>
    <w:rsid w:val="00A417EF"/>
    <w:rsid w:val="00A606E9"/>
    <w:rsid w:val="00A764C2"/>
    <w:rsid w:val="00A913D0"/>
    <w:rsid w:val="00AA01A1"/>
    <w:rsid w:val="00AA5630"/>
    <w:rsid w:val="00AA7EC9"/>
    <w:rsid w:val="00AE0502"/>
    <w:rsid w:val="00B0620D"/>
    <w:rsid w:val="00B25280"/>
    <w:rsid w:val="00B304E6"/>
    <w:rsid w:val="00B314EB"/>
    <w:rsid w:val="00B43ECD"/>
    <w:rsid w:val="00B449C9"/>
    <w:rsid w:val="00B674DB"/>
    <w:rsid w:val="00BB15FB"/>
    <w:rsid w:val="00C028CB"/>
    <w:rsid w:val="00C06102"/>
    <w:rsid w:val="00C27F35"/>
    <w:rsid w:val="00C35B0B"/>
    <w:rsid w:val="00C43CED"/>
    <w:rsid w:val="00C5159A"/>
    <w:rsid w:val="00C74B45"/>
    <w:rsid w:val="00C92644"/>
    <w:rsid w:val="00C93684"/>
    <w:rsid w:val="00CA40E1"/>
    <w:rsid w:val="00CC4756"/>
    <w:rsid w:val="00CC58B2"/>
    <w:rsid w:val="00CD3710"/>
    <w:rsid w:val="00D04778"/>
    <w:rsid w:val="00D300E5"/>
    <w:rsid w:val="00D372CC"/>
    <w:rsid w:val="00D62EBA"/>
    <w:rsid w:val="00D64D6D"/>
    <w:rsid w:val="00D9744F"/>
    <w:rsid w:val="00DA0DEB"/>
    <w:rsid w:val="00DC0106"/>
    <w:rsid w:val="00DC22D1"/>
    <w:rsid w:val="00DE7C81"/>
    <w:rsid w:val="00E128F5"/>
    <w:rsid w:val="00E3185C"/>
    <w:rsid w:val="00E41205"/>
    <w:rsid w:val="00E518C3"/>
    <w:rsid w:val="00E75F50"/>
    <w:rsid w:val="00E76252"/>
    <w:rsid w:val="00E83A2F"/>
    <w:rsid w:val="00EB0C97"/>
    <w:rsid w:val="00EC30F5"/>
    <w:rsid w:val="00EC455C"/>
    <w:rsid w:val="00EC6064"/>
    <w:rsid w:val="00ED7DC9"/>
    <w:rsid w:val="00EE2D52"/>
    <w:rsid w:val="00F06053"/>
    <w:rsid w:val="00F074B9"/>
    <w:rsid w:val="00F5769E"/>
    <w:rsid w:val="00F62DF3"/>
    <w:rsid w:val="00F74121"/>
    <w:rsid w:val="00FA45CE"/>
    <w:rsid w:val="00FC4DE6"/>
    <w:rsid w:val="00FE71B7"/>
    <w:rsid w:val="00FF69B0"/>
    <w:rsid w:val="00FF7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9DB4F2-9C58-4BC4-990E-E7B2CF37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spacing w:after="240"/>
    </w:pPr>
    <w:rPr>
      <w:sz w:val="24"/>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link w:val="main"/>
    <w:rPr>
      <w:rFonts w:ascii="Helvetica" w:hAnsi="Helvetica"/>
      <w:b/>
      <w:sz w:val="26"/>
      <w:lang w:val="en-US" w:eastAsia="en-US" w:bidi="ar-SA"/>
    </w:rPr>
  </w:style>
  <w:style w:type="character" w:customStyle="1" w:styleId="HeaderChar">
    <w:name w:val="Header Char"/>
    <w:link w:val="Header"/>
    <w:rsid w:val="00731B58"/>
    <w:rPr>
      <w:rFonts w:ascii="Palatino" w:hAnsi="Palatino"/>
      <w:sz w:val="26"/>
    </w:rPr>
  </w:style>
  <w:style w:type="table" w:styleId="TableGrid">
    <w:name w:val="Table Grid"/>
    <w:basedOn w:val="TableNormal"/>
    <w:rsid w:val="000D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07790">
      <w:bodyDiv w:val="1"/>
      <w:marLeft w:val="0"/>
      <w:marRight w:val="0"/>
      <w:marTop w:val="0"/>
      <w:marBottom w:val="0"/>
      <w:divBdr>
        <w:top w:val="none" w:sz="0" w:space="0" w:color="auto"/>
        <w:left w:val="none" w:sz="0" w:space="0" w:color="auto"/>
        <w:bottom w:val="none" w:sz="0" w:space="0" w:color="auto"/>
        <w:right w:val="none" w:sz="0" w:space="0" w:color="auto"/>
      </w:divBdr>
    </w:div>
    <w:div w:id="15198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H\AppData\Local\Microsoft\Windows\Temporary%20Internet%20Files\Content.IE5\QXCC8Z9X\Comment%20Dec.%20(Simple%20Short%20Version%20-%20Mail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51A1-6ED6-4455-B633-233FAA81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Comment Dec. (Simple Short Version - Mailing)</Template>
  <TotalTime>5</TotalTime>
  <Pages>19</Pages>
  <Words>3537</Words>
  <Characters>20162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Decision</vt:lpstr>
    </vt:vector>
  </TitlesOfParts>
  <Company>California Public Utilities Commission (CPUC)</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dc:title>
  <dc:creator>Hipolito, Marilou A.</dc:creator>
  <cp:lastModifiedBy>Hipolito, Marilou A.</cp:lastModifiedBy>
  <cp:revision>11</cp:revision>
  <cp:lastPrinted>2008-04-01T23:35:00Z</cp:lastPrinted>
  <dcterms:created xsi:type="dcterms:W3CDTF">2018-11-28T18:42:00Z</dcterms:created>
  <dcterms:modified xsi:type="dcterms:W3CDTF">2018-11-28T20:46:00Z</dcterms:modified>
</cp:coreProperties>
</file>