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68E51" w14:textId="77777777" w:rsidR="007A3B01" w:rsidRDefault="007A3B01">
      <w:pPr>
        <w:pStyle w:val="Header"/>
        <w:tabs>
          <w:tab w:val="clear" w:pos="4320"/>
          <w:tab w:val="clear" w:pos="8640"/>
          <w:tab w:val="center" w:pos="4680"/>
          <w:tab w:val="right" w:pos="9360"/>
        </w:tabs>
      </w:pPr>
    </w:p>
    <w:p w14:paraId="16DEA39A" w14:textId="3F2D69DE" w:rsidR="000D7102" w:rsidRDefault="00B80F6A" w:rsidP="000D7102">
      <w:pPr>
        <w:pStyle w:val="Header"/>
        <w:tabs>
          <w:tab w:val="clear" w:pos="4320"/>
          <w:tab w:val="clear" w:pos="8640"/>
          <w:tab w:val="center" w:pos="4680"/>
          <w:tab w:val="right" w:pos="9360"/>
        </w:tabs>
      </w:pPr>
      <w:r>
        <w:t>ALJ/</w:t>
      </w:r>
      <w:r w:rsidR="00446190">
        <w:t>UNC</w:t>
      </w:r>
      <w:r>
        <w:t>/</w:t>
      </w:r>
      <w:r w:rsidR="002B39C3">
        <w:t>mph</w:t>
      </w:r>
      <w:r w:rsidR="000D7102">
        <w:tab/>
      </w:r>
      <w:r w:rsidR="000D7102">
        <w:tab/>
      </w:r>
      <w:r w:rsidR="000D7102" w:rsidRPr="000D7102">
        <w:rPr>
          <w:b/>
        </w:rPr>
        <w:t>Date of Issuance 12/1</w:t>
      </w:r>
      <w:r w:rsidR="00446190">
        <w:rPr>
          <w:b/>
        </w:rPr>
        <w:t>9</w:t>
      </w:r>
      <w:r w:rsidR="000D7102" w:rsidRPr="000D7102">
        <w:rPr>
          <w:b/>
        </w:rPr>
        <w:t>/2018</w:t>
      </w:r>
      <w:r>
        <w:tab/>
      </w:r>
    </w:p>
    <w:p w14:paraId="76370D2E" w14:textId="1A7D337A" w:rsidR="00B80F6A" w:rsidRDefault="00B80F6A">
      <w:pPr>
        <w:pStyle w:val="Header"/>
        <w:tabs>
          <w:tab w:val="clear" w:pos="8640"/>
          <w:tab w:val="right" w:pos="9360"/>
        </w:tabs>
      </w:pPr>
    </w:p>
    <w:p w14:paraId="68C52B86" w14:textId="06C19114" w:rsidR="00B80F6A" w:rsidRDefault="00B80F6A">
      <w:pPr>
        <w:suppressAutoHyphens/>
      </w:pPr>
    </w:p>
    <w:p w14:paraId="4AE760DD" w14:textId="77777777" w:rsidR="000B73AD" w:rsidRDefault="000B73AD">
      <w:pPr>
        <w:suppressAutoHyphens/>
      </w:pPr>
    </w:p>
    <w:p w14:paraId="6F239E73" w14:textId="77777777" w:rsidR="00B80F6A" w:rsidRDefault="00B80F6A">
      <w:pPr>
        <w:pStyle w:val="titlebar"/>
        <w:rPr>
          <w:sz w:val="24"/>
        </w:rPr>
      </w:pPr>
      <w:r>
        <w:rPr>
          <w:sz w:val="24"/>
        </w:rPr>
        <w:t>BEFORE THE PUBLIC UTILITIES COMMISSION OF THE STATE OF CALIFORNIA</w:t>
      </w:r>
    </w:p>
    <w:p w14:paraId="44829BC3" w14:textId="77777777" w:rsidR="00B80F6A" w:rsidRDefault="00B80F6A">
      <w:pPr>
        <w:suppressAutoHyphens/>
      </w:pPr>
    </w:p>
    <w:tbl>
      <w:tblPr>
        <w:tblW w:w="0" w:type="auto"/>
        <w:tblLayout w:type="fixed"/>
        <w:tblLook w:val="0000" w:firstRow="0" w:lastRow="0" w:firstColumn="0" w:lastColumn="0" w:noHBand="0" w:noVBand="0"/>
      </w:tblPr>
      <w:tblGrid>
        <w:gridCol w:w="4428"/>
        <w:gridCol w:w="5130"/>
      </w:tblGrid>
      <w:tr w:rsidR="00B80F6A" w14:paraId="13B28D25" w14:textId="77777777" w:rsidTr="000D7102">
        <w:tc>
          <w:tcPr>
            <w:tcW w:w="4428" w:type="dxa"/>
            <w:tcBorders>
              <w:bottom w:val="single" w:sz="6" w:space="0" w:color="auto"/>
              <w:right w:val="single" w:sz="6" w:space="0" w:color="auto"/>
            </w:tcBorders>
          </w:tcPr>
          <w:p w14:paraId="619E5696" w14:textId="60480DC8" w:rsidR="00B80F6A" w:rsidRDefault="002B39C3">
            <w:pPr>
              <w:tabs>
                <w:tab w:val="left" w:pos="1440"/>
                <w:tab w:val="left" w:pos="3600"/>
              </w:tabs>
            </w:pPr>
            <w:r>
              <w:t>Order Instituting Rulemaking to Examine Electric Utility De</w:t>
            </w:r>
            <w:r w:rsidR="00B12992">
              <w:noBreakHyphen/>
            </w:r>
            <w:r>
              <w:t>Energization of Power Lines in Dangerous Conditions.</w:t>
            </w:r>
          </w:p>
          <w:p w14:paraId="126CB507" w14:textId="045877A8" w:rsidR="000D7102" w:rsidRDefault="000D7102"/>
        </w:tc>
        <w:tc>
          <w:tcPr>
            <w:tcW w:w="5130" w:type="dxa"/>
            <w:tcBorders>
              <w:left w:val="nil"/>
            </w:tcBorders>
          </w:tcPr>
          <w:p w14:paraId="6F697CAC" w14:textId="672CB98F" w:rsidR="00B80F6A" w:rsidRDefault="000D7102">
            <w:pPr>
              <w:jc w:val="center"/>
            </w:pPr>
            <w:r>
              <w:t>FILED</w:t>
            </w:r>
          </w:p>
          <w:p w14:paraId="39D7912B" w14:textId="1A600681" w:rsidR="000D7102" w:rsidRDefault="000D7102">
            <w:pPr>
              <w:jc w:val="center"/>
            </w:pPr>
            <w:r>
              <w:t>PUBLIC UTILITIES COMMISSION</w:t>
            </w:r>
          </w:p>
          <w:p w14:paraId="70E64014" w14:textId="7F23B3B9" w:rsidR="000D7102" w:rsidRDefault="000D7102">
            <w:pPr>
              <w:jc w:val="center"/>
            </w:pPr>
            <w:r>
              <w:t>DECEMBER 13, 2018</w:t>
            </w:r>
          </w:p>
          <w:p w14:paraId="17B2B852" w14:textId="68B6A9E7" w:rsidR="000D7102" w:rsidRDefault="000D7102">
            <w:pPr>
              <w:jc w:val="center"/>
            </w:pPr>
            <w:r>
              <w:t>SAN FRANCISCO, CALIFORNIA</w:t>
            </w:r>
          </w:p>
          <w:p w14:paraId="18EBBE25" w14:textId="77777777" w:rsidR="00B80F6A" w:rsidRDefault="000D7102">
            <w:pPr>
              <w:jc w:val="center"/>
            </w:pPr>
            <w:r>
              <w:t>RULEMAKING 18-12-005</w:t>
            </w:r>
          </w:p>
          <w:p w14:paraId="3CE0B5FD" w14:textId="1C197D61" w:rsidR="000D7102" w:rsidRDefault="000D7102">
            <w:pPr>
              <w:jc w:val="center"/>
            </w:pPr>
          </w:p>
        </w:tc>
      </w:tr>
    </w:tbl>
    <w:p w14:paraId="43DD7CF0" w14:textId="77777777" w:rsidR="00B80F6A" w:rsidRDefault="00B80F6A">
      <w:pPr>
        <w:suppressAutoHyphens/>
      </w:pPr>
    </w:p>
    <w:p w14:paraId="230EDB61" w14:textId="77777777" w:rsidR="00B80F6A" w:rsidRDefault="00B80F6A"/>
    <w:p w14:paraId="0C02EA10" w14:textId="77777777" w:rsidR="00B80F6A" w:rsidRDefault="002B39C3">
      <w:pPr>
        <w:pStyle w:val="main"/>
      </w:pPr>
      <w:r>
        <w:t>ORDER INSTITUTING RULEMAKING</w:t>
      </w:r>
    </w:p>
    <w:p w14:paraId="66DA28C6" w14:textId="77777777" w:rsidR="00B80F6A" w:rsidRDefault="00B80F6A">
      <w:pPr>
        <w:suppressAutoHyphens/>
      </w:pPr>
    </w:p>
    <w:p w14:paraId="5A5B2046" w14:textId="77777777" w:rsidR="00B80F6A" w:rsidRDefault="00B80F6A">
      <w:pPr>
        <w:pStyle w:val="Heading1"/>
        <w:spacing w:before="0" w:after="0" w:line="360" w:lineRule="auto"/>
      </w:pPr>
      <w:bookmarkStart w:id="0" w:name="_Toc370798910"/>
      <w:r>
        <w:t>Summary</w:t>
      </w:r>
      <w:bookmarkEnd w:id="0"/>
    </w:p>
    <w:p w14:paraId="74F2104B" w14:textId="5FA9F315" w:rsidR="00EB2D58" w:rsidRDefault="002B39C3" w:rsidP="002B39C3">
      <w:pPr>
        <w:pStyle w:val="standard"/>
      </w:pPr>
      <w:r>
        <w:t>The Commission opens this Order Instituting Rulemaking (OIR) to examine its rules allowing electric utilities under the Commission’s jurisdiction to de</w:t>
      </w:r>
      <w:r w:rsidR="00B12992">
        <w:noBreakHyphen/>
      </w:r>
      <w:r>
        <w:t>energize power lines in case of dangerous conditions that threaten life or property in California.  The Commission recently adopted de</w:t>
      </w:r>
      <w:r w:rsidR="00B12992">
        <w:noBreakHyphen/>
      </w:r>
      <w:r>
        <w:t>energization rules in Resolution ESRB</w:t>
      </w:r>
      <w:r w:rsidR="00B12992">
        <w:noBreakHyphen/>
      </w:r>
      <w:r>
        <w:t>8,</w:t>
      </w:r>
      <w:r>
        <w:rPr>
          <w:rStyle w:val="FootnoteReference"/>
        </w:rPr>
        <w:footnoteReference w:id="2"/>
      </w:r>
      <w:r>
        <w:t xml:space="preserve"> which built on Decision (D.) 12</w:t>
      </w:r>
      <w:r w:rsidR="00B12992">
        <w:noBreakHyphen/>
      </w:r>
      <w:r>
        <w:t>04</w:t>
      </w:r>
      <w:r w:rsidR="00B12992">
        <w:noBreakHyphen/>
      </w:r>
      <w:r>
        <w:t xml:space="preserve">004.  Resolution </w:t>
      </w:r>
    </w:p>
    <w:p w14:paraId="0567F88C" w14:textId="31433F68" w:rsidR="002B39C3" w:rsidRDefault="002B39C3" w:rsidP="00EB2D58">
      <w:pPr>
        <w:pStyle w:val="standard"/>
        <w:ind w:firstLine="0"/>
      </w:pPr>
      <w:r>
        <w:t>ESRB</w:t>
      </w:r>
      <w:r w:rsidR="00B12992">
        <w:noBreakHyphen/>
      </w:r>
      <w:r>
        <w:t xml:space="preserve">8 will remain in effect during the pendency of this proceeding unless and until the Commission explicitly modifies or rescinds it.  </w:t>
      </w:r>
    </w:p>
    <w:p w14:paraId="00B6CA89" w14:textId="3AFBF69C" w:rsidR="002B39C3" w:rsidRDefault="00200308" w:rsidP="00200308">
      <w:pPr>
        <w:pStyle w:val="standard"/>
      </w:pPr>
      <w:r>
        <w:t>California is experiencing an incr</w:t>
      </w:r>
      <w:r w:rsidR="00B12992">
        <w:t xml:space="preserve">ease in wildfire events due to </w:t>
      </w:r>
      <w:r>
        <w:t xml:space="preserve">a number of factors, including an extended period of </w:t>
      </w:r>
      <w:r w:rsidR="000774A1">
        <w:t>drought</w:t>
      </w:r>
      <w:r>
        <w:t xml:space="preserve">, upwards of 10 years, </w:t>
      </w:r>
      <w:r w:rsidR="000774A1">
        <w:t xml:space="preserve">increased fuel for fires, and unprecedented </w:t>
      </w:r>
      <w:r>
        <w:t xml:space="preserve">conditions that are leading to extreme </w:t>
      </w:r>
      <w:r w:rsidR="000774A1">
        <w:t>weather events</w:t>
      </w:r>
      <w:r>
        <w:t xml:space="preserve">.  Exacerbating wildfire conditions are </w:t>
      </w:r>
      <w:r w:rsidR="002B39C3">
        <w:t>energized power lines</w:t>
      </w:r>
      <w:r>
        <w:t xml:space="preserve"> and the </w:t>
      </w:r>
      <w:r>
        <w:lastRenderedPageBreak/>
        <w:t>potential of these lines to either</w:t>
      </w:r>
      <w:r w:rsidR="002B39C3">
        <w:t xml:space="preserve"> spark</w:t>
      </w:r>
      <w:r w:rsidR="000774A1">
        <w:t xml:space="preserve"> </w:t>
      </w:r>
      <w:r w:rsidR="002B39C3">
        <w:t xml:space="preserve">or </w:t>
      </w:r>
      <w:r w:rsidR="00E03662">
        <w:t>worsen</w:t>
      </w:r>
      <w:r w:rsidR="000774A1">
        <w:t xml:space="preserve"> </w:t>
      </w:r>
      <w:r w:rsidR="008D3163">
        <w:t xml:space="preserve">an existing </w:t>
      </w:r>
      <w:r w:rsidR="002B39C3">
        <w:t>wildfire</w:t>
      </w:r>
      <w:r w:rsidR="008D3163">
        <w:t xml:space="preserve">.  </w:t>
      </w:r>
      <w:r w:rsidR="000774A1">
        <w:t xml:space="preserve">To mitigate these and other risks, electric utilities have in the past used </w:t>
      </w:r>
      <w:r w:rsidR="002B39C3">
        <w:t xml:space="preserve">the option of </w:t>
      </w:r>
      <w:r w:rsidR="008809C6">
        <w:t xml:space="preserve">proactively </w:t>
      </w:r>
      <w:r w:rsidR="002B39C3">
        <w:t xml:space="preserve">shutting down power </w:t>
      </w:r>
      <w:r w:rsidR="000774A1">
        <w:t xml:space="preserve">to specific power </w:t>
      </w:r>
      <w:r w:rsidR="002B39C3">
        <w:t xml:space="preserve">lines to limit the impact </w:t>
      </w:r>
      <w:r w:rsidR="008809C6">
        <w:t xml:space="preserve">or </w:t>
      </w:r>
      <w:r w:rsidR="002B39C3">
        <w:t xml:space="preserve">damage </w:t>
      </w:r>
      <w:r w:rsidR="008809C6">
        <w:t xml:space="preserve">of these lines </w:t>
      </w:r>
      <w:r w:rsidR="002B39C3">
        <w:t xml:space="preserve">to communities </w:t>
      </w:r>
      <w:r w:rsidR="008809C6">
        <w:t xml:space="preserve">in situations </w:t>
      </w:r>
      <w:r w:rsidR="000774A1">
        <w:t>where the</w:t>
      </w:r>
      <w:r w:rsidR="008809C6">
        <w:t xml:space="preserve"> utilities </w:t>
      </w:r>
      <w:r w:rsidR="000774A1">
        <w:t xml:space="preserve">are aware </w:t>
      </w:r>
      <w:r w:rsidR="002B39C3">
        <w:t xml:space="preserve">of dangerous conditions.  </w:t>
      </w:r>
      <w:r w:rsidR="000774A1">
        <w:t>However</w:t>
      </w:r>
      <w:r w:rsidR="002B39C3">
        <w:t>, de</w:t>
      </w:r>
      <w:r w:rsidR="00B12992">
        <w:noBreakHyphen/>
      </w:r>
      <w:r w:rsidR="002B39C3">
        <w:t xml:space="preserve">energization </w:t>
      </w:r>
      <w:r w:rsidR="000774A1">
        <w:t xml:space="preserve">can </w:t>
      </w:r>
      <w:r w:rsidR="002B39C3">
        <w:t>leave communities and essential facilities without power, which brings its own risks and hardships</w:t>
      </w:r>
      <w:r w:rsidR="008809C6">
        <w:t>, particularly for vulnerable communities</w:t>
      </w:r>
      <w:r w:rsidR="002B39C3">
        <w:t xml:space="preserve">.  </w:t>
      </w:r>
    </w:p>
    <w:p w14:paraId="7F849BAB" w14:textId="77777777" w:rsidR="002B39C3" w:rsidRDefault="002B39C3" w:rsidP="002B39C3">
      <w:pPr>
        <w:pStyle w:val="standard"/>
      </w:pPr>
      <w:r>
        <w:t>This proceeding will focus on the following issues:</w:t>
      </w:r>
    </w:p>
    <w:p w14:paraId="1D54EE47" w14:textId="6597F52A" w:rsidR="002B39C3" w:rsidRDefault="002B39C3" w:rsidP="000A4BD6">
      <w:pPr>
        <w:pStyle w:val="standard"/>
        <w:numPr>
          <w:ilvl w:val="0"/>
          <w:numId w:val="5"/>
        </w:numPr>
        <w:spacing w:after="120" w:line="240" w:lineRule="auto"/>
        <w:ind w:right="1440"/>
      </w:pPr>
      <w:r>
        <w:t xml:space="preserve">Examining </w:t>
      </w:r>
      <w:r w:rsidRPr="00E00CBA">
        <w:t xml:space="preserve">conditions </w:t>
      </w:r>
      <w:r>
        <w:t xml:space="preserve">in which </w:t>
      </w:r>
      <w:r w:rsidR="000774A1" w:rsidRPr="00E00CBA">
        <w:t>proactive</w:t>
      </w:r>
      <w:r w:rsidR="000774A1">
        <w:t xml:space="preserve"> and </w:t>
      </w:r>
      <w:r w:rsidR="00314DC2">
        <w:t xml:space="preserve">planned </w:t>
      </w:r>
      <w:r w:rsidRPr="00E00CBA">
        <w:t>de</w:t>
      </w:r>
      <w:r w:rsidR="00B12992">
        <w:noBreakHyphen/>
      </w:r>
      <w:r w:rsidRPr="00E00CBA">
        <w:t>energization</w:t>
      </w:r>
      <w:r>
        <w:t xml:space="preserve"> is </w:t>
      </w:r>
      <w:r w:rsidR="00A2393D">
        <w:t>practiced</w:t>
      </w:r>
      <w:r>
        <w:t>;</w:t>
      </w:r>
      <w:r w:rsidRPr="00E00CBA">
        <w:t xml:space="preserve"> </w:t>
      </w:r>
    </w:p>
    <w:p w14:paraId="5E45E23F" w14:textId="6E83E6FD" w:rsidR="00314DC2" w:rsidRPr="00E00CBA" w:rsidRDefault="00314DC2" w:rsidP="000A4BD6">
      <w:pPr>
        <w:pStyle w:val="standard"/>
        <w:numPr>
          <w:ilvl w:val="0"/>
          <w:numId w:val="5"/>
        </w:numPr>
        <w:spacing w:after="120" w:line="240" w:lineRule="auto"/>
        <w:ind w:right="1440"/>
      </w:pPr>
      <w:r>
        <w:t>Develop</w:t>
      </w:r>
      <w:r w:rsidR="00491720">
        <w:t>ing</w:t>
      </w:r>
      <w:r>
        <w:t xml:space="preserve"> best practices and ensur</w:t>
      </w:r>
      <w:r w:rsidR="00491720">
        <w:t>ing</w:t>
      </w:r>
      <w:r>
        <w:t xml:space="preserve"> an orderly and effective set of criteria for evaluating </w:t>
      </w:r>
      <w:r w:rsidR="00810BE1">
        <w:t>de</w:t>
      </w:r>
      <w:r w:rsidR="00B12992">
        <w:noBreakHyphen/>
      </w:r>
      <w:r w:rsidR="00810BE1">
        <w:t>energization</w:t>
      </w:r>
      <w:r>
        <w:t xml:space="preserve"> programs;</w:t>
      </w:r>
    </w:p>
    <w:p w14:paraId="3A057D87" w14:textId="77777777" w:rsidR="002B39C3" w:rsidRPr="00E00CBA" w:rsidRDefault="002B39C3" w:rsidP="000A4BD6">
      <w:pPr>
        <w:pStyle w:val="standard"/>
        <w:numPr>
          <w:ilvl w:val="0"/>
          <w:numId w:val="5"/>
        </w:numPr>
        <w:spacing w:after="120" w:line="240" w:lineRule="auto"/>
        <w:ind w:right="1440"/>
      </w:pPr>
      <w:r>
        <w:t xml:space="preserve">Ensuring electric utilities </w:t>
      </w:r>
      <w:r w:rsidRPr="00E00CBA">
        <w:t>coordinat</w:t>
      </w:r>
      <w:r>
        <w:t>e</w:t>
      </w:r>
      <w:r w:rsidRPr="00E00CBA">
        <w:t xml:space="preserve"> with state and local level </w:t>
      </w:r>
      <w:r>
        <w:t xml:space="preserve">first </w:t>
      </w:r>
      <w:r w:rsidRPr="00E00CBA">
        <w:t xml:space="preserve">responders, </w:t>
      </w:r>
      <w:r>
        <w:t xml:space="preserve">and align their systems </w:t>
      </w:r>
      <w:r w:rsidRPr="00E00CBA">
        <w:t xml:space="preserve">with </w:t>
      </w:r>
      <w:r>
        <w:t xml:space="preserve">the Standardized Emergency Management System </w:t>
      </w:r>
      <w:r w:rsidRPr="00E00CBA">
        <w:t>framework (SEMS)</w:t>
      </w:r>
      <w:r>
        <w:rPr>
          <w:rStyle w:val="FootnoteReference"/>
        </w:rPr>
        <w:footnoteReference w:id="3"/>
      </w:r>
      <w:r>
        <w:t>;</w:t>
      </w:r>
      <w:r w:rsidRPr="00E00CBA">
        <w:t xml:space="preserve"> </w:t>
      </w:r>
    </w:p>
    <w:p w14:paraId="7FAD7A6F" w14:textId="124A456E" w:rsidR="002B39C3" w:rsidRPr="00E00CBA" w:rsidRDefault="002B39C3" w:rsidP="000A4BD6">
      <w:pPr>
        <w:pStyle w:val="standard"/>
        <w:numPr>
          <w:ilvl w:val="0"/>
          <w:numId w:val="5"/>
        </w:numPr>
        <w:spacing w:after="120" w:line="240" w:lineRule="auto"/>
        <w:ind w:right="1440"/>
      </w:pPr>
      <w:r>
        <w:t xml:space="preserve">Mitigating the </w:t>
      </w:r>
      <w:r w:rsidRPr="00E00CBA">
        <w:t>impact of de</w:t>
      </w:r>
      <w:r w:rsidR="00B12992">
        <w:noBreakHyphen/>
      </w:r>
      <w:r w:rsidRPr="00E00CBA">
        <w:t>energization on vulnerable populations</w:t>
      </w:r>
      <w:r>
        <w:t>;</w:t>
      </w:r>
      <w:r w:rsidRPr="00E00CBA">
        <w:t xml:space="preserve"> </w:t>
      </w:r>
    </w:p>
    <w:p w14:paraId="3D3EDEB9" w14:textId="756600B2" w:rsidR="002B39C3" w:rsidRPr="00E00CBA" w:rsidRDefault="002B39C3" w:rsidP="000A4BD6">
      <w:pPr>
        <w:pStyle w:val="standard"/>
        <w:numPr>
          <w:ilvl w:val="0"/>
          <w:numId w:val="5"/>
        </w:numPr>
        <w:spacing w:after="120" w:line="240" w:lineRule="auto"/>
        <w:ind w:right="1440"/>
      </w:pPr>
      <w:r>
        <w:t>Examining whether there are ways to reduce the need for de</w:t>
      </w:r>
      <w:r w:rsidR="00B12992">
        <w:noBreakHyphen/>
      </w:r>
      <w:r>
        <w:t xml:space="preserve">energization; </w:t>
      </w:r>
    </w:p>
    <w:p w14:paraId="0D13696F" w14:textId="77777777" w:rsidR="0042147B" w:rsidRDefault="002B39C3" w:rsidP="00842DED">
      <w:pPr>
        <w:pStyle w:val="standard"/>
        <w:numPr>
          <w:ilvl w:val="0"/>
          <w:numId w:val="5"/>
        </w:numPr>
        <w:spacing w:after="120" w:line="240" w:lineRule="auto"/>
        <w:ind w:right="1440"/>
      </w:pPr>
      <w:r>
        <w:t xml:space="preserve">Ensuring effective notice to affected stakeholders of </w:t>
      </w:r>
      <w:r w:rsidRPr="00E00CBA">
        <w:t>possible de</w:t>
      </w:r>
      <w:r w:rsidR="00B12992">
        <w:noBreakHyphen/>
      </w:r>
      <w:r w:rsidRPr="00E00CBA">
        <w:t xml:space="preserve">energization </w:t>
      </w:r>
      <w:r>
        <w:t>and follow</w:t>
      </w:r>
      <w:r w:rsidR="00B12992">
        <w:noBreakHyphen/>
      </w:r>
      <w:r>
        <w:t xml:space="preserve">up </w:t>
      </w:r>
      <w:r w:rsidRPr="00E00CBA">
        <w:t>notice of actual de</w:t>
      </w:r>
      <w:r w:rsidR="00B12992">
        <w:noBreakHyphen/>
      </w:r>
      <w:r w:rsidRPr="00E00CBA">
        <w:t>energization</w:t>
      </w:r>
      <w:r w:rsidR="00314DC2">
        <w:t xml:space="preserve">; </w:t>
      </w:r>
      <w:r w:rsidRPr="00980737">
        <w:t>and</w:t>
      </w:r>
    </w:p>
    <w:p w14:paraId="56F74F3B" w14:textId="5CA000DE" w:rsidR="002B39C3" w:rsidRDefault="0042147B" w:rsidP="00842DED">
      <w:pPr>
        <w:pStyle w:val="standard"/>
        <w:numPr>
          <w:ilvl w:val="0"/>
          <w:numId w:val="5"/>
        </w:numPr>
        <w:spacing w:after="120" w:line="240" w:lineRule="auto"/>
        <w:ind w:right="1440"/>
      </w:pPr>
      <w:r>
        <w:t>Ensuring consistency in notice and reporting of de-energization events.</w:t>
      </w:r>
      <w:r w:rsidR="002B39C3" w:rsidRPr="00980737">
        <w:t xml:space="preserve"> </w:t>
      </w:r>
    </w:p>
    <w:p w14:paraId="5D3E5501" w14:textId="542AA2FE" w:rsidR="002B39C3" w:rsidRDefault="002B39C3" w:rsidP="002B39C3">
      <w:pPr>
        <w:pStyle w:val="standard"/>
      </w:pPr>
      <w:r>
        <w:lastRenderedPageBreak/>
        <w:t>We will serve this OIR broadly, and seek input from affected communities, governments, first responders and other stakeholders.</w:t>
      </w:r>
      <w:r w:rsidR="00396039">
        <w:t xml:space="preserve">  Staff has planned</w:t>
      </w:r>
      <w:r>
        <w:t xml:space="preserve"> workshops in different parts of the state to receive input on de</w:t>
      </w:r>
      <w:r w:rsidR="00B12992">
        <w:noBreakHyphen/>
      </w:r>
      <w:r>
        <w:t>energization.  We intend to examine how de</w:t>
      </w:r>
      <w:r w:rsidR="00B12992">
        <w:noBreakHyphen/>
      </w:r>
      <w:r>
        <w:t xml:space="preserve">energization has affected California thus far, and to refine our approach to the practice to ensure it enhances public safety while minimizing unintended consequences.  </w:t>
      </w:r>
    </w:p>
    <w:p w14:paraId="3B4FFDE7" w14:textId="782300EB" w:rsidR="002B39C3" w:rsidRDefault="002B39C3" w:rsidP="002B39C3">
      <w:pPr>
        <w:pStyle w:val="standard"/>
      </w:pPr>
      <w:r>
        <w:t>The Commission</w:t>
      </w:r>
      <w:r w:rsidR="00B12992">
        <w:noBreakHyphen/>
      </w:r>
      <w:r>
        <w:t xml:space="preserve">jurisdictional electric corporations (collectively, Investor Owned Utilities or IOUs) that are required to participate in this proceeding are Pacific Gas and Electric Company (PG&amp;E), Southern California Edison Company (SCE), San Diego Gas &amp; Electric Company (SDG&amp;E), </w:t>
      </w:r>
      <w:r w:rsidRPr="00E555AB">
        <w:t>Liberty Util</w:t>
      </w:r>
      <w:r>
        <w:t>ities/</w:t>
      </w:r>
      <w:proofErr w:type="spellStart"/>
      <w:r>
        <w:t>CalPeco</w:t>
      </w:r>
      <w:proofErr w:type="spellEnd"/>
      <w:r>
        <w:t xml:space="preserve"> Electric (Liberty), </w:t>
      </w:r>
      <w:r w:rsidRPr="00E555AB">
        <w:t>Bear Valley Electric Service</w:t>
      </w:r>
      <w:r>
        <w:t xml:space="preserve">, a division of Golden State Water Company (Bear Valley), and Pacific Power, a division of </w:t>
      </w:r>
      <w:r w:rsidRPr="00E555AB">
        <w:t>PacifiCorp</w:t>
      </w:r>
      <w:r>
        <w:t xml:space="preserve"> (PacifiCorp).  The Commission also invites the input of all stakeholders in guiding our approach.</w:t>
      </w:r>
    </w:p>
    <w:p w14:paraId="06CC5F0A" w14:textId="51B5C53B" w:rsidR="004936EC" w:rsidRDefault="004936EC" w:rsidP="002B39C3">
      <w:pPr>
        <w:pStyle w:val="standard"/>
        <w:rPr>
          <w:rFonts w:ascii="Book Antiqua" w:hAnsi="Book Antiqua"/>
        </w:rPr>
      </w:pPr>
      <w:r>
        <w:t>In October 2018, the Commission opened a rulemaking, R.18</w:t>
      </w:r>
      <w:r w:rsidR="00B12992">
        <w:noBreakHyphen/>
      </w:r>
      <w:r>
        <w:t>10</w:t>
      </w:r>
      <w:r w:rsidR="00B12992">
        <w:noBreakHyphen/>
      </w:r>
      <w:r>
        <w:t>007, to implement the portions of SB 901 (Dodd) related to Wildfire Mitigation Plans.  Pertinent to this proceeding, Public Utilities Code Section 8386</w:t>
      </w:r>
      <w:r w:rsidR="00EE299D">
        <w:rPr>
          <w:rFonts w:ascii="Book Antiqua" w:hAnsi="Book Antiqua"/>
        </w:rPr>
        <w:t>(c)</w:t>
      </w:r>
      <w:r w:rsidR="00427229">
        <w:rPr>
          <w:rFonts w:ascii="Book Antiqua" w:hAnsi="Book Antiqua"/>
        </w:rPr>
        <w:t>(6) requires the plans to include:</w:t>
      </w:r>
    </w:p>
    <w:p w14:paraId="6966A71F" w14:textId="77777777" w:rsidR="004C7290" w:rsidRDefault="00427229" w:rsidP="001F1A0D">
      <w:pPr>
        <w:pStyle w:val="standard"/>
        <w:spacing w:after="120" w:line="240" w:lineRule="auto"/>
        <w:ind w:left="720" w:right="1440" w:firstLine="0"/>
      </w:pPr>
      <w:r>
        <w:t xml:space="preserve">6)  Protocols for disabling reclosers and deenergizing portions of the electrical distribution system that consider the associated impacts on public safety, as well as protocols related to mitigating the public safety impacts of those protocols, including impacts on critical first responders and on health and communication infrastructure.  </w:t>
      </w:r>
    </w:p>
    <w:p w14:paraId="22263BB6" w14:textId="3FCF90FB" w:rsidR="00427229" w:rsidRDefault="00427229" w:rsidP="003A3BAD">
      <w:pPr>
        <w:pStyle w:val="standard"/>
      </w:pPr>
      <w:r>
        <w:t>Because</w:t>
      </w:r>
      <w:r w:rsidR="002A799F">
        <w:t xml:space="preserve"> of</w:t>
      </w:r>
      <w:r>
        <w:t xml:space="preserve"> the important role de</w:t>
      </w:r>
      <w:r w:rsidR="00B12992">
        <w:noBreakHyphen/>
      </w:r>
      <w:r>
        <w:t>energiz</w:t>
      </w:r>
      <w:r w:rsidR="00810BE1">
        <w:t>ed</w:t>
      </w:r>
      <w:r>
        <w:t xml:space="preserve"> power lines </w:t>
      </w:r>
      <w:r w:rsidR="00810BE1">
        <w:t xml:space="preserve">can </w:t>
      </w:r>
      <w:r>
        <w:t xml:space="preserve">play in ensuring public safety and </w:t>
      </w:r>
      <w:r w:rsidR="003A3BAD">
        <w:t xml:space="preserve">the </w:t>
      </w:r>
      <w:r>
        <w:t>public’s keen interest in the impact of de</w:t>
      </w:r>
      <w:r w:rsidR="00B12992">
        <w:noBreakHyphen/>
      </w:r>
      <w:r>
        <w:t>energiz</w:t>
      </w:r>
      <w:r w:rsidR="00416C3C">
        <w:t>ation</w:t>
      </w:r>
      <w:r>
        <w:t xml:space="preserve"> on their communities, the Commission will address the </w:t>
      </w:r>
      <w:r w:rsidR="00396039">
        <w:t xml:space="preserve">implementation and logistics for </w:t>
      </w:r>
      <w:r>
        <w:t>de</w:t>
      </w:r>
      <w:r w:rsidR="00B12992">
        <w:noBreakHyphen/>
      </w:r>
      <w:r>
        <w:t>energiz</w:t>
      </w:r>
      <w:r w:rsidR="00396039">
        <w:t>ation of</w:t>
      </w:r>
      <w:r>
        <w:t xml:space="preserve"> power lines in </w:t>
      </w:r>
      <w:r w:rsidR="00396039">
        <w:t>this</w:t>
      </w:r>
      <w:r>
        <w:t xml:space="preserve"> </w:t>
      </w:r>
      <w:r>
        <w:lastRenderedPageBreak/>
        <w:t>proceeding</w:t>
      </w:r>
      <w:r w:rsidR="00381EDB">
        <w:t>.  Though this detailed examination will take place</w:t>
      </w:r>
      <w:r w:rsidR="00396039">
        <w:t xml:space="preserve"> outside of the initial Wildfire Mitigation Plans OIR</w:t>
      </w:r>
      <w:r w:rsidR="00381EDB">
        <w:t>, we recognize that de</w:t>
      </w:r>
      <w:r w:rsidR="00B12992">
        <w:noBreakHyphen/>
      </w:r>
      <w:r w:rsidR="00381EDB">
        <w:t>energization will be one element considered in the annual plans</w:t>
      </w:r>
      <w:r>
        <w:t xml:space="preserve">.  </w:t>
      </w:r>
      <w:r w:rsidR="00416C3C">
        <w:t>In future years, the</w:t>
      </w:r>
      <w:r>
        <w:t xml:space="preserve"> outcome of this proceeding </w:t>
      </w:r>
      <w:r w:rsidR="00192D94">
        <w:t>may</w:t>
      </w:r>
      <w:r>
        <w:t xml:space="preserve"> guide the portion of utilities’ wildfire mitigation plans required per Section 8386</w:t>
      </w:r>
      <w:r>
        <w:rPr>
          <w:rFonts w:ascii="Book Antiqua" w:hAnsi="Book Antiqua"/>
        </w:rPr>
        <w:t>(c)(6).</w:t>
      </w:r>
      <w:r>
        <w:t xml:space="preserve">  </w:t>
      </w:r>
    </w:p>
    <w:p w14:paraId="2FCD7ABA" w14:textId="3F297824" w:rsidR="002B39C3" w:rsidRPr="00845BDB" w:rsidRDefault="002B39C3" w:rsidP="00620963">
      <w:pPr>
        <w:pStyle w:val="Heading1"/>
        <w:keepNext w:val="0"/>
        <w:widowControl w:val="0"/>
        <w:numPr>
          <w:ilvl w:val="0"/>
          <w:numId w:val="7"/>
        </w:numPr>
        <w:ind w:left="360" w:right="720"/>
      </w:pPr>
      <w:r>
        <w:t>Background</w:t>
      </w:r>
    </w:p>
    <w:p w14:paraId="444BFDC2" w14:textId="40210F13" w:rsidR="002B39C3" w:rsidRDefault="002B39C3" w:rsidP="00B12992">
      <w:pPr>
        <w:pStyle w:val="standard"/>
      </w:pPr>
      <w:r>
        <w:t>Devastating wildfires have become a regular occurrence in California.  The Commission is examining the impact of wildfires and other emergencies in several proceedings,</w:t>
      </w:r>
      <w:r>
        <w:rPr>
          <w:rStyle w:val="FootnoteReference"/>
        </w:rPr>
        <w:footnoteReference w:id="4"/>
      </w:r>
      <w:r>
        <w:t xml:space="preserve"> but this proceeding will focus </w:t>
      </w:r>
      <w:r w:rsidR="006902C8">
        <w:t>specifically</w:t>
      </w:r>
      <w:r>
        <w:t xml:space="preserve"> on proactive electric power line de</w:t>
      </w:r>
      <w:r w:rsidR="00B12992">
        <w:noBreakHyphen/>
      </w:r>
      <w:r>
        <w:t xml:space="preserve">energization. </w:t>
      </w:r>
      <w:r w:rsidR="00B12992">
        <w:t xml:space="preserve"> </w:t>
      </w:r>
      <w:r w:rsidRPr="006776E6">
        <w:t>California Public Utilities Code (P</w:t>
      </w:r>
      <w:r>
        <w:t xml:space="preserve">ub. </w:t>
      </w:r>
      <w:r w:rsidRPr="006776E6">
        <w:t>U</w:t>
      </w:r>
      <w:r>
        <w:t>til.</w:t>
      </w:r>
      <w:r w:rsidRPr="006776E6">
        <w:t xml:space="preserve"> Code) Sections 451 and 399.2(a) give electric utilities authority to shut off electric power in order to protect public safety. </w:t>
      </w:r>
      <w:r w:rsidR="00B12992">
        <w:t xml:space="preserve"> </w:t>
      </w:r>
      <w:r w:rsidRPr="006776E6">
        <w:t xml:space="preserve">This authority includes shutting off power for the prevention of fires </w:t>
      </w:r>
      <w:r w:rsidR="006738DC">
        <w:t>where</w:t>
      </w:r>
      <w:r w:rsidRPr="006776E6">
        <w:t xml:space="preserve"> strong winds</w:t>
      </w:r>
      <w:r>
        <w:t>, heat events, and related conditions</w:t>
      </w:r>
      <w:r w:rsidR="006738DC">
        <w:t xml:space="preserve"> are present</w:t>
      </w:r>
      <w:r w:rsidRPr="006776E6">
        <w:t>.</w:t>
      </w:r>
    </w:p>
    <w:p w14:paraId="2F2A51F6" w14:textId="2AE55DA3" w:rsidR="004F7576" w:rsidRDefault="002B39C3" w:rsidP="00B12992">
      <w:pPr>
        <w:pStyle w:val="standard"/>
      </w:pPr>
      <w:r>
        <w:t>The Commission considered and allowed SDG&amp;E to engage in proactive de</w:t>
      </w:r>
      <w:r w:rsidR="00B12992">
        <w:noBreakHyphen/>
      </w:r>
      <w:r>
        <w:t xml:space="preserve">energization in </w:t>
      </w:r>
      <w:r w:rsidRPr="006776E6">
        <w:t>Application (A.) 08</w:t>
      </w:r>
      <w:r w:rsidR="00B12992">
        <w:noBreakHyphen/>
      </w:r>
      <w:r w:rsidRPr="006776E6">
        <w:t>12</w:t>
      </w:r>
      <w:r w:rsidR="00B12992">
        <w:noBreakHyphen/>
      </w:r>
      <w:r w:rsidRPr="006776E6">
        <w:t>021</w:t>
      </w:r>
      <w:r>
        <w:t xml:space="preserve">, resulting in Decision </w:t>
      </w:r>
      <w:r w:rsidR="00B12992">
        <w:t>(D.) </w:t>
      </w:r>
      <w:r>
        <w:t>12</w:t>
      </w:r>
      <w:r w:rsidR="00B12992">
        <w:noBreakHyphen/>
      </w:r>
      <w:r>
        <w:t>04</w:t>
      </w:r>
      <w:r w:rsidR="00B12992">
        <w:noBreakHyphen/>
      </w:r>
      <w:r>
        <w:t xml:space="preserve">024.  That decision allowed </w:t>
      </w:r>
      <w:r w:rsidRPr="006776E6">
        <w:t>SDG&amp;E authority to shut off power as a fire</w:t>
      </w:r>
      <w:r w:rsidR="00B12992">
        <w:noBreakHyphen/>
      </w:r>
      <w:r w:rsidRPr="006776E6">
        <w:t>prevention measure against severe Santa Ana wind</w:t>
      </w:r>
      <w:r w:rsidR="00381EDB">
        <w:t>s</w:t>
      </w:r>
      <w:r w:rsidR="007273C7">
        <w:t xml:space="preserve">.  </w:t>
      </w:r>
      <w:r>
        <w:t>SDG&amp;E requested</w:t>
      </w:r>
      <w:r w:rsidR="007273C7">
        <w:t xml:space="preserve"> this authority </w:t>
      </w:r>
      <w:r>
        <w:t xml:space="preserve">after the 2007 wildfire season that resulted in the Rice, Witch and </w:t>
      </w:r>
      <w:proofErr w:type="spellStart"/>
      <w:r>
        <w:t>Guejito</w:t>
      </w:r>
      <w:proofErr w:type="spellEnd"/>
      <w:r>
        <w:t xml:space="preserve"> wildfires discussed in D.17</w:t>
      </w:r>
      <w:r w:rsidR="00B12992">
        <w:noBreakHyphen/>
      </w:r>
      <w:r>
        <w:t>11</w:t>
      </w:r>
      <w:r w:rsidR="00B12992">
        <w:noBreakHyphen/>
      </w:r>
      <w:r>
        <w:t>033 (on rehearing, D.18</w:t>
      </w:r>
      <w:r w:rsidR="00B12992">
        <w:noBreakHyphen/>
      </w:r>
      <w:r>
        <w:t>07</w:t>
      </w:r>
      <w:r w:rsidR="00B12992">
        <w:noBreakHyphen/>
      </w:r>
      <w:r>
        <w:t>025).  The Commission allowed SDG&amp;E to de</w:t>
      </w:r>
      <w:r w:rsidR="00B12992">
        <w:noBreakHyphen/>
      </w:r>
      <w:r>
        <w:t xml:space="preserve">energize its lines </w:t>
      </w:r>
      <w:r w:rsidRPr="00783738">
        <w:t xml:space="preserve">in emergency situations </w:t>
      </w:r>
      <w:r w:rsidRPr="00783738">
        <w:lastRenderedPageBreak/>
        <w:t>when necessary to protect public safety</w:t>
      </w:r>
      <w:r w:rsidR="008B4234">
        <w:t xml:space="preserve"> and adopted certain review and notice requirements when proactive de</w:t>
      </w:r>
      <w:r w:rsidR="00B12992">
        <w:noBreakHyphen/>
      </w:r>
      <w:r w:rsidR="008B4234">
        <w:t>energization takes place</w:t>
      </w:r>
      <w:r>
        <w:t xml:space="preserve">.  </w:t>
      </w:r>
    </w:p>
    <w:p w14:paraId="2EA0E7F4" w14:textId="77777777" w:rsidR="00094D82" w:rsidRDefault="00314DC2" w:rsidP="00094D82">
      <w:pPr>
        <w:pStyle w:val="standard"/>
      </w:pPr>
      <w:r>
        <w:t xml:space="preserve">Over a period of several years, the utility deployed important new tools, such as weather sensors focused on many highly local sites capable of measuring real time wind speeds and atmospheric conditions, carefully placed video monitors, and employed sophisticated weather and wind modelling software.  Over time, the company </w:t>
      </w:r>
      <w:r w:rsidR="004F7576">
        <w:t>developed</w:t>
      </w:r>
      <w:r>
        <w:t xml:space="preserve"> detail</w:t>
      </w:r>
      <w:r w:rsidR="004F7576">
        <w:t>ed</w:t>
      </w:r>
      <w:r>
        <w:t xml:space="preserve"> profiles of specific </w:t>
      </w:r>
      <w:r w:rsidR="004F7576">
        <w:t xml:space="preserve">geographic features (canyons and hills and not just peaks) </w:t>
      </w:r>
      <w:r>
        <w:t xml:space="preserve">and </w:t>
      </w:r>
      <w:r w:rsidR="004F7576">
        <w:t>the settlement</w:t>
      </w:r>
      <w:r w:rsidR="00361198">
        <w:t>s</w:t>
      </w:r>
      <w:r w:rsidR="004F7576">
        <w:t xml:space="preserve"> located nearby, and developed risk profiles for possible infrastructure failure under potential weather conditions, with </w:t>
      </w:r>
      <w:r w:rsidR="00BC5CB1">
        <w:t xml:space="preserve">the </w:t>
      </w:r>
      <w:r w:rsidR="004F7576">
        <w:t>goal of limit</w:t>
      </w:r>
      <w:r w:rsidR="00BC5CB1">
        <w:t>ing</w:t>
      </w:r>
      <w:r w:rsidR="004F7576">
        <w:t xml:space="preserve"> the scope of de</w:t>
      </w:r>
      <w:r w:rsidR="00B12992">
        <w:noBreakHyphen/>
      </w:r>
      <w:r w:rsidR="004F7576">
        <w:t xml:space="preserve">energization and avoiding power cutoffs to essential services that are critical during emergencies.  Through careful observation of operation during weather events, the utility has improved the effectiveness of the program.  </w:t>
      </w:r>
    </w:p>
    <w:p w14:paraId="4882F8A2" w14:textId="3AE9990A" w:rsidR="002B39C3" w:rsidRDefault="00A157F5" w:rsidP="00094D82">
      <w:pPr>
        <w:pStyle w:val="standard"/>
        <w:ind w:firstLine="0"/>
      </w:pPr>
      <w:r>
        <w:t>D</w:t>
      </w:r>
      <w:r w:rsidR="002B39C3">
        <w:t>ecision</w:t>
      </w:r>
      <w:r>
        <w:t xml:space="preserve"> 12-04-024</w:t>
      </w:r>
      <w:r w:rsidR="002B39C3">
        <w:t xml:space="preserve"> provided for after</w:t>
      </w:r>
      <w:r w:rsidR="00B12992">
        <w:noBreakHyphen/>
      </w:r>
      <w:r w:rsidR="002B39C3">
        <w:t>the</w:t>
      </w:r>
      <w:r w:rsidR="00B12992">
        <w:noBreakHyphen/>
      </w:r>
      <w:r w:rsidR="002B39C3">
        <w:t>fact Commission reasonableness review of SDG&amp;E’s de</w:t>
      </w:r>
      <w:r w:rsidR="00B12992">
        <w:noBreakHyphen/>
      </w:r>
      <w:r w:rsidR="002B39C3">
        <w:t>energization decisions, required community notice and mitigation measures, and mandated reporting to the Commission</w:t>
      </w:r>
      <w:r w:rsidR="009B4803">
        <w:t xml:space="preserve"> </w:t>
      </w:r>
      <w:r w:rsidR="002B39C3">
        <w:t>on de</w:t>
      </w:r>
      <w:r w:rsidR="00B12992">
        <w:noBreakHyphen/>
      </w:r>
      <w:r w:rsidR="002B39C3">
        <w:t xml:space="preserve">energization events.  </w:t>
      </w:r>
    </w:p>
    <w:p w14:paraId="24E8B21A" w14:textId="5D151839" w:rsidR="002B39C3" w:rsidRDefault="002B39C3" w:rsidP="002B39C3">
      <w:pPr>
        <w:pStyle w:val="standard"/>
      </w:pPr>
      <w:r>
        <w:t>We explained the stark new reality of wildfire events in California in Resolution ESRB</w:t>
      </w:r>
      <w:r w:rsidR="00B12992">
        <w:noBreakHyphen/>
      </w:r>
      <w:r>
        <w:t xml:space="preserve">8:  </w:t>
      </w:r>
    </w:p>
    <w:p w14:paraId="0E054998" w14:textId="4439AEA7" w:rsidR="002B39C3" w:rsidRDefault="002B39C3" w:rsidP="00B12992">
      <w:pPr>
        <w:pStyle w:val="standard"/>
        <w:spacing w:after="160" w:line="240" w:lineRule="auto"/>
        <w:ind w:left="720" w:right="720" w:firstLine="0"/>
      </w:pPr>
      <w:r w:rsidRPr="00A82955">
        <w:t>The 2017 California wildfire season was the most destructive wildfire season on record, and saw multiple wildfires burning across California, including five of the 20 most destructive wildland</w:t>
      </w:r>
      <w:r w:rsidR="00B12992">
        <w:noBreakHyphen/>
      </w:r>
      <w:r w:rsidRPr="00A82955">
        <w:t xml:space="preserve">urban interface fires in the state's history. </w:t>
      </w:r>
      <w:r w:rsidR="00B12992">
        <w:t xml:space="preserve"> </w:t>
      </w:r>
      <w:r w:rsidRPr="00A82955">
        <w:t>Devastating fires raged in Santa Rosa, Los Angeles, and Ventura, and the Thomas Fire proved to be the largest wildfire in California history.</w:t>
      </w:r>
      <w:r w:rsidR="00B12992">
        <w:t xml:space="preserve"> </w:t>
      </w:r>
      <w:r w:rsidRPr="00A82955">
        <w:t xml:space="preserve"> These fires further demonstrated the fire risk in California. </w:t>
      </w:r>
      <w:r w:rsidR="00B12992">
        <w:t xml:space="preserve"> </w:t>
      </w:r>
      <w:r w:rsidRPr="00A82955">
        <w:t>As a result of the fires and critical fire weather conditions, both the President of the United States and the Governor of California issued State of Emergency declarations.</w:t>
      </w:r>
      <w:r>
        <w:t xml:space="preserve">  Resolution ESRB</w:t>
      </w:r>
      <w:r w:rsidR="00B12992">
        <w:noBreakHyphen/>
      </w:r>
      <w:r>
        <w:t>8</w:t>
      </w:r>
      <w:r w:rsidR="00B12992">
        <w:t xml:space="preserve"> at</w:t>
      </w:r>
      <w:r>
        <w:t xml:space="preserve"> 2.</w:t>
      </w:r>
    </w:p>
    <w:p w14:paraId="4C7C5C9D" w14:textId="4C4E68B0" w:rsidR="00361198" w:rsidRPr="00B81E7D" w:rsidRDefault="00361198" w:rsidP="00B81E7D">
      <w:pPr>
        <w:spacing w:line="360" w:lineRule="auto"/>
        <w:ind w:firstLine="720"/>
        <w:rPr>
          <w:szCs w:val="26"/>
        </w:rPr>
      </w:pPr>
      <w:r w:rsidRPr="00B81E7D">
        <w:rPr>
          <w:szCs w:val="26"/>
        </w:rPr>
        <w:lastRenderedPageBreak/>
        <w:t>The Commission’s Safety and Enforcement Division</w:t>
      </w:r>
      <w:r w:rsidR="00140EE4">
        <w:rPr>
          <w:szCs w:val="26"/>
        </w:rPr>
        <w:t xml:space="preserve"> (SED)</w:t>
      </w:r>
      <w:r w:rsidRPr="00B81E7D">
        <w:rPr>
          <w:szCs w:val="26"/>
        </w:rPr>
        <w:t xml:space="preserve"> reviewed SDG&amp;E’s de</w:t>
      </w:r>
      <w:r w:rsidR="00B12992" w:rsidRPr="00B81E7D">
        <w:rPr>
          <w:szCs w:val="26"/>
        </w:rPr>
        <w:noBreakHyphen/>
      </w:r>
      <w:r w:rsidRPr="00B81E7D">
        <w:rPr>
          <w:szCs w:val="26"/>
        </w:rPr>
        <w:t>energization events that occurred in December 2017.  SED reached the following conclusions:</w:t>
      </w:r>
    </w:p>
    <w:p w14:paraId="59F9D1AB" w14:textId="1F54DBEB" w:rsidR="00361198" w:rsidRPr="00842DED" w:rsidRDefault="00361198" w:rsidP="00B81E7D">
      <w:pPr>
        <w:pStyle w:val="ListParagraph"/>
        <w:numPr>
          <w:ilvl w:val="0"/>
          <w:numId w:val="11"/>
        </w:numPr>
        <w:spacing w:line="240" w:lineRule="auto"/>
        <w:ind w:left="1080" w:right="720"/>
        <w:contextualSpacing w:val="0"/>
        <w:rPr>
          <w:rFonts w:ascii="Palatino Linotype" w:hAnsi="Palatino Linotype"/>
          <w:sz w:val="26"/>
          <w:szCs w:val="26"/>
        </w:rPr>
      </w:pPr>
      <w:r w:rsidRPr="00842DED">
        <w:rPr>
          <w:rFonts w:ascii="Palatino Linotype" w:hAnsi="Palatino Linotype"/>
          <w:sz w:val="26"/>
          <w:szCs w:val="26"/>
        </w:rPr>
        <w:t>SDG&amp;E faced a real and significant risk of wildfires and its de</w:t>
      </w:r>
      <w:r w:rsidR="00B12992">
        <w:rPr>
          <w:rFonts w:ascii="Palatino Linotype" w:hAnsi="Palatino Linotype"/>
          <w:sz w:val="26"/>
          <w:szCs w:val="26"/>
        </w:rPr>
        <w:noBreakHyphen/>
      </w:r>
      <w:r w:rsidRPr="00842DED">
        <w:rPr>
          <w:rFonts w:ascii="Palatino Linotype" w:hAnsi="Palatino Linotype"/>
          <w:sz w:val="26"/>
          <w:szCs w:val="26"/>
        </w:rPr>
        <w:t>energization decisions were based on an adequate risk assessment.</w:t>
      </w:r>
    </w:p>
    <w:p w14:paraId="5FED76C5" w14:textId="41B0B12E" w:rsidR="00361198" w:rsidRPr="00842DED" w:rsidRDefault="00361198" w:rsidP="00B81E7D">
      <w:pPr>
        <w:pStyle w:val="ListParagraph"/>
        <w:numPr>
          <w:ilvl w:val="0"/>
          <w:numId w:val="11"/>
        </w:numPr>
        <w:spacing w:line="240" w:lineRule="auto"/>
        <w:ind w:left="1080" w:right="720"/>
        <w:contextualSpacing w:val="0"/>
        <w:rPr>
          <w:rFonts w:ascii="Palatino Linotype" w:hAnsi="Palatino Linotype"/>
          <w:sz w:val="26"/>
          <w:szCs w:val="26"/>
        </w:rPr>
      </w:pPr>
      <w:r w:rsidRPr="00842DED">
        <w:rPr>
          <w:rFonts w:ascii="Palatino Linotype" w:hAnsi="Palatino Linotype"/>
          <w:sz w:val="26"/>
          <w:szCs w:val="26"/>
        </w:rPr>
        <w:t>Prior to deciding to de</w:t>
      </w:r>
      <w:r w:rsidR="00B12992">
        <w:rPr>
          <w:rFonts w:ascii="Palatino Linotype" w:hAnsi="Palatino Linotype"/>
          <w:sz w:val="26"/>
          <w:szCs w:val="26"/>
        </w:rPr>
        <w:noBreakHyphen/>
      </w:r>
      <w:r w:rsidRPr="00842DED">
        <w:rPr>
          <w:rFonts w:ascii="Palatino Linotype" w:hAnsi="Palatino Linotype"/>
          <w:sz w:val="26"/>
          <w:szCs w:val="26"/>
        </w:rPr>
        <w:t>energize specific circuits, SDG&amp;E considered and implemented other mitigation strategies, including adjustments of recloser settings, vegetation management, and inspection and monitoring during the extreme fire risk conditions.</w:t>
      </w:r>
    </w:p>
    <w:p w14:paraId="33F241C1" w14:textId="72467049" w:rsidR="00361198" w:rsidRPr="00842DED" w:rsidRDefault="00361198" w:rsidP="00B81E7D">
      <w:pPr>
        <w:pStyle w:val="ListParagraph"/>
        <w:numPr>
          <w:ilvl w:val="0"/>
          <w:numId w:val="11"/>
        </w:numPr>
        <w:spacing w:line="240" w:lineRule="auto"/>
        <w:ind w:left="1080" w:right="720"/>
        <w:contextualSpacing w:val="0"/>
        <w:rPr>
          <w:rFonts w:ascii="Palatino Linotype" w:hAnsi="Palatino Linotype"/>
          <w:sz w:val="26"/>
          <w:szCs w:val="26"/>
        </w:rPr>
      </w:pPr>
      <w:r w:rsidRPr="00842DED">
        <w:rPr>
          <w:rFonts w:ascii="Palatino Linotype" w:hAnsi="Palatino Linotype"/>
          <w:sz w:val="26"/>
          <w:szCs w:val="26"/>
        </w:rPr>
        <w:t>SDG&amp;E considered location</w:t>
      </w:r>
      <w:r w:rsidR="00B12992">
        <w:rPr>
          <w:rFonts w:ascii="Palatino Linotype" w:hAnsi="Palatino Linotype"/>
          <w:sz w:val="26"/>
          <w:szCs w:val="26"/>
        </w:rPr>
        <w:noBreakHyphen/>
      </w:r>
      <w:r w:rsidRPr="00842DED">
        <w:rPr>
          <w:rFonts w:ascii="Palatino Linotype" w:hAnsi="Palatino Linotype"/>
          <w:sz w:val="26"/>
          <w:szCs w:val="26"/>
        </w:rPr>
        <w:t>specific wind speeds and the age, condition, and loading of facilities on the circuits and reasonably believed that there was an imminent and significant fire hazard.</w:t>
      </w:r>
    </w:p>
    <w:p w14:paraId="6FD148F3" w14:textId="1EAF21AC" w:rsidR="00361198" w:rsidRPr="00842DED" w:rsidRDefault="00361198" w:rsidP="00B81E7D">
      <w:pPr>
        <w:pStyle w:val="ListParagraph"/>
        <w:numPr>
          <w:ilvl w:val="0"/>
          <w:numId w:val="11"/>
        </w:numPr>
        <w:spacing w:line="240" w:lineRule="auto"/>
        <w:ind w:left="1080" w:right="720"/>
        <w:contextualSpacing w:val="0"/>
        <w:rPr>
          <w:rFonts w:ascii="Palatino Linotype" w:hAnsi="Palatino Linotype"/>
          <w:sz w:val="26"/>
          <w:szCs w:val="26"/>
        </w:rPr>
      </w:pPr>
      <w:r w:rsidRPr="00842DED">
        <w:rPr>
          <w:rFonts w:ascii="Palatino Linotype" w:hAnsi="Palatino Linotype"/>
          <w:sz w:val="26"/>
          <w:szCs w:val="26"/>
        </w:rPr>
        <w:t>SDG&amp;E made reasonable efforts to mitigate the adverse impacts on customers and communities in areas where SDG&amp;E de</w:t>
      </w:r>
      <w:r w:rsidR="00B12992">
        <w:rPr>
          <w:rFonts w:ascii="Palatino Linotype" w:hAnsi="Palatino Linotype"/>
          <w:sz w:val="26"/>
          <w:szCs w:val="26"/>
        </w:rPr>
        <w:noBreakHyphen/>
      </w:r>
      <w:r w:rsidRPr="00842DED">
        <w:rPr>
          <w:rFonts w:ascii="Palatino Linotype" w:hAnsi="Palatino Linotype"/>
          <w:sz w:val="26"/>
          <w:szCs w:val="26"/>
        </w:rPr>
        <w:t>energized circuits.</w:t>
      </w:r>
    </w:p>
    <w:p w14:paraId="4AE88930" w14:textId="3B26E7A1" w:rsidR="00361198" w:rsidRPr="00B81E7D" w:rsidRDefault="00361198" w:rsidP="004568A2">
      <w:pPr>
        <w:spacing w:line="360" w:lineRule="auto"/>
        <w:rPr>
          <w:szCs w:val="26"/>
        </w:rPr>
      </w:pPr>
      <w:r w:rsidRPr="00B81E7D">
        <w:rPr>
          <w:szCs w:val="26"/>
        </w:rPr>
        <w:t>SED concluded that SDG&amp;E’s actions appear to have been reasonable under the factors specified in D.12</w:t>
      </w:r>
      <w:r w:rsidR="00B12992" w:rsidRPr="00B81E7D">
        <w:rPr>
          <w:szCs w:val="26"/>
        </w:rPr>
        <w:noBreakHyphen/>
      </w:r>
      <w:r w:rsidRPr="00B81E7D">
        <w:rPr>
          <w:szCs w:val="26"/>
        </w:rPr>
        <w:t>04</w:t>
      </w:r>
      <w:r w:rsidR="00B12992" w:rsidRPr="00B81E7D">
        <w:rPr>
          <w:szCs w:val="26"/>
        </w:rPr>
        <w:noBreakHyphen/>
      </w:r>
      <w:r w:rsidRPr="00B81E7D">
        <w:rPr>
          <w:szCs w:val="26"/>
        </w:rPr>
        <w:t>024 and that SDG&amp;E complied with the</w:t>
      </w:r>
      <w:r w:rsidR="0080500F">
        <w:rPr>
          <w:szCs w:val="26"/>
        </w:rPr>
        <w:t xml:space="preserve"> decision’s</w:t>
      </w:r>
      <w:r w:rsidRPr="00B81E7D">
        <w:rPr>
          <w:szCs w:val="26"/>
        </w:rPr>
        <w:t xml:space="preserve"> reporting requirements</w:t>
      </w:r>
      <w:r w:rsidR="00A93C68">
        <w:rPr>
          <w:szCs w:val="26"/>
        </w:rPr>
        <w:t>.</w:t>
      </w:r>
      <w:r w:rsidRPr="00B81E7D">
        <w:rPr>
          <w:vertAlign w:val="superscript"/>
        </w:rPr>
        <w:footnoteReference w:id="5"/>
      </w:r>
    </w:p>
    <w:p w14:paraId="25E24FF2" w14:textId="35B6A154" w:rsidR="002B39C3" w:rsidRDefault="002B39C3" w:rsidP="00B81E7D">
      <w:pPr>
        <w:pStyle w:val="standard"/>
      </w:pPr>
      <w:r>
        <w:t>Resolution ESRB</w:t>
      </w:r>
      <w:r w:rsidR="00B12992">
        <w:noBreakHyphen/>
      </w:r>
      <w:r>
        <w:t>8 extended the de</w:t>
      </w:r>
      <w:r w:rsidR="00B12992">
        <w:noBreakHyphen/>
      </w:r>
      <w:r>
        <w:t xml:space="preserve">energization notice, reporting and reasonableness review requirements to all electric IOUs (PG&amp;E, SCE, Liberty, Bear Valley and PacifiCorp) and adopted additional measures to supplement the </w:t>
      </w:r>
      <w:r>
        <w:lastRenderedPageBreak/>
        <w:t>D.12</w:t>
      </w:r>
      <w:r w:rsidR="00B12992">
        <w:noBreakHyphen/>
      </w:r>
      <w:r>
        <w:t>04</w:t>
      </w:r>
      <w:r w:rsidR="00B12992">
        <w:noBreakHyphen/>
      </w:r>
      <w:r>
        <w:t>024 requirements.  The new measures included more detailed reporting and additional public outreach, notification and mitigation.</w:t>
      </w:r>
    </w:p>
    <w:p w14:paraId="7621BF84" w14:textId="3FAF8BB1" w:rsidR="002B39C3" w:rsidRDefault="002B39C3" w:rsidP="002B39C3">
      <w:pPr>
        <w:pStyle w:val="standard"/>
      </w:pPr>
      <w:r>
        <w:t xml:space="preserve">The year 2018 has brought additional devastating wildfires all over the state – including the </w:t>
      </w:r>
      <w:r w:rsidR="00381EDB">
        <w:t>rec</w:t>
      </w:r>
      <w:r w:rsidR="0099310B">
        <w:t xml:space="preserve">ent </w:t>
      </w:r>
      <w:r w:rsidR="00381EDB">
        <w:t>C</w:t>
      </w:r>
      <w:r w:rsidR="0099310B">
        <w:t xml:space="preserve">amp </w:t>
      </w:r>
      <w:r w:rsidR="00131B2D">
        <w:t>F</w:t>
      </w:r>
      <w:r w:rsidR="0099310B">
        <w:t>ire in Butte County</w:t>
      </w:r>
      <w:r>
        <w:t>, the largest in California’s history</w:t>
      </w:r>
      <w:r w:rsidR="0099310B">
        <w:t xml:space="preserve"> with the greatest death toll</w:t>
      </w:r>
      <w:r>
        <w:t xml:space="preserve">.  </w:t>
      </w:r>
      <w:r w:rsidR="00131B2D">
        <w:t>At the same time as the Camp Fire, h</w:t>
      </w:r>
      <w:r w:rsidR="00E07D09">
        <w:t>uge fires also burn</w:t>
      </w:r>
      <w:r w:rsidR="00131B2D">
        <w:t>ed</w:t>
      </w:r>
      <w:r w:rsidR="00E07D09">
        <w:t xml:space="preserve"> in Los Angeles and Ventura Counties.  </w:t>
      </w:r>
      <w:r>
        <w:t>In addition, the IOUs have called numerous de</w:t>
      </w:r>
      <w:r w:rsidR="00B12992">
        <w:noBreakHyphen/>
      </w:r>
      <w:r>
        <w:t>energization events and the Commission has received a large volume of input from the public, government agencies and other first responders concerned about the practice.  It is therefore prudent to examine how the Resolution ESRB</w:t>
      </w:r>
      <w:r w:rsidR="00B12992">
        <w:noBreakHyphen/>
      </w:r>
      <w:r>
        <w:t>8 process is working, and to determine whether additional refinement is appropriate.  We also seek to enhance stakeholder involvement in examining our de</w:t>
      </w:r>
      <w:r w:rsidR="00B12992">
        <w:noBreakHyphen/>
      </w:r>
      <w:r>
        <w:t xml:space="preserve">energization requirements.  To that end, </w:t>
      </w:r>
      <w:r w:rsidR="00131B2D">
        <w:t>staff will hold at least</w:t>
      </w:r>
      <w:r>
        <w:t xml:space="preserve"> two workshops</w:t>
      </w:r>
      <w:r w:rsidR="00131B2D">
        <w:t>, as noted in the schedule below,</w:t>
      </w:r>
      <w:r>
        <w:t xml:space="preserve"> and </w:t>
      </w:r>
      <w:r w:rsidR="00131B2D">
        <w:t xml:space="preserve">we expect to conduct </w:t>
      </w:r>
      <w:r>
        <w:t>other outreach around the state to allow input from local communities, first responders and others with concerns about wildfire and de</w:t>
      </w:r>
      <w:r w:rsidR="00B12992">
        <w:noBreakHyphen/>
      </w:r>
      <w:r>
        <w:t xml:space="preserve">energization.  </w:t>
      </w:r>
    </w:p>
    <w:p w14:paraId="07BD2B89" w14:textId="77777777" w:rsidR="002B39C3" w:rsidRDefault="002B39C3" w:rsidP="003724E9">
      <w:pPr>
        <w:pStyle w:val="Heading1"/>
        <w:numPr>
          <w:ilvl w:val="0"/>
          <w:numId w:val="7"/>
        </w:numPr>
        <w:ind w:left="360" w:right="720"/>
      </w:pPr>
      <w:r>
        <w:t>Preliminary Scoping Memo</w:t>
      </w:r>
    </w:p>
    <w:p w14:paraId="7F3BCE8E" w14:textId="77777777" w:rsidR="002B39C3" w:rsidRPr="005D3719" w:rsidRDefault="002B39C3" w:rsidP="002B39C3">
      <w:pPr>
        <w:pStyle w:val="standard"/>
      </w:pPr>
      <w:r w:rsidRPr="005D3719">
        <w:rPr>
          <w:rFonts w:cs="Book Antiqua"/>
          <w:color w:val="000000"/>
          <w:szCs w:val="26"/>
        </w:rPr>
        <w:t>Th</w:t>
      </w:r>
      <w:r>
        <w:rPr>
          <w:rFonts w:cs="Book Antiqua"/>
          <w:color w:val="000000"/>
          <w:szCs w:val="26"/>
        </w:rPr>
        <w:t xml:space="preserve">e Commission will conduct this </w:t>
      </w:r>
      <w:r w:rsidRPr="005D3719">
        <w:rPr>
          <w:rFonts w:cs="Book Antiqua"/>
          <w:color w:val="000000"/>
          <w:szCs w:val="26"/>
        </w:rPr>
        <w:t>rulemaking in accordance with Article 6 of the Commission's Rules of Practice and Procedure, “Rulemaking.”</w:t>
      </w:r>
      <w:r w:rsidRPr="005D3719">
        <w:rPr>
          <w:rStyle w:val="FootnoteReference"/>
          <w:rFonts w:cs="Book Antiqua"/>
          <w:color w:val="000000"/>
          <w:szCs w:val="26"/>
        </w:rPr>
        <w:footnoteReference w:id="6"/>
      </w:r>
      <w:r w:rsidRPr="005D3719">
        <w:rPr>
          <w:rFonts w:cs="Book Antiqua"/>
          <w:color w:val="000000"/>
          <w:szCs w:val="26"/>
        </w:rPr>
        <w:t xml:space="preserve">  As required by Rule 7.1(d), this OIR includes a preliminary scoping memo as set forth below, and preliminarily determines the category of this proceeding and the need for hearing.</w:t>
      </w:r>
    </w:p>
    <w:p w14:paraId="347008BC" w14:textId="77777777" w:rsidR="002B39C3" w:rsidRPr="004C4CE9" w:rsidRDefault="002B39C3" w:rsidP="00E07D09">
      <w:pPr>
        <w:pStyle w:val="Heading2"/>
        <w:numPr>
          <w:ilvl w:val="1"/>
          <w:numId w:val="7"/>
        </w:numPr>
        <w:ind w:right="2520"/>
        <w:rPr>
          <w:i w:val="0"/>
        </w:rPr>
      </w:pPr>
      <w:r w:rsidRPr="004C4CE9">
        <w:rPr>
          <w:i w:val="0"/>
        </w:rPr>
        <w:lastRenderedPageBreak/>
        <w:t>Issues</w:t>
      </w:r>
    </w:p>
    <w:p w14:paraId="490BE48B" w14:textId="2035B833" w:rsidR="002B39C3" w:rsidRDefault="002B39C3" w:rsidP="002B39C3">
      <w:pPr>
        <w:pStyle w:val="standard"/>
      </w:pPr>
      <w:r>
        <w:t>T</w:t>
      </w:r>
      <w:r w:rsidRPr="005D3719">
        <w:t>h</w:t>
      </w:r>
      <w:r>
        <w:t>e</w:t>
      </w:r>
      <w:r w:rsidRPr="005D3719">
        <w:t xml:space="preserve"> </w:t>
      </w:r>
      <w:r>
        <w:t>scope of this proceeding is electric IOU de</w:t>
      </w:r>
      <w:r w:rsidR="00B12992">
        <w:noBreakHyphen/>
      </w:r>
      <w:r>
        <w:t>energization.  The following issues are preliminarily determined to be within the scope of the proceeding:</w:t>
      </w:r>
    </w:p>
    <w:p w14:paraId="684B96F0" w14:textId="358B79BD" w:rsidR="00A2393D" w:rsidRDefault="00A2393D" w:rsidP="00A2393D">
      <w:pPr>
        <w:pStyle w:val="standard"/>
        <w:numPr>
          <w:ilvl w:val="0"/>
          <w:numId w:val="6"/>
        </w:numPr>
        <w:spacing w:after="120" w:line="240" w:lineRule="auto"/>
        <w:ind w:right="1440"/>
      </w:pPr>
      <w:r>
        <w:t>C</w:t>
      </w:r>
      <w:r w:rsidRPr="00E00CBA">
        <w:t xml:space="preserve">onditions </w:t>
      </w:r>
      <w:r>
        <w:t xml:space="preserve">in which </w:t>
      </w:r>
      <w:r w:rsidRPr="00E00CBA">
        <w:t>proactive</w:t>
      </w:r>
      <w:r>
        <w:t xml:space="preserve"> and planned </w:t>
      </w:r>
      <w:r w:rsidRPr="00E00CBA">
        <w:t>de</w:t>
      </w:r>
      <w:r w:rsidR="00B12992">
        <w:noBreakHyphen/>
      </w:r>
      <w:r w:rsidRPr="00E00CBA">
        <w:t>energization</w:t>
      </w:r>
      <w:r>
        <w:t xml:space="preserve"> is practiced;</w:t>
      </w:r>
      <w:r w:rsidRPr="00E00CBA">
        <w:t xml:space="preserve"> </w:t>
      </w:r>
    </w:p>
    <w:p w14:paraId="5A252054" w14:textId="5CC21C35" w:rsidR="002B39C3" w:rsidRDefault="002B39C3" w:rsidP="00E61F56">
      <w:pPr>
        <w:pStyle w:val="standard"/>
        <w:numPr>
          <w:ilvl w:val="1"/>
          <w:numId w:val="6"/>
        </w:numPr>
        <w:spacing w:after="120" w:line="240" w:lineRule="auto"/>
        <w:ind w:right="1440"/>
      </w:pPr>
      <w:r>
        <w:t>Should the Commission limit de</w:t>
      </w:r>
      <w:r w:rsidR="00B12992">
        <w:noBreakHyphen/>
      </w:r>
      <w:r>
        <w:t>energization in specific ways?</w:t>
      </w:r>
    </w:p>
    <w:p w14:paraId="4BF1AB62" w14:textId="1340B270" w:rsidR="002B39C3" w:rsidRDefault="002B39C3" w:rsidP="00AE4827">
      <w:pPr>
        <w:pStyle w:val="standard"/>
        <w:numPr>
          <w:ilvl w:val="1"/>
          <w:numId w:val="6"/>
        </w:numPr>
        <w:spacing w:after="120" w:line="240" w:lineRule="auto"/>
        <w:ind w:right="1440"/>
      </w:pPr>
      <w:r>
        <w:t>Should we develop metrics for determining when de</w:t>
      </w:r>
      <w:r w:rsidR="00B12992">
        <w:noBreakHyphen/>
      </w:r>
      <w:r>
        <w:t>energization is appropriate?</w:t>
      </w:r>
    </w:p>
    <w:p w14:paraId="1148A5E5" w14:textId="08383EF6" w:rsidR="002B39C3" w:rsidRDefault="002B39C3" w:rsidP="00E61F56">
      <w:pPr>
        <w:pStyle w:val="standard"/>
        <w:numPr>
          <w:ilvl w:val="1"/>
          <w:numId w:val="6"/>
        </w:numPr>
        <w:spacing w:after="120" w:line="240" w:lineRule="auto"/>
      </w:pPr>
      <w:r>
        <w:t>How much discretion should the IOUs have in calling de</w:t>
      </w:r>
      <w:r w:rsidR="00B12992">
        <w:noBreakHyphen/>
      </w:r>
      <w:r>
        <w:t>energization events?</w:t>
      </w:r>
    </w:p>
    <w:p w14:paraId="2B110D1F" w14:textId="16294F5D" w:rsidR="002B39C3" w:rsidRDefault="002B39C3" w:rsidP="00AE4827">
      <w:pPr>
        <w:pStyle w:val="standard"/>
        <w:numPr>
          <w:ilvl w:val="1"/>
          <w:numId w:val="6"/>
        </w:numPr>
        <w:spacing w:after="120" w:line="240" w:lineRule="auto"/>
        <w:ind w:right="1440"/>
      </w:pPr>
      <w:r>
        <w:t>Are there other guidelines we should apply to de</w:t>
      </w:r>
      <w:r w:rsidR="00B12992">
        <w:noBreakHyphen/>
      </w:r>
      <w:r>
        <w:t>energization?</w:t>
      </w:r>
    </w:p>
    <w:p w14:paraId="48312A50" w14:textId="706C591C" w:rsidR="00A2393D" w:rsidRPr="00E00CBA" w:rsidRDefault="00A2393D" w:rsidP="00A2393D">
      <w:pPr>
        <w:pStyle w:val="standard"/>
        <w:numPr>
          <w:ilvl w:val="0"/>
          <w:numId w:val="6"/>
        </w:numPr>
        <w:spacing w:after="120" w:line="240" w:lineRule="auto"/>
        <w:ind w:right="1440"/>
      </w:pPr>
      <w:r>
        <w:t>Best practices and</w:t>
      </w:r>
      <w:r w:rsidR="00FD510D">
        <w:t xml:space="preserve"> a</w:t>
      </w:r>
      <w:r>
        <w:t xml:space="preserve"> set of criteria for evaluating development of effective programs;</w:t>
      </w:r>
    </w:p>
    <w:p w14:paraId="213126EA" w14:textId="0385A6B4" w:rsidR="00A2393D" w:rsidRDefault="00A2393D" w:rsidP="00AE4827">
      <w:pPr>
        <w:pStyle w:val="standard"/>
        <w:numPr>
          <w:ilvl w:val="1"/>
          <w:numId w:val="6"/>
        </w:numPr>
        <w:spacing w:after="120" w:line="240" w:lineRule="auto"/>
        <w:ind w:right="1440"/>
      </w:pPr>
      <w:r>
        <w:t xml:space="preserve">What are the best tools </w:t>
      </w:r>
      <w:r w:rsidR="00F436C0">
        <w:t xml:space="preserve">that can be </w:t>
      </w:r>
      <w:r>
        <w:t>appl</w:t>
      </w:r>
      <w:r w:rsidR="00F436C0">
        <w:t>ied</w:t>
      </w:r>
      <w:r>
        <w:t xml:space="preserve"> to different landscapes and fire conditions across California?</w:t>
      </w:r>
    </w:p>
    <w:p w14:paraId="75AEAF67" w14:textId="5DD86465" w:rsidR="00A2393D" w:rsidRDefault="00A2393D" w:rsidP="00AE4827">
      <w:pPr>
        <w:pStyle w:val="standard"/>
        <w:numPr>
          <w:ilvl w:val="1"/>
          <w:numId w:val="6"/>
        </w:numPr>
        <w:spacing w:after="120" w:line="240" w:lineRule="auto"/>
        <w:ind w:right="1440"/>
      </w:pPr>
      <w:r>
        <w:t>Are there tools deployed by the National Weather Service (</w:t>
      </w:r>
      <w:r w:rsidRPr="001B3603">
        <w:rPr>
          <w:i/>
        </w:rPr>
        <w:t>e.g.</w:t>
      </w:r>
      <w:r w:rsidR="001B3603">
        <w:t>,</w:t>
      </w:r>
      <w:r>
        <w:t xml:space="preserve"> Santa</w:t>
      </w:r>
      <w:r w:rsidR="00F436C0">
        <w:t xml:space="preserve"> A</w:t>
      </w:r>
      <w:r>
        <w:t>na Wind Warnings) used in specific locations in California that should be adapted and deployed elsewhere?</w:t>
      </w:r>
    </w:p>
    <w:p w14:paraId="498BFECC" w14:textId="3959050F" w:rsidR="00A2393D" w:rsidRDefault="00A2393D" w:rsidP="00AE4827">
      <w:pPr>
        <w:pStyle w:val="standard"/>
        <w:numPr>
          <w:ilvl w:val="1"/>
          <w:numId w:val="6"/>
        </w:numPr>
        <w:spacing w:after="120" w:line="240" w:lineRule="auto"/>
        <w:ind w:right="1440"/>
      </w:pPr>
      <w:r>
        <w:t xml:space="preserve">How should programs be designed for use of </w:t>
      </w:r>
      <w:r w:rsidR="00CA53B9">
        <w:t>new</w:t>
      </w:r>
      <w:r w:rsidR="00F436C0">
        <w:t xml:space="preserve"> </w:t>
      </w:r>
      <w:r>
        <w:t xml:space="preserve">technologies and for continuous </w:t>
      </w:r>
      <w:r w:rsidR="00F436C0">
        <w:t>i</w:t>
      </w:r>
      <w:r>
        <w:t>mprovement?</w:t>
      </w:r>
    </w:p>
    <w:p w14:paraId="6EABE878" w14:textId="1BA4E050" w:rsidR="009A269A" w:rsidRDefault="009A269A" w:rsidP="00AE4827">
      <w:pPr>
        <w:pStyle w:val="standard"/>
        <w:numPr>
          <w:ilvl w:val="0"/>
          <w:numId w:val="6"/>
        </w:numPr>
        <w:spacing w:after="120" w:line="240" w:lineRule="auto"/>
        <w:ind w:right="1440"/>
      </w:pPr>
      <w:r>
        <w:t>Notification to the public</w:t>
      </w:r>
      <w:r w:rsidR="00F039F4">
        <w:t xml:space="preserve">, local governments, </w:t>
      </w:r>
      <w:r w:rsidR="00DC1CF0">
        <w:t xml:space="preserve">critical facilities, </w:t>
      </w:r>
      <w:r w:rsidR="00F039F4">
        <w:t>and emergency responders</w:t>
      </w:r>
      <w:r>
        <w:t>.</w:t>
      </w:r>
    </w:p>
    <w:p w14:paraId="2066BF9B" w14:textId="405DEEB5" w:rsidR="009A269A" w:rsidRDefault="009A269A" w:rsidP="009A269A">
      <w:pPr>
        <w:pStyle w:val="standard"/>
        <w:numPr>
          <w:ilvl w:val="1"/>
          <w:numId w:val="6"/>
        </w:numPr>
        <w:spacing w:after="120" w:line="240" w:lineRule="auto"/>
        <w:ind w:right="1440"/>
      </w:pPr>
      <w:r>
        <w:t>What are the best ways to notify the</w:t>
      </w:r>
      <w:r w:rsidR="00E07DCE">
        <w:t xml:space="preserve"> aforementioned parties</w:t>
      </w:r>
      <w:r>
        <w:t xml:space="preserve"> of a planned de</w:t>
      </w:r>
      <w:r w:rsidR="00B12992">
        <w:noBreakHyphen/>
      </w:r>
      <w:r>
        <w:t>energization event and when power will be restored in the event of de</w:t>
      </w:r>
      <w:r w:rsidR="00B12992">
        <w:noBreakHyphen/>
      </w:r>
      <w:r>
        <w:t>energization?</w:t>
      </w:r>
    </w:p>
    <w:p w14:paraId="04E8EC32" w14:textId="29490C38" w:rsidR="009A269A" w:rsidRDefault="009A269A" w:rsidP="009A269A">
      <w:pPr>
        <w:pStyle w:val="standard"/>
        <w:numPr>
          <w:ilvl w:val="1"/>
          <w:numId w:val="6"/>
        </w:numPr>
        <w:spacing w:after="120" w:line="240" w:lineRule="auto"/>
        <w:ind w:right="1440"/>
      </w:pPr>
      <w:r>
        <w:t>Do notification standards differ for vulnerable populations?</w:t>
      </w:r>
    </w:p>
    <w:p w14:paraId="1ABAC608" w14:textId="5AF578D2" w:rsidR="002B39C3" w:rsidRDefault="002B39C3" w:rsidP="00AE4827">
      <w:pPr>
        <w:pStyle w:val="standard"/>
        <w:numPr>
          <w:ilvl w:val="0"/>
          <w:numId w:val="6"/>
        </w:numPr>
        <w:spacing w:after="120" w:line="240" w:lineRule="auto"/>
        <w:ind w:right="1440"/>
      </w:pPr>
      <w:r>
        <w:lastRenderedPageBreak/>
        <w:t xml:space="preserve">Electric utility </w:t>
      </w:r>
      <w:r w:rsidRPr="00E00CBA">
        <w:t>coordinat</w:t>
      </w:r>
      <w:r>
        <w:t>ion</w:t>
      </w:r>
      <w:r w:rsidRPr="00E00CBA">
        <w:t xml:space="preserve"> with state and local level </w:t>
      </w:r>
      <w:r>
        <w:t xml:space="preserve">first </w:t>
      </w:r>
      <w:r w:rsidRPr="00E00CBA">
        <w:t>responders</w:t>
      </w:r>
      <w:r>
        <w:t xml:space="preserve"> when they call a de</w:t>
      </w:r>
      <w:r w:rsidR="00B12992">
        <w:noBreakHyphen/>
      </w:r>
      <w:r>
        <w:t>energization event.</w:t>
      </w:r>
    </w:p>
    <w:p w14:paraId="0A4BE64B" w14:textId="77777777" w:rsidR="002B39C3" w:rsidRDefault="002B39C3" w:rsidP="00AE4827">
      <w:pPr>
        <w:pStyle w:val="standard"/>
        <w:numPr>
          <w:ilvl w:val="1"/>
          <w:numId w:val="6"/>
        </w:numPr>
        <w:spacing w:after="120" w:line="240" w:lineRule="auto"/>
        <w:ind w:right="1440"/>
      </w:pPr>
      <w:r>
        <w:t>How do the IOUs coordinate with state and local first responders?</w:t>
      </w:r>
    </w:p>
    <w:p w14:paraId="1CCE865E" w14:textId="77777777" w:rsidR="002B39C3" w:rsidRDefault="002B39C3" w:rsidP="00AE4827">
      <w:pPr>
        <w:pStyle w:val="standard"/>
        <w:numPr>
          <w:ilvl w:val="1"/>
          <w:numId w:val="6"/>
        </w:numPr>
        <w:spacing w:after="120" w:line="240" w:lineRule="auto"/>
        <w:ind w:right="1440"/>
      </w:pPr>
      <w:r>
        <w:t>What is working and what is not working in this coordination?</w:t>
      </w:r>
    </w:p>
    <w:p w14:paraId="3A0583B0" w14:textId="77777777" w:rsidR="002B39C3" w:rsidRDefault="002B39C3" w:rsidP="00AE4827">
      <w:pPr>
        <w:pStyle w:val="standard"/>
        <w:numPr>
          <w:ilvl w:val="1"/>
          <w:numId w:val="6"/>
        </w:numPr>
        <w:spacing w:after="120" w:line="240" w:lineRule="auto"/>
        <w:ind w:right="1440"/>
      </w:pPr>
      <w:r>
        <w:t>What changes are required to ensure better coordination?</w:t>
      </w:r>
    </w:p>
    <w:p w14:paraId="0099D1FB" w14:textId="77777777" w:rsidR="002B39C3" w:rsidRPr="00E00CBA" w:rsidRDefault="002B39C3" w:rsidP="00AE4827">
      <w:pPr>
        <w:pStyle w:val="standard"/>
        <w:numPr>
          <w:ilvl w:val="0"/>
          <w:numId w:val="6"/>
        </w:numPr>
        <w:spacing w:after="120" w:line="240" w:lineRule="auto"/>
        <w:ind w:right="1440"/>
      </w:pPr>
      <w:r>
        <w:t xml:space="preserve">The extent to which the electric utilities’ systems are in compliance with and align their systems </w:t>
      </w:r>
      <w:r w:rsidRPr="00E00CBA">
        <w:t xml:space="preserve">with </w:t>
      </w:r>
      <w:r>
        <w:t xml:space="preserve">California’s Standardized Emergency Management System </w:t>
      </w:r>
      <w:r w:rsidRPr="00E00CBA">
        <w:t>framework (SEMS)</w:t>
      </w:r>
      <w:r>
        <w:t>.</w:t>
      </w:r>
      <w:r w:rsidRPr="00E00CBA">
        <w:t xml:space="preserve"> </w:t>
      </w:r>
    </w:p>
    <w:p w14:paraId="281931E6" w14:textId="77777777" w:rsidR="002B39C3" w:rsidRDefault="002B39C3" w:rsidP="00AE4827">
      <w:pPr>
        <w:pStyle w:val="standard"/>
        <w:numPr>
          <w:ilvl w:val="1"/>
          <w:numId w:val="6"/>
        </w:numPr>
        <w:spacing w:after="120" w:line="240" w:lineRule="auto"/>
        <w:ind w:right="1440"/>
      </w:pPr>
      <w:r>
        <w:t>What are the SEMS requirements?</w:t>
      </w:r>
    </w:p>
    <w:p w14:paraId="699C025F" w14:textId="77777777" w:rsidR="002B39C3" w:rsidRDefault="002B39C3" w:rsidP="00AE4827">
      <w:pPr>
        <w:pStyle w:val="standard"/>
        <w:numPr>
          <w:ilvl w:val="1"/>
          <w:numId w:val="6"/>
        </w:numPr>
        <w:spacing w:after="120" w:line="240" w:lineRule="auto"/>
        <w:ind w:right="1440"/>
      </w:pPr>
      <w:r>
        <w:t>What do the IOUs do to meet these requirements?</w:t>
      </w:r>
    </w:p>
    <w:p w14:paraId="2113D63C" w14:textId="77777777" w:rsidR="002B39C3" w:rsidRDefault="002B39C3" w:rsidP="00AE4827">
      <w:pPr>
        <w:pStyle w:val="standard"/>
        <w:numPr>
          <w:ilvl w:val="1"/>
          <w:numId w:val="6"/>
        </w:numPr>
        <w:spacing w:after="120" w:line="240" w:lineRule="auto"/>
        <w:ind w:right="1440"/>
      </w:pPr>
      <w:r>
        <w:t>What additional steps should we require to ensure the IOUs are acting in a way that furthers the SEMS process, if appropriate?</w:t>
      </w:r>
    </w:p>
    <w:p w14:paraId="110E842E" w14:textId="3EDDD54B" w:rsidR="00343E51" w:rsidRDefault="002B39C3" w:rsidP="00AE4827">
      <w:pPr>
        <w:pStyle w:val="standard"/>
        <w:numPr>
          <w:ilvl w:val="0"/>
          <w:numId w:val="6"/>
        </w:numPr>
        <w:spacing w:after="120" w:line="240" w:lineRule="auto"/>
        <w:ind w:right="1440"/>
      </w:pPr>
      <w:r>
        <w:t xml:space="preserve">How to mitigate the </w:t>
      </w:r>
      <w:r w:rsidRPr="00E00CBA">
        <w:t>impact of de</w:t>
      </w:r>
      <w:r w:rsidR="00B12992">
        <w:noBreakHyphen/>
      </w:r>
      <w:r w:rsidRPr="00E00CBA">
        <w:t>energization on vulnerable populations</w:t>
      </w:r>
      <w:r>
        <w:t xml:space="preserve">.  </w:t>
      </w:r>
    </w:p>
    <w:p w14:paraId="74F19E04" w14:textId="1293C215" w:rsidR="00343E51" w:rsidRDefault="002B39C3" w:rsidP="00343E51">
      <w:pPr>
        <w:pStyle w:val="standard"/>
        <w:numPr>
          <w:ilvl w:val="1"/>
          <w:numId w:val="6"/>
        </w:numPr>
        <w:spacing w:after="120" w:line="240" w:lineRule="auto"/>
        <w:ind w:right="1440"/>
      </w:pPr>
      <w:r>
        <w:t>What are the impacts of de</w:t>
      </w:r>
      <w:r w:rsidR="00B12992">
        <w:noBreakHyphen/>
      </w:r>
      <w:r>
        <w:t>energization on vulnerable populations, and what can the Commission and IOUs do to minimize these impacts?</w:t>
      </w:r>
      <w:r w:rsidR="00E93D3E">
        <w:t xml:space="preserve"> </w:t>
      </w:r>
    </w:p>
    <w:p w14:paraId="74480054" w14:textId="77777777" w:rsidR="002B39C3" w:rsidRPr="00E00CBA" w:rsidRDefault="00E93D3E" w:rsidP="001B7FE9">
      <w:pPr>
        <w:pStyle w:val="standard"/>
        <w:numPr>
          <w:ilvl w:val="1"/>
          <w:numId w:val="6"/>
        </w:numPr>
        <w:spacing w:after="120" w:line="240" w:lineRule="auto"/>
        <w:ind w:right="1440"/>
      </w:pPr>
      <w:r>
        <w:t>What are the requirements and process for sharing contact information to the extent permissible by law?</w:t>
      </w:r>
    </w:p>
    <w:p w14:paraId="0941808B" w14:textId="3600B091" w:rsidR="002B39C3" w:rsidRPr="00024795" w:rsidRDefault="002B39C3" w:rsidP="00AE4827">
      <w:pPr>
        <w:pStyle w:val="standard"/>
        <w:numPr>
          <w:ilvl w:val="0"/>
          <w:numId w:val="6"/>
        </w:numPr>
        <w:spacing w:after="120" w:line="240" w:lineRule="auto"/>
        <w:ind w:right="1440"/>
      </w:pPr>
      <w:r w:rsidRPr="00024795">
        <w:t>How to reduce the need for de</w:t>
      </w:r>
      <w:r w:rsidR="00B12992">
        <w:noBreakHyphen/>
      </w:r>
      <w:r w:rsidRPr="00024795">
        <w:t>energization, if possible.</w:t>
      </w:r>
    </w:p>
    <w:p w14:paraId="1337186A" w14:textId="77777777" w:rsidR="002B39C3" w:rsidRDefault="002B39C3" w:rsidP="00AE4827">
      <w:pPr>
        <w:pStyle w:val="standard"/>
        <w:numPr>
          <w:ilvl w:val="0"/>
          <w:numId w:val="6"/>
        </w:numPr>
        <w:spacing w:after="120" w:line="240" w:lineRule="auto"/>
        <w:ind w:right="1440"/>
      </w:pPr>
      <w:r>
        <w:t>Examine the need for community and first responder notification improvements.</w:t>
      </w:r>
    </w:p>
    <w:p w14:paraId="43B05567" w14:textId="77777777" w:rsidR="002B39C3" w:rsidRDefault="002B39C3" w:rsidP="00AE4827">
      <w:pPr>
        <w:pStyle w:val="standard"/>
        <w:numPr>
          <w:ilvl w:val="1"/>
          <w:numId w:val="6"/>
        </w:numPr>
        <w:spacing w:after="120" w:line="240" w:lineRule="auto"/>
        <w:ind w:right="1440"/>
      </w:pPr>
      <w:r>
        <w:t>How are the current notification requirements working?</w:t>
      </w:r>
    </w:p>
    <w:p w14:paraId="5EC9216A" w14:textId="77777777" w:rsidR="002B39C3" w:rsidRDefault="002B39C3" w:rsidP="00AE4827">
      <w:pPr>
        <w:pStyle w:val="standard"/>
        <w:numPr>
          <w:ilvl w:val="1"/>
          <w:numId w:val="6"/>
        </w:numPr>
        <w:spacing w:after="120" w:line="240" w:lineRule="auto"/>
        <w:ind w:right="1440"/>
      </w:pPr>
      <w:r>
        <w:t>What additional notice requirements should we consider?</w:t>
      </w:r>
    </w:p>
    <w:p w14:paraId="6513C6E8" w14:textId="77777777" w:rsidR="002B39C3" w:rsidRDefault="002B39C3" w:rsidP="00AE4827">
      <w:pPr>
        <w:pStyle w:val="standard"/>
        <w:numPr>
          <w:ilvl w:val="1"/>
          <w:numId w:val="6"/>
        </w:numPr>
        <w:spacing w:after="120" w:line="240" w:lineRule="auto"/>
        <w:ind w:right="1440"/>
      </w:pPr>
      <w:r>
        <w:lastRenderedPageBreak/>
        <w:t>What notification is occurring that we should discontinue, if any, due to lack of effectiveness?  For example, are repeated notices causing notice fatigue and reducing the effectiveness of notice?</w:t>
      </w:r>
    </w:p>
    <w:p w14:paraId="42C2A599" w14:textId="4DF2325A" w:rsidR="002B39C3" w:rsidRDefault="002B39C3" w:rsidP="00AE4827">
      <w:pPr>
        <w:pStyle w:val="standard"/>
        <w:numPr>
          <w:ilvl w:val="0"/>
          <w:numId w:val="6"/>
        </w:numPr>
        <w:spacing w:after="120" w:line="240" w:lineRule="auto"/>
        <w:ind w:right="1440"/>
      </w:pPr>
      <w:r>
        <w:t>Examine best practices around the country or the world in implementing de</w:t>
      </w:r>
      <w:r w:rsidR="00B12992">
        <w:noBreakHyphen/>
      </w:r>
      <w:r>
        <w:t>energization.</w:t>
      </w:r>
    </w:p>
    <w:p w14:paraId="4057A6F7" w14:textId="77777777" w:rsidR="002B39C3" w:rsidRDefault="002B39C3" w:rsidP="00AE4827">
      <w:pPr>
        <w:pStyle w:val="standard"/>
        <w:numPr>
          <w:ilvl w:val="1"/>
          <w:numId w:val="6"/>
        </w:numPr>
        <w:spacing w:after="120" w:line="240" w:lineRule="auto"/>
        <w:ind w:right="1440"/>
      </w:pPr>
      <w:r>
        <w:t>Should the Commission extend such practices to the California electric IOUs?</w:t>
      </w:r>
    </w:p>
    <w:p w14:paraId="7DAD1709" w14:textId="77777777" w:rsidR="002B39C3" w:rsidRDefault="002B39C3" w:rsidP="00AE4827">
      <w:pPr>
        <w:pStyle w:val="standard"/>
        <w:numPr>
          <w:ilvl w:val="1"/>
          <w:numId w:val="6"/>
        </w:numPr>
        <w:spacing w:after="120" w:line="240" w:lineRule="auto"/>
        <w:ind w:right="1440"/>
      </w:pPr>
      <w:r>
        <w:t>What is the cost of such best practices?</w:t>
      </w:r>
    </w:p>
    <w:p w14:paraId="7459B525" w14:textId="77777777" w:rsidR="002B39C3" w:rsidRDefault="002B39C3" w:rsidP="00AE4827">
      <w:pPr>
        <w:pStyle w:val="standard"/>
        <w:numPr>
          <w:ilvl w:val="1"/>
          <w:numId w:val="6"/>
        </w:numPr>
        <w:spacing w:after="120" w:line="240" w:lineRule="auto"/>
        <w:ind w:right="1440"/>
      </w:pPr>
      <w:r>
        <w:t>Would conforming California’s rules to those of other jurisdictions or countries achieve greater safety for California’s residents?</w:t>
      </w:r>
    </w:p>
    <w:p w14:paraId="30873677" w14:textId="1EE20613" w:rsidR="002B39C3" w:rsidRDefault="002B39C3" w:rsidP="00E07DCE">
      <w:pPr>
        <w:pStyle w:val="standard"/>
        <w:numPr>
          <w:ilvl w:val="0"/>
          <w:numId w:val="6"/>
        </w:numPr>
        <w:tabs>
          <w:tab w:val="left" w:pos="990"/>
        </w:tabs>
        <w:spacing w:after="120" w:line="240" w:lineRule="auto"/>
        <w:ind w:right="1440"/>
      </w:pPr>
      <w:r>
        <w:t xml:space="preserve">Develop reporting and notice requirements that best serve </w:t>
      </w:r>
      <w:r w:rsidR="00E07DCE">
        <w:t xml:space="preserve">  </w:t>
      </w:r>
      <w:r>
        <w:t>Californians.</w:t>
      </w:r>
    </w:p>
    <w:p w14:paraId="4E414DF8" w14:textId="77777777" w:rsidR="002B39C3" w:rsidRDefault="002B39C3" w:rsidP="00AE4827">
      <w:pPr>
        <w:pStyle w:val="standard"/>
        <w:numPr>
          <w:ilvl w:val="1"/>
          <w:numId w:val="6"/>
        </w:numPr>
        <w:spacing w:after="120" w:line="240" w:lineRule="auto"/>
        <w:ind w:right="1440"/>
      </w:pPr>
      <w:r>
        <w:t>What reporting and notification templates exist?</w:t>
      </w:r>
    </w:p>
    <w:p w14:paraId="3A58FBA9" w14:textId="77777777" w:rsidR="002B39C3" w:rsidRDefault="002B39C3" w:rsidP="00E61F56">
      <w:pPr>
        <w:pStyle w:val="standard"/>
        <w:numPr>
          <w:ilvl w:val="1"/>
          <w:numId w:val="6"/>
        </w:numPr>
        <w:spacing w:after="120" w:line="240" w:lineRule="auto"/>
      </w:pPr>
      <w:r>
        <w:t>What are the best types of notification and reporting (understandable, timely, effective, complete)?</w:t>
      </w:r>
    </w:p>
    <w:p w14:paraId="02BB50B3" w14:textId="77777777" w:rsidR="002B39C3" w:rsidRDefault="002B39C3" w:rsidP="00AE4827">
      <w:pPr>
        <w:pStyle w:val="standard"/>
        <w:numPr>
          <w:ilvl w:val="1"/>
          <w:numId w:val="6"/>
        </w:numPr>
        <w:spacing w:after="120" w:line="240" w:lineRule="auto"/>
        <w:ind w:right="1440"/>
      </w:pPr>
      <w:r>
        <w:t>Should all IOUs use a standard notification and reporting format?</w:t>
      </w:r>
    </w:p>
    <w:p w14:paraId="67138F62" w14:textId="2F63F898" w:rsidR="002B39C3" w:rsidRDefault="002B39C3" w:rsidP="00AE4827">
      <w:pPr>
        <w:pStyle w:val="standard"/>
        <w:numPr>
          <w:ilvl w:val="1"/>
          <w:numId w:val="6"/>
        </w:numPr>
        <w:spacing w:after="120" w:line="240" w:lineRule="auto"/>
        <w:ind w:right="1440"/>
      </w:pPr>
      <w:r>
        <w:t>Whom should the IOUs notify of de</w:t>
      </w:r>
      <w:r w:rsidR="00B12992">
        <w:noBreakHyphen/>
      </w:r>
      <w:r>
        <w:t>energization and how should they ensure their notification lists are current and relevant?</w:t>
      </w:r>
    </w:p>
    <w:p w14:paraId="65A987EA" w14:textId="4AC759C7" w:rsidR="007F4380" w:rsidRDefault="007F4380" w:rsidP="00E07DCE">
      <w:pPr>
        <w:pStyle w:val="standard"/>
        <w:numPr>
          <w:ilvl w:val="0"/>
          <w:numId w:val="6"/>
        </w:numPr>
        <w:tabs>
          <w:tab w:val="left" w:pos="990"/>
        </w:tabs>
        <w:spacing w:after="120" w:line="240" w:lineRule="auto"/>
        <w:ind w:right="1440"/>
      </w:pPr>
      <w:r>
        <w:t>What data should be collected when IOUs initiate a de</w:t>
      </w:r>
      <w:r w:rsidR="00B12992">
        <w:noBreakHyphen/>
      </w:r>
      <w:r>
        <w:t>energization event, during and after these events?</w:t>
      </w:r>
    </w:p>
    <w:p w14:paraId="33D01BE9" w14:textId="1B25F213" w:rsidR="007F4380" w:rsidRDefault="007F4380" w:rsidP="00E07DCE">
      <w:pPr>
        <w:pStyle w:val="standard"/>
        <w:numPr>
          <w:ilvl w:val="0"/>
          <w:numId w:val="6"/>
        </w:numPr>
        <w:tabs>
          <w:tab w:val="left" w:pos="990"/>
        </w:tabs>
        <w:spacing w:after="120" w:line="240" w:lineRule="auto"/>
        <w:ind w:right="1440"/>
      </w:pPr>
      <w:r>
        <w:t>Other de</w:t>
      </w:r>
      <w:r w:rsidR="00B12992">
        <w:noBreakHyphen/>
      </w:r>
      <w:r>
        <w:t>energization issues that the assigned Commissioner and Administrative Law Judge may deem appropriate.</w:t>
      </w:r>
    </w:p>
    <w:p w14:paraId="51CB95CE" w14:textId="77777777" w:rsidR="002B39C3" w:rsidRDefault="002B39C3" w:rsidP="00A7067A">
      <w:pPr>
        <w:pStyle w:val="Heading1"/>
        <w:numPr>
          <w:ilvl w:val="0"/>
          <w:numId w:val="7"/>
        </w:numPr>
        <w:ind w:left="360" w:right="2160"/>
      </w:pPr>
      <w:r>
        <w:t xml:space="preserve">Categorization; </w:t>
      </w:r>
      <w:r w:rsidRPr="0092022D">
        <w:rPr>
          <w:i/>
        </w:rPr>
        <w:t xml:space="preserve">Ex </w:t>
      </w:r>
      <w:proofErr w:type="spellStart"/>
      <w:r w:rsidRPr="0092022D">
        <w:rPr>
          <w:i/>
        </w:rPr>
        <w:t>Parte</w:t>
      </w:r>
      <w:proofErr w:type="spellEnd"/>
      <w:r>
        <w:t xml:space="preserve"> Communications; Need for Hearing</w:t>
      </w:r>
    </w:p>
    <w:p w14:paraId="0A3EE9B7" w14:textId="245C921D" w:rsidR="002B39C3" w:rsidRPr="005D3719" w:rsidRDefault="002B39C3" w:rsidP="002B39C3">
      <w:pPr>
        <w:pStyle w:val="standard"/>
      </w:pPr>
      <w:r>
        <w:t>Rule 7.1(d) of t</w:t>
      </w:r>
      <w:r w:rsidRPr="005D3719">
        <w:t>he Commission’s Rules of Practice and Procedure require</w:t>
      </w:r>
      <w:r>
        <w:t>s</w:t>
      </w:r>
      <w:r w:rsidRPr="005D3719">
        <w:t xml:space="preserve"> that an order instituting rulemaking preliminarily determine the category of the proceeding and the need for hearing.</w:t>
      </w:r>
      <w:r w:rsidR="0004627C">
        <w:t xml:space="preserve">  </w:t>
      </w:r>
      <w:r w:rsidRPr="005D3719">
        <w:t xml:space="preserve">As a preliminary matter, we determine </w:t>
      </w:r>
      <w:r w:rsidRPr="005D3719">
        <w:lastRenderedPageBreak/>
        <w:t>that this proceeding is quasi</w:t>
      </w:r>
      <w:r w:rsidR="00B12992">
        <w:noBreakHyphen/>
      </w:r>
      <w:r w:rsidRPr="005D3719">
        <w:t xml:space="preserve">legislative, because our consideration and approval of this matter would establish policy or rules affecting a class of regulated utilities.  Accordingly, </w:t>
      </w:r>
      <w:r w:rsidRPr="005D3719">
        <w:rPr>
          <w:i/>
        </w:rPr>
        <w:t xml:space="preserve">ex </w:t>
      </w:r>
      <w:proofErr w:type="spellStart"/>
      <w:r w:rsidRPr="005D3719">
        <w:rPr>
          <w:i/>
        </w:rPr>
        <w:t>parte</w:t>
      </w:r>
      <w:proofErr w:type="spellEnd"/>
      <w:r w:rsidRPr="005D3719">
        <w:t xml:space="preserve"> communications are permitted without restriction or reporting requirement pursuant to Article 8 of the Rules </w:t>
      </w:r>
    </w:p>
    <w:p w14:paraId="2A98B7D8" w14:textId="77777777" w:rsidR="002B39C3" w:rsidRPr="005D3719" w:rsidRDefault="002B39C3" w:rsidP="002B39C3">
      <w:pPr>
        <w:pStyle w:val="standard"/>
      </w:pPr>
      <w:r w:rsidRPr="005D3719">
        <w:t xml:space="preserve">We are also required to preliminarily determine if hearings are necessary.  We preliminarily determine that hearings are not necessary. </w:t>
      </w:r>
    </w:p>
    <w:p w14:paraId="3FD1B34F" w14:textId="77777777" w:rsidR="002B39C3" w:rsidRPr="003F05D1" w:rsidRDefault="002B39C3" w:rsidP="002D65FB">
      <w:pPr>
        <w:pStyle w:val="Heading2"/>
        <w:keepLines/>
        <w:numPr>
          <w:ilvl w:val="0"/>
          <w:numId w:val="7"/>
        </w:numPr>
        <w:ind w:left="360" w:right="2520"/>
        <w:rPr>
          <w:i w:val="0"/>
        </w:rPr>
      </w:pPr>
      <w:r w:rsidRPr="003F05D1">
        <w:rPr>
          <w:i w:val="0"/>
        </w:rPr>
        <w:t>Preliminary Schedule</w:t>
      </w:r>
    </w:p>
    <w:p w14:paraId="6AD8AF5E" w14:textId="77777777" w:rsidR="002B39C3" w:rsidRPr="005D3719" w:rsidRDefault="002B39C3" w:rsidP="002D65FB">
      <w:pPr>
        <w:pStyle w:val="standard"/>
        <w:keepNext/>
        <w:keepLines/>
      </w:pPr>
      <w:r w:rsidRPr="005D3719">
        <w:t xml:space="preserve">The </w:t>
      </w:r>
      <w:r>
        <w:t xml:space="preserve">preliminary </w:t>
      </w:r>
      <w:r w:rsidRPr="005D3719">
        <w:t xml:space="preserve">schedule </w:t>
      </w:r>
      <w:r>
        <w:t xml:space="preserve">for this proceeding </w:t>
      </w:r>
      <w:r w:rsidRPr="005D3719">
        <w:t>is</w:t>
      </w:r>
      <w:r>
        <w:t xml:space="preserve"> as follows:</w:t>
      </w:r>
    </w:p>
    <w:p w14:paraId="15CCA8E7" w14:textId="77777777" w:rsidR="002B39C3" w:rsidRPr="009945F6" w:rsidRDefault="002B39C3" w:rsidP="002D65FB">
      <w:pPr>
        <w:pStyle w:val="standard"/>
        <w:keepNext/>
        <w:keepLines/>
        <w:jc w:val="center"/>
        <w:rPr>
          <w:b/>
        </w:rPr>
      </w:pPr>
      <w:r w:rsidRPr="009945F6">
        <w:rPr>
          <w:b/>
        </w:rPr>
        <w:t>SCHEDULE</w:t>
      </w:r>
    </w:p>
    <w:tbl>
      <w:tblPr>
        <w:tblW w:w="95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2995"/>
        <w:gridCol w:w="6595"/>
      </w:tblGrid>
      <w:tr w:rsidR="002B39C3" w:rsidRPr="00F63EE1" w14:paraId="4F256308" w14:textId="77777777" w:rsidTr="00E20071">
        <w:trPr>
          <w:trHeight w:val="300"/>
          <w:tblHeader/>
          <w:jc w:val="center"/>
        </w:trPr>
        <w:tc>
          <w:tcPr>
            <w:tcW w:w="2995" w:type="dxa"/>
            <w:shd w:val="clear" w:color="auto" w:fill="auto"/>
            <w:noWrap/>
            <w:vAlign w:val="center"/>
          </w:tcPr>
          <w:p w14:paraId="67787437" w14:textId="77777777" w:rsidR="002B39C3" w:rsidRPr="00F63EE1" w:rsidRDefault="002B39C3" w:rsidP="00912F82">
            <w:pPr>
              <w:keepNext/>
              <w:keepLines/>
              <w:spacing w:before="60" w:after="60"/>
              <w:jc w:val="center"/>
              <w:rPr>
                <w:b/>
              </w:rPr>
            </w:pPr>
            <w:r>
              <w:rPr>
                <w:b/>
              </w:rPr>
              <w:t>EVENT</w:t>
            </w:r>
          </w:p>
        </w:tc>
        <w:tc>
          <w:tcPr>
            <w:tcW w:w="6595" w:type="dxa"/>
            <w:vAlign w:val="center"/>
          </w:tcPr>
          <w:p w14:paraId="130F5B11" w14:textId="77777777" w:rsidR="002B39C3" w:rsidRPr="00F63EE1" w:rsidRDefault="002B39C3" w:rsidP="00912F82">
            <w:pPr>
              <w:keepNext/>
              <w:keepLines/>
              <w:spacing w:before="60" w:after="60"/>
              <w:jc w:val="center"/>
              <w:rPr>
                <w:b/>
              </w:rPr>
            </w:pPr>
            <w:r>
              <w:rPr>
                <w:b/>
              </w:rPr>
              <w:t>DATE</w:t>
            </w:r>
          </w:p>
        </w:tc>
      </w:tr>
      <w:tr w:rsidR="002B39C3" w:rsidRPr="00C532EB" w14:paraId="30147404" w14:textId="77777777" w:rsidTr="00E20071">
        <w:trPr>
          <w:trHeight w:val="300"/>
          <w:jc w:val="center"/>
        </w:trPr>
        <w:tc>
          <w:tcPr>
            <w:tcW w:w="2995" w:type="dxa"/>
            <w:shd w:val="clear" w:color="auto" w:fill="auto"/>
            <w:noWrap/>
            <w:vAlign w:val="center"/>
          </w:tcPr>
          <w:p w14:paraId="68550B29" w14:textId="77777777" w:rsidR="002B39C3" w:rsidRPr="00C532EB" w:rsidRDefault="002B39C3" w:rsidP="00912F82">
            <w:pPr>
              <w:keepNext/>
              <w:keepLines/>
            </w:pPr>
            <w:r>
              <w:t>Comments on OIR filed and served, with responses to questions in “Preliminary Scoping Memo”</w:t>
            </w:r>
          </w:p>
        </w:tc>
        <w:tc>
          <w:tcPr>
            <w:tcW w:w="6595" w:type="dxa"/>
            <w:vAlign w:val="center"/>
          </w:tcPr>
          <w:p w14:paraId="219A1B42" w14:textId="77777777" w:rsidR="002B39C3" w:rsidRPr="00C532EB" w:rsidRDefault="002B39C3" w:rsidP="00912F82">
            <w:pPr>
              <w:keepNext/>
              <w:keepLines/>
              <w:spacing w:before="60" w:after="60"/>
            </w:pPr>
            <w:r>
              <w:t>45 days from issuance of OIR</w:t>
            </w:r>
          </w:p>
        </w:tc>
      </w:tr>
      <w:tr w:rsidR="002B39C3" w:rsidRPr="00C532EB" w14:paraId="6A6F5A86" w14:textId="77777777" w:rsidTr="00E20071">
        <w:trPr>
          <w:trHeight w:val="300"/>
          <w:jc w:val="center"/>
        </w:trPr>
        <w:tc>
          <w:tcPr>
            <w:tcW w:w="2995" w:type="dxa"/>
            <w:shd w:val="clear" w:color="auto" w:fill="auto"/>
            <w:noWrap/>
            <w:vAlign w:val="center"/>
          </w:tcPr>
          <w:p w14:paraId="1BB38A68" w14:textId="77777777" w:rsidR="002B39C3" w:rsidRDefault="00131B2D" w:rsidP="00912F82">
            <w:pPr>
              <w:keepNext/>
              <w:keepLines/>
            </w:pPr>
            <w:r>
              <w:t xml:space="preserve">Staff </w:t>
            </w:r>
            <w:r w:rsidR="00981AAA">
              <w:t>Workshop 1:</w:t>
            </w:r>
          </w:p>
          <w:p w14:paraId="51D18029" w14:textId="77777777" w:rsidR="008A3D2D" w:rsidRDefault="00981AAA" w:rsidP="00912F82">
            <w:pPr>
              <w:keepNext/>
              <w:keepLines/>
            </w:pPr>
            <w:r>
              <w:t>Northern California</w:t>
            </w:r>
          </w:p>
          <w:p w14:paraId="6D2E9090" w14:textId="77777777" w:rsidR="008A3D2D" w:rsidRPr="00C532EB" w:rsidRDefault="008A3D2D" w:rsidP="00912F82">
            <w:pPr>
              <w:keepNext/>
              <w:keepLines/>
              <w:spacing w:before="60" w:after="60"/>
            </w:pPr>
          </w:p>
        </w:tc>
        <w:tc>
          <w:tcPr>
            <w:tcW w:w="6595" w:type="dxa"/>
            <w:vAlign w:val="center"/>
          </w:tcPr>
          <w:p w14:paraId="2E6CE531" w14:textId="77777777" w:rsidR="008A3D2D" w:rsidRDefault="008A3D2D" w:rsidP="00912F82">
            <w:pPr>
              <w:keepNext/>
              <w:keepLines/>
            </w:pPr>
            <w:r>
              <w:t>December 14, 2018, 9:00 a.m.–12:30 p.m.</w:t>
            </w:r>
          </w:p>
          <w:p w14:paraId="22A14C77" w14:textId="77777777" w:rsidR="00131B2D" w:rsidRDefault="008A3D2D" w:rsidP="00912F82">
            <w:pPr>
              <w:keepNext/>
              <w:keepLines/>
            </w:pPr>
            <w:r>
              <w:t xml:space="preserve">Santa Rosa Veteran’s Memorial Building, Lodge Room </w:t>
            </w:r>
          </w:p>
          <w:p w14:paraId="20FF2588" w14:textId="77777777" w:rsidR="002B39C3" w:rsidRDefault="008A3D2D" w:rsidP="00912F82">
            <w:pPr>
              <w:keepNext/>
              <w:keepLines/>
            </w:pPr>
            <w:r>
              <w:t xml:space="preserve">1351 Maple Ave., Santa Rosa CA 95404 </w:t>
            </w:r>
          </w:p>
          <w:p w14:paraId="774FA400" w14:textId="77777777" w:rsidR="00131B2D" w:rsidRPr="00E20071" w:rsidRDefault="008B7F1C" w:rsidP="00912F82">
            <w:pPr>
              <w:keepNext/>
              <w:keepLines/>
              <w:rPr>
                <w:b/>
              </w:rPr>
            </w:pPr>
            <w:r w:rsidRPr="00E20071">
              <w:rPr>
                <w:b/>
              </w:rPr>
              <w:t xml:space="preserve">Remote Access:  </w:t>
            </w:r>
          </w:p>
          <w:p w14:paraId="45538CC9" w14:textId="77777777" w:rsidR="00131B2D" w:rsidRDefault="008B7F1C" w:rsidP="00E20071">
            <w:pPr>
              <w:keepNext/>
              <w:keepLines/>
              <w:numPr>
                <w:ilvl w:val="0"/>
                <w:numId w:val="5"/>
              </w:numPr>
            </w:pPr>
            <w:r>
              <w:t xml:space="preserve">WebEx:  </w:t>
            </w:r>
            <w:hyperlink r:id="rId8" w:history="1">
              <w:r w:rsidRPr="00E20071">
                <w:t>https://bit.ly/2KdtB61</w:t>
              </w:r>
            </w:hyperlink>
            <w:r>
              <w:t>, meeting</w:t>
            </w:r>
            <w:r w:rsidR="002A426D">
              <w:t xml:space="preserve"> </w:t>
            </w:r>
            <w:r>
              <w:t>numb</w:t>
            </w:r>
            <w:r w:rsidR="002A426D">
              <w:t xml:space="preserve">er </w:t>
            </w:r>
            <w:r>
              <w:t>710 613992,</w:t>
            </w:r>
            <w:r w:rsidR="00F12009">
              <w:t xml:space="preserve"> </w:t>
            </w:r>
            <w:r>
              <w:t>Password: Mitigation</w:t>
            </w:r>
          </w:p>
          <w:p w14:paraId="314CCD5E" w14:textId="55FC34EB" w:rsidR="008B7F1C" w:rsidRDefault="008B7F1C" w:rsidP="00E20071">
            <w:pPr>
              <w:keepNext/>
              <w:keepLines/>
              <w:numPr>
                <w:ilvl w:val="0"/>
                <w:numId w:val="5"/>
              </w:numPr>
            </w:pPr>
            <w:r>
              <w:t>Listen</w:t>
            </w:r>
            <w:r w:rsidR="00B12992">
              <w:noBreakHyphen/>
            </w:r>
            <w:r>
              <w:t>only call</w:t>
            </w:r>
            <w:r w:rsidR="00B12992">
              <w:noBreakHyphen/>
            </w:r>
            <w:r>
              <w:t>in number 1</w:t>
            </w:r>
            <w:r w:rsidR="00B12992">
              <w:noBreakHyphen/>
            </w:r>
            <w:r>
              <w:t>877</w:t>
            </w:r>
            <w:r w:rsidR="00B12992">
              <w:noBreakHyphen/>
            </w:r>
            <w:r>
              <w:t>820</w:t>
            </w:r>
            <w:r w:rsidR="00B12992">
              <w:noBreakHyphen/>
            </w:r>
            <w:r>
              <w:t>7831,</w:t>
            </w:r>
            <w:r w:rsidR="002A426D">
              <w:t xml:space="preserve"> </w:t>
            </w:r>
            <w:r>
              <w:t xml:space="preserve">access code 479881 </w:t>
            </w:r>
          </w:p>
        </w:tc>
      </w:tr>
      <w:tr w:rsidR="008A3D2D" w:rsidRPr="00C532EB" w14:paraId="239D04A2" w14:textId="77777777" w:rsidTr="00E20071">
        <w:trPr>
          <w:trHeight w:val="300"/>
          <w:jc w:val="center"/>
        </w:trPr>
        <w:tc>
          <w:tcPr>
            <w:tcW w:w="2995" w:type="dxa"/>
            <w:shd w:val="clear" w:color="auto" w:fill="auto"/>
            <w:noWrap/>
            <w:vAlign w:val="center"/>
          </w:tcPr>
          <w:p w14:paraId="4CF0BC8B" w14:textId="77777777" w:rsidR="008A3D2D" w:rsidRDefault="00131B2D" w:rsidP="00912F82">
            <w:r>
              <w:t xml:space="preserve">Staff </w:t>
            </w:r>
            <w:r w:rsidR="008B7F1C">
              <w:t>Workshop 2:</w:t>
            </w:r>
          </w:p>
          <w:p w14:paraId="4A7DEF9F" w14:textId="77777777" w:rsidR="008B7F1C" w:rsidRDefault="008B7F1C" w:rsidP="00912F82">
            <w:r>
              <w:t>Southern California</w:t>
            </w:r>
          </w:p>
        </w:tc>
        <w:tc>
          <w:tcPr>
            <w:tcW w:w="6595" w:type="dxa"/>
            <w:vAlign w:val="center"/>
          </w:tcPr>
          <w:p w14:paraId="5C5E7968" w14:textId="220F0C8C" w:rsidR="008A3D2D" w:rsidRDefault="008B7F1C" w:rsidP="00912F82">
            <w:r>
              <w:t>January 9, 2019, 9:00 a.m.</w:t>
            </w:r>
            <w:r w:rsidR="00B12992">
              <w:noBreakHyphen/>
            </w:r>
            <w:r>
              <w:t>12:30 p.m.</w:t>
            </w:r>
          </w:p>
          <w:p w14:paraId="2F647209" w14:textId="77777777" w:rsidR="008B7F1C" w:rsidRDefault="008B7F1C" w:rsidP="00912F82">
            <w:r>
              <w:t>Calabasas Founders Hall, 100 Civic Center Way Calabasas, CA 91302</w:t>
            </w:r>
          </w:p>
          <w:p w14:paraId="3B778249" w14:textId="77777777" w:rsidR="00912F82" w:rsidRDefault="008B7F1C" w:rsidP="00912F82">
            <w:r w:rsidRPr="00E20071">
              <w:rPr>
                <w:b/>
              </w:rPr>
              <w:t xml:space="preserve">Remote </w:t>
            </w:r>
            <w:r w:rsidR="00912F82">
              <w:rPr>
                <w:b/>
              </w:rPr>
              <w:t>A</w:t>
            </w:r>
            <w:r w:rsidRPr="00E20071">
              <w:rPr>
                <w:b/>
              </w:rPr>
              <w:t>ccess:</w:t>
            </w:r>
            <w:r>
              <w:t xml:space="preserve">  </w:t>
            </w:r>
          </w:p>
          <w:p w14:paraId="72CDFB24" w14:textId="77777777" w:rsidR="00912F82" w:rsidRDefault="008B7F1C" w:rsidP="00E20071">
            <w:pPr>
              <w:keepNext/>
              <w:keepLines/>
              <w:numPr>
                <w:ilvl w:val="0"/>
                <w:numId w:val="5"/>
              </w:numPr>
            </w:pPr>
            <w:r>
              <w:t xml:space="preserve">WebEx:  </w:t>
            </w:r>
            <w:hyperlink r:id="rId9" w:history="1">
              <w:r w:rsidRPr="00E20071">
                <w:t>https://bit.ly/2RU90ef</w:t>
              </w:r>
            </w:hyperlink>
            <w:r>
              <w:t>, meeting numbe</w:t>
            </w:r>
            <w:r w:rsidR="00912F82">
              <w:t>r 717 534 465</w:t>
            </w:r>
            <w:r>
              <w:t xml:space="preserve">, </w:t>
            </w:r>
            <w:r w:rsidR="00901AC5">
              <w:t>P</w:t>
            </w:r>
            <w:r>
              <w:t xml:space="preserve">assword:  Mitigation, </w:t>
            </w:r>
          </w:p>
          <w:p w14:paraId="63287F00" w14:textId="5D787533" w:rsidR="008B7F1C" w:rsidRDefault="008B7F1C" w:rsidP="00E20071">
            <w:pPr>
              <w:keepNext/>
              <w:keepLines/>
              <w:numPr>
                <w:ilvl w:val="0"/>
                <w:numId w:val="5"/>
              </w:numPr>
            </w:pPr>
            <w:r>
              <w:t>Listen</w:t>
            </w:r>
            <w:r w:rsidR="00B12992">
              <w:noBreakHyphen/>
            </w:r>
            <w:r>
              <w:t>only call</w:t>
            </w:r>
            <w:r w:rsidR="00B12992">
              <w:noBreakHyphen/>
            </w:r>
            <w:r>
              <w:t>in number 1</w:t>
            </w:r>
            <w:r w:rsidR="00B12992">
              <w:noBreakHyphen/>
            </w:r>
            <w:r>
              <w:t>877</w:t>
            </w:r>
            <w:r w:rsidR="00B12992">
              <w:noBreakHyphen/>
            </w:r>
            <w:r>
              <w:t>820</w:t>
            </w:r>
            <w:r w:rsidR="00B12992">
              <w:noBreakHyphen/>
            </w:r>
            <w:r>
              <w:t>7831</w:t>
            </w:r>
            <w:r w:rsidR="001662AC">
              <w:t>, access code 479881</w:t>
            </w:r>
          </w:p>
        </w:tc>
      </w:tr>
      <w:tr w:rsidR="002B39C3" w:rsidRPr="00C532EB" w14:paraId="7DFBB8E2" w14:textId="77777777" w:rsidTr="00E20071">
        <w:trPr>
          <w:trHeight w:val="300"/>
          <w:jc w:val="center"/>
        </w:trPr>
        <w:tc>
          <w:tcPr>
            <w:tcW w:w="2995" w:type="dxa"/>
            <w:shd w:val="clear" w:color="auto" w:fill="auto"/>
            <w:noWrap/>
            <w:vAlign w:val="center"/>
          </w:tcPr>
          <w:p w14:paraId="59C78853" w14:textId="77777777" w:rsidR="002B39C3" w:rsidRPr="00C532EB" w:rsidRDefault="002B39C3" w:rsidP="00912F82">
            <w:pPr>
              <w:spacing w:before="60" w:after="60"/>
            </w:pPr>
            <w:r w:rsidRPr="00C532EB">
              <w:t xml:space="preserve">Prehearing conference  </w:t>
            </w:r>
          </w:p>
        </w:tc>
        <w:tc>
          <w:tcPr>
            <w:tcW w:w="6595" w:type="dxa"/>
            <w:vAlign w:val="center"/>
          </w:tcPr>
          <w:p w14:paraId="56C5D14F" w14:textId="26C336C1" w:rsidR="002B39C3" w:rsidRPr="00C532EB" w:rsidRDefault="003F3C93" w:rsidP="00912F82">
            <w:r>
              <w:t>February 6, 2019</w:t>
            </w:r>
            <w:r w:rsidR="002B39C3">
              <w:t xml:space="preserve">, </w:t>
            </w:r>
            <w:r>
              <w:t>10:30</w:t>
            </w:r>
            <w:r w:rsidR="002B39C3">
              <w:t xml:space="preserve"> a.m., Commission hearing room A, 505 Van Ness Avenue, San Francisco</w:t>
            </w:r>
            <w:r w:rsidR="004E7303">
              <w:t>, CA</w:t>
            </w:r>
            <w:r w:rsidR="002B39C3">
              <w:t xml:space="preserve">. </w:t>
            </w:r>
          </w:p>
        </w:tc>
      </w:tr>
      <w:tr w:rsidR="002B39C3" w:rsidRPr="00C532EB" w14:paraId="63BA592D" w14:textId="77777777" w:rsidTr="00E20071">
        <w:trPr>
          <w:trHeight w:val="300"/>
          <w:jc w:val="center"/>
        </w:trPr>
        <w:tc>
          <w:tcPr>
            <w:tcW w:w="2995" w:type="dxa"/>
            <w:shd w:val="clear" w:color="auto" w:fill="auto"/>
            <w:noWrap/>
            <w:vAlign w:val="center"/>
          </w:tcPr>
          <w:p w14:paraId="3CF0B99A" w14:textId="77777777" w:rsidR="002B39C3" w:rsidRPr="00C532EB" w:rsidRDefault="002B39C3" w:rsidP="00912F82">
            <w:pPr>
              <w:spacing w:before="60" w:after="60"/>
            </w:pPr>
            <w:r>
              <w:lastRenderedPageBreak/>
              <w:t>S</w:t>
            </w:r>
            <w:r w:rsidRPr="00C532EB">
              <w:t>coping memo</w:t>
            </w:r>
            <w:r>
              <w:t xml:space="preserve"> </w:t>
            </w:r>
          </w:p>
        </w:tc>
        <w:tc>
          <w:tcPr>
            <w:tcW w:w="6595" w:type="dxa"/>
            <w:vAlign w:val="center"/>
          </w:tcPr>
          <w:p w14:paraId="7A0D1A64" w14:textId="77777777" w:rsidR="002B39C3" w:rsidRPr="00C532EB" w:rsidRDefault="002B39C3" w:rsidP="00912F82">
            <w:pPr>
              <w:spacing w:before="60" w:after="60"/>
            </w:pPr>
            <w:r>
              <w:t>February 2019</w:t>
            </w:r>
          </w:p>
        </w:tc>
      </w:tr>
      <w:tr w:rsidR="00043D5C" w:rsidRPr="00C532EB" w14:paraId="19DB2E67" w14:textId="77777777" w:rsidTr="00E20071">
        <w:trPr>
          <w:trHeight w:val="300"/>
          <w:jc w:val="center"/>
        </w:trPr>
        <w:tc>
          <w:tcPr>
            <w:tcW w:w="2995" w:type="dxa"/>
            <w:tcBorders>
              <w:top w:val="single" w:sz="6" w:space="0" w:color="auto"/>
              <w:left w:val="single" w:sz="4" w:space="0" w:color="auto"/>
              <w:bottom w:val="single" w:sz="6" w:space="0" w:color="auto"/>
              <w:right w:val="single" w:sz="6" w:space="0" w:color="auto"/>
            </w:tcBorders>
            <w:shd w:val="clear" w:color="auto" w:fill="auto"/>
            <w:noWrap/>
            <w:vAlign w:val="center"/>
          </w:tcPr>
          <w:p w14:paraId="7EFBEE15" w14:textId="77777777" w:rsidR="00043D5C" w:rsidRPr="00D033FB" w:rsidRDefault="00043D5C" w:rsidP="00043D5C">
            <w:pPr>
              <w:spacing w:before="60" w:after="60"/>
            </w:pPr>
            <w:r w:rsidRPr="00D033FB">
              <w:t xml:space="preserve">Prehearing conference  </w:t>
            </w:r>
          </w:p>
        </w:tc>
        <w:tc>
          <w:tcPr>
            <w:tcW w:w="6595" w:type="dxa"/>
            <w:tcBorders>
              <w:top w:val="single" w:sz="6" w:space="0" w:color="auto"/>
              <w:left w:val="single" w:sz="6" w:space="0" w:color="auto"/>
              <w:bottom w:val="single" w:sz="6" w:space="0" w:color="auto"/>
              <w:right w:val="single" w:sz="4" w:space="0" w:color="auto"/>
            </w:tcBorders>
            <w:vAlign w:val="center"/>
          </w:tcPr>
          <w:p w14:paraId="21E99A8F" w14:textId="77777777" w:rsidR="00043D5C" w:rsidRPr="00D033FB" w:rsidRDefault="00043D5C" w:rsidP="00043D5C">
            <w:pPr>
              <w:spacing w:before="60" w:after="60"/>
            </w:pPr>
            <w:r w:rsidRPr="00D033FB">
              <w:t>Wednesday, February 6, 2019</w:t>
            </w:r>
            <w:r w:rsidR="00994E24" w:rsidRPr="00D033FB">
              <w:t xml:space="preserve"> at 10:30 a.m.</w:t>
            </w:r>
          </w:p>
        </w:tc>
      </w:tr>
      <w:tr w:rsidR="00043D5C" w:rsidRPr="00C532EB" w14:paraId="40C98DBA" w14:textId="77777777" w:rsidTr="00E20071">
        <w:trPr>
          <w:trHeight w:val="300"/>
          <w:jc w:val="center"/>
        </w:trPr>
        <w:tc>
          <w:tcPr>
            <w:tcW w:w="2995" w:type="dxa"/>
            <w:tcBorders>
              <w:top w:val="single" w:sz="6" w:space="0" w:color="auto"/>
              <w:left w:val="single" w:sz="4" w:space="0" w:color="auto"/>
              <w:bottom w:val="single" w:sz="6" w:space="0" w:color="auto"/>
              <w:right w:val="single" w:sz="6" w:space="0" w:color="auto"/>
            </w:tcBorders>
            <w:shd w:val="clear" w:color="auto" w:fill="auto"/>
            <w:noWrap/>
            <w:vAlign w:val="center"/>
          </w:tcPr>
          <w:p w14:paraId="088FDFB7" w14:textId="77777777" w:rsidR="00043D5C" w:rsidRDefault="00043D5C" w:rsidP="00043D5C">
            <w:pPr>
              <w:spacing w:before="60" w:after="60"/>
            </w:pPr>
            <w:r>
              <w:t xml:space="preserve">Opening comments </w:t>
            </w:r>
          </w:p>
        </w:tc>
        <w:tc>
          <w:tcPr>
            <w:tcW w:w="6595" w:type="dxa"/>
            <w:tcBorders>
              <w:top w:val="single" w:sz="6" w:space="0" w:color="auto"/>
              <w:left w:val="single" w:sz="6" w:space="0" w:color="auto"/>
              <w:bottom w:val="single" w:sz="6" w:space="0" w:color="auto"/>
              <w:right w:val="single" w:sz="4" w:space="0" w:color="auto"/>
            </w:tcBorders>
            <w:vAlign w:val="center"/>
          </w:tcPr>
          <w:p w14:paraId="12862F19" w14:textId="77777777" w:rsidR="00043D5C" w:rsidRDefault="00043D5C" w:rsidP="00043D5C">
            <w:pPr>
              <w:spacing w:before="60" w:after="60"/>
            </w:pPr>
            <w:r>
              <w:t>March 2019</w:t>
            </w:r>
          </w:p>
        </w:tc>
      </w:tr>
      <w:tr w:rsidR="00043D5C" w:rsidRPr="00C532EB" w14:paraId="3ACFB57F" w14:textId="77777777" w:rsidTr="00E20071">
        <w:trPr>
          <w:trHeight w:val="300"/>
          <w:jc w:val="center"/>
        </w:trPr>
        <w:tc>
          <w:tcPr>
            <w:tcW w:w="2995" w:type="dxa"/>
            <w:tcBorders>
              <w:top w:val="single" w:sz="6" w:space="0" w:color="auto"/>
              <w:left w:val="single" w:sz="4" w:space="0" w:color="auto"/>
              <w:bottom w:val="single" w:sz="6" w:space="0" w:color="auto"/>
              <w:right w:val="single" w:sz="6" w:space="0" w:color="auto"/>
            </w:tcBorders>
            <w:shd w:val="clear" w:color="auto" w:fill="auto"/>
            <w:noWrap/>
            <w:vAlign w:val="center"/>
          </w:tcPr>
          <w:p w14:paraId="0F4EE287" w14:textId="77777777" w:rsidR="00043D5C" w:rsidRDefault="00043D5C" w:rsidP="00043D5C">
            <w:pPr>
              <w:spacing w:before="60" w:after="60"/>
            </w:pPr>
            <w:r>
              <w:t xml:space="preserve">Reply comments </w:t>
            </w:r>
          </w:p>
        </w:tc>
        <w:tc>
          <w:tcPr>
            <w:tcW w:w="6595" w:type="dxa"/>
            <w:tcBorders>
              <w:top w:val="single" w:sz="6" w:space="0" w:color="auto"/>
              <w:left w:val="single" w:sz="6" w:space="0" w:color="auto"/>
              <w:bottom w:val="single" w:sz="6" w:space="0" w:color="auto"/>
              <w:right w:val="single" w:sz="4" w:space="0" w:color="auto"/>
            </w:tcBorders>
            <w:vAlign w:val="center"/>
          </w:tcPr>
          <w:p w14:paraId="6055133B" w14:textId="77777777" w:rsidR="00043D5C" w:rsidRDefault="00043D5C" w:rsidP="00043D5C">
            <w:pPr>
              <w:spacing w:before="60" w:after="60"/>
            </w:pPr>
            <w:r>
              <w:t xml:space="preserve">April 2019 </w:t>
            </w:r>
          </w:p>
        </w:tc>
      </w:tr>
      <w:tr w:rsidR="00043D5C" w:rsidRPr="00C532EB" w14:paraId="7B26140B" w14:textId="77777777" w:rsidTr="00E20071">
        <w:trPr>
          <w:trHeight w:val="300"/>
          <w:jc w:val="center"/>
        </w:trPr>
        <w:tc>
          <w:tcPr>
            <w:tcW w:w="2995" w:type="dxa"/>
            <w:tcBorders>
              <w:top w:val="single" w:sz="6" w:space="0" w:color="auto"/>
              <w:left w:val="single" w:sz="4" w:space="0" w:color="auto"/>
              <w:bottom w:val="single" w:sz="6" w:space="0" w:color="auto"/>
              <w:right w:val="single" w:sz="6" w:space="0" w:color="auto"/>
            </w:tcBorders>
            <w:shd w:val="clear" w:color="auto" w:fill="auto"/>
            <w:noWrap/>
            <w:vAlign w:val="center"/>
          </w:tcPr>
          <w:p w14:paraId="4D7294AA" w14:textId="1D547B5C" w:rsidR="00043D5C" w:rsidRDefault="00043D5C" w:rsidP="00043D5C">
            <w:r>
              <w:t>Proposed Decision on de</w:t>
            </w:r>
            <w:r w:rsidR="00B12992">
              <w:noBreakHyphen/>
            </w:r>
            <w:r>
              <w:t xml:space="preserve">energization rules </w:t>
            </w:r>
          </w:p>
        </w:tc>
        <w:tc>
          <w:tcPr>
            <w:tcW w:w="6595" w:type="dxa"/>
            <w:tcBorders>
              <w:top w:val="single" w:sz="6" w:space="0" w:color="auto"/>
              <w:left w:val="single" w:sz="6" w:space="0" w:color="auto"/>
              <w:bottom w:val="single" w:sz="6" w:space="0" w:color="auto"/>
              <w:right w:val="single" w:sz="4" w:space="0" w:color="auto"/>
            </w:tcBorders>
            <w:vAlign w:val="center"/>
          </w:tcPr>
          <w:p w14:paraId="3FBE1B32" w14:textId="77777777" w:rsidR="00043D5C" w:rsidRDefault="00043D5C" w:rsidP="00043D5C">
            <w:pPr>
              <w:spacing w:before="60" w:after="60"/>
            </w:pPr>
            <w:r>
              <w:t>Summer 2019</w:t>
            </w:r>
          </w:p>
        </w:tc>
      </w:tr>
      <w:tr w:rsidR="00043D5C" w:rsidRPr="00C532EB" w14:paraId="7BCF6343" w14:textId="77777777" w:rsidTr="00E20071">
        <w:trPr>
          <w:trHeight w:val="300"/>
          <w:jc w:val="center"/>
        </w:trPr>
        <w:tc>
          <w:tcPr>
            <w:tcW w:w="2995" w:type="dxa"/>
            <w:tcBorders>
              <w:top w:val="single" w:sz="6" w:space="0" w:color="auto"/>
              <w:left w:val="single" w:sz="4" w:space="0" w:color="auto"/>
              <w:bottom w:val="single" w:sz="4" w:space="0" w:color="auto"/>
              <w:right w:val="single" w:sz="6" w:space="0" w:color="auto"/>
            </w:tcBorders>
            <w:shd w:val="clear" w:color="auto" w:fill="auto"/>
            <w:noWrap/>
            <w:vAlign w:val="center"/>
          </w:tcPr>
          <w:p w14:paraId="7EDBE3C0" w14:textId="77777777" w:rsidR="00043D5C" w:rsidRDefault="00043D5C" w:rsidP="00043D5C">
            <w:pPr>
              <w:spacing w:before="60" w:after="60"/>
            </w:pPr>
            <w:r>
              <w:t>Final Decision</w:t>
            </w:r>
          </w:p>
        </w:tc>
        <w:tc>
          <w:tcPr>
            <w:tcW w:w="6595" w:type="dxa"/>
            <w:tcBorders>
              <w:top w:val="single" w:sz="6" w:space="0" w:color="auto"/>
              <w:left w:val="single" w:sz="6" w:space="0" w:color="auto"/>
              <w:bottom w:val="single" w:sz="4" w:space="0" w:color="auto"/>
              <w:right w:val="single" w:sz="4" w:space="0" w:color="auto"/>
            </w:tcBorders>
            <w:vAlign w:val="center"/>
          </w:tcPr>
          <w:p w14:paraId="54BD4365" w14:textId="77777777" w:rsidR="00043D5C" w:rsidRDefault="00043D5C" w:rsidP="00043D5C">
            <w:pPr>
              <w:spacing w:before="60" w:after="60"/>
            </w:pPr>
            <w:r>
              <w:t>Summer 2019</w:t>
            </w:r>
          </w:p>
        </w:tc>
      </w:tr>
    </w:tbl>
    <w:p w14:paraId="5E1FFEEB" w14:textId="77777777" w:rsidR="002B39C3" w:rsidRPr="00704252" w:rsidRDefault="002B39C3" w:rsidP="002B39C3">
      <w:pPr>
        <w:pStyle w:val="standard"/>
        <w:jc w:val="center"/>
        <w:rPr>
          <w:sz w:val="6"/>
          <w:szCs w:val="6"/>
        </w:rPr>
      </w:pPr>
    </w:p>
    <w:p w14:paraId="5F9F7DD1" w14:textId="77777777" w:rsidR="00801749" w:rsidRDefault="002B39C3" w:rsidP="00B12992">
      <w:pPr>
        <w:pStyle w:val="standard"/>
      </w:pPr>
      <w:r w:rsidRPr="005D3719">
        <w:t xml:space="preserve">The prehearing conference </w:t>
      </w:r>
      <w:r>
        <w:t xml:space="preserve">(PHC) </w:t>
      </w:r>
      <w:r w:rsidRPr="005D3719">
        <w:t xml:space="preserve">will be held for the purposes of (1) taking appearances, (2) discussing schedule and process, and (3) informing the scoping memo.  The PHC shall be held beginning at </w:t>
      </w:r>
      <w:r w:rsidR="00366D5A">
        <w:t>10:30</w:t>
      </w:r>
      <w:r>
        <w:t xml:space="preserve"> a.m.</w:t>
      </w:r>
      <w:r w:rsidRPr="005D3719">
        <w:t xml:space="preserve"> on </w:t>
      </w:r>
    </w:p>
    <w:p w14:paraId="282DE7D7" w14:textId="77C870E2" w:rsidR="002B39C3" w:rsidRPr="005D3719" w:rsidRDefault="00366D5A" w:rsidP="00801749">
      <w:pPr>
        <w:pStyle w:val="standard"/>
        <w:ind w:firstLine="0"/>
      </w:pPr>
      <w:r>
        <w:t>February 6,</w:t>
      </w:r>
      <w:r w:rsidR="002B39C3">
        <w:t xml:space="preserve"> 201</w:t>
      </w:r>
      <w:r>
        <w:t>9</w:t>
      </w:r>
      <w:r w:rsidR="002B39C3" w:rsidRPr="005D3719">
        <w:t xml:space="preserve"> in the Commission Courtroom,</w:t>
      </w:r>
      <w:r w:rsidR="002B39C3">
        <w:t xml:space="preserve"> 505 Van Ness Avenue, San </w:t>
      </w:r>
      <w:r w:rsidR="002B39C3" w:rsidRPr="005D3719">
        <w:t xml:space="preserve">Francisco, California.  </w:t>
      </w:r>
    </w:p>
    <w:p w14:paraId="0423E439" w14:textId="77777777" w:rsidR="002B39C3" w:rsidRPr="005D3719" w:rsidRDefault="002B39C3" w:rsidP="002B39C3">
      <w:pPr>
        <w:pStyle w:val="standard"/>
      </w:pPr>
      <w:r>
        <w:t>The a</w:t>
      </w:r>
      <w:r w:rsidRPr="005D3719">
        <w:t>ssigned Commissioner or the assigned Administrative Law Judge</w:t>
      </w:r>
      <w:r>
        <w:t>(s)</w:t>
      </w:r>
      <w:r w:rsidRPr="005D3719">
        <w:t xml:space="preserve"> (ALJ) may change the schedule to promote efficient and fair admin</w:t>
      </w:r>
      <w:r>
        <w:t>istration of this proceeding.</w:t>
      </w:r>
    </w:p>
    <w:p w14:paraId="6FF70C43" w14:textId="54BFA1E5" w:rsidR="002B39C3" w:rsidRPr="005D3719" w:rsidRDefault="00901D22" w:rsidP="002B39C3">
      <w:pPr>
        <w:spacing w:line="360" w:lineRule="auto"/>
        <w:ind w:firstLine="720"/>
        <w:rPr>
          <w:rFonts w:eastAsia="Book Antiqua" w:cs="Book Antiqua"/>
          <w:szCs w:val="26"/>
        </w:rPr>
      </w:pPr>
      <w:r>
        <w:rPr>
          <w:rFonts w:eastAsia="Book Antiqua" w:cs="Book Antiqua"/>
          <w:szCs w:val="26"/>
        </w:rPr>
        <w:t>As noted in the schedule above,</w:t>
      </w:r>
      <w:r w:rsidR="00912F82">
        <w:rPr>
          <w:rFonts w:eastAsia="Book Antiqua" w:cs="Book Antiqua"/>
          <w:szCs w:val="26"/>
        </w:rPr>
        <w:t xml:space="preserve"> staff are holding</w:t>
      </w:r>
      <w:r w:rsidR="002B39C3">
        <w:rPr>
          <w:rFonts w:eastAsia="Book Antiqua" w:cs="Book Antiqua"/>
          <w:szCs w:val="26"/>
        </w:rPr>
        <w:t xml:space="preserve"> two </w:t>
      </w:r>
      <w:r w:rsidR="002B39C3" w:rsidRPr="005D3719">
        <w:rPr>
          <w:rFonts w:eastAsia="Book Antiqua" w:cs="Book Antiqua"/>
          <w:szCs w:val="26"/>
        </w:rPr>
        <w:t>workshops</w:t>
      </w:r>
      <w:r w:rsidR="002B39C3">
        <w:rPr>
          <w:rFonts w:eastAsia="Book Antiqua" w:cs="Book Antiqua"/>
          <w:szCs w:val="26"/>
        </w:rPr>
        <w:t xml:space="preserve"> </w:t>
      </w:r>
      <w:r>
        <w:rPr>
          <w:rFonts w:eastAsia="Book Antiqua" w:cs="Book Antiqua"/>
          <w:szCs w:val="26"/>
        </w:rPr>
        <w:t>on de</w:t>
      </w:r>
      <w:r w:rsidR="00B12992">
        <w:rPr>
          <w:rFonts w:eastAsia="Book Antiqua" w:cs="Book Antiqua"/>
          <w:szCs w:val="26"/>
        </w:rPr>
        <w:noBreakHyphen/>
      </w:r>
      <w:r>
        <w:rPr>
          <w:rFonts w:eastAsia="Book Antiqua" w:cs="Book Antiqua"/>
          <w:szCs w:val="26"/>
        </w:rPr>
        <w:t>energization issues</w:t>
      </w:r>
      <w:r w:rsidR="002B39C3">
        <w:rPr>
          <w:rFonts w:eastAsia="Book Antiqua" w:cs="Book Antiqua"/>
          <w:szCs w:val="26"/>
        </w:rPr>
        <w:t xml:space="preserve"> to gather input from first responders, affected communities and other stakeholders.  N</w:t>
      </w:r>
      <w:r w:rsidR="002B39C3" w:rsidRPr="005D3719">
        <w:rPr>
          <w:rFonts w:eastAsia="Book Antiqua" w:cs="Book Antiqua"/>
          <w:szCs w:val="26"/>
        </w:rPr>
        <w:t xml:space="preserve">otice </w:t>
      </w:r>
      <w:r>
        <w:rPr>
          <w:rFonts w:eastAsia="Book Antiqua" w:cs="Book Antiqua"/>
          <w:szCs w:val="26"/>
        </w:rPr>
        <w:t xml:space="preserve">of these workshops has been posted on the </w:t>
      </w:r>
      <w:r w:rsidR="002B39C3" w:rsidRPr="005D3719">
        <w:rPr>
          <w:rFonts w:eastAsia="Book Antiqua" w:cs="Book Antiqua"/>
          <w:szCs w:val="26"/>
        </w:rPr>
        <w:t>Commission’s Daily Calendar</w:t>
      </w:r>
      <w:r w:rsidR="00912F82">
        <w:rPr>
          <w:rFonts w:eastAsia="Book Antiqua" w:cs="Book Antiqua"/>
          <w:szCs w:val="26"/>
        </w:rPr>
        <w:t xml:space="preserve">. </w:t>
      </w:r>
      <w:r w:rsidR="002B39C3" w:rsidRPr="005D3719">
        <w:rPr>
          <w:rFonts w:eastAsia="Book Antiqua" w:cs="Book Antiqua"/>
          <w:szCs w:val="26"/>
        </w:rPr>
        <w:t xml:space="preserve"> </w:t>
      </w:r>
      <w:r w:rsidR="00912F82">
        <w:rPr>
          <w:rFonts w:eastAsia="Book Antiqua" w:cs="Book Antiqua"/>
          <w:szCs w:val="26"/>
        </w:rPr>
        <w:t>I</w:t>
      </w:r>
      <w:r w:rsidR="00F93773">
        <w:rPr>
          <w:rFonts w:eastAsia="Book Antiqua" w:cs="Book Antiqua"/>
          <w:szCs w:val="26"/>
        </w:rPr>
        <w:t xml:space="preserve">n the event that additional workshops are held, notice will be posted on the Commission’s Daily Calendar </w:t>
      </w:r>
      <w:r w:rsidR="002B39C3" w:rsidRPr="005D3719">
        <w:rPr>
          <w:rFonts w:eastAsia="Book Antiqua" w:cs="Book Antiqua"/>
          <w:szCs w:val="26"/>
        </w:rPr>
        <w:t>to inform the public that a decision</w:t>
      </w:r>
      <w:r w:rsidR="00B12992">
        <w:rPr>
          <w:rFonts w:eastAsia="Book Antiqua" w:cs="Book Antiqua"/>
          <w:szCs w:val="26"/>
        </w:rPr>
        <w:noBreakHyphen/>
      </w:r>
      <w:r w:rsidR="002B39C3" w:rsidRPr="005D3719">
        <w:rPr>
          <w:rFonts w:eastAsia="Book Antiqua" w:cs="Book Antiqua"/>
          <w:szCs w:val="26"/>
        </w:rPr>
        <w:t>maker or an advisor may be present at those meetings or workshops.  Parties shall check the Daily Calendar regularly for such notices.</w:t>
      </w:r>
    </w:p>
    <w:p w14:paraId="739E50F6" w14:textId="77777777" w:rsidR="002B39C3" w:rsidRDefault="002B39C3" w:rsidP="00F35BCB">
      <w:pPr>
        <w:pStyle w:val="Heading1"/>
        <w:numPr>
          <w:ilvl w:val="0"/>
          <w:numId w:val="7"/>
        </w:numPr>
        <w:ind w:left="360" w:right="2160"/>
      </w:pPr>
      <w:r>
        <w:t>Respondents</w:t>
      </w:r>
    </w:p>
    <w:p w14:paraId="1B94D97E" w14:textId="77777777" w:rsidR="002B39C3" w:rsidRPr="005D3719" w:rsidRDefault="002B39C3" w:rsidP="002B39C3">
      <w:pPr>
        <w:pStyle w:val="standard"/>
      </w:pPr>
      <w:r w:rsidRPr="00A84823">
        <w:t xml:space="preserve">PG&amp;E, </w:t>
      </w:r>
      <w:r>
        <w:t>SCE, SD</w:t>
      </w:r>
      <w:r w:rsidRPr="00A84823">
        <w:t xml:space="preserve">G&amp;E, Liberty, Bear Valley </w:t>
      </w:r>
      <w:r>
        <w:t>and PacifiCorp</w:t>
      </w:r>
      <w:r w:rsidRPr="00A84823">
        <w:t xml:space="preserve"> </w:t>
      </w:r>
      <w:r>
        <w:t>a</w:t>
      </w:r>
      <w:r w:rsidRPr="005D3719">
        <w:t>re named as respondents to this proceeding.</w:t>
      </w:r>
    </w:p>
    <w:p w14:paraId="38686E72" w14:textId="77777777" w:rsidR="002B39C3" w:rsidRDefault="00FC4ED3" w:rsidP="00CE68BA">
      <w:pPr>
        <w:pStyle w:val="Heading1"/>
        <w:keepLines/>
        <w:ind w:left="360" w:right="2160" w:hanging="360"/>
      </w:pPr>
      <w:r>
        <w:lastRenderedPageBreak/>
        <w:t>6</w:t>
      </w:r>
      <w:r w:rsidR="001501DC">
        <w:t>.</w:t>
      </w:r>
      <w:r w:rsidR="001501DC">
        <w:tab/>
      </w:r>
      <w:r w:rsidR="002B39C3">
        <w:t>Service of OIR</w:t>
      </w:r>
    </w:p>
    <w:p w14:paraId="1961E3AF" w14:textId="77777777" w:rsidR="002B39C3" w:rsidRPr="005D3719" w:rsidRDefault="002B39C3" w:rsidP="00CE68BA">
      <w:pPr>
        <w:pStyle w:val="sub1"/>
        <w:keepNext/>
        <w:keepLines/>
        <w:ind w:firstLine="720"/>
        <w:rPr>
          <w:szCs w:val="26"/>
        </w:rPr>
      </w:pPr>
      <w:r w:rsidRPr="005D3719">
        <w:rPr>
          <w:szCs w:val="26"/>
        </w:rPr>
        <w:t>This OIR shall be served on all respondents.</w:t>
      </w:r>
    </w:p>
    <w:p w14:paraId="5B686300" w14:textId="77777777" w:rsidR="002B39C3" w:rsidRPr="005D3719" w:rsidRDefault="002B39C3" w:rsidP="00CE68BA">
      <w:pPr>
        <w:pStyle w:val="sub1"/>
        <w:keepNext/>
        <w:keepLines/>
        <w:ind w:firstLine="720"/>
        <w:rPr>
          <w:szCs w:val="26"/>
        </w:rPr>
      </w:pPr>
      <w:r w:rsidRPr="005D3719">
        <w:rPr>
          <w:szCs w:val="26"/>
        </w:rPr>
        <w:t>In addition, in the interest of broad notice, this OIR will be served on the official service lists for the following proceedings:</w:t>
      </w:r>
    </w:p>
    <w:p w14:paraId="4EAADA34" w14:textId="0D52A4FA" w:rsidR="002B39C3" w:rsidRPr="009413D2" w:rsidRDefault="002B39C3" w:rsidP="00EE1E84">
      <w:pPr>
        <w:pStyle w:val="sub1"/>
        <w:numPr>
          <w:ilvl w:val="0"/>
          <w:numId w:val="4"/>
        </w:numPr>
        <w:spacing w:after="120" w:line="240" w:lineRule="auto"/>
        <w:ind w:left="1080" w:right="1440"/>
        <w:rPr>
          <w:szCs w:val="26"/>
        </w:rPr>
      </w:pPr>
      <w:r>
        <w:rPr>
          <w:szCs w:val="26"/>
        </w:rPr>
        <w:t>Rulemaking 18</w:t>
      </w:r>
      <w:r w:rsidR="00B12992">
        <w:rPr>
          <w:szCs w:val="26"/>
        </w:rPr>
        <w:noBreakHyphen/>
      </w:r>
      <w:r>
        <w:rPr>
          <w:szCs w:val="26"/>
        </w:rPr>
        <w:t>10</w:t>
      </w:r>
      <w:r w:rsidR="00B12992">
        <w:rPr>
          <w:szCs w:val="26"/>
        </w:rPr>
        <w:noBreakHyphen/>
      </w:r>
      <w:r>
        <w:rPr>
          <w:szCs w:val="26"/>
        </w:rPr>
        <w:t xml:space="preserve">007, Order Instituting Rulemaking </w:t>
      </w:r>
      <w:r>
        <w:t>Implement Electric Utility Wildfire Mitigation Plans Pursuant to Senate Bill 901 (2018);</w:t>
      </w:r>
    </w:p>
    <w:p w14:paraId="0B81E99D" w14:textId="26D07B9A" w:rsidR="009413D2" w:rsidRDefault="009413D2" w:rsidP="00EE1E84">
      <w:pPr>
        <w:pStyle w:val="sub1"/>
        <w:numPr>
          <w:ilvl w:val="0"/>
          <w:numId w:val="4"/>
        </w:numPr>
        <w:spacing w:after="120" w:line="240" w:lineRule="auto"/>
        <w:ind w:left="1080" w:right="1440"/>
        <w:rPr>
          <w:szCs w:val="26"/>
        </w:rPr>
      </w:pPr>
      <w:r>
        <w:rPr>
          <w:szCs w:val="26"/>
        </w:rPr>
        <w:t>Rulemaking 18</w:t>
      </w:r>
      <w:r w:rsidR="00B12992">
        <w:rPr>
          <w:szCs w:val="26"/>
        </w:rPr>
        <w:noBreakHyphen/>
      </w:r>
      <w:r>
        <w:rPr>
          <w:szCs w:val="26"/>
        </w:rPr>
        <w:t>03</w:t>
      </w:r>
      <w:r w:rsidR="00B12992">
        <w:rPr>
          <w:szCs w:val="26"/>
        </w:rPr>
        <w:noBreakHyphen/>
      </w:r>
      <w:r>
        <w:rPr>
          <w:szCs w:val="26"/>
        </w:rPr>
        <w:t>011</w:t>
      </w:r>
      <w:r w:rsidR="004B4EFD">
        <w:rPr>
          <w:szCs w:val="26"/>
        </w:rPr>
        <w:t>,</w:t>
      </w:r>
      <w:r>
        <w:rPr>
          <w:szCs w:val="26"/>
        </w:rPr>
        <w:t xml:space="preserve"> Order Instituting Rulemaking regarding Emergency Disaster Relief </w:t>
      </w:r>
      <w:r w:rsidR="009B55D5">
        <w:rPr>
          <w:szCs w:val="26"/>
        </w:rPr>
        <w:t>P</w:t>
      </w:r>
      <w:r>
        <w:rPr>
          <w:szCs w:val="26"/>
        </w:rPr>
        <w:t xml:space="preserve">rogram; </w:t>
      </w:r>
    </w:p>
    <w:p w14:paraId="11EBF505" w14:textId="6D4EE707" w:rsidR="002B39C3" w:rsidRDefault="002B39C3" w:rsidP="00EE1E84">
      <w:pPr>
        <w:pStyle w:val="sub1"/>
        <w:numPr>
          <w:ilvl w:val="0"/>
          <w:numId w:val="4"/>
        </w:numPr>
        <w:spacing w:after="120" w:line="240" w:lineRule="auto"/>
        <w:ind w:left="1080" w:right="1440"/>
        <w:rPr>
          <w:szCs w:val="26"/>
        </w:rPr>
      </w:pPr>
      <w:r w:rsidRPr="009C4037">
        <w:rPr>
          <w:szCs w:val="26"/>
        </w:rPr>
        <w:t>Rulemaking 15</w:t>
      </w:r>
      <w:r w:rsidR="00B12992">
        <w:rPr>
          <w:szCs w:val="26"/>
        </w:rPr>
        <w:noBreakHyphen/>
      </w:r>
      <w:r w:rsidRPr="009C4037">
        <w:rPr>
          <w:szCs w:val="26"/>
        </w:rPr>
        <w:t>05</w:t>
      </w:r>
      <w:r w:rsidR="00B12992">
        <w:rPr>
          <w:szCs w:val="26"/>
        </w:rPr>
        <w:noBreakHyphen/>
      </w:r>
      <w:r w:rsidRPr="009C4037">
        <w:rPr>
          <w:szCs w:val="26"/>
        </w:rPr>
        <w:t>006,</w:t>
      </w:r>
      <w:r w:rsidRPr="009C4037">
        <w:rPr>
          <w:rFonts w:ascii="BookAntiqua" w:hAnsi="BookAntiqua" w:cs="BookAntiqua"/>
          <w:szCs w:val="26"/>
        </w:rPr>
        <w:t xml:space="preserve"> </w:t>
      </w:r>
      <w:r w:rsidRPr="009C4037">
        <w:rPr>
          <w:szCs w:val="26"/>
        </w:rPr>
        <w:t>Order Instituting Rulemaking to Develop and Adopt Fire</w:t>
      </w:r>
      <w:r w:rsidR="00B12992">
        <w:rPr>
          <w:szCs w:val="26"/>
        </w:rPr>
        <w:noBreakHyphen/>
      </w:r>
      <w:r w:rsidRPr="009C4037">
        <w:rPr>
          <w:szCs w:val="26"/>
        </w:rPr>
        <w:t>Threat Maps and Fire</w:t>
      </w:r>
      <w:r w:rsidR="00B12992">
        <w:rPr>
          <w:szCs w:val="26"/>
        </w:rPr>
        <w:noBreakHyphen/>
      </w:r>
      <w:r w:rsidRPr="009C4037">
        <w:rPr>
          <w:szCs w:val="26"/>
        </w:rPr>
        <w:t>Safety</w:t>
      </w:r>
      <w:r>
        <w:rPr>
          <w:szCs w:val="26"/>
        </w:rPr>
        <w:t xml:space="preserve"> </w:t>
      </w:r>
      <w:r w:rsidRPr="009C4037">
        <w:rPr>
          <w:szCs w:val="26"/>
        </w:rPr>
        <w:t>Regulations</w:t>
      </w:r>
      <w:r>
        <w:rPr>
          <w:szCs w:val="26"/>
        </w:rPr>
        <w:t>;</w:t>
      </w:r>
    </w:p>
    <w:p w14:paraId="24237126" w14:textId="5858C11F" w:rsidR="002B39C3" w:rsidRDefault="002B39C3" w:rsidP="00EE1E84">
      <w:pPr>
        <w:pStyle w:val="sub1"/>
        <w:numPr>
          <w:ilvl w:val="0"/>
          <w:numId w:val="4"/>
        </w:numPr>
        <w:spacing w:after="120" w:line="240" w:lineRule="auto"/>
        <w:ind w:left="1080" w:right="1440"/>
        <w:rPr>
          <w:szCs w:val="26"/>
        </w:rPr>
      </w:pPr>
      <w:r w:rsidRPr="00775F99">
        <w:t>Rulemaking 15</w:t>
      </w:r>
      <w:r w:rsidR="00B12992">
        <w:noBreakHyphen/>
      </w:r>
      <w:r w:rsidRPr="00775F99">
        <w:t>06</w:t>
      </w:r>
      <w:r w:rsidR="00B12992">
        <w:noBreakHyphen/>
      </w:r>
      <w:r w:rsidRPr="00775F99">
        <w:t>009,</w:t>
      </w:r>
      <w:r w:rsidRPr="00A87B35">
        <w:rPr>
          <w:sz w:val="22"/>
          <w:szCs w:val="22"/>
        </w:rPr>
        <w:t xml:space="preserve"> O</w:t>
      </w:r>
      <w:r>
        <w:t xml:space="preserve">rder Instituting Rulemaking Regarding Policies, Procedures and Rules for Regulation of Physical Security for the Electric Supply Facilities of Electrical Corporations Consistent with Public Utilities Code Section 364 and to Establish Standards for Disaster and Emergency Preparedness Plans for Electrical Corporations and Regulated Water Companies Pursuant to Public Utilities Code Section 768.6; </w:t>
      </w:r>
    </w:p>
    <w:p w14:paraId="7EB87859" w14:textId="16B3F89C" w:rsidR="002B39C3" w:rsidRPr="009C4037" w:rsidRDefault="002B39C3" w:rsidP="00EE1E84">
      <w:pPr>
        <w:pStyle w:val="sub1"/>
        <w:numPr>
          <w:ilvl w:val="0"/>
          <w:numId w:val="4"/>
        </w:numPr>
        <w:spacing w:after="120" w:line="240" w:lineRule="auto"/>
        <w:ind w:left="1080" w:right="1440"/>
        <w:rPr>
          <w:szCs w:val="26"/>
        </w:rPr>
      </w:pPr>
      <w:r w:rsidRPr="00A87B35">
        <w:rPr>
          <w:szCs w:val="26"/>
        </w:rPr>
        <w:t>Application 15</w:t>
      </w:r>
      <w:r w:rsidR="00B12992">
        <w:rPr>
          <w:szCs w:val="26"/>
        </w:rPr>
        <w:noBreakHyphen/>
      </w:r>
      <w:r w:rsidRPr="00A87B35">
        <w:rPr>
          <w:szCs w:val="26"/>
        </w:rPr>
        <w:t>09</w:t>
      </w:r>
      <w:r w:rsidR="00B12992">
        <w:rPr>
          <w:szCs w:val="26"/>
        </w:rPr>
        <w:noBreakHyphen/>
      </w:r>
      <w:r w:rsidRPr="00A87B35">
        <w:rPr>
          <w:szCs w:val="26"/>
        </w:rPr>
        <w:t>010, Application of San Diego Gas &amp; Electric Company for Authorization to Recover Costs Related to the 2007 Southern California Wildfires Recorded in the Wildfire Expense Memorandum Account (WEMA);</w:t>
      </w:r>
    </w:p>
    <w:p w14:paraId="05EDDB5B" w14:textId="25DD7C37" w:rsidR="002B39C3" w:rsidRDefault="002B39C3" w:rsidP="00EE1E84">
      <w:pPr>
        <w:pStyle w:val="sub1"/>
        <w:numPr>
          <w:ilvl w:val="0"/>
          <w:numId w:val="4"/>
        </w:numPr>
        <w:spacing w:after="120" w:line="240" w:lineRule="auto"/>
        <w:ind w:left="1080" w:right="1440"/>
        <w:rPr>
          <w:szCs w:val="26"/>
        </w:rPr>
      </w:pPr>
      <w:r w:rsidRPr="009C4037">
        <w:rPr>
          <w:szCs w:val="26"/>
        </w:rPr>
        <w:t>Application 17</w:t>
      </w:r>
      <w:r w:rsidR="00B12992">
        <w:rPr>
          <w:szCs w:val="26"/>
        </w:rPr>
        <w:noBreakHyphen/>
      </w:r>
      <w:r w:rsidRPr="009C4037">
        <w:rPr>
          <w:szCs w:val="26"/>
        </w:rPr>
        <w:t>07</w:t>
      </w:r>
      <w:r w:rsidR="00B12992">
        <w:rPr>
          <w:szCs w:val="26"/>
        </w:rPr>
        <w:noBreakHyphen/>
      </w:r>
      <w:r w:rsidRPr="009C4037">
        <w:rPr>
          <w:szCs w:val="26"/>
        </w:rPr>
        <w:t>011, Application of Pacific Gas and Electric Company for Authority to Establish the</w:t>
      </w:r>
      <w:r>
        <w:rPr>
          <w:szCs w:val="26"/>
        </w:rPr>
        <w:t xml:space="preserve"> </w:t>
      </w:r>
      <w:r w:rsidRPr="009C4037">
        <w:rPr>
          <w:szCs w:val="26"/>
        </w:rPr>
        <w:t>Wildfire Expense Memorandum Account</w:t>
      </w:r>
      <w:r>
        <w:rPr>
          <w:szCs w:val="26"/>
        </w:rPr>
        <w:t>;</w:t>
      </w:r>
    </w:p>
    <w:p w14:paraId="1104F0A0" w14:textId="738CB8FC" w:rsidR="002B39C3" w:rsidRDefault="002B39C3" w:rsidP="00EE1E84">
      <w:pPr>
        <w:pStyle w:val="sub1"/>
        <w:numPr>
          <w:ilvl w:val="0"/>
          <w:numId w:val="4"/>
        </w:numPr>
        <w:spacing w:after="120" w:line="240" w:lineRule="auto"/>
        <w:ind w:left="1080" w:right="1440"/>
        <w:rPr>
          <w:szCs w:val="26"/>
        </w:rPr>
      </w:pPr>
      <w:r w:rsidRPr="009C4037">
        <w:rPr>
          <w:szCs w:val="26"/>
        </w:rPr>
        <w:t>Application 18</w:t>
      </w:r>
      <w:r w:rsidR="00B12992">
        <w:rPr>
          <w:szCs w:val="26"/>
        </w:rPr>
        <w:noBreakHyphen/>
      </w:r>
      <w:r w:rsidRPr="009C4037">
        <w:rPr>
          <w:szCs w:val="26"/>
        </w:rPr>
        <w:t>04</w:t>
      </w:r>
      <w:r w:rsidR="00B12992">
        <w:rPr>
          <w:szCs w:val="26"/>
        </w:rPr>
        <w:noBreakHyphen/>
      </w:r>
      <w:r w:rsidRPr="009C4037">
        <w:rPr>
          <w:szCs w:val="26"/>
        </w:rPr>
        <w:t>001, Application of Southern California Edison Company to Establish the Wildfire Expense Memorandum</w:t>
      </w:r>
      <w:r>
        <w:rPr>
          <w:szCs w:val="26"/>
        </w:rPr>
        <w:t xml:space="preserve"> </w:t>
      </w:r>
      <w:r w:rsidRPr="009C4037">
        <w:rPr>
          <w:szCs w:val="26"/>
        </w:rPr>
        <w:t>Account</w:t>
      </w:r>
      <w:r>
        <w:rPr>
          <w:szCs w:val="26"/>
        </w:rPr>
        <w:t>;</w:t>
      </w:r>
    </w:p>
    <w:p w14:paraId="058FF74E" w14:textId="51D591B2" w:rsidR="002B39C3" w:rsidRDefault="002B39C3" w:rsidP="00EE1E84">
      <w:pPr>
        <w:pStyle w:val="sub1"/>
        <w:numPr>
          <w:ilvl w:val="0"/>
          <w:numId w:val="4"/>
        </w:numPr>
        <w:spacing w:after="120" w:line="240" w:lineRule="auto"/>
        <w:ind w:left="1080" w:right="1440"/>
        <w:rPr>
          <w:szCs w:val="26"/>
        </w:rPr>
      </w:pPr>
      <w:r>
        <w:rPr>
          <w:szCs w:val="26"/>
        </w:rPr>
        <w:t>Application 18</w:t>
      </w:r>
      <w:r w:rsidR="00B12992">
        <w:rPr>
          <w:szCs w:val="26"/>
        </w:rPr>
        <w:noBreakHyphen/>
      </w:r>
      <w:r>
        <w:rPr>
          <w:szCs w:val="26"/>
        </w:rPr>
        <w:t>09</w:t>
      </w:r>
      <w:r w:rsidR="00B12992">
        <w:rPr>
          <w:szCs w:val="26"/>
        </w:rPr>
        <w:noBreakHyphen/>
      </w:r>
      <w:r>
        <w:rPr>
          <w:szCs w:val="26"/>
        </w:rPr>
        <w:t xml:space="preserve">002, </w:t>
      </w:r>
      <w:r w:rsidRPr="00253C13">
        <w:rPr>
          <w:szCs w:val="26"/>
        </w:rPr>
        <w:t>Application of Southern California Edison Company</w:t>
      </w:r>
      <w:r>
        <w:rPr>
          <w:szCs w:val="26"/>
        </w:rPr>
        <w:t xml:space="preserve"> </w:t>
      </w:r>
      <w:r w:rsidRPr="00253C13">
        <w:rPr>
          <w:szCs w:val="26"/>
        </w:rPr>
        <w:t>for Approval of Its Grid Safety and Resiliency Program</w:t>
      </w:r>
      <w:r>
        <w:rPr>
          <w:szCs w:val="26"/>
        </w:rPr>
        <w:t>; and</w:t>
      </w:r>
    </w:p>
    <w:p w14:paraId="7F0F2241" w14:textId="068DE4D4" w:rsidR="00334A4B" w:rsidRDefault="002B39C3" w:rsidP="00334A4B">
      <w:pPr>
        <w:pStyle w:val="sub1"/>
        <w:numPr>
          <w:ilvl w:val="0"/>
          <w:numId w:val="4"/>
        </w:numPr>
        <w:spacing w:line="240" w:lineRule="auto"/>
        <w:ind w:left="1080" w:right="1440"/>
        <w:rPr>
          <w:szCs w:val="26"/>
        </w:rPr>
      </w:pPr>
      <w:r w:rsidRPr="00775F99">
        <w:rPr>
          <w:szCs w:val="26"/>
        </w:rPr>
        <w:lastRenderedPageBreak/>
        <w:t>Application 08</w:t>
      </w:r>
      <w:r w:rsidR="00B12992">
        <w:rPr>
          <w:szCs w:val="26"/>
        </w:rPr>
        <w:noBreakHyphen/>
      </w:r>
      <w:r w:rsidRPr="00775F99">
        <w:rPr>
          <w:szCs w:val="26"/>
        </w:rPr>
        <w:t>12</w:t>
      </w:r>
      <w:r w:rsidR="00B12992">
        <w:rPr>
          <w:szCs w:val="26"/>
        </w:rPr>
        <w:noBreakHyphen/>
      </w:r>
      <w:r w:rsidRPr="00775F99">
        <w:rPr>
          <w:szCs w:val="26"/>
        </w:rPr>
        <w:t xml:space="preserve">021, </w:t>
      </w:r>
      <w:r>
        <w:t xml:space="preserve">Application of San Diego Gas &amp; Electric Company for Review of its Proactive </w:t>
      </w:r>
    </w:p>
    <w:p w14:paraId="02A21D4A" w14:textId="19AA8EBA" w:rsidR="002B39C3" w:rsidRPr="00334A4B" w:rsidRDefault="002B39C3" w:rsidP="00334A4B">
      <w:pPr>
        <w:pStyle w:val="sub1"/>
        <w:spacing w:line="240" w:lineRule="auto"/>
        <w:ind w:left="1080" w:right="1440" w:firstLine="0"/>
        <w:rPr>
          <w:szCs w:val="26"/>
        </w:rPr>
      </w:pPr>
      <w:r>
        <w:t>De</w:t>
      </w:r>
      <w:r w:rsidR="00B12992">
        <w:noBreakHyphen/>
      </w:r>
      <w:r>
        <w:t>Energization Measures and Approval of Proposed Tariff Revisions</w:t>
      </w:r>
      <w:r w:rsidRPr="00334A4B">
        <w:rPr>
          <w:szCs w:val="26"/>
        </w:rPr>
        <w:t>.</w:t>
      </w:r>
    </w:p>
    <w:p w14:paraId="204A5529" w14:textId="77777777" w:rsidR="000F65B1" w:rsidRPr="000F65B1" w:rsidRDefault="000F65B1" w:rsidP="00EE1E84">
      <w:pPr>
        <w:pStyle w:val="sub1"/>
        <w:ind w:firstLine="720"/>
        <w:rPr>
          <w:sz w:val="16"/>
          <w:szCs w:val="16"/>
        </w:rPr>
      </w:pPr>
    </w:p>
    <w:p w14:paraId="5EB1BEFE" w14:textId="77777777" w:rsidR="002B39C3" w:rsidRPr="007C1B85" w:rsidRDefault="002B39C3" w:rsidP="00EE1E84">
      <w:pPr>
        <w:pStyle w:val="sub1"/>
        <w:ind w:firstLine="720"/>
        <w:rPr>
          <w:szCs w:val="26"/>
        </w:rPr>
      </w:pPr>
      <w:r w:rsidRPr="007C1B85">
        <w:rPr>
          <w:szCs w:val="26"/>
        </w:rPr>
        <w:t>In addition, in the interest of broad notice, this OIR will be served on the following agencies</w:t>
      </w:r>
      <w:r>
        <w:rPr>
          <w:szCs w:val="26"/>
        </w:rPr>
        <w:t xml:space="preserve"> named in SB 901, and organizations representing local governments</w:t>
      </w:r>
      <w:r w:rsidRPr="007C1B85">
        <w:rPr>
          <w:szCs w:val="26"/>
        </w:rPr>
        <w:t>:</w:t>
      </w:r>
    </w:p>
    <w:p w14:paraId="63F8F07C" w14:textId="77777777" w:rsidR="002B39C3" w:rsidRPr="007C1B85" w:rsidRDefault="002B39C3" w:rsidP="00C83BB8">
      <w:pPr>
        <w:pStyle w:val="sub1"/>
        <w:numPr>
          <w:ilvl w:val="0"/>
          <w:numId w:val="4"/>
        </w:numPr>
        <w:spacing w:after="120" w:line="240" w:lineRule="auto"/>
        <w:ind w:left="1080" w:right="1440"/>
        <w:rPr>
          <w:szCs w:val="26"/>
        </w:rPr>
      </w:pPr>
      <w:r>
        <w:rPr>
          <w:szCs w:val="26"/>
        </w:rPr>
        <w:t>State Board of Forestry and Fire Protection (</w:t>
      </w:r>
      <w:r w:rsidRPr="007C1B85">
        <w:rPr>
          <w:szCs w:val="26"/>
        </w:rPr>
        <w:t>C</w:t>
      </w:r>
      <w:r>
        <w:rPr>
          <w:szCs w:val="26"/>
        </w:rPr>
        <w:t>AL FIRE)</w:t>
      </w:r>
    </w:p>
    <w:p w14:paraId="602EB98F" w14:textId="77777777" w:rsidR="002B39C3" w:rsidRPr="007C1B85" w:rsidRDefault="002B39C3" w:rsidP="00C83BB8">
      <w:pPr>
        <w:pStyle w:val="sub1"/>
        <w:numPr>
          <w:ilvl w:val="0"/>
          <w:numId w:val="4"/>
        </w:numPr>
        <w:spacing w:after="120" w:line="240" w:lineRule="auto"/>
        <w:ind w:left="1080" w:right="1440"/>
        <w:rPr>
          <w:szCs w:val="26"/>
        </w:rPr>
      </w:pPr>
      <w:r w:rsidRPr="007C1B85">
        <w:rPr>
          <w:szCs w:val="26"/>
        </w:rPr>
        <w:t>C</w:t>
      </w:r>
      <w:r>
        <w:rPr>
          <w:szCs w:val="26"/>
        </w:rPr>
        <w:t xml:space="preserve">alifornia Energy Commission </w:t>
      </w:r>
    </w:p>
    <w:p w14:paraId="7B918E18" w14:textId="77777777" w:rsidR="002B39C3" w:rsidRDefault="002B39C3" w:rsidP="00C83BB8">
      <w:pPr>
        <w:pStyle w:val="sub1"/>
        <w:numPr>
          <w:ilvl w:val="0"/>
          <w:numId w:val="4"/>
        </w:numPr>
        <w:spacing w:after="120" w:line="240" w:lineRule="auto"/>
        <w:ind w:left="1080" w:right="720"/>
        <w:rPr>
          <w:szCs w:val="26"/>
        </w:rPr>
      </w:pPr>
      <w:r w:rsidRPr="007C1B85">
        <w:rPr>
          <w:szCs w:val="26"/>
        </w:rPr>
        <w:t>State Air Resources Control Board</w:t>
      </w:r>
    </w:p>
    <w:p w14:paraId="1A05252F" w14:textId="77777777" w:rsidR="002B39C3" w:rsidRDefault="002B39C3" w:rsidP="00C83BB8">
      <w:pPr>
        <w:pStyle w:val="sub1"/>
        <w:numPr>
          <w:ilvl w:val="0"/>
          <w:numId w:val="4"/>
        </w:numPr>
        <w:spacing w:after="120" w:line="240" w:lineRule="auto"/>
        <w:ind w:left="1080" w:right="1440"/>
        <w:rPr>
          <w:szCs w:val="26"/>
        </w:rPr>
      </w:pPr>
      <w:r>
        <w:rPr>
          <w:szCs w:val="26"/>
        </w:rPr>
        <w:t>California Governor’s Office of Emergency Services</w:t>
      </w:r>
    </w:p>
    <w:p w14:paraId="5270364B" w14:textId="77777777" w:rsidR="002B39C3" w:rsidRDefault="002B39C3" w:rsidP="00C83BB8">
      <w:pPr>
        <w:pStyle w:val="sub1"/>
        <w:numPr>
          <w:ilvl w:val="0"/>
          <w:numId w:val="4"/>
        </w:numPr>
        <w:spacing w:after="120" w:line="240" w:lineRule="auto"/>
        <w:ind w:left="1080" w:right="720"/>
        <w:rPr>
          <w:szCs w:val="26"/>
        </w:rPr>
      </w:pPr>
      <w:r>
        <w:rPr>
          <w:szCs w:val="26"/>
        </w:rPr>
        <w:t>California Department of Fish and Wildlife</w:t>
      </w:r>
    </w:p>
    <w:p w14:paraId="35DFBA42" w14:textId="77777777" w:rsidR="002B39C3" w:rsidRDefault="002B39C3" w:rsidP="00C83BB8">
      <w:pPr>
        <w:pStyle w:val="sub1"/>
        <w:numPr>
          <w:ilvl w:val="0"/>
          <w:numId w:val="4"/>
        </w:numPr>
        <w:spacing w:after="120" w:line="240" w:lineRule="auto"/>
        <w:ind w:left="1080" w:right="1440"/>
        <w:rPr>
          <w:szCs w:val="26"/>
        </w:rPr>
      </w:pPr>
      <w:r>
        <w:rPr>
          <w:szCs w:val="26"/>
        </w:rPr>
        <w:t>California Infrastructure and Economic Development Bank</w:t>
      </w:r>
    </w:p>
    <w:p w14:paraId="62F935BD" w14:textId="77777777" w:rsidR="002B39C3" w:rsidRDefault="002B39C3" w:rsidP="00C83BB8">
      <w:pPr>
        <w:pStyle w:val="sub1"/>
        <w:numPr>
          <w:ilvl w:val="0"/>
          <w:numId w:val="4"/>
        </w:numPr>
        <w:spacing w:after="120" w:line="240" w:lineRule="auto"/>
        <w:ind w:left="1080" w:right="720"/>
        <w:rPr>
          <w:szCs w:val="26"/>
        </w:rPr>
      </w:pPr>
      <w:r>
        <w:rPr>
          <w:szCs w:val="26"/>
        </w:rPr>
        <w:t>California Office of Planning and Research</w:t>
      </w:r>
    </w:p>
    <w:p w14:paraId="0D8F839B" w14:textId="77777777" w:rsidR="002B39C3" w:rsidRDefault="002B39C3" w:rsidP="00C83BB8">
      <w:pPr>
        <w:pStyle w:val="sub1"/>
        <w:numPr>
          <w:ilvl w:val="0"/>
          <w:numId w:val="4"/>
        </w:numPr>
        <w:spacing w:after="120" w:line="240" w:lineRule="auto"/>
        <w:ind w:left="1080" w:right="720"/>
        <w:rPr>
          <w:szCs w:val="26"/>
        </w:rPr>
      </w:pPr>
      <w:r>
        <w:rPr>
          <w:szCs w:val="26"/>
        </w:rPr>
        <w:t>California Department of Parks and Recreation</w:t>
      </w:r>
    </w:p>
    <w:p w14:paraId="55B89305" w14:textId="77777777" w:rsidR="002B39C3" w:rsidRDefault="002B39C3" w:rsidP="00C83BB8">
      <w:pPr>
        <w:pStyle w:val="sub1"/>
        <w:numPr>
          <w:ilvl w:val="0"/>
          <w:numId w:val="4"/>
        </w:numPr>
        <w:spacing w:after="120" w:line="240" w:lineRule="auto"/>
        <w:ind w:left="1080" w:right="720"/>
        <w:rPr>
          <w:szCs w:val="26"/>
        </w:rPr>
      </w:pPr>
      <w:r>
        <w:rPr>
          <w:szCs w:val="26"/>
        </w:rPr>
        <w:t>California State Association of Counties</w:t>
      </w:r>
    </w:p>
    <w:p w14:paraId="24ED0C1F" w14:textId="77777777" w:rsidR="002B39C3" w:rsidRDefault="002B39C3" w:rsidP="00C83BB8">
      <w:pPr>
        <w:pStyle w:val="sub1"/>
        <w:numPr>
          <w:ilvl w:val="0"/>
          <w:numId w:val="4"/>
        </w:numPr>
        <w:spacing w:after="120" w:line="240" w:lineRule="auto"/>
        <w:ind w:left="1080" w:right="720"/>
        <w:rPr>
          <w:szCs w:val="26"/>
        </w:rPr>
      </w:pPr>
      <w:r>
        <w:rPr>
          <w:szCs w:val="26"/>
        </w:rPr>
        <w:t>League of California Cities</w:t>
      </w:r>
    </w:p>
    <w:p w14:paraId="34F6CAEB" w14:textId="77777777" w:rsidR="002B39C3" w:rsidRDefault="002B39C3" w:rsidP="00C83BB8">
      <w:pPr>
        <w:pStyle w:val="sub1"/>
        <w:numPr>
          <w:ilvl w:val="0"/>
          <w:numId w:val="4"/>
        </w:numPr>
        <w:spacing w:after="120" w:line="240" w:lineRule="auto"/>
        <w:ind w:left="1080" w:right="720"/>
        <w:rPr>
          <w:szCs w:val="26"/>
        </w:rPr>
      </w:pPr>
      <w:r w:rsidRPr="00775F99">
        <w:rPr>
          <w:szCs w:val="26"/>
        </w:rPr>
        <w:t>California Native American Heritage Commission</w:t>
      </w:r>
      <w:r w:rsidRPr="002F07F5">
        <w:rPr>
          <w:szCs w:val="26"/>
        </w:rPr>
        <w:t xml:space="preserve"> </w:t>
      </w:r>
    </w:p>
    <w:p w14:paraId="7AD3620C" w14:textId="77777777" w:rsidR="002B39C3" w:rsidRDefault="002B39C3" w:rsidP="00C83BB8">
      <w:pPr>
        <w:pStyle w:val="sub1"/>
        <w:numPr>
          <w:ilvl w:val="0"/>
          <w:numId w:val="4"/>
        </w:numPr>
        <w:spacing w:after="120" w:line="240" w:lineRule="auto"/>
        <w:ind w:left="1080" w:right="720"/>
        <w:rPr>
          <w:szCs w:val="26"/>
        </w:rPr>
      </w:pPr>
      <w:r>
        <w:rPr>
          <w:szCs w:val="26"/>
        </w:rPr>
        <w:t>California Municipal Utilities Association</w:t>
      </w:r>
    </w:p>
    <w:p w14:paraId="1A656DE8" w14:textId="77777777" w:rsidR="002B39C3" w:rsidRDefault="002B39C3" w:rsidP="00C83BB8">
      <w:pPr>
        <w:pStyle w:val="sub1"/>
        <w:numPr>
          <w:ilvl w:val="0"/>
          <w:numId w:val="4"/>
        </w:numPr>
        <w:spacing w:after="120" w:line="240" w:lineRule="auto"/>
        <w:ind w:left="1080" w:right="720"/>
        <w:rPr>
          <w:szCs w:val="26"/>
        </w:rPr>
      </w:pPr>
      <w:r>
        <w:rPr>
          <w:szCs w:val="26"/>
        </w:rPr>
        <w:t>California State Sheriffs’ Association</w:t>
      </w:r>
    </w:p>
    <w:p w14:paraId="40362763" w14:textId="77777777" w:rsidR="004B4EFD" w:rsidRPr="002F07F5" w:rsidRDefault="004B4EFD" w:rsidP="00C83BB8">
      <w:pPr>
        <w:pStyle w:val="sub1"/>
        <w:numPr>
          <w:ilvl w:val="0"/>
          <w:numId w:val="4"/>
        </w:numPr>
        <w:spacing w:after="120" w:line="240" w:lineRule="auto"/>
        <w:ind w:left="1080" w:right="720"/>
        <w:rPr>
          <w:szCs w:val="26"/>
        </w:rPr>
      </w:pPr>
      <w:r>
        <w:rPr>
          <w:szCs w:val="26"/>
        </w:rPr>
        <w:t>California Fire Chiefs’ Association</w:t>
      </w:r>
    </w:p>
    <w:p w14:paraId="7891CD17" w14:textId="77777777" w:rsidR="002B39C3" w:rsidRPr="005D3719" w:rsidRDefault="002B39C3" w:rsidP="00C83BB8">
      <w:pPr>
        <w:pStyle w:val="sub1"/>
        <w:ind w:firstLine="720"/>
        <w:rPr>
          <w:szCs w:val="26"/>
        </w:rPr>
      </w:pPr>
      <w:r w:rsidRPr="005D3719">
        <w:rPr>
          <w:szCs w:val="26"/>
        </w:rPr>
        <w:t>Service of the OIR does not confer party status or place any person who has received such service on the Official Service List for this proceeding, other than respondents.</w:t>
      </w:r>
      <w:r>
        <w:rPr>
          <w:szCs w:val="26"/>
        </w:rPr>
        <w:t xml:space="preserve"> </w:t>
      </w:r>
      <w:r w:rsidRPr="005D3719">
        <w:rPr>
          <w:szCs w:val="26"/>
        </w:rPr>
        <w:t xml:space="preserve"> Instructions for obtaining party status or being placed on the official service list are given below.</w:t>
      </w:r>
    </w:p>
    <w:p w14:paraId="0C75DA2E" w14:textId="77777777" w:rsidR="002B39C3" w:rsidRDefault="003529E9" w:rsidP="0088238B">
      <w:pPr>
        <w:pStyle w:val="Heading1"/>
        <w:tabs>
          <w:tab w:val="num" w:pos="360"/>
        </w:tabs>
        <w:ind w:left="720" w:right="2160" w:hanging="720"/>
        <w:rPr>
          <w:rFonts w:ascii="Palatino Linotype" w:hAnsi="Palatino Linotype"/>
          <w:b w:val="0"/>
          <w:kern w:val="0"/>
          <w:szCs w:val="26"/>
        </w:rPr>
      </w:pPr>
      <w:bookmarkStart w:id="1" w:name="_Toc386104452"/>
      <w:r>
        <w:t>7</w:t>
      </w:r>
      <w:r w:rsidR="0088238B">
        <w:t>.</w:t>
      </w:r>
      <w:r w:rsidR="0088238B">
        <w:tab/>
      </w:r>
      <w:r w:rsidR="002B39C3">
        <w:t>Filing and Service of Comments and Other Documents</w:t>
      </w:r>
    </w:p>
    <w:p w14:paraId="203FBCB4" w14:textId="77777777" w:rsidR="002B39C3" w:rsidRPr="005D3719" w:rsidRDefault="002B39C3" w:rsidP="002B39C3">
      <w:pPr>
        <w:pStyle w:val="standard"/>
      </w:pPr>
      <w:r w:rsidRPr="005D3719">
        <w:t xml:space="preserve">Filing and service of comments and other documents in the proceeding are governed by the Commission’s Rules of Practice and Procedure.  </w:t>
      </w:r>
    </w:p>
    <w:p w14:paraId="4836FC63" w14:textId="77777777" w:rsidR="002B39C3" w:rsidRDefault="004E0A59" w:rsidP="008C3538">
      <w:pPr>
        <w:pStyle w:val="Heading1"/>
        <w:tabs>
          <w:tab w:val="num" w:pos="360"/>
        </w:tabs>
        <w:ind w:left="720" w:right="2160" w:hanging="720"/>
      </w:pPr>
      <w:r>
        <w:lastRenderedPageBreak/>
        <w:t>8</w:t>
      </w:r>
      <w:r w:rsidR="008C3538">
        <w:t>.</w:t>
      </w:r>
      <w:r w:rsidR="008C3538">
        <w:tab/>
      </w:r>
      <w:r w:rsidR="002B39C3">
        <w:t>Addition to Official Service List</w:t>
      </w:r>
      <w:bookmarkEnd w:id="1"/>
    </w:p>
    <w:p w14:paraId="007D483F" w14:textId="77777777" w:rsidR="002B39C3" w:rsidRPr="005D3719" w:rsidRDefault="002B39C3" w:rsidP="00E66E43">
      <w:pPr>
        <w:pStyle w:val="sub1"/>
        <w:ind w:firstLine="720"/>
        <w:rPr>
          <w:szCs w:val="26"/>
        </w:rPr>
      </w:pPr>
      <w:bookmarkStart w:id="2" w:name="_Toc386104453"/>
      <w:r w:rsidRPr="005D3719">
        <w:rPr>
          <w:szCs w:val="26"/>
        </w:rPr>
        <w:t xml:space="preserve">Addition to the official service list is governed by Rule 1.9(f) of the Commission’s Rules of Practice and Procedure. </w:t>
      </w:r>
    </w:p>
    <w:p w14:paraId="61494A0A" w14:textId="77777777" w:rsidR="002B39C3" w:rsidRPr="005D3719" w:rsidRDefault="002B39C3" w:rsidP="00E66E43">
      <w:pPr>
        <w:pStyle w:val="sub1"/>
        <w:ind w:firstLine="720"/>
        <w:rPr>
          <w:szCs w:val="26"/>
        </w:rPr>
      </w:pPr>
      <w:r w:rsidRPr="005D3719">
        <w:rPr>
          <w:szCs w:val="26"/>
        </w:rPr>
        <w:t>Respondents are parties to the proceeding (see Rule 1.4(d)) and will be immediately placed on the official service list.</w:t>
      </w:r>
    </w:p>
    <w:p w14:paraId="53AA4177" w14:textId="77777777" w:rsidR="00C037E9" w:rsidRDefault="002B39C3" w:rsidP="00C037E9">
      <w:pPr>
        <w:pStyle w:val="sub1"/>
        <w:ind w:firstLine="720"/>
        <w:rPr>
          <w:szCs w:val="26"/>
        </w:rPr>
      </w:pPr>
      <w:r w:rsidRPr="005D3719">
        <w:rPr>
          <w:szCs w:val="26"/>
        </w:rPr>
        <w:t xml:space="preserve">Any person will be added to the “Information Only” category of the official service list upon request, for electronic service of all documents in the proceeding, and should do so promptly in order to ensure timely service of comments and other documents and correspondence in the proceeding. </w:t>
      </w:r>
      <w:r>
        <w:rPr>
          <w:szCs w:val="26"/>
        </w:rPr>
        <w:t xml:space="preserve"> </w:t>
      </w:r>
    </w:p>
    <w:p w14:paraId="459E63BF" w14:textId="07066D5D" w:rsidR="002B39C3" w:rsidRPr="005D3719" w:rsidRDefault="002B39C3" w:rsidP="00C037E9">
      <w:pPr>
        <w:pStyle w:val="sub1"/>
        <w:ind w:firstLine="0"/>
        <w:rPr>
          <w:szCs w:val="26"/>
        </w:rPr>
      </w:pPr>
      <w:r w:rsidRPr="005D3719">
        <w:rPr>
          <w:szCs w:val="26"/>
        </w:rPr>
        <w:t>(</w:t>
      </w:r>
      <w:r w:rsidRPr="002A1700">
        <w:rPr>
          <w:i/>
          <w:szCs w:val="26"/>
        </w:rPr>
        <w:t>See</w:t>
      </w:r>
      <w:r w:rsidRPr="005D3719">
        <w:rPr>
          <w:szCs w:val="26"/>
        </w:rPr>
        <w:t xml:space="preserve"> Rule 1.9(f).)  The request must be sent to the Process Office by e</w:t>
      </w:r>
      <w:r w:rsidR="00B12992">
        <w:rPr>
          <w:szCs w:val="26"/>
        </w:rPr>
        <w:noBreakHyphen/>
      </w:r>
      <w:r w:rsidRPr="005D3719">
        <w:rPr>
          <w:szCs w:val="26"/>
        </w:rPr>
        <w:t>mail (</w:t>
      </w:r>
      <w:hyperlink r:id="rId10" w:history="1">
        <w:r w:rsidRPr="005D3719">
          <w:rPr>
            <w:rStyle w:val="Hyperlink"/>
            <w:szCs w:val="26"/>
          </w:rPr>
          <w:t>process_office@cpuc.ca.gov</w:t>
        </w:r>
      </w:hyperlink>
      <w:r w:rsidRPr="005D3719">
        <w:rPr>
          <w:szCs w:val="26"/>
        </w:rPr>
        <w:t>) or letter (Process Office, California Public Utilities Commission, 505 Van Ness Avenue, San Francisco, California  94102).  Please include the Docket Number of this rulemaking in the request.</w:t>
      </w:r>
    </w:p>
    <w:p w14:paraId="68657757" w14:textId="77777777" w:rsidR="002B39C3" w:rsidRPr="005D3719" w:rsidRDefault="002B39C3" w:rsidP="001B7FE9">
      <w:pPr>
        <w:pStyle w:val="sub1"/>
        <w:ind w:firstLine="720"/>
        <w:rPr>
          <w:szCs w:val="26"/>
        </w:rPr>
      </w:pPr>
      <w:r w:rsidRPr="005D3719">
        <w:rPr>
          <w:szCs w:val="26"/>
        </w:rPr>
        <w:t xml:space="preserve">Persons who </w:t>
      </w:r>
      <w:r>
        <w:rPr>
          <w:szCs w:val="26"/>
        </w:rPr>
        <w:t>file comments on this OIR</w:t>
      </w:r>
      <w:r w:rsidRPr="005D3719">
        <w:rPr>
          <w:szCs w:val="26"/>
        </w:rPr>
        <w:t xml:space="preserve"> become parties to the proceeding (see Rule 1.4(a)(2)) and will be added to the “Parties” category of the official service list upon such filing.  </w:t>
      </w:r>
      <w:r w:rsidRPr="001B7FE9">
        <w:rPr>
          <w:szCs w:val="26"/>
        </w:rPr>
        <w:t>In order to assure service of comments and other documents and correspondence in advance of obtaining party status, persons should promptly request addition to the “Information Only” category as described above;</w:t>
      </w:r>
      <w:r w:rsidRPr="005D3719">
        <w:rPr>
          <w:szCs w:val="26"/>
        </w:rPr>
        <w:t xml:space="preserve"> they will be removed from that category upon obtaining party status.</w:t>
      </w:r>
    </w:p>
    <w:p w14:paraId="17A04675" w14:textId="77777777" w:rsidR="002B39C3" w:rsidRPr="00DA21F0" w:rsidRDefault="00FC5B19" w:rsidP="00FC5B19">
      <w:pPr>
        <w:pStyle w:val="Heading1"/>
        <w:tabs>
          <w:tab w:val="left" w:pos="360"/>
        </w:tabs>
        <w:ind w:right="2160"/>
      </w:pPr>
      <w:r>
        <w:t>9.</w:t>
      </w:r>
      <w:r>
        <w:tab/>
      </w:r>
      <w:r w:rsidR="002B39C3" w:rsidRPr="00DA21F0">
        <w:t>Subscription Service</w:t>
      </w:r>
    </w:p>
    <w:p w14:paraId="7ABBC806" w14:textId="77777777" w:rsidR="002B39C3" w:rsidRPr="005D3719" w:rsidRDefault="002B39C3" w:rsidP="00B93B49">
      <w:pPr>
        <w:pStyle w:val="sub1"/>
        <w:ind w:firstLine="720"/>
        <w:rPr>
          <w:szCs w:val="26"/>
        </w:rPr>
      </w:pPr>
      <w:r w:rsidRPr="005D3719">
        <w:rPr>
          <w:szCs w:val="26"/>
        </w:rPr>
        <w:t xml:space="preserve">Persons may monitor the proceeding by subscribing to receive electronic copies of documents in this proceeding that are published on the Commission’s website.  There is no need to be on the official service list in order to use the subscription service.  Instructions for enrolling in the subscription service are available on the Commission’s website at </w:t>
      </w:r>
      <w:hyperlink r:id="rId11" w:history="1">
        <w:r w:rsidRPr="005D3719">
          <w:rPr>
            <w:rStyle w:val="Hyperlink"/>
            <w:szCs w:val="26"/>
          </w:rPr>
          <w:t>http://subscribecpuc.cpuc.ca.gov/</w:t>
        </w:r>
      </w:hyperlink>
      <w:r w:rsidRPr="005D3719">
        <w:rPr>
          <w:szCs w:val="26"/>
        </w:rPr>
        <w:t>.</w:t>
      </w:r>
      <w:bookmarkEnd w:id="2"/>
    </w:p>
    <w:p w14:paraId="10F58000" w14:textId="77777777" w:rsidR="002B39C3" w:rsidRDefault="002B39C3" w:rsidP="00FF00C6">
      <w:pPr>
        <w:pStyle w:val="Heading1"/>
        <w:numPr>
          <w:ilvl w:val="0"/>
          <w:numId w:val="9"/>
        </w:numPr>
        <w:tabs>
          <w:tab w:val="left" w:pos="270"/>
          <w:tab w:val="left" w:pos="450"/>
        </w:tabs>
        <w:ind w:left="360" w:right="2160"/>
      </w:pPr>
      <w:r>
        <w:lastRenderedPageBreak/>
        <w:t>Intervenor Compensation</w:t>
      </w:r>
    </w:p>
    <w:p w14:paraId="353C302E" w14:textId="77777777" w:rsidR="002B39C3" w:rsidRPr="005D3719" w:rsidRDefault="002B39C3" w:rsidP="002B39C3">
      <w:pPr>
        <w:pStyle w:val="standard"/>
      </w:pPr>
      <w:r w:rsidRPr="005D3719">
        <w:t>Intervenor Compensation is permitted in this proceeding</w:t>
      </w:r>
      <w:r>
        <w:t xml:space="preserve">.  </w:t>
      </w:r>
      <w:bookmarkStart w:id="3" w:name="_Toc372290347"/>
      <w:r w:rsidRPr="005D3719">
        <w:t xml:space="preserve">Any party that expects to claim intervenor compensation for its participation </w:t>
      </w:r>
      <w:r>
        <w:t>in this Rulemaking must file a timely</w:t>
      </w:r>
      <w:r w:rsidRPr="005D3719">
        <w:t xml:space="preserve"> notice of intent to claim intervenor compensation.  (</w:t>
      </w:r>
      <w:r w:rsidRPr="005D3719">
        <w:rPr>
          <w:i/>
        </w:rPr>
        <w:t>See</w:t>
      </w:r>
      <w:r>
        <w:t xml:space="preserve"> Rule </w:t>
      </w:r>
      <w:r w:rsidRPr="005D3719">
        <w:t>17.1(a)(2).)</w:t>
      </w:r>
      <w:bookmarkEnd w:id="3"/>
      <w:r w:rsidRPr="005D3719">
        <w:t xml:space="preserve">  Intervenor compensation rules are governed by §§ 1801 et seq. of the Public Utilities Code.  Parties new to participating in Commission proceedings may contact the </w:t>
      </w:r>
      <w:r>
        <w:t xml:space="preserve">Commission’s </w:t>
      </w:r>
      <w:r w:rsidRPr="005D3719">
        <w:t>Public Advisor</w:t>
      </w:r>
      <w:r>
        <w:t>.</w:t>
      </w:r>
    </w:p>
    <w:p w14:paraId="611126AE" w14:textId="77777777" w:rsidR="002B39C3" w:rsidRPr="00C532EB" w:rsidRDefault="002B39C3" w:rsidP="00FF00C6">
      <w:pPr>
        <w:pStyle w:val="Heading1"/>
        <w:numPr>
          <w:ilvl w:val="0"/>
          <w:numId w:val="9"/>
        </w:numPr>
        <w:ind w:right="2160" w:hanging="540"/>
        <w:rPr>
          <w:b w:val="0"/>
          <w:szCs w:val="26"/>
        </w:rPr>
      </w:pPr>
      <w:r w:rsidRPr="004A7884">
        <w:t>Public</w:t>
      </w:r>
      <w:r w:rsidRPr="00C532EB">
        <w:rPr>
          <w:szCs w:val="26"/>
        </w:rPr>
        <w:t xml:space="preserve"> Advisor</w:t>
      </w:r>
    </w:p>
    <w:p w14:paraId="6A05D679" w14:textId="247CC86C" w:rsidR="002B39C3" w:rsidRPr="005D3719" w:rsidRDefault="002B39C3" w:rsidP="002B39C3">
      <w:pPr>
        <w:widowControl w:val="0"/>
        <w:spacing w:line="360" w:lineRule="auto"/>
        <w:ind w:firstLine="720"/>
      </w:pPr>
      <w:r w:rsidRPr="005D3719">
        <w:t>Any person or entity interested in participating in this rulemaking who is unfamiliar with the Commission’s procedures should contact the Commission’s Public Advisor in San Francisco at (415) 703</w:t>
      </w:r>
      <w:r w:rsidR="00B12992">
        <w:noBreakHyphen/>
      </w:r>
      <w:r w:rsidRPr="005D3719">
        <w:t xml:space="preserve">2074 or </w:t>
      </w:r>
      <w:r w:rsidR="00BC3362">
        <w:t>1</w:t>
      </w:r>
      <w:r w:rsidR="00B12992">
        <w:noBreakHyphen/>
      </w:r>
      <w:r w:rsidRPr="005D3719">
        <w:t>(866) 849</w:t>
      </w:r>
      <w:r w:rsidR="00B12992">
        <w:noBreakHyphen/>
      </w:r>
      <w:r w:rsidRPr="005D3719">
        <w:t>8390 or e</w:t>
      </w:r>
      <w:r w:rsidR="00B12992">
        <w:noBreakHyphen/>
      </w:r>
      <w:r w:rsidRPr="005D3719">
        <w:t xml:space="preserve">mail </w:t>
      </w:r>
      <w:hyperlink r:id="rId12" w:history="1">
        <w:r w:rsidRPr="005D3719">
          <w:rPr>
            <w:rStyle w:val="Hyperlink"/>
          </w:rPr>
          <w:t>public.advisor@cpuc.ca.gov</w:t>
        </w:r>
      </w:hyperlink>
      <w:r w:rsidRPr="005D3719">
        <w:t xml:space="preserve">.  The TTY number is </w:t>
      </w:r>
      <w:r w:rsidR="002325BF">
        <w:t>1</w:t>
      </w:r>
      <w:proofErr w:type="gramStart"/>
      <w:r w:rsidR="00B12992">
        <w:noBreakHyphen/>
      </w:r>
      <w:r w:rsidRPr="005D3719">
        <w:t>(</w:t>
      </w:r>
      <w:proofErr w:type="gramEnd"/>
      <w:r w:rsidRPr="005D3719">
        <w:t>866) 836</w:t>
      </w:r>
      <w:r w:rsidR="00B12992">
        <w:noBreakHyphen/>
      </w:r>
      <w:r w:rsidRPr="005D3719">
        <w:t>7825.</w:t>
      </w:r>
    </w:p>
    <w:p w14:paraId="7D01C40F" w14:textId="77777777" w:rsidR="002B39C3" w:rsidRDefault="002B39C3" w:rsidP="002B39C3">
      <w:pPr>
        <w:pStyle w:val="standard"/>
        <w:keepNext/>
      </w:pPr>
      <w:r>
        <w:t xml:space="preserve">Therefore, </w:t>
      </w:r>
      <w:r>
        <w:rPr>
          <w:b/>
        </w:rPr>
        <w:t>IT IS ORDERED</w:t>
      </w:r>
      <w:r>
        <w:t xml:space="preserve"> that:</w:t>
      </w:r>
    </w:p>
    <w:p w14:paraId="47CB6710" w14:textId="3D0F6B90" w:rsidR="002B39C3" w:rsidRDefault="002B39C3" w:rsidP="002B39C3">
      <w:pPr>
        <w:pStyle w:val="num1"/>
        <w:numPr>
          <w:ilvl w:val="0"/>
          <w:numId w:val="3"/>
        </w:numPr>
      </w:pPr>
      <w:r w:rsidRPr="00254C78">
        <w:t xml:space="preserve">This Order Instituting Rulemaking is adopted </w:t>
      </w:r>
      <w:r>
        <w:t>to examine the Commission’s rules regarding electric utility de</w:t>
      </w:r>
      <w:r w:rsidR="00B12992">
        <w:noBreakHyphen/>
      </w:r>
      <w:r>
        <w:t xml:space="preserve">energization practices pursuant to Public Utilities Code </w:t>
      </w:r>
      <w:r w:rsidRPr="006776E6">
        <w:t xml:space="preserve">Sections 451 and 399.2(a) </w:t>
      </w:r>
      <w:r>
        <w:t xml:space="preserve">and </w:t>
      </w:r>
      <w:r w:rsidRPr="00254C78">
        <w:t>Rule 6.1 of the Commission’s Rules of Practice and Procedure.</w:t>
      </w:r>
    </w:p>
    <w:p w14:paraId="613DB524" w14:textId="3BFF9776" w:rsidR="002B39C3" w:rsidRDefault="002B39C3" w:rsidP="002B39C3">
      <w:pPr>
        <w:pStyle w:val="num1"/>
        <w:numPr>
          <w:ilvl w:val="0"/>
          <w:numId w:val="3"/>
        </w:numPr>
      </w:pPr>
      <w:r w:rsidRPr="00254C78">
        <w:t xml:space="preserve">The preliminary categorization is </w:t>
      </w:r>
      <w:r>
        <w:t>quasi</w:t>
      </w:r>
      <w:r w:rsidR="00B12992">
        <w:noBreakHyphen/>
      </w:r>
      <w:r>
        <w:t>legislative</w:t>
      </w:r>
      <w:r w:rsidRPr="00254C78">
        <w:t>.</w:t>
      </w:r>
    </w:p>
    <w:p w14:paraId="175B083D" w14:textId="77777777" w:rsidR="002B39C3" w:rsidRDefault="002B39C3" w:rsidP="002B39C3">
      <w:pPr>
        <w:pStyle w:val="num1"/>
        <w:numPr>
          <w:ilvl w:val="0"/>
          <w:numId w:val="3"/>
        </w:numPr>
      </w:pPr>
      <w:r w:rsidRPr="00254C78">
        <w:t xml:space="preserve">The preliminary determination is that </w:t>
      </w:r>
      <w:r>
        <w:t xml:space="preserve">a </w:t>
      </w:r>
      <w:r w:rsidRPr="00254C78">
        <w:t xml:space="preserve">hearing is </w:t>
      </w:r>
      <w:r>
        <w:t xml:space="preserve">not </w:t>
      </w:r>
      <w:r w:rsidRPr="00254C78">
        <w:t>needed.</w:t>
      </w:r>
    </w:p>
    <w:p w14:paraId="1A57BDB1" w14:textId="77777777" w:rsidR="002B39C3" w:rsidRDefault="002B39C3" w:rsidP="002B39C3">
      <w:pPr>
        <w:pStyle w:val="num1"/>
        <w:numPr>
          <w:ilvl w:val="0"/>
          <w:numId w:val="3"/>
        </w:numPr>
      </w:pPr>
      <w:r w:rsidRPr="00254C78">
        <w:t>The preliminarily</w:t>
      </w:r>
      <w:r>
        <w:t xml:space="preserve"> scope of issues is as stated above</w:t>
      </w:r>
      <w:r w:rsidRPr="00254C78">
        <w:t>.</w:t>
      </w:r>
    </w:p>
    <w:p w14:paraId="3314E540" w14:textId="2D0608FA" w:rsidR="002B39C3" w:rsidRPr="00C326B6" w:rsidRDefault="00123103" w:rsidP="002B39C3">
      <w:pPr>
        <w:pStyle w:val="num1"/>
        <w:numPr>
          <w:ilvl w:val="0"/>
          <w:numId w:val="3"/>
        </w:numPr>
      </w:pPr>
      <w:r w:rsidRPr="00C326B6">
        <w:t xml:space="preserve">A prehearing conference is set for </w:t>
      </w:r>
      <w:r w:rsidR="00245A5D" w:rsidRPr="00C326B6">
        <w:t xml:space="preserve">10:30 </w:t>
      </w:r>
      <w:r w:rsidRPr="00C326B6">
        <w:t xml:space="preserve">a.m. on </w:t>
      </w:r>
      <w:r w:rsidR="00245A5D" w:rsidRPr="00C326B6">
        <w:t xml:space="preserve">Wednesday, </w:t>
      </w:r>
      <w:r w:rsidRPr="00C326B6">
        <w:t>February 6, 2019 at</w:t>
      </w:r>
      <w:r w:rsidR="005758FD" w:rsidRPr="00C326B6">
        <w:t xml:space="preserve"> the Commission's offices in </w:t>
      </w:r>
      <w:r w:rsidRPr="00C326B6">
        <w:t>San Francisco, California.</w:t>
      </w:r>
    </w:p>
    <w:p w14:paraId="43AB99B2" w14:textId="77777777" w:rsidR="002B39C3" w:rsidRDefault="002B39C3" w:rsidP="002B39C3">
      <w:pPr>
        <w:pStyle w:val="num1"/>
        <w:numPr>
          <w:ilvl w:val="0"/>
          <w:numId w:val="3"/>
        </w:numPr>
      </w:pPr>
      <w:r>
        <w:t xml:space="preserve">The preliminary schedule for the proceeding is set forth in Section 3.1 above.  </w:t>
      </w:r>
    </w:p>
    <w:p w14:paraId="29342C83" w14:textId="77777777" w:rsidR="002B39C3" w:rsidRDefault="002B39C3" w:rsidP="002B39C3">
      <w:pPr>
        <w:pStyle w:val="num1"/>
        <w:numPr>
          <w:ilvl w:val="0"/>
          <w:numId w:val="3"/>
        </w:numPr>
        <w:rPr>
          <w:rFonts w:ascii="Palatino Linotype" w:hAnsi="Palatino Linotype"/>
          <w:szCs w:val="26"/>
        </w:rPr>
      </w:pPr>
      <w:r w:rsidRPr="00DA4B4A">
        <w:t>P</w:t>
      </w:r>
      <w:r>
        <w:t xml:space="preserve">acific Gas and Electric Company, Southern California Edison Company, </w:t>
      </w:r>
      <w:r w:rsidRPr="00DA4B4A">
        <w:t>San Dieg</w:t>
      </w:r>
      <w:r>
        <w:t>o Gas &amp; Electric Company</w:t>
      </w:r>
      <w:r w:rsidRPr="00DA4B4A">
        <w:t>, Liberty Util</w:t>
      </w:r>
      <w:r>
        <w:t>ities (</w:t>
      </w:r>
      <w:proofErr w:type="spellStart"/>
      <w:r>
        <w:t>CalPeco</w:t>
      </w:r>
      <w:proofErr w:type="spellEnd"/>
      <w:r>
        <w:t xml:space="preserve"> Electric)</w:t>
      </w:r>
      <w:r w:rsidRPr="00DA4B4A">
        <w:t xml:space="preserve">, Bear </w:t>
      </w:r>
      <w:r w:rsidRPr="00DA4B4A">
        <w:lastRenderedPageBreak/>
        <w:t>Valley Electric Service</w:t>
      </w:r>
      <w:r>
        <w:t>, a division of Golden State Water Company,</w:t>
      </w:r>
      <w:r w:rsidRPr="00DA4B4A">
        <w:t xml:space="preserve"> </w:t>
      </w:r>
      <w:r>
        <w:t xml:space="preserve">and Pacific Power, a division of PacifiCorp, </w:t>
      </w:r>
      <w:r w:rsidRPr="008D1D92">
        <w:t>are respondents to this Order Instituting Rulemaking</w:t>
      </w:r>
      <w:r>
        <w:rPr>
          <w:rFonts w:ascii="Palatino Linotype" w:hAnsi="Palatino Linotype"/>
          <w:szCs w:val="26"/>
        </w:rPr>
        <w:t>.</w:t>
      </w:r>
    </w:p>
    <w:p w14:paraId="519C782D" w14:textId="77777777" w:rsidR="002B39C3" w:rsidRPr="008D1D92" w:rsidRDefault="002B39C3" w:rsidP="002B39C3">
      <w:pPr>
        <w:pStyle w:val="num1"/>
        <w:numPr>
          <w:ilvl w:val="0"/>
          <w:numId w:val="3"/>
        </w:numPr>
      </w:pPr>
      <w:r w:rsidRPr="00C12A30">
        <w:t>Pacific Gas and Electric Company, Southern California Edison</w:t>
      </w:r>
      <w:r>
        <w:t xml:space="preserve"> Company</w:t>
      </w:r>
      <w:r w:rsidRPr="00C12A30">
        <w:t xml:space="preserve">, San Diego Gas </w:t>
      </w:r>
      <w:r>
        <w:t>&amp;</w:t>
      </w:r>
      <w:r w:rsidRPr="00C12A30">
        <w:t xml:space="preserve"> Electric</w:t>
      </w:r>
      <w:r>
        <w:t xml:space="preserve"> Company</w:t>
      </w:r>
      <w:r w:rsidRPr="00C12A30">
        <w:t>, Liberty Utilities (</w:t>
      </w:r>
      <w:proofErr w:type="spellStart"/>
      <w:r w:rsidRPr="00C12A30">
        <w:t>CalPeco</w:t>
      </w:r>
      <w:proofErr w:type="spellEnd"/>
      <w:r w:rsidRPr="00C12A30">
        <w:t xml:space="preserve"> Electric), Bear Valley Electric Service, a division of Golden State Water Company, and Pacific Power, a division of PacifiCorp</w:t>
      </w:r>
      <w:r>
        <w:t xml:space="preserve"> </w:t>
      </w:r>
      <w:r w:rsidRPr="008D1D92">
        <w:t xml:space="preserve">shall, and any other person may, file and serve comments of not more than 20 pages responding to this Order Instituting Rulemaking (OIR) not later than </w:t>
      </w:r>
      <w:r w:rsidR="002A426D">
        <w:t>45</w:t>
      </w:r>
      <w:r w:rsidRPr="008D1D92">
        <w:t xml:space="preserve"> days from the issuance of this OIR.</w:t>
      </w:r>
    </w:p>
    <w:p w14:paraId="7ABB4756" w14:textId="77777777" w:rsidR="002B39C3" w:rsidRDefault="002B39C3" w:rsidP="002B39C3">
      <w:pPr>
        <w:pStyle w:val="num1"/>
        <w:numPr>
          <w:ilvl w:val="0"/>
          <w:numId w:val="3"/>
        </w:numPr>
      </w:pPr>
      <w:r>
        <w:t>Comments on this Order Instituting Rulemaking should address the scope and schedule of this proceeding, and its interaction with other related proceedings.</w:t>
      </w:r>
    </w:p>
    <w:p w14:paraId="7DACAB25" w14:textId="3C44D94A" w:rsidR="002B39C3" w:rsidRPr="00EE5068" w:rsidRDefault="002B39C3" w:rsidP="002B39C3">
      <w:pPr>
        <w:pStyle w:val="num1"/>
        <w:numPr>
          <w:ilvl w:val="0"/>
          <w:numId w:val="3"/>
        </w:numPr>
        <w:ind w:firstLine="230"/>
      </w:pPr>
      <w:r w:rsidRPr="00EE5068">
        <w:t xml:space="preserve">The Executive Director will cause this Order Instituting Rulemaking to be served on all respondents and on the service lists for the following Commission proceedings: </w:t>
      </w:r>
      <w:r>
        <w:t xml:space="preserve"> </w:t>
      </w:r>
      <w:r w:rsidRPr="00EE5068">
        <w:t xml:space="preserve">Rulemaking </w:t>
      </w:r>
      <w:r>
        <w:t>(R.) 18</w:t>
      </w:r>
      <w:r w:rsidR="00B12992">
        <w:noBreakHyphen/>
      </w:r>
      <w:r>
        <w:t>10</w:t>
      </w:r>
      <w:r w:rsidR="00B12992">
        <w:noBreakHyphen/>
      </w:r>
      <w:r>
        <w:t>007,</w:t>
      </w:r>
      <w:r w:rsidR="00CE70C8">
        <w:t xml:space="preserve"> R.18</w:t>
      </w:r>
      <w:r w:rsidR="00B12992">
        <w:noBreakHyphen/>
      </w:r>
      <w:r w:rsidR="00CE70C8">
        <w:t>03</w:t>
      </w:r>
      <w:r w:rsidR="00B12992">
        <w:noBreakHyphen/>
      </w:r>
      <w:r w:rsidR="00CE70C8">
        <w:t>011,</w:t>
      </w:r>
      <w:r>
        <w:t xml:space="preserve"> R.</w:t>
      </w:r>
      <w:r w:rsidRPr="00EE5068">
        <w:t>15</w:t>
      </w:r>
      <w:r w:rsidR="00B12992">
        <w:noBreakHyphen/>
      </w:r>
      <w:r w:rsidRPr="00EE5068">
        <w:t>05</w:t>
      </w:r>
      <w:r w:rsidR="00B12992">
        <w:noBreakHyphen/>
      </w:r>
      <w:r w:rsidRPr="00EE5068">
        <w:t>006,</w:t>
      </w:r>
      <w:r>
        <w:t xml:space="preserve"> R.</w:t>
      </w:r>
      <w:r w:rsidRPr="00A87B35">
        <w:t>15</w:t>
      </w:r>
      <w:r w:rsidR="00B12992">
        <w:noBreakHyphen/>
      </w:r>
      <w:r w:rsidRPr="00A87B35">
        <w:t>06</w:t>
      </w:r>
      <w:r w:rsidR="00B12992">
        <w:noBreakHyphen/>
      </w:r>
      <w:r w:rsidRPr="00A87B35">
        <w:t>009</w:t>
      </w:r>
      <w:r>
        <w:t xml:space="preserve">, </w:t>
      </w:r>
      <w:r w:rsidRPr="00EE5068">
        <w:t xml:space="preserve">Application </w:t>
      </w:r>
      <w:r>
        <w:t xml:space="preserve">(A.) </w:t>
      </w:r>
      <w:r w:rsidRPr="00EE5068">
        <w:t>15</w:t>
      </w:r>
      <w:r w:rsidR="00B12992">
        <w:noBreakHyphen/>
      </w:r>
      <w:r w:rsidRPr="00EE5068">
        <w:t>09</w:t>
      </w:r>
      <w:r w:rsidR="00B12992">
        <w:noBreakHyphen/>
      </w:r>
      <w:r w:rsidRPr="00EE5068">
        <w:t>010, A</w:t>
      </w:r>
      <w:r>
        <w:t>.</w:t>
      </w:r>
      <w:r w:rsidRPr="00EE5068">
        <w:t>17</w:t>
      </w:r>
      <w:r w:rsidR="00B12992">
        <w:noBreakHyphen/>
      </w:r>
      <w:r w:rsidRPr="00EE5068">
        <w:t>07</w:t>
      </w:r>
      <w:r w:rsidR="00B12992">
        <w:noBreakHyphen/>
      </w:r>
      <w:r w:rsidRPr="00EE5068">
        <w:t>011, A</w:t>
      </w:r>
      <w:r>
        <w:t>.</w:t>
      </w:r>
      <w:r w:rsidRPr="00EE5068">
        <w:t>18</w:t>
      </w:r>
      <w:r w:rsidR="00B12992">
        <w:noBreakHyphen/>
      </w:r>
      <w:r w:rsidRPr="00EE5068">
        <w:t>04</w:t>
      </w:r>
      <w:r w:rsidR="00B12992">
        <w:noBreakHyphen/>
      </w:r>
      <w:r w:rsidRPr="00EE5068">
        <w:t>001</w:t>
      </w:r>
      <w:r>
        <w:t>,</w:t>
      </w:r>
      <w:r w:rsidR="006B72F6">
        <w:t xml:space="preserve"> </w:t>
      </w:r>
      <w:r>
        <w:t>A.18</w:t>
      </w:r>
      <w:r w:rsidR="00B12992">
        <w:noBreakHyphen/>
      </w:r>
      <w:r>
        <w:t>09</w:t>
      </w:r>
      <w:r w:rsidR="00B12992">
        <w:noBreakHyphen/>
      </w:r>
      <w:r>
        <w:t xml:space="preserve">002, </w:t>
      </w:r>
      <w:r w:rsidR="006B72F6">
        <w:t xml:space="preserve">and </w:t>
      </w:r>
      <w:r>
        <w:t>A.08</w:t>
      </w:r>
      <w:r w:rsidR="00B12992">
        <w:noBreakHyphen/>
      </w:r>
      <w:r>
        <w:t>12</w:t>
      </w:r>
      <w:r w:rsidR="00B12992">
        <w:noBreakHyphen/>
      </w:r>
      <w:r>
        <w:t xml:space="preserve">021.  </w:t>
      </w:r>
      <w:r w:rsidRPr="00EE5068">
        <w:t>In addition, the Executive Director will cause this Order Instituting Rulemaking to be served on the</w:t>
      </w:r>
      <w:r>
        <w:t xml:space="preserve"> following</w:t>
      </w:r>
      <w:r w:rsidRPr="00EE5068">
        <w:t xml:space="preserve"> agencies</w:t>
      </w:r>
      <w:r>
        <w:t xml:space="preserve"> and organizations:  </w:t>
      </w:r>
      <w:r w:rsidRPr="003A50B5">
        <w:t>State Board of Forestry and Fire Protection (CAL FIRE)</w:t>
      </w:r>
      <w:r>
        <w:t xml:space="preserve">, </w:t>
      </w:r>
      <w:r w:rsidRPr="003A50B5">
        <w:t>California Energy</w:t>
      </w:r>
      <w:r>
        <w:t xml:space="preserve"> Commission, </w:t>
      </w:r>
      <w:r w:rsidRPr="003A50B5">
        <w:t>State Air Resources Control Board</w:t>
      </w:r>
      <w:r>
        <w:t xml:space="preserve">, </w:t>
      </w:r>
      <w:r w:rsidRPr="003A50B5">
        <w:t>California Office of Emergency Services</w:t>
      </w:r>
      <w:r>
        <w:t xml:space="preserve">, </w:t>
      </w:r>
      <w:r w:rsidRPr="003A50B5">
        <w:t>California Department of Fish and Wildlife</w:t>
      </w:r>
      <w:r>
        <w:t xml:space="preserve">, </w:t>
      </w:r>
      <w:r w:rsidRPr="003A50B5">
        <w:t>California Infrastructure and Economic Development Bank</w:t>
      </w:r>
      <w:r>
        <w:t xml:space="preserve">, </w:t>
      </w:r>
      <w:r w:rsidRPr="003A50B5">
        <w:t>California Office of Planning and Research</w:t>
      </w:r>
      <w:r>
        <w:t xml:space="preserve">, </w:t>
      </w:r>
      <w:r w:rsidRPr="003A50B5">
        <w:t>California Department of Parks and Recreation</w:t>
      </w:r>
      <w:r>
        <w:t>, California State Association of Counties, League of California Cities, California Municipal Utilities Association, California Native American Heritage Commission</w:t>
      </w:r>
      <w:r w:rsidR="004B4EFD">
        <w:t>,</w:t>
      </w:r>
      <w:r>
        <w:t xml:space="preserve"> California State Sheriffs’ Association</w:t>
      </w:r>
      <w:r w:rsidR="004B4EFD">
        <w:t xml:space="preserve"> and California Fire Chiefs’ Association.</w:t>
      </w:r>
    </w:p>
    <w:p w14:paraId="642EA2D9" w14:textId="77777777" w:rsidR="002B39C3" w:rsidRDefault="002B39C3" w:rsidP="002B39C3">
      <w:pPr>
        <w:pStyle w:val="num1"/>
        <w:keepNext/>
        <w:keepLines/>
        <w:numPr>
          <w:ilvl w:val="0"/>
          <w:numId w:val="3"/>
        </w:numPr>
        <w:ind w:firstLine="230"/>
      </w:pPr>
      <w:r>
        <w:lastRenderedPageBreak/>
        <w:t xml:space="preserve"> Any party that expects to claim intervenor compensation for its participation in this Rulemaking must timely file its notice of intent to claim intervenor compensation.  (</w:t>
      </w:r>
      <w:r w:rsidRPr="00213068">
        <w:rPr>
          <w:i/>
        </w:rPr>
        <w:t>See</w:t>
      </w:r>
      <w:r>
        <w:t xml:space="preserve"> Rule 17.1(a)(2).)</w:t>
      </w:r>
    </w:p>
    <w:p w14:paraId="6C2A5B23" w14:textId="77777777" w:rsidR="002B39C3" w:rsidRDefault="002B39C3" w:rsidP="00B12992">
      <w:pPr>
        <w:pStyle w:val="standard"/>
      </w:pPr>
      <w:r>
        <w:t>This order is effective today.</w:t>
      </w:r>
    </w:p>
    <w:p w14:paraId="2FF734AB" w14:textId="1EA1B577" w:rsidR="00B80F6A" w:rsidRDefault="00B80F6A">
      <w:pPr>
        <w:pStyle w:val="standard"/>
      </w:pPr>
      <w:r>
        <w:t xml:space="preserve">Dated </w:t>
      </w:r>
      <w:r w:rsidR="00737459">
        <w:t>December 13, 2018</w:t>
      </w:r>
      <w:r>
        <w:t>, at San Francisco, California.</w:t>
      </w:r>
    </w:p>
    <w:p w14:paraId="3CBB5924" w14:textId="7A579BC8" w:rsidR="00737459" w:rsidRDefault="00737459">
      <w:pPr>
        <w:pStyle w:val="standard"/>
      </w:pPr>
    </w:p>
    <w:p w14:paraId="0E004278" w14:textId="3B029DFB" w:rsidR="00737459" w:rsidRDefault="00737459">
      <w:pPr>
        <w:pStyle w:val="standard"/>
      </w:pPr>
    </w:p>
    <w:p w14:paraId="37D7D7D5" w14:textId="77777777" w:rsidR="00737459" w:rsidRDefault="00737459" w:rsidP="00737459">
      <w:pPr>
        <w:autoSpaceDE w:val="0"/>
        <w:autoSpaceDN w:val="0"/>
        <w:adjustRightInd w:val="0"/>
        <w:ind w:left="4320"/>
        <w:jc w:val="both"/>
        <w:rPr>
          <w:rFonts w:cs="Palatino"/>
          <w:szCs w:val="26"/>
        </w:rPr>
      </w:pPr>
      <w:r w:rsidRPr="008B63F2">
        <w:rPr>
          <w:rFonts w:cs="Courier New"/>
          <w:szCs w:val="26"/>
        </w:rPr>
        <w:t>MICHAEL PICKER</w:t>
      </w:r>
    </w:p>
    <w:p w14:paraId="6E7FC8B0" w14:textId="77777777" w:rsidR="00737459" w:rsidRDefault="00737459" w:rsidP="00737459">
      <w:pPr>
        <w:autoSpaceDE w:val="0"/>
        <w:autoSpaceDN w:val="0"/>
        <w:adjustRightInd w:val="0"/>
        <w:ind w:firstLine="720"/>
        <w:jc w:val="both"/>
        <w:rPr>
          <w:rFonts w:cs="Palatino"/>
          <w:szCs w:val="26"/>
        </w:rPr>
      </w:pPr>
      <w:r>
        <w:rPr>
          <w:rFonts w:cs="Palatino"/>
          <w:szCs w:val="26"/>
        </w:rPr>
        <w:tab/>
      </w:r>
      <w:r>
        <w:rPr>
          <w:rFonts w:cs="Palatino"/>
          <w:szCs w:val="26"/>
        </w:rPr>
        <w:tab/>
      </w:r>
      <w:r>
        <w:rPr>
          <w:rFonts w:cs="Palatino"/>
          <w:szCs w:val="26"/>
        </w:rPr>
        <w:tab/>
      </w:r>
      <w:r>
        <w:rPr>
          <w:rFonts w:cs="Palatino"/>
          <w:szCs w:val="26"/>
        </w:rPr>
        <w:tab/>
      </w:r>
      <w:r>
        <w:rPr>
          <w:rFonts w:cs="Palatino"/>
          <w:szCs w:val="26"/>
        </w:rPr>
        <w:tab/>
        <w:t xml:space="preserve">                       President</w:t>
      </w:r>
    </w:p>
    <w:p w14:paraId="3742FEA0" w14:textId="77777777" w:rsidR="00737459" w:rsidRDefault="00737459" w:rsidP="00737459">
      <w:pPr>
        <w:autoSpaceDE w:val="0"/>
        <w:autoSpaceDN w:val="0"/>
        <w:adjustRightInd w:val="0"/>
        <w:ind w:left="4320"/>
        <w:jc w:val="both"/>
        <w:rPr>
          <w:rFonts w:cs="Courier New"/>
          <w:szCs w:val="26"/>
        </w:rPr>
      </w:pPr>
      <w:r w:rsidRPr="00793B6D">
        <w:rPr>
          <w:rFonts w:cs="Courier New"/>
          <w:szCs w:val="26"/>
        </w:rPr>
        <w:t>CARLA J. PETERMAN</w:t>
      </w:r>
    </w:p>
    <w:p w14:paraId="202F0F2D" w14:textId="77777777" w:rsidR="00737459" w:rsidRDefault="00737459" w:rsidP="00737459">
      <w:pPr>
        <w:autoSpaceDE w:val="0"/>
        <w:autoSpaceDN w:val="0"/>
        <w:adjustRightInd w:val="0"/>
        <w:ind w:left="4320"/>
        <w:jc w:val="both"/>
        <w:rPr>
          <w:rFonts w:cs="Courier New"/>
          <w:szCs w:val="26"/>
        </w:rPr>
      </w:pPr>
      <w:r>
        <w:rPr>
          <w:rFonts w:cs="Courier New"/>
          <w:szCs w:val="26"/>
        </w:rPr>
        <w:t>LIANE M. RANDOLPH</w:t>
      </w:r>
    </w:p>
    <w:p w14:paraId="4865FD06" w14:textId="77777777" w:rsidR="00737459" w:rsidRDefault="00737459" w:rsidP="00737459">
      <w:pPr>
        <w:autoSpaceDE w:val="0"/>
        <w:autoSpaceDN w:val="0"/>
        <w:adjustRightInd w:val="0"/>
        <w:ind w:left="4320"/>
        <w:jc w:val="both"/>
        <w:rPr>
          <w:rFonts w:ascii="Times New Roman" w:hAnsi="Times New Roman"/>
          <w:sz w:val="28"/>
          <w:szCs w:val="28"/>
        </w:rPr>
      </w:pPr>
      <w:r>
        <w:rPr>
          <w:rFonts w:ascii="Times New Roman" w:hAnsi="Times New Roman"/>
          <w:sz w:val="28"/>
          <w:szCs w:val="28"/>
        </w:rPr>
        <w:t>MARTHA GUZMAN ACEVES</w:t>
      </w:r>
    </w:p>
    <w:p w14:paraId="0BA8BA8E" w14:textId="77777777" w:rsidR="00737459" w:rsidRPr="00793B6D" w:rsidRDefault="00737459" w:rsidP="00737459">
      <w:pPr>
        <w:autoSpaceDE w:val="0"/>
        <w:autoSpaceDN w:val="0"/>
        <w:adjustRightInd w:val="0"/>
        <w:ind w:left="4320"/>
        <w:jc w:val="both"/>
        <w:rPr>
          <w:rFonts w:cs="Courier New"/>
          <w:szCs w:val="26"/>
        </w:rPr>
      </w:pPr>
      <w:r>
        <w:rPr>
          <w:sz w:val="28"/>
          <w:szCs w:val="28"/>
        </w:rPr>
        <w:t>CLIFFORD RECHTSCHAFFEN</w:t>
      </w:r>
    </w:p>
    <w:p w14:paraId="63099839" w14:textId="6577A57C" w:rsidR="00737459" w:rsidRDefault="00737459" w:rsidP="00737459">
      <w:pPr>
        <w:autoSpaceDE w:val="0"/>
        <w:autoSpaceDN w:val="0"/>
        <w:adjustRightInd w:val="0"/>
        <w:ind w:left="4320" w:firstLine="2070"/>
        <w:jc w:val="both"/>
        <w:rPr>
          <w:rFonts w:cs="Palatino"/>
          <w:szCs w:val="26"/>
        </w:rPr>
      </w:pPr>
      <w:r>
        <w:rPr>
          <w:rFonts w:cs="Palatino"/>
          <w:szCs w:val="26"/>
        </w:rPr>
        <w:t xml:space="preserve"> Commissioners</w:t>
      </w:r>
    </w:p>
    <w:p w14:paraId="6E737C59" w14:textId="77777777" w:rsidR="00737459" w:rsidRDefault="00737459">
      <w:pPr>
        <w:pStyle w:val="standard"/>
      </w:pPr>
    </w:p>
    <w:sectPr w:rsidR="00737459">
      <w:headerReference w:type="even" r:id="rId13"/>
      <w:headerReference w:type="default" r:id="rId14"/>
      <w:footerReference w:type="even" r:id="rId15"/>
      <w:footerReference w:type="default" r:id="rId16"/>
      <w:headerReference w:type="first" r:id="rId17"/>
      <w:footerReference w:type="first" r:id="rId18"/>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C2239" w14:textId="77777777" w:rsidR="00F32012" w:rsidRDefault="00F32012">
      <w:r>
        <w:separator/>
      </w:r>
    </w:p>
  </w:endnote>
  <w:endnote w:type="continuationSeparator" w:id="0">
    <w:p w14:paraId="53D4BA9F" w14:textId="77777777" w:rsidR="00F32012" w:rsidRDefault="00F3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2020500000000000000"/>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Antiqu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F233" w14:textId="77777777" w:rsidR="001859D5" w:rsidRDefault="00185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A04C" w14:textId="3261321A" w:rsidR="00B80F6A" w:rsidRDefault="00B12992">
    <w:pPr>
      <w:pStyle w:val="Footer"/>
      <w:rPr>
        <w:rStyle w:val="PageNumber"/>
        <w:sz w:val="24"/>
        <w:szCs w:val="24"/>
      </w:rPr>
    </w:pPr>
    <w:r>
      <w:rPr>
        <w:rStyle w:val="PageNumber"/>
        <w:sz w:val="24"/>
        <w:szCs w:val="24"/>
      </w:rPr>
      <w:noBreakHyphen/>
    </w:r>
    <w:r w:rsidR="00B80F6A">
      <w:rPr>
        <w:rStyle w:val="PageNumber"/>
        <w:sz w:val="24"/>
        <w:szCs w:val="24"/>
      </w:rPr>
      <w:t xml:space="preserve"> </w:t>
    </w:r>
    <w:r w:rsidR="00B80F6A">
      <w:rPr>
        <w:rStyle w:val="PageNumber"/>
        <w:sz w:val="24"/>
        <w:szCs w:val="24"/>
      </w:rPr>
      <w:fldChar w:fldCharType="begin"/>
    </w:r>
    <w:r w:rsidR="00B80F6A">
      <w:rPr>
        <w:rStyle w:val="PageNumber"/>
        <w:sz w:val="24"/>
        <w:szCs w:val="24"/>
      </w:rPr>
      <w:instrText xml:space="preserve"> PAGE </w:instrText>
    </w:r>
    <w:r w:rsidR="00B80F6A">
      <w:rPr>
        <w:rStyle w:val="PageNumber"/>
        <w:sz w:val="24"/>
        <w:szCs w:val="24"/>
      </w:rPr>
      <w:fldChar w:fldCharType="separate"/>
    </w:r>
    <w:r w:rsidR="00B81E7D">
      <w:rPr>
        <w:rStyle w:val="PageNumber"/>
        <w:noProof/>
        <w:sz w:val="24"/>
        <w:szCs w:val="24"/>
      </w:rPr>
      <w:t>18</w:t>
    </w:r>
    <w:r w:rsidR="00B80F6A">
      <w:rPr>
        <w:rStyle w:val="PageNumber"/>
        <w:sz w:val="24"/>
        <w:szCs w:val="24"/>
      </w:rPr>
      <w:fldChar w:fldCharType="end"/>
    </w:r>
    <w:r w:rsidR="00B80F6A">
      <w:rPr>
        <w:rStyle w:val="PageNumber"/>
        <w:sz w:val="24"/>
        <w:szCs w:val="24"/>
      </w:rPr>
      <w:t xml:space="preserve"> </w:t>
    </w:r>
    <w:r>
      <w:rPr>
        <w:rStyle w:val="PageNumber"/>
        <w:sz w:val="24"/>
        <w:szCs w:val="24"/>
      </w:rPr>
      <w:noBreak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CA62" w14:textId="3EA97D34" w:rsidR="00B80F6A" w:rsidRDefault="006D2567">
    <w:pPr>
      <w:pStyle w:val="Footer"/>
      <w:jc w:val="left"/>
      <w:rPr>
        <w:rStyle w:val="PageNumber"/>
        <w:sz w:val="24"/>
        <w:szCs w:val="24"/>
      </w:rPr>
    </w:pPr>
    <w:r>
      <w:rPr>
        <w:rFonts w:ascii="Tahoma" w:hAnsi="Tahoma" w:cs="Tahoma"/>
        <w:sz w:val="17"/>
        <w:szCs w:val="17"/>
      </w:rPr>
      <w:t>251987258</w:t>
    </w:r>
    <w:r w:rsidR="00B80F6A">
      <w:rPr>
        <w:rStyle w:val="PageNumber"/>
        <w:sz w:val="24"/>
        <w:szCs w:val="24"/>
      </w:rPr>
      <w:tab/>
    </w:r>
    <w:r w:rsidR="00B12992">
      <w:rPr>
        <w:rStyle w:val="PageNumber"/>
        <w:sz w:val="24"/>
        <w:szCs w:val="24"/>
      </w:rPr>
      <w:noBreakHyphen/>
    </w:r>
    <w:r w:rsidR="00B80F6A">
      <w:rPr>
        <w:rStyle w:val="PageNumber"/>
        <w:sz w:val="24"/>
        <w:szCs w:val="24"/>
      </w:rPr>
      <w:t xml:space="preserve"> </w:t>
    </w:r>
    <w:r w:rsidR="00B80F6A">
      <w:rPr>
        <w:rStyle w:val="PageNumber"/>
        <w:sz w:val="24"/>
        <w:szCs w:val="24"/>
      </w:rPr>
      <w:fldChar w:fldCharType="begin"/>
    </w:r>
    <w:r w:rsidR="00B80F6A">
      <w:rPr>
        <w:rStyle w:val="PageNumber"/>
        <w:sz w:val="24"/>
        <w:szCs w:val="24"/>
      </w:rPr>
      <w:instrText xml:space="preserve"> PAGE </w:instrText>
    </w:r>
    <w:r w:rsidR="00B80F6A">
      <w:rPr>
        <w:rStyle w:val="PageNumber"/>
        <w:sz w:val="24"/>
        <w:szCs w:val="24"/>
      </w:rPr>
      <w:fldChar w:fldCharType="separate"/>
    </w:r>
    <w:r w:rsidR="00B12992">
      <w:rPr>
        <w:rStyle w:val="PageNumber"/>
        <w:noProof/>
        <w:sz w:val="24"/>
        <w:szCs w:val="24"/>
      </w:rPr>
      <w:t>1</w:t>
    </w:r>
    <w:r w:rsidR="00B80F6A">
      <w:rPr>
        <w:rStyle w:val="PageNumber"/>
        <w:sz w:val="24"/>
        <w:szCs w:val="24"/>
      </w:rPr>
      <w:fldChar w:fldCharType="end"/>
    </w:r>
    <w:r w:rsidR="00B80F6A">
      <w:rPr>
        <w:rStyle w:val="PageNumber"/>
        <w:sz w:val="24"/>
        <w:szCs w:val="24"/>
      </w:rPr>
      <w:t xml:space="preserve"> </w:t>
    </w:r>
    <w:r w:rsidR="00B12992">
      <w:rPr>
        <w:rStyle w:val="PageNumber"/>
        <w:sz w:val="24"/>
        <w:szCs w:val="24"/>
      </w:rPr>
      <w:noBreak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EA441" w14:textId="77777777" w:rsidR="00F32012" w:rsidRDefault="00F32012">
      <w:r>
        <w:separator/>
      </w:r>
    </w:p>
  </w:footnote>
  <w:footnote w:type="continuationSeparator" w:id="0">
    <w:p w14:paraId="1B673F81" w14:textId="77777777" w:rsidR="00F32012" w:rsidRDefault="00F32012">
      <w:r>
        <w:continuationSeparator/>
      </w:r>
    </w:p>
  </w:footnote>
  <w:footnote w:type="continuationNotice" w:id="1">
    <w:p w14:paraId="7979CC7E" w14:textId="77777777" w:rsidR="00F32012" w:rsidRDefault="00F32012">
      <w:pPr>
        <w:rPr>
          <w:sz w:val="22"/>
        </w:rPr>
      </w:pPr>
    </w:p>
    <w:p w14:paraId="50A6FC7A" w14:textId="77777777" w:rsidR="00F32012" w:rsidRDefault="00F32012">
      <w:pPr>
        <w:jc w:val="right"/>
        <w:rPr>
          <w:sz w:val="22"/>
        </w:rPr>
      </w:pPr>
      <w:r>
        <w:rPr>
          <w:i/>
          <w:sz w:val="22"/>
        </w:rPr>
        <w:t>Footnote continued on next page</w:t>
      </w:r>
    </w:p>
  </w:footnote>
  <w:footnote w:id="2">
    <w:p w14:paraId="2DD03313" w14:textId="54D2D330" w:rsidR="00FC53D4" w:rsidRPr="00FC53D4" w:rsidRDefault="002B39C3" w:rsidP="00FC53D4">
      <w:pPr>
        <w:pStyle w:val="Default"/>
        <w:rPr>
          <w:rFonts w:ascii="Palatino" w:hAnsi="Palatino" w:cs="Times New Roman"/>
          <w:color w:val="auto"/>
          <w:sz w:val="22"/>
          <w:szCs w:val="22"/>
        </w:rPr>
      </w:pPr>
      <w:r w:rsidRPr="00FC53D4">
        <w:rPr>
          <w:rStyle w:val="FootnoteReference"/>
          <w:sz w:val="22"/>
          <w:szCs w:val="22"/>
        </w:rPr>
        <w:footnoteRef/>
      </w:r>
      <w:r w:rsidRPr="00FC53D4">
        <w:rPr>
          <w:sz w:val="22"/>
          <w:szCs w:val="22"/>
        </w:rPr>
        <w:t xml:space="preserve">  </w:t>
      </w:r>
      <w:r w:rsidRPr="00FC53D4">
        <w:rPr>
          <w:rFonts w:ascii="Palatino" w:hAnsi="Palatino" w:cs="Times New Roman"/>
          <w:color w:val="auto"/>
          <w:sz w:val="22"/>
          <w:szCs w:val="22"/>
        </w:rPr>
        <w:t>Resolution Extending De</w:t>
      </w:r>
      <w:r w:rsidR="00B12992">
        <w:rPr>
          <w:rFonts w:ascii="Palatino" w:hAnsi="Palatino" w:cs="Times New Roman"/>
          <w:color w:val="auto"/>
          <w:sz w:val="22"/>
          <w:szCs w:val="22"/>
        </w:rPr>
        <w:noBreakHyphen/>
      </w:r>
      <w:r w:rsidRPr="00FC53D4">
        <w:rPr>
          <w:rFonts w:ascii="Palatino" w:hAnsi="Palatino" w:cs="Times New Roman"/>
          <w:color w:val="auto"/>
          <w:sz w:val="22"/>
          <w:szCs w:val="22"/>
        </w:rPr>
        <w:t xml:space="preserve">Energization Reasonableness, Notification, Mitigation </w:t>
      </w:r>
      <w:r w:rsidR="004B4EFD" w:rsidRPr="00FC53D4">
        <w:rPr>
          <w:rFonts w:ascii="Palatino" w:hAnsi="Palatino" w:cs="Times New Roman"/>
          <w:color w:val="auto"/>
          <w:sz w:val="22"/>
          <w:szCs w:val="22"/>
        </w:rPr>
        <w:t>and</w:t>
      </w:r>
      <w:r w:rsidRPr="00FC53D4">
        <w:rPr>
          <w:rFonts w:ascii="Palatino" w:hAnsi="Palatino" w:cs="Times New Roman"/>
          <w:color w:val="auto"/>
          <w:sz w:val="22"/>
          <w:szCs w:val="22"/>
        </w:rPr>
        <w:t xml:space="preserve"> Reporting Requirements in Decision 12</w:t>
      </w:r>
      <w:r w:rsidR="00B12992">
        <w:rPr>
          <w:rFonts w:ascii="Palatino" w:hAnsi="Palatino" w:cs="Times New Roman"/>
          <w:color w:val="auto"/>
          <w:sz w:val="22"/>
          <w:szCs w:val="22"/>
        </w:rPr>
        <w:noBreakHyphen/>
      </w:r>
      <w:r w:rsidRPr="00FC53D4">
        <w:rPr>
          <w:rFonts w:ascii="Palatino" w:hAnsi="Palatino" w:cs="Times New Roman"/>
          <w:color w:val="auto"/>
          <w:sz w:val="22"/>
          <w:szCs w:val="22"/>
        </w:rPr>
        <w:t>04</w:t>
      </w:r>
      <w:r w:rsidR="00B12992">
        <w:rPr>
          <w:rFonts w:ascii="Palatino" w:hAnsi="Palatino" w:cs="Times New Roman"/>
          <w:color w:val="auto"/>
          <w:sz w:val="22"/>
          <w:szCs w:val="22"/>
        </w:rPr>
        <w:noBreakHyphen/>
      </w:r>
      <w:r w:rsidRPr="00FC53D4">
        <w:rPr>
          <w:rFonts w:ascii="Palatino" w:hAnsi="Palatino" w:cs="Times New Roman"/>
          <w:color w:val="auto"/>
          <w:sz w:val="22"/>
          <w:szCs w:val="22"/>
        </w:rPr>
        <w:t xml:space="preserve">024 to All Electric Investor Owned Utilities </w:t>
      </w:r>
    </w:p>
    <w:p w14:paraId="27443758" w14:textId="77777777" w:rsidR="002B39C3" w:rsidRPr="00B12992" w:rsidRDefault="002B39C3" w:rsidP="00FC53D4">
      <w:pPr>
        <w:pStyle w:val="Default"/>
        <w:rPr>
          <w:rFonts w:ascii="Palatino" w:hAnsi="Palatino" w:cs="Times New Roman"/>
          <w:color w:val="auto"/>
          <w:sz w:val="22"/>
          <w:szCs w:val="22"/>
        </w:rPr>
      </w:pPr>
      <w:r>
        <w:rPr>
          <w:rFonts w:ascii="Palatino" w:hAnsi="Palatino" w:cs="Times New Roman"/>
          <w:color w:val="auto"/>
          <w:sz w:val="22"/>
          <w:szCs w:val="22"/>
        </w:rPr>
        <w:t xml:space="preserve">(July 16, 2018), available at </w:t>
      </w:r>
      <w:hyperlink r:id="rId1" w:history="1">
        <w:r w:rsidRPr="00B12992">
          <w:rPr>
            <w:rStyle w:val="Hyperlink"/>
            <w:rFonts w:ascii="Palatino" w:hAnsi="Palatino"/>
            <w:sz w:val="22"/>
            <w:szCs w:val="22"/>
          </w:rPr>
          <w:t>http://docs.cpuc.ca.gov/PublishedDocs/Published/G000/M218/K186/218186823.PDF</w:t>
        </w:r>
      </w:hyperlink>
      <w:r w:rsidRPr="00B12992">
        <w:rPr>
          <w:rFonts w:ascii="Palatino" w:hAnsi="Palatino" w:cs="Times New Roman"/>
          <w:color w:val="auto"/>
          <w:sz w:val="22"/>
          <w:szCs w:val="22"/>
        </w:rPr>
        <w:t>.</w:t>
      </w:r>
    </w:p>
  </w:footnote>
  <w:footnote w:id="3">
    <w:p w14:paraId="7F0C03D5" w14:textId="77777777" w:rsidR="002B39C3" w:rsidRDefault="002B39C3" w:rsidP="006E5ED5">
      <w:pPr>
        <w:pStyle w:val="FootnoteText"/>
        <w:spacing w:after="120"/>
      </w:pPr>
      <w:r w:rsidRPr="00531ECA">
        <w:rPr>
          <w:rStyle w:val="FootnoteReference"/>
          <w:sz w:val="22"/>
          <w:szCs w:val="22"/>
        </w:rPr>
        <w:footnoteRef/>
      </w:r>
      <w:r w:rsidRPr="00531ECA">
        <w:rPr>
          <w:rStyle w:val="FootnoteReference"/>
          <w:sz w:val="22"/>
          <w:szCs w:val="22"/>
        </w:rPr>
        <w:t xml:space="preserve"> </w:t>
      </w:r>
      <w:r w:rsidR="006E5ED5">
        <w:rPr>
          <w:sz w:val="22"/>
          <w:szCs w:val="22"/>
        </w:rPr>
        <w:t xml:space="preserve">  </w:t>
      </w:r>
      <w:r w:rsidRPr="00A058A4">
        <w:rPr>
          <w:sz w:val="22"/>
          <w:szCs w:val="22"/>
        </w:rPr>
        <w:t xml:space="preserve">SEMS is the system required by Government Code Section 8607(a) for managing emergencies involving multiple jurisdictions and agencies. </w:t>
      </w:r>
    </w:p>
  </w:footnote>
  <w:footnote w:id="4">
    <w:p w14:paraId="7DAEC5E5" w14:textId="5B79D798" w:rsidR="002B39C3" w:rsidRPr="008243DE" w:rsidRDefault="002B39C3" w:rsidP="00413661">
      <w:pPr>
        <w:pStyle w:val="FootnoteText"/>
        <w:spacing w:after="120"/>
        <w:rPr>
          <w:sz w:val="22"/>
          <w:szCs w:val="22"/>
        </w:rPr>
      </w:pPr>
      <w:r w:rsidRPr="008243DE">
        <w:rPr>
          <w:rStyle w:val="FootnoteReference"/>
          <w:sz w:val="22"/>
          <w:szCs w:val="22"/>
        </w:rPr>
        <w:footnoteRef/>
      </w:r>
      <w:r w:rsidRPr="008243DE">
        <w:rPr>
          <w:sz w:val="22"/>
          <w:szCs w:val="22"/>
        </w:rPr>
        <w:t xml:space="preserve"> </w:t>
      </w:r>
      <w:r w:rsidR="008243DE" w:rsidRPr="008243DE">
        <w:rPr>
          <w:sz w:val="22"/>
          <w:szCs w:val="22"/>
        </w:rPr>
        <w:t xml:space="preserve"> </w:t>
      </w:r>
      <w:r w:rsidRPr="008243DE">
        <w:rPr>
          <w:sz w:val="22"/>
          <w:szCs w:val="22"/>
        </w:rPr>
        <w:t>Those proceedings include Rulemaking (R.) 18</w:t>
      </w:r>
      <w:r w:rsidR="00B12992">
        <w:rPr>
          <w:sz w:val="22"/>
          <w:szCs w:val="22"/>
        </w:rPr>
        <w:noBreakHyphen/>
      </w:r>
      <w:r w:rsidRPr="008243DE">
        <w:rPr>
          <w:sz w:val="22"/>
          <w:szCs w:val="22"/>
        </w:rPr>
        <w:t>10</w:t>
      </w:r>
      <w:r w:rsidR="00B12992">
        <w:rPr>
          <w:sz w:val="22"/>
          <w:szCs w:val="22"/>
        </w:rPr>
        <w:noBreakHyphen/>
      </w:r>
      <w:r w:rsidRPr="008243DE">
        <w:rPr>
          <w:sz w:val="22"/>
          <w:szCs w:val="22"/>
        </w:rPr>
        <w:t>007, Order Instituting Rulemaking to Implement Electric Utility Wildfire Mitigation Plans Pursuant to Senate Bill 901 (2018); R.18</w:t>
      </w:r>
      <w:r w:rsidR="00B12992">
        <w:rPr>
          <w:sz w:val="22"/>
          <w:szCs w:val="22"/>
        </w:rPr>
        <w:noBreakHyphen/>
      </w:r>
      <w:r w:rsidRPr="008243DE">
        <w:rPr>
          <w:sz w:val="22"/>
          <w:szCs w:val="22"/>
        </w:rPr>
        <w:t>03</w:t>
      </w:r>
      <w:r w:rsidR="00B12992">
        <w:rPr>
          <w:sz w:val="22"/>
          <w:szCs w:val="22"/>
        </w:rPr>
        <w:noBreakHyphen/>
      </w:r>
      <w:r w:rsidRPr="008243DE">
        <w:rPr>
          <w:sz w:val="22"/>
          <w:szCs w:val="22"/>
        </w:rPr>
        <w:t>011, Order Instituting Rulemaking Regarding Emergency Disaster Relief Program; and R.15</w:t>
      </w:r>
      <w:r w:rsidR="00B12992">
        <w:rPr>
          <w:sz w:val="22"/>
          <w:szCs w:val="22"/>
        </w:rPr>
        <w:noBreakHyphen/>
      </w:r>
      <w:r w:rsidRPr="008243DE">
        <w:rPr>
          <w:sz w:val="22"/>
          <w:szCs w:val="22"/>
        </w:rPr>
        <w:t>06</w:t>
      </w:r>
      <w:r w:rsidR="00B12992">
        <w:rPr>
          <w:sz w:val="22"/>
          <w:szCs w:val="22"/>
        </w:rPr>
        <w:noBreakHyphen/>
      </w:r>
      <w:r w:rsidRPr="008243DE">
        <w:rPr>
          <w:sz w:val="22"/>
          <w:szCs w:val="22"/>
        </w:rPr>
        <w:t>009, Physical Security of the Electric System and Disaster and Emergency Preparedness.</w:t>
      </w:r>
    </w:p>
  </w:footnote>
  <w:footnote w:id="5">
    <w:p w14:paraId="2140F3E1" w14:textId="160B92D4" w:rsidR="00361198" w:rsidRDefault="00361198" w:rsidP="00361198">
      <w:pPr>
        <w:pStyle w:val="FootnoteText"/>
      </w:pPr>
      <w:r w:rsidRPr="00B81E7D">
        <w:rPr>
          <w:rStyle w:val="FootnoteReference"/>
          <w:sz w:val="22"/>
          <w:szCs w:val="22"/>
        </w:rPr>
        <w:footnoteRef/>
      </w:r>
      <w:r w:rsidRPr="00B81E7D">
        <w:rPr>
          <w:sz w:val="22"/>
          <w:szCs w:val="22"/>
        </w:rPr>
        <w:t xml:space="preserve"> </w:t>
      </w:r>
      <w:r w:rsidR="00B81E7D">
        <w:rPr>
          <w:sz w:val="22"/>
          <w:szCs w:val="22"/>
        </w:rPr>
        <w:t xml:space="preserve"> </w:t>
      </w:r>
      <w:r w:rsidRPr="00B81E7D">
        <w:rPr>
          <w:sz w:val="22"/>
          <w:szCs w:val="22"/>
        </w:rPr>
        <w:t>SED, Review of San Diego Gas &amp; Electric Company December 2017 De</w:t>
      </w:r>
      <w:r w:rsidR="00B12992" w:rsidRPr="00B81E7D">
        <w:rPr>
          <w:sz w:val="22"/>
          <w:szCs w:val="22"/>
        </w:rPr>
        <w:noBreakHyphen/>
      </w:r>
      <w:r w:rsidRPr="00B81E7D">
        <w:rPr>
          <w:sz w:val="22"/>
          <w:szCs w:val="22"/>
        </w:rPr>
        <w:t xml:space="preserve">Energization Events, May 2018, </w:t>
      </w:r>
      <w:hyperlink r:id="rId2" w:history="1">
        <w:r w:rsidRPr="00B81E7D">
          <w:rPr>
            <w:rStyle w:val="Hyperlink"/>
            <w:sz w:val="22"/>
            <w:szCs w:val="22"/>
          </w:rPr>
          <w:t>http://www.cpuc.ca.gov/uploadedFiles/CPUC_Website/Content/About_Us/Organization/Divisions/News_and_Outreach_Office/May%202018%20SED%20Review%20of%20SDGE%20December%202018%20Deenergization%20Events_.pdf</w:t>
        </w:r>
      </w:hyperlink>
      <w:r w:rsidR="00B81E7D">
        <w:rPr>
          <w:rStyle w:val="Hyperlink"/>
          <w:sz w:val="22"/>
          <w:szCs w:val="22"/>
        </w:rPr>
        <w:t xml:space="preserve">. </w:t>
      </w:r>
    </w:p>
  </w:footnote>
  <w:footnote w:id="6">
    <w:p w14:paraId="34EAD8E1" w14:textId="77777777" w:rsidR="002B39C3" w:rsidRPr="005C747F" w:rsidRDefault="002B39C3" w:rsidP="002B39C3">
      <w:pPr>
        <w:pStyle w:val="FootnoteText"/>
        <w:rPr>
          <w:sz w:val="22"/>
          <w:szCs w:val="22"/>
        </w:rPr>
      </w:pPr>
      <w:r w:rsidRPr="005C747F">
        <w:rPr>
          <w:rStyle w:val="FootnoteReference"/>
          <w:sz w:val="22"/>
          <w:szCs w:val="22"/>
        </w:rPr>
        <w:footnoteRef/>
      </w:r>
      <w:r w:rsidRPr="005C747F">
        <w:rPr>
          <w:sz w:val="22"/>
          <w:szCs w:val="22"/>
        </w:rPr>
        <w:t xml:space="preserve">  All references to “Rules” are to the Commission’s Rules of Practice and Procedure unless otherwise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AADD" w14:textId="77777777" w:rsidR="001859D5" w:rsidRDefault="00185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0A8F" w14:textId="4A84ED45" w:rsidR="00B80F6A" w:rsidRDefault="00D6435A">
    <w:pPr>
      <w:pStyle w:val="Header"/>
    </w:pPr>
    <w:r>
      <w:t>R</w:t>
    </w:r>
    <w:r w:rsidR="001710C0">
      <w:t>.18-12-005</w:t>
    </w:r>
    <w:r w:rsidR="00B80F6A">
      <w:t xml:space="preserve">  </w:t>
    </w:r>
    <w:r w:rsidR="00B80F6A">
      <w:t>ALJ/</w:t>
    </w:r>
    <w:r w:rsidR="001859D5">
      <w:t>UNC</w:t>
    </w:r>
    <w:bookmarkStart w:id="4" w:name="_GoBack"/>
    <w:bookmarkEnd w:id="4"/>
    <w:r w:rsidR="00B80F6A">
      <w:t>/</w:t>
    </w:r>
    <w:r>
      <w:t>mph</w:t>
    </w:r>
    <w:r w:rsidR="00B80F6A">
      <w:tab/>
    </w:r>
    <w:r w:rsidR="00B80F6A">
      <w:tab/>
    </w:r>
  </w:p>
  <w:p w14:paraId="4AA71FC1" w14:textId="77777777" w:rsidR="00BB0887" w:rsidRDefault="00BB0887" w:rsidP="00D36D8D">
    <w:pPr>
      <w:pStyle w:val="Header"/>
      <w:rPr>
        <w:i/>
      </w:rPr>
    </w:pPr>
  </w:p>
  <w:p w14:paraId="74772C32" w14:textId="77777777" w:rsidR="00B12992" w:rsidRDefault="00B12992" w:rsidP="00D36D8D">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5BD9" w14:textId="77777777" w:rsidR="001859D5" w:rsidRDefault="00185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81E"/>
    <w:multiLevelType w:val="singleLevel"/>
    <w:tmpl w:val="2FB6A734"/>
    <w:lvl w:ilvl="0">
      <w:start w:val="1"/>
      <w:numFmt w:val="decimal"/>
      <w:lvlText w:val="%1."/>
      <w:legacy w:legacy="1" w:legacySpace="144" w:legacyIndent="0"/>
      <w:lvlJc w:val="left"/>
    </w:lvl>
  </w:abstractNum>
  <w:abstractNum w:abstractNumId="1" w15:restartNumberingAfterBreak="0">
    <w:nsid w:val="1A0153A0"/>
    <w:multiLevelType w:val="hybridMultilevel"/>
    <w:tmpl w:val="DC02E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E052E"/>
    <w:multiLevelType w:val="hybridMultilevel"/>
    <w:tmpl w:val="30B277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DD46003"/>
    <w:multiLevelType w:val="singleLevel"/>
    <w:tmpl w:val="2FB6A734"/>
    <w:lvl w:ilvl="0">
      <w:start w:val="1"/>
      <w:numFmt w:val="decimal"/>
      <w:lvlText w:val="%1."/>
      <w:legacy w:legacy="1" w:legacySpace="144" w:legacyIndent="0"/>
      <w:lvlJc w:val="left"/>
    </w:lvl>
  </w:abstractNum>
  <w:abstractNum w:abstractNumId="4" w15:restartNumberingAfterBreak="0">
    <w:nsid w:val="2EF11637"/>
    <w:multiLevelType w:val="hybridMultilevel"/>
    <w:tmpl w:val="A41079F6"/>
    <w:lvl w:ilvl="0" w:tplc="475021E0">
      <w:start w:val="1"/>
      <w:numFmt w:val="decimal"/>
      <w:lvlText w:val="%1."/>
      <w:lvlJc w:val="left"/>
      <w:pPr>
        <w:ind w:left="90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7F5017"/>
    <w:multiLevelType w:val="hybridMultilevel"/>
    <w:tmpl w:val="793C893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F404A"/>
    <w:multiLevelType w:val="multilevel"/>
    <w:tmpl w:val="4E9E6C6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7D00332"/>
    <w:multiLevelType w:val="hybridMultilevel"/>
    <w:tmpl w:val="AE22D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47AFD"/>
    <w:multiLevelType w:val="hybridMultilevel"/>
    <w:tmpl w:val="F8D252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C745DC4"/>
    <w:multiLevelType w:val="hybridMultilevel"/>
    <w:tmpl w:val="514A0670"/>
    <w:lvl w:ilvl="0" w:tplc="3D7C25CA">
      <w:start w:val="10"/>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7B1C30FD"/>
    <w:multiLevelType w:val="singleLevel"/>
    <w:tmpl w:val="2FB6A734"/>
    <w:lvl w:ilvl="0">
      <w:start w:val="1"/>
      <w:numFmt w:val="decimal"/>
      <w:lvlText w:val="%1."/>
      <w:legacy w:legacy="1" w:legacySpace="144" w:legacyIndent="0"/>
      <w:lvlJc w:val="left"/>
    </w:lvl>
  </w:abstractNum>
  <w:num w:numId="1">
    <w:abstractNumId w:val="3"/>
  </w:num>
  <w:num w:numId="2">
    <w:abstractNumId w:val="0"/>
  </w:num>
  <w:num w:numId="3">
    <w:abstractNumId w:val="10"/>
  </w:num>
  <w:num w:numId="4">
    <w:abstractNumId w:val="7"/>
  </w:num>
  <w:num w:numId="5">
    <w:abstractNumId w:val="1"/>
  </w:num>
  <w:num w:numId="6">
    <w:abstractNumId w:val="4"/>
  </w:num>
  <w:num w:numId="7">
    <w:abstractNumId w:val="6"/>
  </w:num>
  <w:num w:numId="8">
    <w:abstractNumId w:val="5"/>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9C3"/>
    <w:rsid w:val="00015B7F"/>
    <w:rsid w:val="00024795"/>
    <w:rsid w:val="00043D5C"/>
    <w:rsid w:val="0004627C"/>
    <w:rsid w:val="00047D5D"/>
    <w:rsid w:val="00050944"/>
    <w:rsid w:val="00074706"/>
    <w:rsid w:val="000762B7"/>
    <w:rsid w:val="000774A1"/>
    <w:rsid w:val="000817D8"/>
    <w:rsid w:val="0008247E"/>
    <w:rsid w:val="0008689A"/>
    <w:rsid w:val="00087933"/>
    <w:rsid w:val="000930EA"/>
    <w:rsid w:val="00094D82"/>
    <w:rsid w:val="000A4BD6"/>
    <w:rsid w:val="000B363E"/>
    <w:rsid w:val="000B73AD"/>
    <w:rsid w:val="000D7102"/>
    <w:rsid w:val="000E41D8"/>
    <w:rsid w:val="000F65B1"/>
    <w:rsid w:val="001019D9"/>
    <w:rsid w:val="00112A90"/>
    <w:rsid w:val="00123103"/>
    <w:rsid w:val="00124781"/>
    <w:rsid w:val="00131B2D"/>
    <w:rsid w:val="00140EE4"/>
    <w:rsid w:val="001501DC"/>
    <w:rsid w:val="001509D1"/>
    <w:rsid w:val="001662AC"/>
    <w:rsid w:val="001710C0"/>
    <w:rsid w:val="00183271"/>
    <w:rsid w:val="001859D5"/>
    <w:rsid w:val="00192D94"/>
    <w:rsid w:val="001B3603"/>
    <w:rsid w:val="001B4809"/>
    <w:rsid w:val="001B7FE9"/>
    <w:rsid w:val="001D57FD"/>
    <w:rsid w:val="001D5A7C"/>
    <w:rsid w:val="001F1A0D"/>
    <w:rsid w:val="00200308"/>
    <w:rsid w:val="0021344F"/>
    <w:rsid w:val="00213773"/>
    <w:rsid w:val="002325BF"/>
    <w:rsid w:val="00235CAE"/>
    <w:rsid w:val="00235D19"/>
    <w:rsid w:val="002449DA"/>
    <w:rsid w:val="00245A5D"/>
    <w:rsid w:val="00263268"/>
    <w:rsid w:val="002777BF"/>
    <w:rsid w:val="00290AC6"/>
    <w:rsid w:val="002961D2"/>
    <w:rsid w:val="002A426D"/>
    <w:rsid w:val="002A600E"/>
    <w:rsid w:val="002A799F"/>
    <w:rsid w:val="002B08C2"/>
    <w:rsid w:val="002B39C3"/>
    <w:rsid w:val="002C541B"/>
    <w:rsid w:val="002D1A57"/>
    <w:rsid w:val="002D65FB"/>
    <w:rsid w:val="00314DC2"/>
    <w:rsid w:val="00334A4B"/>
    <w:rsid w:val="00343E51"/>
    <w:rsid w:val="00343F08"/>
    <w:rsid w:val="003529E9"/>
    <w:rsid w:val="003533AF"/>
    <w:rsid w:val="00354929"/>
    <w:rsid w:val="00361198"/>
    <w:rsid w:val="00365EC3"/>
    <w:rsid w:val="00366D5A"/>
    <w:rsid w:val="003724E9"/>
    <w:rsid w:val="00376045"/>
    <w:rsid w:val="00381EDB"/>
    <w:rsid w:val="00385046"/>
    <w:rsid w:val="00391F93"/>
    <w:rsid w:val="00396039"/>
    <w:rsid w:val="003A3BAD"/>
    <w:rsid w:val="003E147F"/>
    <w:rsid w:val="003F05D1"/>
    <w:rsid w:val="003F3C93"/>
    <w:rsid w:val="00413661"/>
    <w:rsid w:val="00416C3C"/>
    <w:rsid w:val="0042147B"/>
    <w:rsid w:val="00422E23"/>
    <w:rsid w:val="00423C56"/>
    <w:rsid w:val="00427229"/>
    <w:rsid w:val="004400AC"/>
    <w:rsid w:val="00446190"/>
    <w:rsid w:val="00446D7D"/>
    <w:rsid w:val="004568A2"/>
    <w:rsid w:val="0046034C"/>
    <w:rsid w:val="00491720"/>
    <w:rsid w:val="004936EC"/>
    <w:rsid w:val="004B4EFD"/>
    <w:rsid w:val="004C4CE9"/>
    <w:rsid w:val="004C7290"/>
    <w:rsid w:val="004E0A59"/>
    <w:rsid w:val="004E7303"/>
    <w:rsid w:val="004F7576"/>
    <w:rsid w:val="00563F1D"/>
    <w:rsid w:val="005758FD"/>
    <w:rsid w:val="005842E5"/>
    <w:rsid w:val="005D5B0A"/>
    <w:rsid w:val="00601981"/>
    <w:rsid w:val="00611403"/>
    <w:rsid w:val="00620963"/>
    <w:rsid w:val="00665F5B"/>
    <w:rsid w:val="006707C5"/>
    <w:rsid w:val="006738DC"/>
    <w:rsid w:val="006902C8"/>
    <w:rsid w:val="006B72F6"/>
    <w:rsid w:val="006B7928"/>
    <w:rsid w:val="006C3EE3"/>
    <w:rsid w:val="006D2567"/>
    <w:rsid w:val="006E5ED5"/>
    <w:rsid w:val="00704252"/>
    <w:rsid w:val="00717DC0"/>
    <w:rsid w:val="0072340D"/>
    <w:rsid w:val="007273C7"/>
    <w:rsid w:val="00737459"/>
    <w:rsid w:val="0074564A"/>
    <w:rsid w:val="007711D2"/>
    <w:rsid w:val="007727FA"/>
    <w:rsid w:val="0078178C"/>
    <w:rsid w:val="007A3B01"/>
    <w:rsid w:val="007C6845"/>
    <w:rsid w:val="007D055C"/>
    <w:rsid w:val="007D5E4F"/>
    <w:rsid w:val="007E5966"/>
    <w:rsid w:val="007F4380"/>
    <w:rsid w:val="00801749"/>
    <w:rsid w:val="0080500F"/>
    <w:rsid w:val="00810BE1"/>
    <w:rsid w:val="008243DE"/>
    <w:rsid w:val="008301DD"/>
    <w:rsid w:val="00837EB3"/>
    <w:rsid w:val="00842DED"/>
    <w:rsid w:val="00854A9B"/>
    <w:rsid w:val="00860AF3"/>
    <w:rsid w:val="00874B8D"/>
    <w:rsid w:val="008809C6"/>
    <w:rsid w:val="0088238B"/>
    <w:rsid w:val="00892DC8"/>
    <w:rsid w:val="008A3D2D"/>
    <w:rsid w:val="008B4234"/>
    <w:rsid w:val="008B7F1C"/>
    <w:rsid w:val="008C3538"/>
    <w:rsid w:val="008C409E"/>
    <w:rsid w:val="008D3163"/>
    <w:rsid w:val="008E20B3"/>
    <w:rsid w:val="008F2060"/>
    <w:rsid w:val="00901AC5"/>
    <w:rsid w:val="00901D22"/>
    <w:rsid w:val="00912F82"/>
    <w:rsid w:val="00923399"/>
    <w:rsid w:val="009413D2"/>
    <w:rsid w:val="009453FA"/>
    <w:rsid w:val="0096179C"/>
    <w:rsid w:val="00964CC9"/>
    <w:rsid w:val="00981AAA"/>
    <w:rsid w:val="0099310B"/>
    <w:rsid w:val="00994E24"/>
    <w:rsid w:val="009A269A"/>
    <w:rsid w:val="009B32DA"/>
    <w:rsid w:val="009B4803"/>
    <w:rsid w:val="009B55D5"/>
    <w:rsid w:val="009E41F8"/>
    <w:rsid w:val="009E7C2D"/>
    <w:rsid w:val="00A157F5"/>
    <w:rsid w:val="00A21A07"/>
    <w:rsid w:val="00A2393D"/>
    <w:rsid w:val="00A7067A"/>
    <w:rsid w:val="00A80EDB"/>
    <w:rsid w:val="00A93C68"/>
    <w:rsid w:val="00AD2C53"/>
    <w:rsid w:val="00AE4827"/>
    <w:rsid w:val="00B12992"/>
    <w:rsid w:val="00B149E5"/>
    <w:rsid w:val="00B56F58"/>
    <w:rsid w:val="00B80F6A"/>
    <w:rsid w:val="00B81E7D"/>
    <w:rsid w:val="00B93B49"/>
    <w:rsid w:val="00BB0887"/>
    <w:rsid w:val="00BC3362"/>
    <w:rsid w:val="00BC5CB1"/>
    <w:rsid w:val="00BD1184"/>
    <w:rsid w:val="00BD2393"/>
    <w:rsid w:val="00BD3BD1"/>
    <w:rsid w:val="00C037E9"/>
    <w:rsid w:val="00C246B7"/>
    <w:rsid w:val="00C326B6"/>
    <w:rsid w:val="00C83BB8"/>
    <w:rsid w:val="00CA53B9"/>
    <w:rsid w:val="00CB1584"/>
    <w:rsid w:val="00CD167F"/>
    <w:rsid w:val="00CD6B12"/>
    <w:rsid w:val="00CE68BA"/>
    <w:rsid w:val="00CE70C8"/>
    <w:rsid w:val="00CF71B2"/>
    <w:rsid w:val="00D033FB"/>
    <w:rsid w:val="00D17F99"/>
    <w:rsid w:val="00D36D8D"/>
    <w:rsid w:val="00D54BC8"/>
    <w:rsid w:val="00D6435A"/>
    <w:rsid w:val="00D64B99"/>
    <w:rsid w:val="00D71E04"/>
    <w:rsid w:val="00D82248"/>
    <w:rsid w:val="00DA59F5"/>
    <w:rsid w:val="00DC1CF0"/>
    <w:rsid w:val="00DF1737"/>
    <w:rsid w:val="00DF28D7"/>
    <w:rsid w:val="00E03662"/>
    <w:rsid w:val="00E07D09"/>
    <w:rsid w:val="00E07DCE"/>
    <w:rsid w:val="00E20071"/>
    <w:rsid w:val="00E222F1"/>
    <w:rsid w:val="00E31FA1"/>
    <w:rsid w:val="00E41FA9"/>
    <w:rsid w:val="00E55206"/>
    <w:rsid w:val="00E61F56"/>
    <w:rsid w:val="00E641D8"/>
    <w:rsid w:val="00E66E43"/>
    <w:rsid w:val="00E9051C"/>
    <w:rsid w:val="00E93D3E"/>
    <w:rsid w:val="00EB2D58"/>
    <w:rsid w:val="00ED11DC"/>
    <w:rsid w:val="00EE1E84"/>
    <w:rsid w:val="00EE299D"/>
    <w:rsid w:val="00F039F4"/>
    <w:rsid w:val="00F12009"/>
    <w:rsid w:val="00F32012"/>
    <w:rsid w:val="00F35BCB"/>
    <w:rsid w:val="00F436C0"/>
    <w:rsid w:val="00F65AC8"/>
    <w:rsid w:val="00F93773"/>
    <w:rsid w:val="00FC4ED3"/>
    <w:rsid w:val="00FC53D4"/>
    <w:rsid w:val="00FC5B19"/>
    <w:rsid w:val="00FD510D"/>
    <w:rsid w:val="00FF00C6"/>
    <w:rsid w:val="00FF0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C5D3"/>
  <w15:docId w15:val="{202E0C55-4E4A-4E70-82BC-FEC7888C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120"/>
      <w:outlineLvl w:val="0"/>
    </w:pPr>
    <w:rPr>
      <w:rFonts w:ascii="Helvetica" w:hAnsi="Helvetica"/>
      <w:b/>
      <w:kern w:val="28"/>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uiPriority w:val="99"/>
    <w:pPr>
      <w:spacing w:after="240"/>
    </w:pPr>
    <w:rPr>
      <w:sz w:val="24"/>
    </w:rPr>
  </w:style>
  <w:style w:type="character" w:styleId="FootnoteReference">
    <w:name w:val="footnote reference"/>
    <w:aliases w:val="o,fr,o1,o2,o3,o4,o5,o6,o11,o21,o7,Style 3"/>
    <w:uiPriority w:val="99"/>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uiPriority w:val="99"/>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rsid w:val="00D36D8D"/>
    <w:rPr>
      <w:rFonts w:ascii="Palatino" w:hAnsi="Palatino"/>
      <w:sz w:val="26"/>
    </w:rPr>
  </w:style>
  <w:style w:type="character" w:styleId="Hyperlink">
    <w:name w:val="Hyperlink"/>
    <w:rsid w:val="002B39C3"/>
    <w:rPr>
      <w:color w:val="0000FF"/>
      <w:u w:val="single"/>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uiPriority w:val="99"/>
    <w:rsid w:val="002B39C3"/>
    <w:rPr>
      <w:rFonts w:ascii="Palatino" w:hAnsi="Palatino"/>
      <w:sz w:val="24"/>
    </w:rPr>
  </w:style>
  <w:style w:type="paragraph" w:customStyle="1" w:styleId="Default">
    <w:name w:val="Default"/>
    <w:rsid w:val="002B39C3"/>
    <w:pPr>
      <w:autoSpaceDE w:val="0"/>
      <w:autoSpaceDN w:val="0"/>
      <w:adjustRightInd w:val="0"/>
    </w:pPr>
    <w:rPr>
      <w:rFonts w:ascii="Tahoma" w:hAnsi="Tahoma" w:cs="Tahoma"/>
      <w:color w:val="000000"/>
      <w:sz w:val="24"/>
      <w:szCs w:val="24"/>
    </w:rPr>
  </w:style>
  <w:style w:type="character" w:customStyle="1" w:styleId="UnresolvedMention1">
    <w:name w:val="Unresolved Mention1"/>
    <w:uiPriority w:val="99"/>
    <w:semiHidden/>
    <w:unhideWhenUsed/>
    <w:rsid w:val="008B7F1C"/>
    <w:rPr>
      <w:color w:val="605E5C"/>
      <w:shd w:val="clear" w:color="auto" w:fill="E1DFDD"/>
    </w:rPr>
  </w:style>
  <w:style w:type="paragraph" w:styleId="BalloonText">
    <w:name w:val="Balloon Text"/>
    <w:basedOn w:val="Normal"/>
    <w:link w:val="BalloonTextChar"/>
    <w:rsid w:val="00396039"/>
    <w:rPr>
      <w:rFonts w:ascii="Segoe UI" w:hAnsi="Segoe UI" w:cs="Segoe UI"/>
      <w:sz w:val="18"/>
      <w:szCs w:val="18"/>
    </w:rPr>
  </w:style>
  <w:style w:type="character" w:customStyle="1" w:styleId="BalloonTextChar">
    <w:name w:val="Balloon Text Char"/>
    <w:basedOn w:val="DefaultParagraphFont"/>
    <w:link w:val="BalloonText"/>
    <w:rsid w:val="00396039"/>
    <w:rPr>
      <w:rFonts w:ascii="Segoe UI" w:hAnsi="Segoe UI" w:cs="Segoe UI"/>
      <w:sz w:val="18"/>
      <w:szCs w:val="18"/>
    </w:rPr>
  </w:style>
  <w:style w:type="character" w:styleId="CommentReference">
    <w:name w:val="annotation reference"/>
    <w:basedOn w:val="DefaultParagraphFont"/>
    <w:semiHidden/>
    <w:unhideWhenUsed/>
    <w:rsid w:val="00343E51"/>
    <w:rPr>
      <w:sz w:val="16"/>
      <w:szCs w:val="16"/>
    </w:rPr>
  </w:style>
  <w:style w:type="paragraph" w:styleId="CommentText">
    <w:name w:val="annotation text"/>
    <w:basedOn w:val="Normal"/>
    <w:link w:val="CommentTextChar"/>
    <w:semiHidden/>
    <w:unhideWhenUsed/>
    <w:rsid w:val="00343E51"/>
    <w:rPr>
      <w:sz w:val="20"/>
    </w:rPr>
  </w:style>
  <w:style w:type="character" w:customStyle="1" w:styleId="CommentTextChar">
    <w:name w:val="Comment Text Char"/>
    <w:basedOn w:val="DefaultParagraphFont"/>
    <w:link w:val="CommentText"/>
    <w:semiHidden/>
    <w:rsid w:val="00343E51"/>
    <w:rPr>
      <w:rFonts w:ascii="Palatino" w:hAnsi="Palatino"/>
    </w:rPr>
  </w:style>
  <w:style w:type="paragraph" w:styleId="CommentSubject">
    <w:name w:val="annotation subject"/>
    <w:basedOn w:val="CommentText"/>
    <w:next w:val="CommentText"/>
    <w:link w:val="CommentSubjectChar"/>
    <w:semiHidden/>
    <w:unhideWhenUsed/>
    <w:rsid w:val="00343E51"/>
    <w:rPr>
      <w:b/>
      <w:bCs/>
    </w:rPr>
  </w:style>
  <w:style w:type="character" w:customStyle="1" w:styleId="CommentSubjectChar">
    <w:name w:val="Comment Subject Char"/>
    <w:basedOn w:val="CommentTextChar"/>
    <w:link w:val="CommentSubject"/>
    <w:semiHidden/>
    <w:rsid w:val="00343E51"/>
    <w:rPr>
      <w:rFonts w:ascii="Palatino" w:hAnsi="Palatino"/>
      <w:b/>
      <w:bCs/>
    </w:rPr>
  </w:style>
  <w:style w:type="paragraph" w:styleId="ListParagraph">
    <w:name w:val="List Paragraph"/>
    <w:basedOn w:val="Normal"/>
    <w:uiPriority w:val="34"/>
    <w:qFormat/>
    <w:rsid w:val="00361198"/>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1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88568">
      <w:bodyDiv w:val="1"/>
      <w:marLeft w:val="0"/>
      <w:marRight w:val="0"/>
      <w:marTop w:val="0"/>
      <w:marBottom w:val="0"/>
      <w:divBdr>
        <w:top w:val="none" w:sz="0" w:space="0" w:color="auto"/>
        <w:left w:val="none" w:sz="0" w:space="0" w:color="auto"/>
        <w:bottom w:val="none" w:sz="0" w:space="0" w:color="auto"/>
        <w:right w:val="none" w:sz="0" w:space="0" w:color="auto"/>
      </w:divBdr>
    </w:div>
    <w:div w:id="14767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KdtB6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advisor@cpuc.c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bscribecpuc.cpuc.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cess_office@cpuc.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2RU90e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cpuc.ca.gov/uploadedFiles/CPUC_Website/Content/About_Us/Organization/Divisions/News_and_Outreach_Office/May%202018%20SED%20Review%20of%20SDGE%20December%202018%20Deenergization%20Events_.pdf" TargetMode="External"/><Relationship Id="rId1" Type="http://schemas.openxmlformats.org/officeDocument/2006/relationships/hyperlink" Target="http://docs.cpuc.ca.gov/PublishedDocs/Published/G000/M218/K186/2181868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H\AppData\Local\Microsoft\Windows\Temporary%20Internet%20Files\Content.IE5\KBH5WR0O\Agenda%20Dec.%20(Simple_Short%20Version%20-%20No%20Mail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7D47-52C0-4B9B-9FC8-252D070F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Dec. (Simple_Short Version - No Mailing)</Template>
  <TotalTime>13</TotalTime>
  <Pages>18</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Decision</vt:lpstr>
    </vt:vector>
  </TitlesOfParts>
  <Company>California Public Utilities Commission (CPUC)</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
  <dc:creator>Hipolito, Marilou A.</dc:creator>
  <cp:keywords/>
  <dc:description/>
  <cp:lastModifiedBy>Hipolito, Marilou A.</cp:lastModifiedBy>
  <cp:revision>16</cp:revision>
  <cp:lastPrinted>2008-04-01T23:35:00Z</cp:lastPrinted>
  <dcterms:created xsi:type="dcterms:W3CDTF">2018-12-18T18:43:00Z</dcterms:created>
  <dcterms:modified xsi:type="dcterms:W3CDTF">2018-12-19T18:45:00Z</dcterms:modified>
</cp:coreProperties>
</file>