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971C4" w14:textId="6EC1FAC5" w:rsidR="00B80F6A" w:rsidRPr="0007369B" w:rsidRDefault="0007369B">
      <w:pPr>
        <w:pStyle w:val="Header"/>
        <w:tabs>
          <w:tab w:val="clear" w:pos="4320"/>
          <w:tab w:val="clear" w:pos="8640"/>
          <w:tab w:val="center" w:pos="4680"/>
          <w:tab w:val="right" w:pos="9360"/>
        </w:tabs>
        <w:rPr>
          <w:b/>
        </w:rPr>
      </w:pPr>
      <w:bookmarkStart w:id="0" w:name="_GoBack"/>
      <w:bookmarkEnd w:id="0"/>
      <w:r>
        <w:t>COM/CR6/avs</w:t>
      </w:r>
      <w:r w:rsidR="00B80F6A">
        <w:tab/>
      </w:r>
      <w:r w:rsidR="002C3B39">
        <w:tab/>
      </w:r>
      <w:r w:rsidR="002C3B39">
        <w:rPr>
          <w:b/>
        </w:rPr>
        <w:t>Date of Issuance  1/22/2019</w:t>
      </w:r>
    </w:p>
    <w:p w14:paraId="41EE467E" w14:textId="22BE463D" w:rsidR="00B80F6A" w:rsidRPr="0007369B" w:rsidRDefault="00B80F6A">
      <w:pPr>
        <w:pStyle w:val="Header"/>
        <w:tabs>
          <w:tab w:val="clear" w:pos="8640"/>
          <w:tab w:val="right" w:pos="9360"/>
        </w:tabs>
        <w:rPr>
          <w:b/>
        </w:rPr>
      </w:pPr>
      <w:r w:rsidRPr="0007369B">
        <w:rPr>
          <w:b/>
        </w:rPr>
        <w:tab/>
      </w:r>
      <w:r w:rsidRPr="0007369B">
        <w:rPr>
          <w:b/>
        </w:rPr>
        <w:tab/>
      </w:r>
    </w:p>
    <w:p w14:paraId="6D1324E4" w14:textId="78995093" w:rsidR="00B80F6A" w:rsidRPr="0007369B" w:rsidRDefault="00B80F6A" w:rsidP="0007369B">
      <w:pPr>
        <w:suppressAutoHyphens/>
        <w:jc w:val="right"/>
        <w:rPr>
          <w:b/>
        </w:rPr>
      </w:pPr>
    </w:p>
    <w:p w14:paraId="127B25DC" w14:textId="79192C6C" w:rsidR="00B80F6A" w:rsidRDefault="00CA5FB9" w:rsidP="0007369B">
      <w:pPr>
        <w:suppressAutoHyphens/>
        <w:ind w:left="990" w:hanging="990"/>
      </w:pPr>
      <w:r>
        <w:t xml:space="preserve">Decision </w:t>
      </w:r>
      <w:r w:rsidR="002C3B39">
        <w:t>19-01-018  January 10, 2019</w:t>
      </w:r>
    </w:p>
    <w:p w14:paraId="14814940" w14:textId="77777777" w:rsidR="002C3B39" w:rsidRPr="0007369B" w:rsidRDefault="002C3B39" w:rsidP="0007369B">
      <w:pPr>
        <w:suppressAutoHyphens/>
        <w:ind w:left="990" w:hanging="990"/>
      </w:pPr>
    </w:p>
    <w:p w14:paraId="1968131C" w14:textId="77777777" w:rsidR="00B80F6A" w:rsidRDefault="00B80F6A">
      <w:pPr>
        <w:suppressAutoHyphens/>
      </w:pPr>
    </w:p>
    <w:p w14:paraId="48B1D6C3" w14:textId="77777777" w:rsidR="00B80F6A" w:rsidRDefault="00B80F6A">
      <w:pPr>
        <w:pStyle w:val="titlebar"/>
        <w:rPr>
          <w:sz w:val="24"/>
        </w:rPr>
      </w:pPr>
      <w:r>
        <w:rPr>
          <w:sz w:val="24"/>
        </w:rPr>
        <w:t>BEFORE THE PUBLIC UTILITIES COMMISSION OF THE STATE OF CALIFORNIA</w:t>
      </w:r>
    </w:p>
    <w:p w14:paraId="6988DC84" w14:textId="77777777" w:rsidR="00B80F6A" w:rsidRDefault="00B80F6A">
      <w:pPr>
        <w:suppressAutoHyphens/>
      </w:pPr>
    </w:p>
    <w:tbl>
      <w:tblPr>
        <w:tblW w:w="0" w:type="auto"/>
        <w:tblLayout w:type="fixed"/>
        <w:tblLook w:val="0000" w:firstRow="0" w:lastRow="0" w:firstColumn="0" w:lastColumn="0" w:noHBand="0" w:noVBand="0"/>
      </w:tblPr>
      <w:tblGrid>
        <w:gridCol w:w="4788"/>
        <w:gridCol w:w="4770"/>
      </w:tblGrid>
      <w:tr w:rsidR="00B80F6A" w14:paraId="138376C9" w14:textId="77777777" w:rsidTr="00F50970">
        <w:tc>
          <w:tcPr>
            <w:tcW w:w="4788" w:type="dxa"/>
            <w:tcBorders>
              <w:bottom w:val="single" w:sz="6" w:space="0" w:color="auto"/>
              <w:right w:val="single" w:sz="6" w:space="0" w:color="auto"/>
            </w:tcBorders>
          </w:tcPr>
          <w:p w14:paraId="4280A073" w14:textId="77777777" w:rsidR="00B80F6A" w:rsidRDefault="00F50970">
            <w:pPr>
              <w:tabs>
                <w:tab w:val="left" w:pos="1440"/>
                <w:tab w:val="left" w:pos="3600"/>
              </w:tabs>
            </w:pPr>
            <w:r w:rsidRPr="006751CD">
              <w:t>Order Instituting Rulemaking Regarding Policies, Procedures and Rules for Regulation of Physical Security for the Electric Supply Facilities of Electrical Corporations Consistent with Public Utilities Code Section 364 and to Establish Standards for Disaster and Emergency Preparedness Plans for Electrical Corporations and Regulated Water Companies Pursuant to Public Utilities Code Section 768.6.</w:t>
            </w:r>
          </w:p>
          <w:p w14:paraId="5B983637" w14:textId="77777777" w:rsidR="00B80F6A" w:rsidRDefault="00B80F6A"/>
        </w:tc>
        <w:tc>
          <w:tcPr>
            <w:tcW w:w="4770" w:type="dxa"/>
            <w:tcBorders>
              <w:left w:val="nil"/>
            </w:tcBorders>
          </w:tcPr>
          <w:p w14:paraId="7964BF08" w14:textId="77777777" w:rsidR="00B80F6A" w:rsidRDefault="00B80F6A">
            <w:pPr>
              <w:jc w:val="center"/>
            </w:pPr>
          </w:p>
          <w:p w14:paraId="29019B0E" w14:textId="77777777" w:rsidR="0007369B" w:rsidRDefault="0007369B">
            <w:pPr>
              <w:jc w:val="center"/>
            </w:pPr>
          </w:p>
          <w:p w14:paraId="3DA63962" w14:textId="77777777" w:rsidR="0007369B" w:rsidRDefault="0007369B">
            <w:pPr>
              <w:jc w:val="center"/>
            </w:pPr>
          </w:p>
          <w:p w14:paraId="2CF44184" w14:textId="77777777" w:rsidR="0007369B" w:rsidRDefault="0007369B">
            <w:pPr>
              <w:jc w:val="center"/>
            </w:pPr>
          </w:p>
          <w:p w14:paraId="3182216C" w14:textId="77777777" w:rsidR="0007369B" w:rsidRDefault="0007369B">
            <w:pPr>
              <w:jc w:val="center"/>
            </w:pPr>
          </w:p>
          <w:p w14:paraId="6848F61D" w14:textId="77777777" w:rsidR="0007369B" w:rsidRDefault="0007369B">
            <w:pPr>
              <w:jc w:val="center"/>
            </w:pPr>
          </w:p>
          <w:p w14:paraId="5216941F" w14:textId="77777777" w:rsidR="00B80F6A" w:rsidRDefault="006D2A12">
            <w:pPr>
              <w:jc w:val="center"/>
            </w:pPr>
            <w:r w:rsidRPr="006751CD">
              <w:t>R</w:t>
            </w:r>
            <w:r w:rsidR="0007369B">
              <w:t xml:space="preserve">ulemaking </w:t>
            </w:r>
            <w:r w:rsidRPr="006751CD">
              <w:t>15-06-009</w:t>
            </w:r>
          </w:p>
          <w:p w14:paraId="473D3E15" w14:textId="77777777" w:rsidR="0007369B" w:rsidRDefault="0007369B">
            <w:pPr>
              <w:jc w:val="center"/>
            </w:pPr>
          </w:p>
        </w:tc>
      </w:tr>
    </w:tbl>
    <w:p w14:paraId="3570B79D" w14:textId="77777777" w:rsidR="00B80F6A" w:rsidRDefault="00B80F6A">
      <w:pPr>
        <w:suppressAutoHyphens/>
      </w:pPr>
    </w:p>
    <w:p w14:paraId="4040DD86" w14:textId="77777777" w:rsidR="003F7204" w:rsidRDefault="003F7204">
      <w:pPr>
        <w:suppressAutoHyphens/>
      </w:pPr>
    </w:p>
    <w:p w14:paraId="137F2F34" w14:textId="77777777" w:rsidR="003F7204" w:rsidRPr="003F7204" w:rsidRDefault="003F7204" w:rsidP="003F7204">
      <w:pPr>
        <w:pStyle w:val="titlebar"/>
        <w:rPr>
          <w:szCs w:val="26"/>
        </w:rPr>
      </w:pPr>
      <w:r>
        <w:rPr>
          <w:szCs w:val="26"/>
        </w:rPr>
        <w:t>PHASE I DECISION ON ORDER INSTITUTING RULEMAKING</w:t>
      </w:r>
      <w:r>
        <w:rPr>
          <w:szCs w:val="26"/>
        </w:rPr>
        <w:br/>
        <w:t>REGARDING THE PHYSICAL SECURITY OF</w:t>
      </w:r>
      <w:r>
        <w:rPr>
          <w:szCs w:val="26"/>
        </w:rPr>
        <w:br/>
        <w:t>ELECTRICAL CORPORATIONS</w:t>
      </w:r>
    </w:p>
    <w:p w14:paraId="1142A959" w14:textId="77777777" w:rsidR="003F7204" w:rsidRDefault="003F7204">
      <w:pPr>
        <w:suppressAutoHyphens/>
      </w:pPr>
    </w:p>
    <w:p w14:paraId="45676B70" w14:textId="77777777" w:rsidR="003F7204" w:rsidRDefault="003F7204">
      <w:pPr>
        <w:suppressAutoHyphens/>
      </w:pPr>
    </w:p>
    <w:p w14:paraId="2B9172B1" w14:textId="77777777" w:rsidR="000C76C6" w:rsidRDefault="000C76C6">
      <w:pPr>
        <w:sectPr w:rsidR="000C76C6">
          <w:headerReference w:type="default" r:id="rId12"/>
          <w:footerReference w:type="default" r:id="rId13"/>
          <w:footerReference w:type="first" r:id="rId14"/>
          <w:pgSz w:w="12240" w:h="15840" w:code="1"/>
          <w:pgMar w:top="1152" w:right="1440" w:bottom="1440" w:left="1440" w:header="720" w:footer="720" w:gutter="0"/>
          <w:pgNumType w:start="1"/>
          <w:cols w:space="720"/>
          <w:titlePg/>
        </w:sectPr>
      </w:pPr>
    </w:p>
    <w:p w14:paraId="05E9C353" w14:textId="77777777" w:rsidR="000C76C6" w:rsidRPr="00F87C91" w:rsidRDefault="00F87C91" w:rsidP="00F87C91">
      <w:pPr>
        <w:jc w:val="center"/>
        <w:rPr>
          <w:b/>
        </w:rPr>
      </w:pPr>
      <w:r>
        <w:rPr>
          <w:b/>
        </w:rPr>
        <w:lastRenderedPageBreak/>
        <w:t>TABLE OF CONTENTS</w:t>
      </w:r>
    </w:p>
    <w:p w14:paraId="73F70484" w14:textId="77777777" w:rsidR="00F87C91" w:rsidRDefault="00F87C91"/>
    <w:p w14:paraId="66753316" w14:textId="77777777" w:rsidR="00F87C91" w:rsidRPr="00F87C91" w:rsidRDefault="00F87C91">
      <w:pPr>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3935CC01" w14:textId="77777777" w:rsidR="00F87C91" w:rsidRDefault="00F87C91"/>
    <w:p w14:paraId="5FE00340" w14:textId="4B592E5A" w:rsidR="008C5F12" w:rsidRPr="00D84D77" w:rsidRDefault="0000712F" w:rsidP="008D57A3">
      <w:pPr>
        <w:pStyle w:val="TOC1"/>
        <w:rPr>
          <w:rFonts w:ascii="Calibri" w:eastAsia="MS Mincho" w:hAnsi="Calibri"/>
          <w:sz w:val="22"/>
          <w:szCs w:val="22"/>
        </w:rPr>
      </w:pPr>
      <w:r>
        <w:fldChar w:fldCharType="begin"/>
      </w:r>
      <w:r>
        <w:instrText xml:space="preserve"> TOC \h \z \t "Heading 1,2,Heading 2,3,Heading 3,4,Heading 4,5,main,1,mainex,1,dummy,1,Style Heading 1 + Before:  0 pt After:  0 pt Line spacing:  1.5 l...,1" </w:instrText>
      </w:r>
      <w:r>
        <w:fldChar w:fldCharType="separate"/>
      </w:r>
      <w:hyperlink w:anchor="_Toc529357775" w:history="1">
        <w:r w:rsidR="008C5F12" w:rsidRPr="00AE790A">
          <w:rPr>
            <w:rStyle w:val="Hyperlink"/>
          </w:rPr>
          <w:t>PHASE I DECISION ON ORDER INSTITUTING RULEMAKING REGARDING THE PHYSICAL SECURITY OF ELECTRICAL CORPORATIONS</w:t>
        </w:r>
        <w:r w:rsidR="008C5F12">
          <w:rPr>
            <w:webHidden/>
          </w:rPr>
          <w:tab/>
        </w:r>
        <w:r w:rsidR="008C5F12">
          <w:rPr>
            <w:webHidden/>
          </w:rPr>
          <w:fldChar w:fldCharType="begin"/>
        </w:r>
        <w:r w:rsidR="008C5F12">
          <w:rPr>
            <w:webHidden/>
          </w:rPr>
          <w:instrText xml:space="preserve"> PAGEREF _Toc529357775 \h </w:instrText>
        </w:r>
        <w:r w:rsidR="008C5F12">
          <w:rPr>
            <w:webHidden/>
          </w:rPr>
        </w:r>
        <w:r w:rsidR="008C5F12">
          <w:rPr>
            <w:webHidden/>
          </w:rPr>
          <w:fldChar w:fldCharType="separate"/>
        </w:r>
        <w:r w:rsidR="00096C93">
          <w:rPr>
            <w:webHidden/>
          </w:rPr>
          <w:t>2</w:t>
        </w:r>
        <w:r w:rsidR="008C5F12">
          <w:rPr>
            <w:webHidden/>
          </w:rPr>
          <w:fldChar w:fldCharType="end"/>
        </w:r>
      </w:hyperlink>
    </w:p>
    <w:p w14:paraId="2FE993A1" w14:textId="04EED648" w:rsidR="008C5F12" w:rsidRPr="00D84D77" w:rsidRDefault="00096C93">
      <w:pPr>
        <w:pStyle w:val="TOC2"/>
        <w:rPr>
          <w:rFonts w:ascii="Calibri" w:eastAsia="MS Mincho" w:hAnsi="Calibri"/>
          <w:sz w:val="22"/>
          <w:szCs w:val="22"/>
        </w:rPr>
      </w:pPr>
      <w:hyperlink w:anchor="_Toc529357776" w:history="1">
        <w:r w:rsidR="008C5F12" w:rsidRPr="00AE790A">
          <w:rPr>
            <w:rStyle w:val="Hyperlink"/>
          </w:rPr>
          <w:t>Summary</w:t>
        </w:r>
        <w:r w:rsidR="008C5F12">
          <w:rPr>
            <w:webHidden/>
          </w:rPr>
          <w:tab/>
        </w:r>
        <w:r w:rsidR="008C5F12">
          <w:rPr>
            <w:webHidden/>
          </w:rPr>
          <w:fldChar w:fldCharType="begin"/>
        </w:r>
        <w:r w:rsidR="008C5F12">
          <w:rPr>
            <w:webHidden/>
          </w:rPr>
          <w:instrText xml:space="preserve"> PAGEREF _Toc529357776 \h </w:instrText>
        </w:r>
        <w:r w:rsidR="008C5F12">
          <w:rPr>
            <w:webHidden/>
          </w:rPr>
        </w:r>
        <w:r w:rsidR="008C5F12">
          <w:rPr>
            <w:webHidden/>
          </w:rPr>
          <w:fldChar w:fldCharType="separate"/>
        </w:r>
        <w:r>
          <w:rPr>
            <w:webHidden/>
          </w:rPr>
          <w:t>2</w:t>
        </w:r>
        <w:r w:rsidR="008C5F12">
          <w:rPr>
            <w:webHidden/>
          </w:rPr>
          <w:fldChar w:fldCharType="end"/>
        </w:r>
      </w:hyperlink>
    </w:p>
    <w:p w14:paraId="2ED1581D" w14:textId="0FF9EC40" w:rsidR="008C5F12" w:rsidRPr="00D84D77" w:rsidRDefault="00096C93">
      <w:pPr>
        <w:pStyle w:val="TOC2"/>
        <w:rPr>
          <w:rFonts w:ascii="Calibri" w:eastAsia="MS Mincho" w:hAnsi="Calibri"/>
          <w:sz w:val="22"/>
          <w:szCs w:val="22"/>
        </w:rPr>
      </w:pPr>
      <w:hyperlink w:anchor="_Toc529357777" w:history="1">
        <w:r w:rsidR="008C5F12" w:rsidRPr="00AE790A">
          <w:rPr>
            <w:rStyle w:val="Hyperlink"/>
          </w:rPr>
          <w:t>1.  Factual Background</w:t>
        </w:r>
        <w:r w:rsidR="008C5F12">
          <w:rPr>
            <w:webHidden/>
          </w:rPr>
          <w:tab/>
        </w:r>
        <w:r w:rsidR="008C5F12">
          <w:rPr>
            <w:webHidden/>
          </w:rPr>
          <w:fldChar w:fldCharType="begin"/>
        </w:r>
        <w:r w:rsidR="008C5F12">
          <w:rPr>
            <w:webHidden/>
          </w:rPr>
          <w:instrText xml:space="preserve"> PAGEREF _Toc529357777 \h </w:instrText>
        </w:r>
        <w:r w:rsidR="008C5F12">
          <w:rPr>
            <w:webHidden/>
          </w:rPr>
        </w:r>
        <w:r w:rsidR="008C5F12">
          <w:rPr>
            <w:webHidden/>
          </w:rPr>
          <w:fldChar w:fldCharType="separate"/>
        </w:r>
        <w:r>
          <w:rPr>
            <w:webHidden/>
          </w:rPr>
          <w:t>3</w:t>
        </w:r>
        <w:r w:rsidR="008C5F12">
          <w:rPr>
            <w:webHidden/>
          </w:rPr>
          <w:fldChar w:fldCharType="end"/>
        </w:r>
      </w:hyperlink>
    </w:p>
    <w:p w14:paraId="302E1519" w14:textId="6F3901B8" w:rsidR="008C5F12" w:rsidRPr="00D84D77" w:rsidRDefault="00096C93">
      <w:pPr>
        <w:pStyle w:val="TOC3"/>
        <w:rPr>
          <w:rFonts w:ascii="Calibri" w:eastAsia="MS Mincho" w:hAnsi="Calibri"/>
          <w:sz w:val="22"/>
          <w:szCs w:val="22"/>
        </w:rPr>
      </w:pPr>
      <w:hyperlink w:anchor="_Toc529357778" w:history="1">
        <w:r w:rsidR="008C5F12" w:rsidRPr="00AE790A">
          <w:rPr>
            <w:rStyle w:val="Hyperlink"/>
          </w:rPr>
          <w:t>1.1.  Procedural Background</w:t>
        </w:r>
        <w:r w:rsidR="008C5F12">
          <w:rPr>
            <w:webHidden/>
          </w:rPr>
          <w:tab/>
        </w:r>
        <w:r w:rsidR="008C5F12">
          <w:rPr>
            <w:webHidden/>
          </w:rPr>
          <w:fldChar w:fldCharType="begin"/>
        </w:r>
        <w:r w:rsidR="008C5F12">
          <w:rPr>
            <w:webHidden/>
          </w:rPr>
          <w:instrText xml:space="preserve"> PAGEREF _Toc529357778 \h </w:instrText>
        </w:r>
        <w:r w:rsidR="008C5F12">
          <w:rPr>
            <w:webHidden/>
          </w:rPr>
        </w:r>
        <w:r w:rsidR="008C5F12">
          <w:rPr>
            <w:webHidden/>
          </w:rPr>
          <w:fldChar w:fldCharType="separate"/>
        </w:r>
        <w:r>
          <w:rPr>
            <w:webHidden/>
          </w:rPr>
          <w:t>5</w:t>
        </w:r>
        <w:r w:rsidR="008C5F12">
          <w:rPr>
            <w:webHidden/>
          </w:rPr>
          <w:fldChar w:fldCharType="end"/>
        </w:r>
      </w:hyperlink>
    </w:p>
    <w:p w14:paraId="72EC1B46" w14:textId="2932AFAC" w:rsidR="008C5F12" w:rsidRPr="00D84D77" w:rsidRDefault="00096C93">
      <w:pPr>
        <w:pStyle w:val="TOC2"/>
        <w:rPr>
          <w:rFonts w:ascii="Calibri" w:eastAsia="MS Mincho" w:hAnsi="Calibri"/>
          <w:sz w:val="22"/>
          <w:szCs w:val="22"/>
        </w:rPr>
      </w:pPr>
      <w:hyperlink w:anchor="_Toc529357779" w:history="1">
        <w:r w:rsidR="008C5F12" w:rsidRPr="00AE790A">
          <w:rPr>
            <w:rStyle w:val="Hyperlink"/>
          </w:rPr>
          <w:t>2.  Electric Physical Security Prior to Metcalf</w:t>
        </w:r>
        <w:r w:rsidR="008C5F12">
          <w:rPr>
            <w:webHidden/>
          </w:rPr>
          <w:tab/>
        </w:r>
        <w:r w:rsidR="008C5F12">
          <w:rPr>
            <w:webHidden/>
          </w:rPr>
          <w:fldChar w:fldCharType="begin"/>
        </w:r>
        <w:r w:rsidR="008C5F12">
          <w:rPr>
            <w:webHidden/>
          </w:rPr>
          <w:instrText xml:space="preserve"> PAGEREF _Toc529357779 \h </w:instrText>
        </w:r>
        <w:r w:rsidR="008C5F12">
          <w:rPr>
            <w:webHidden/>
          </w:rPr>
        </w:r>
        <w:r w:rsidR="008C5F12">
          <w:rPr>
            <w:webHidden/>
          </w:rPr>
          <w:fldChar w:fldCharType="separate"/>
        </w:r>
        <w:r>
          <w:rPr>
            <w:webHidden/>
          </w:rPr>
          <w:t>9</w:t>
        </w:r>
        <w:r w:rsidR="008C5F12">
          <w:rPr>
            <w:webHidden/>
          </w:rPr>
          <w:fldChar w:fldCharType="end"/>
        </w:r>
      </w:hyperlink>
    </w:p>
    <w:p w14:paraId="66DF394C" w14:textId="1A13EE07" w:rsidR="008C5F12" w:rsidRPr="00D84D77" w:rsidRDefault="00096C93">
      <w:pPr>
        <w:pStyle w:val="TOC2"/>
        <w:rPr>
          <w:rFonts w:ascii="Calibri" w:eastAsia="MS Mincho" w:hAnsi="Calibri"/>
          <w:sz w:val="22"/>
          <w:szCs w:val="22"/>
        </w:rPr>
      </w:pPr>
      <w:hyperlink w:anchor="_Toc529357780" w:history="1">
        <w:r w:rsidR="008C5F12" w:rsidRPr="00AE790A">
          <w:rPr>
            <w:rStyle w:val="Hyperlink"/>
          </w:rPr>
          <w:t>3.  Jurisdictional Issue</w:t>
        </w:r>
        <w:r w:rsidR="008C5F12">
          <w:rPr>
            <w:webHidden/>
          </w:rPr>
          <w:tab/>
        </w:r>
        <w:r w:rsidR="008C5F12">
          <w:rPr>
            <w:webHidden/>
          </w:rPr>
          <w:fldChar w:fldCharType="begin"/>
        </w:r>
        <w:r w:rsidR="008C5F12">
          <w:rPr>
            <w:webHidden/>
          </w:rPr>
          <w:instrText xml:space="preserve"> PAGEREF _Toc529357780 \h </w:instrText>
        </w:r>
        <w:r w:rsidR="008C5F12">
          <w:rPr>
            <w:webHidden/>
          </w:rPr>
        </w:r>
        <w:r w:rsidR="008C5F12">
          <w:rPr>
            <w:webHidden/>
          </w:rPr>
          <w:fldChar w:fldCharType="separate"/>
        </w:r>
        <w:r>
          <w:rPr>
            <w:webHidden/>
          </w:rPr>
          <w:t>10</w:t>
        </w:r>
        <w:r w:rsidR="008C5F12">
          <w:rPr>
            <w:webHidden/>
          </w:rPr>
          <w:fldChar w:fldCharType="end"/>
        </w:r>
      </w:hyperlink>
    </w:p>
    <w:p w14:paraId="1CA615F8" w14:textId="633F58AC" w:rsidR="008C5F12" w:rsidRPr="00D84D77" w:rsidRDefault="00096C93">
      <w:pPr>
        <w:pStyle w:val="TOC3"/>
        <w:rPr>
          <w:rFonts w:ascii="Calibri" w:eastAsia="MS Mincho" w:hAnsi="Calibri"/>
          <w:sz w:val="22"/>
          <w:szCs w:val="22"/>
        </w:rPr>
      </w:pPr>
      <w:hyperlink w:anchor="_Toc529357781" w:history="1">
        <w:r w:rsidR="008C5F12" w:rsidRPr="00AE790A">
          <w:rPr>
            <w:rStyle w:val="Hyperlink"/>
          </w:rPr>
          <w:t>3.1.  Position of CMUA, LADWP,  NRECA and SMUD</w:t>
        </w:r>
        <w:r w:rsidR="008C5F12">
          <w:rPr>
            <w:webHidden/>
          </w:rPr>
          <w:tab/>
        </w:r>
        <w:r w:rsidR="008C5F12">
          <w:rPr>
            <w:webHidden/>
          </w:rPr>
          <w:fldChar w:fldCharType="begin"/>
        </w:r>
        <w:r w:rsidR="008C5F12">
          <w:rPr>
            <w:webHidden/>
          </w:rPr>
          <w:instrText xml:space="preserve"> PAGEREF _Toc529357781 \h </w:instrText>
        </w:r>
        <w:r w:rsidR="008C5F12">
          <w:rPr>
            <w:webHidden/>
          </w:rPr>
        </w:r>
        <w:r w:rsidR="008C5F12">
          <w:rPr>
            <w:webHidden/>
          </w:rPr>
          <w:fldChar w:fldCharType="separate"/>
        </w:r>
        <w:r>
          <w:rPr>
            <w:webHidden/>
          </w:rPr>
          <w:t>11</w:t>
        </w:r>
        <w:r w:rsidR="008C5F12">
          <w:rPr>
            <w:webHidden/>
          </w:rPr>
          <w:fldChar w:fldCharType="end"/>
        </w:r>
      </w:hyperlink>
    </w:p>
    <w:p w14:paraId="2AA57A26" w14:textId="6AA08C61" w:rsidR="008C5F12" w:rsidRPr="00D84D77" w:rsidRDefault="00096C93">
      <w:pPr>
        <w:pStyle w:val="TOC3"/>
        <w:rPr>
          <w:rFonts w:ascii="Calibri" w:eastAsia="MS Mincho" w:hAnsi="Calibri"/>
          <w:sz w:val="22"/>
          <w:szCs w:val="22"/>
        </w:rPr>
      </w:pPr>
      <w:hyperlink w:anchor="_Toc529357782" w:history="1">
        <w:r w:rsidR="008C5F12" w:rsidRPr="00AE790A">
          <w:rPr>
            <w:rStyle w:val="Hyperlink"/>
          </w:rPr>
          <w:t xml:space="preserve">3.3.  Safety Policy Concerns Support Commission </w:t>
        </w:r>
        <w:r w:rsidR="006C5C5A">
          <w:rPr>
            <w:rStyle w:val="Hyperlink"/>
          </w:rPr>
          <w:br/>
        </w:r>
        <w:r w:rsidR="008C5F12" w:rsidRPr="00AE790A">
          <w:rPr>
            <w:rStyle w:val="Hyperlink"/>
          </w:rPr>
          <w:t>Jurisdiction by POUs in Phase I</w:t>
        </w:r>
        <w:r w:rsidR="008C5F12">
          <w:rPr>
            <w:webHidden/>
          </w:rPr>
          <w:tab/>
        </w:r>
        <w:r w:rsidR="008C5F12">
          <w:rPr>
            <w:webHidden/>
          </w:rPr>
          <w:fldChar w:fldCharType="begin"/>
        </w:r>
        <w:r w:rsidR="008C5F12">
          <w:rPr>
            <w:webHidden/>
          </w:rPr>
          <w:instrText xml:space="preserve"> PAGEREF _Toc529357782 \h </w:instrText>
        </w:r>
        <w:r w:rsidR="008C5F12">
          <w:rPr>
            <w:webHidden/>
          </w:rPr>
        </w:r>
        <w:r w:rsidR="008C5F12">
          <w:rPr>
            <w:webHidden/>
          </w:rPr>
          <w:fldChar w:fldCharType="separate"/>
        </w:r>
        <w:r>
          <w:rPr>
            <w:webHidden/>
          </w:rPr>
          <w:t>19</w:t>
        </w:r>
        <w:r w:rsidR="008C5F12">
          <w:rPr>
            <w:webHidden/>
          </w:rPr>
          <w:fldChar w:fldCharType="end"/>
        </w:r>
      </w:hyperlink>
    </w:p>
    <w:p w14:paraId="294BE058" w14:textId="7095C72F" w:rsidR="008C5F12" w:rsidRPr="00D84D77" w:rsidRDefault="00096C93">
      <w:pPr>
        <w:pStyle w:val="TOC3"/>
        <w:rPr>
          <w:rFonts w:ascii="Calibri" w:eastAsia="MS Mincho" w:hAnsi="Calibri"/>
          <w:sz w:val="22"/>
          <w:szCs w:val="22"/>
        </w:rPr>
      </w:pPr>
      <w:hyperlink w:anchor="_Toc529357783" w:history="1">
        <w:r w:rsidR="008C5F12" w:rsidRPr="00AE790A">
          <w:rPr>
            <w:rStyle w:val="Hyperlink"/>
          </w:rPr>
          <w:t>3.4.  Phase II Jurisdiction</w:t>
        </w:r>
        <w:r w:rsidR="008C5F12">
          <w:rPr>
            <w:webHidden/>
          </w:rPr>
          <w:tab/>
        </w:r>
        <w:r w:rsidR="008C5F12">
          <w:rPr>
            <w:webHidden/>
          </w:rPr>
          <w:fldChar w:fldCharType="begin"/>
        </w:r>
        <w:r w:rsidR="008C5F12">
          <w:rPr>
            <w:webHidden/>
          </w:rPr>
          <w:instrText xml:space="preserve"> PAGEREF _Toc529357783 \h </w:instrText>
        </w:r>
        <w:r w:rsidR="008C5F12">
          <w:rPr>
            <w:webHidden/>
          </w:rPr>
        </w:r>
        <w:r w:rsidR="008C5F12">
          <w:rPr>
            <w:webHidden/>
          </w:rPr>
          <w:fldChar w:fldCharType="separate"/>
        </w:r>
        <w:r>
          <w:rPr>
            <w:webHidden/>
          </w:rPr>
          <w:t>22</w:t>
        </w:r>
        <w:r w:rsidR="008C5F12">
          <w:rPr>
            <w:webHidden/>
          </w:rPr>
          <w:fldChar w:fldCharType="end"/>
        </w:r>
      </w:hyperlink>
    </w:p>
    <w:p w14:paraId="5EEA4FF5" w14:textId="67B2E646" w:rsidR="008C5F12" w:rsidRPr="00D84D77" w:rsidRDefault="00096C93">
      <w:pPr>
        <w:pStyle w:val="TOC2"/>
        <w:rPr>
          <w:rFonts w:ascii="Calibri" w:eastAsia="MS Mincho" w:hAnsi="Calibri"/>
          <w:sz w:val="22"/>
          <w:szCs w:val="22"/>
        </w:rPr>
      </w:pPr>
      <w:hyperlink w:anchor="_Toc529357784" w:history="1">
        <w:r w:rsidR="008C5F12" w:rsidRPr="00AE790A">
          <w:rPr>
            <w:rStyle w:val="Hyperlink"/>
          </w:rPr>
          <w:t>4.  The Joint Utility Proposal</w:t>
        </w:r>
        <w:r w:rsidR="008C5F12">
          <w:rPr>
            <w:webHidden/>
          </w:rPr>
          <w:tab/>
        </w:r>
        <w:r w:rsidR="008C5F12">
          <w:rPr>
            <w:webHidden/>
          </w:rPr>
          <w:fldChar w:fldCharType="begin"/>
        </w:r>
        <w:r w:rsidR="008C5F12">
          <w:rPr>
            <w:webHidden/>
          </w:rPr>
          <w:instrText xml:space="preserve"> PAGEREF _Toc529357784 \h </w:instrText>
        </w:r>
        <w:r w:rsidR="008C5F12">
          <w:rPr>
            <w:webHidden/>
          </w:rPr>
        </w:r>
        <w:r w:rsidR="008C5F12">
          <w:rPr>
            <w:webHidden/>
          </w:rPr>
          <w:fldChar w:fldCharType="separate"/>
        </w:r>
        <w:r>
          <w:rPr>
            <w:webHidden/>
          </w:rPr>
          <w:t>23</w:t>
        </w:r>
        <w:r w:rsidR="008C5F12">
          <w:rPr>
            <w:webHidden/>
          </w:rPr>
          <w:fldChar w:fldCharType="end"/>
        </w:r>
      </w:hyperlink>
    </w:p>
    <w:p w14:paraId="5E0A487D" w14:textId="0BEB70AA" w:rsidR="008C5F12" w:rsidRPr="00D84D77" w:rsidRDefault="00096C93">
      <w:pPr>
        <w:pStyle w:val="TOC3"/>
        <w:rPr>
          <w:rFonts w:ascii="Calibri" w:eastAsia="MS Mincho" w:hAnsi="Calibri"/>
          <w:sz w:val="22"/>
          <w:szCs w:val="22"/>
        </w:rPr>
      </w:pPr>
      <w:hyperlink w:anchor="_Toc529357785" w:history="1">
        <w:r w:rsidR="008C5F12" w:rsidRPr="00AE790A">
          <w:rPr>
            <w:rStyle w:val="Hyperlink"/>
          </w:rPr>
          <w:t>4.1.  Identification</w:t>
        </w:r>
        <w:r w:rsidR="008C5F12">
          <w:rPr>
            <w:webHidden/>
          </w:rPr>
          <w:tab/>
        </w:r>
        <w:r w:rsidR="008C5F12">
          <w:rPr>
            <w:webHidden/>
          </w:rPr>
          <w:fldChar w:fldCharType="begin"/>
        </w:r>
        <w:r w:rsidR="008C5F12">
          <w:rPr>
            <w:webHidden/>
          </w:rPr>
          <w:instrText xml:space="preserve"> PAGEREF _Toc529357785 \h </w:instrText>
        </w:r>
        <w:r w:rsidR="008C5F12">
          <w:rPr>
            <w:webHidden/>
          </w:rPr>
        </w:r>
        <w:r w:rsidR="008C5F12">
          <w:rPr>
            <w:webHidden/>
          </w:rPr>
          <w:fldChar w:fldCharType="separate"/>
        </w:r>
        <w:r>
          <w:rPr>
            <w:webHidden/>
          </w:rPr>
          <w:t>24</w:t>
        </w:r>
        <w:r w:rsidR="008C5F12">
          <w:rPr>
            <w:webHidden/>
          </w:rPr>
          <w:fldChar w:fldCharType="end"/>
        </w:r>
      </w:hyperlink>
    </w:p>
    <w:p w14:paraId="4B8BBF1F" w14:textId="377AFDE6" w:rsidR="008C5F12" w:rsidRPr="00D84D77" w:rsidRDefault="00096C93">
      <w:pPr>
        <w:pStyle w:val="TOC3"/>
        <w:rPr>
          <w:rFonts w:ascii="Calibri" w:eastAsia="MS Mincho" w:hAnsi="Calibri"/>
          <w:sz w:val="22"/>
          <w:szCs w:val="22"/>
        </w:rPr>
      </w:pPr>
      <w:hyperlink w:anchor="_Toc529357786" w:history="1">
        <w:r w:rsidR="008C5F12" w:rsidRPr="00AE790A">
          <w:rPr>
            <w:rStyle w:val="Hyperlink"/>
          </w:rPr>
          <w:t>4.2.  Assessment</w:t>
        </w:r>
        <w:r w:rsidR="008C5F12">
          <w:rPr>
            <w:webHidden/>
          </w:rPr>
          <w:tab/>
        </w:r>
        <w:r w:rsidR="008C5F12">
          <w:rPr>
            <w:webHidden/>
          </w:rPr>
          <w:fldChar w:fldCharType="begin"/>
        </w:r>
        <w:r w:rsidR="008C5F12">
          <w:rPr>
            <w:webHidden/>
          </w:rPr>
          <w:instrText xml:space="preserve"> PAGEREF _Toc529357786 \h </w:instrText>
        </w:r>
        <w:r w:rsidR="008C5F12">
          <w:rPr>
            <w:webHidden/>
          </w:rPr>
        </w:r>
        <w:r w:rsidR="008C5F12">
          <w:rPr>
            <w:webHidden/>
          </w:rPr>
          <w:fldChar w:fldCharType="separate"/>
        </w:r>
        <w:r>
          <w:rPr>
            <w:webHidden/>
          </w:rPr>
          <w:t>26</w:t>
        </w:r>
        <w:r w:rsidR="008C5F12">
          <w:rPr>
            <w:webHidden/>
          </w:rPr>
          <w:fldChar w:fldCharType="end"/>
        </w:r>
      </w:hyperlink>
    </w:p>
    <w:p w14:paraId="4B2FEEB0" w14:textId="3B969EBD" w:rsidR="008C5F12" w:rsidRPr="00D84D77" w:rsidRDefault="00096C93">
      <w:pPr>
        <w:pStyle w:val="TOC3"/>
        <w:rPr>
          <w:rFonts w:ascii="Calibri" w:eastAsia="MS Mincho" w:hAnsi="Calibri"/>
          <w:sz w:val="22"/>
          <w:szCs w:val="22"/>
        </w:rPr>
      </w:pPr>
      <w:hyperlink w:anchor="_Toc529357787" w:history="1">
        <w:r w:rsidR="008C5F12" w:rsidRPr="00AE790A">
          <w:rPr>
            <w:rStyle w:val="Hyperlink"/>
          </w:rPr>
          <w:t>4.3.  Mitigation Plan</w:t>
        </w:r>
        <w:r w:rsidR="008C5F12">
          <w:rPr>
            <w:webHidden/>
          </w:rPr>
          <w:tab/>
        </w:r>
        <w:r w:rsidR="008C5F12">
          <w:rPr>
            <w:webHidden/>
          </w:rPr>
          <w:fldChar w:fldCharType="begin"/>
        </w:r>
        <w:r w:rsidR="008C5F12">
          <w:rPr>
            <w:webHidden/>
          </w:rPr>
          <w:instrText xml:space="preserve"> PAGEREF _Toc529357787 \h </w:instrText>
        </w:r>
        <w:r w:rsidR="008C5F12">
          <w:rPr>
            <w:webHidden/>
          </w:rPr>
        </w:r>
        <w:r w:rsidR="008C5F12">
          <w:rPr>
            <w:webHidden/>
          </w:rPr>
          <w:fldChar w:fldCharType="separate"/>
        </w:r>
        <w:r>
          <w:rPr>
            <w:webHidden/>
          </w:rPr>
          <w:t>27</w:t>
        </w:r>
        <w:r w:rsidR="008C5F12">
          <w:rPr>
            <w:webHidden/>
          </w:rPr>
          <w:fldChar w:fldCharType="end"/>
        </w:r>
      </w:hyperlink>
    </w:p>
    <w:p w14:paraId="08E4BB65" w14:textId="2AC23C23" w:rsidR="008C5F12" w:rsidRPr="00D84D77" w:rsidRDefault="00096C93">
      <w:pPr>
        <w:pStyle w:val="TOC3"/>
        <w:rPr>
          <w:rFonts w:ascii="Calibri" w:eastAsia="MS Mincho" w:hAnsi="Calibri"/>
          <w:sz w:val="22"/>
          <w:szCs w:val="22"/>
        </w:rPr>
      </w:pPr>
      <w:hyperlink w:anchor="_Toc529357788" w:history="1">
        <w:r w:rsidR="008C5F12" w:rsidRPr="00AE790A">
          <w:rPr>
            <w:rStyle w:val="Hyperlink"/>
          </w:rPr>
          <w:t>4.4.  Verification</w:t>
        </w:r>
        <w:r w:rsidR="008C5F12">
          <w:rPr>
            <w:webHidden/>
          </w:rPr>
          <w:tab/>
        </w:r>
        <w:r w:rsidR="008C5F12">
          <w:rPr>
            <w:webHidden/>
          </w:rPr>
          <w:fldChar w:fldCharType="begin"/>
        </w:r>
        <w:r w:rsidR="008C5F12">
          <w:rPr>
            <w:webHidden/>
          </w:rPr>
          <w:instrText xml:space="preserve"> PAGEREF _Toc529357788 \h </w:instrText>
        </w:r>
        <w:r w:rsidR="008C5F12">
          <w:rPr>
            <w:webHidden/>
          </w:rPr>
        </w:r>
        <w:r w:rsidR="008C5F12">
          <w:rPr>
            <w:webHidden/>
          </w:rPr>
          <w:fldChar w:fldCharType="separate"/>
        </w:r>
        <w:r>
          <w:rPr>
            <w:webHidden/>
          </w:rPr>
          <w:t>28</w:t>
        </w:r>
        <w:r w:rsidR="008C5F12">
          <w:rPr>
            <w:webHidden/>
          </w:rPr>
          <w:fldChar w:fldCharType="end"/>
        </w:r>
      </w:hyperlink>
    </w:p>
    <w:p w14:paraId="49F5C2EB" w14:textId="74DD2110" w:rsidR="008C5F12" w:rsidRPr="00D84D77" w:rsidRDefault="00096C93">
      <w:pPr>
        <w:pStyle w:val="TOC3"/>
        <w:rPr>
          <w:rFonts w:ascii="Calibri" w:eastAsia="MS Mincho" w:hAnsi="Calibri"/>
          <w:sz w:val="22"/>
          <w:szCs w:val="22"/>
        </w:rPr>
      </w:pPr>
      <w:hyperlink w:anchor="_Toc529357789" w:history="1">
        <w:r w:rsidR="008C5F12" w:rsidRPr="00AE790A">
          <w:rPr>
            <w:rStyle w:val="Hyperlink"/>
          </w:rPr>
          <w:t>4.5.  Records</w:t>
        </w:r>
        <w:r w:rsidR="008C5F12">
          <w:rPr>
            <w:webHidden/>
          </w:rPr>
          <w:tab/>
        </w:r>
        <w:r w:rsidR="008C5F12">
          <w:rPr>
            <w:webHidden/>
          </w:rPr>
          <w:fldChar w:fldCharType="begin"/>
        </w:r>
        <w:r w:rsidR="008C5F12">
          <w:rPr>
            <w:webHidden/>
          </w:rPr>
          <w:instrText xml:space="preserve"> PAGEREF _Toc529357789 \h </w:instrText>
        </w:r>
        <w:r w:rsidR="008C5F12">
          <w:rPr>
            <w:webHidden/>
          </w:rPr>
        </w:r>
        <w:r w:rsidR="008C5F12">
          <w:rPr>
            <w:webHidden/>
          </w:rPr>
          <w:fldChar w:fldCharType="separate"/>
        </w:r>
        <w:r>
          <w:rPr>
            <w:webHidden/>
          </w:rPr>
          <w:t>29</w:t>
        </w:r>
        <w:r w:rsidR="008C5F12">
          <w:rPr>
            <w:webHidden/>
          </w:rPr>
          <w:fldChar w:fldCharType="end"/>
        </w:r>
      </w:hyperlink>
    </w:p>
    <w:p w14:paraId="7443982B" w14:textId="47C49E2D" w:rsidR="008C5F12" w:rsidRPr="00D84D77" w:rsidRDefault="00096C93">
      <w:pPr>
        <w:pStyle w:val="TOC3"/>
        <w:rPr>
          <w:rFonts w:ascii="Calibri" w:eastAsia="MS Mincho" w:hAnsi="Calibri"/>
          <w:sz w:val="22"/>
          <w:szCs w:val="22"/>
        </w:rPr>
      </w:pPr>
      <w:hyperlink w:anchor="_Toc529357790" w:history="1">
        <w:r w:rsidR="008C5F12" w:rsidRPr="00AE790A">
          <w:rPr>
            <w:rStyle w:val="Hyperlink"/>
          </w:rPr>
          <w:t>4.6.  Timelines and Frequency</w:t>
        </w:r>
        <w:r w:rsidR="008C5F12">
          <w:rPr>
            <w:webHidden/>
          </w:rPr>
          <w:tab/>
        </w:r>
        <w:r w:rsidR="008C5F12">
          <w:rPr>
            <w:webHidden/>
          </w:rPr>
          <w:fldChar w:fldCharType="begin"/>
        </w:r>
        <w:r w:rsidR="008C5F12">
          <w:rPr>
            <w:webHidden/>
          </w:rPr>
          <w:instrText xml:space="preserve"> PAGEREF _Toc529357790 \h </w:instrText>
        </w:r>
        <w:r w:rsidR="008C5F12">
          <w:rPr>
            <w:webHidden/>
          </w:rPr>
        </w:r>
        <w:r w:rsidR="008C5F12">
          <w:rPr>
            <w:webHidden/>
          </w:rPr>
          <w:fldChar w:fldCharType="separate"/>
        </w:r>
        <w:r>
          <w:rPr>
            <w:webHidden/>
          </w:rPr>
          <w:t>30</w:t>
        </w:r>
        <w:r w:rsidR="008C5F12">
          <w:rPr>
            <w:webHidden/>
          </w:rPr>
          <w:fldChar w:fldCharType="end"/>
        </w:r>
      </w:hyperlink>
    </w:p>
    <w:p w14:paraId="6031B1EA" w14:textId="2DB8D8AA" w:rsidR="008C5F12" w:rsidRPr="00D84D77" w:rsidRDefault="00096C93">
      <w:pPr>
        <w:pStyle w:val="TOC3"/>
        <w:rPr>
          <w:rFonts w:ascii="Calibri" w:eastAsia="MS Mincho" w:hAnsi="Calibri"/>
          <w:sz w:val="22"/>
          <w:szCs w:val="22"/>
        </w:rPr>
      </w:pPr>
      <w:hyperlink w:anchor="_Toc529357791" w:history="1">
        <w:r w:rsidR="008C5F12" w:rsidRPr="00AE790A">
          <w:rPr>
            <w:rStyle w:val="Hyperlink"/>
          </w:rPr>
          <w:t>4.7.  Cost</w:t>
        </w:r>
        <w:r w:rsidR="008C5F12">
          <w:rPr>
            <w:webHidden/>
          </w:rPr>
          <w:tab/>
        </w:r>
        <w:r w:rsidR="008C5F12">
          <w:rPr>
            <w:webHidden/>
          </w:rPr>
          <w:fldChar w:fldCharType="begin"/>
        </w:r>
        <w:r w:rsidR="008C5F12">
          <w:rPr>
            <w:webHidden/>
          </w:rPr>
          <w:instrText xml:space="preserve"> PAGEREF _Toc529357791 \h </w:instrText>
        </w:r>
        <w:r w:rsidR="008C5F12">
          <w:rPr>
            <w:webHidden/>
          </w:rPr>
        </w:r>
        <w:r w:rsidR="008C5F12">
          <w:rPr>
            <w:webHidden/>
          </w:rPr>
          <w:fldChar w:fldCharType="separate"/>
        </w:r>
        <w:r>
          <w:rPr>
            <w:webHidden/>
          </w:rPr>
          <w:t>30</w:t>
        </w:r>
        <w:r w:rsidR="008C5F12">
          <w:rPr>
            <w:webHidden/>
          </w:rPr>
          <w:fldChar w:fldCharType="end"/>
        </w:r>
      </w:hyperlink>
    </w:p>
    <w:p w14:paraId="6D83476E" w14:textId="442A186A" w:rsidR="008C5F12" w:rsidRPr="00D84D77" w:rsidRDefault="00096C93">
      <w:pPr>
        <w:pStyle w:val="TOC2"/>
        <w:rPr>
          <w:rFonts w:ascii="Calibri" w:eastAsia="MS Mincho" w:hAnsi="Calibri"/>
          <w:sz w:val="22"/>
          <w:szCs w:val="22"/>
        </w:rPr>
      </w:pPr>
      <w:hyperlink w:anchor="_Toc529357792" w:history="1">
        <w:r w:rsidR="008C5F12" w:rsidRPr="00AE790A">
          <w:rPr>
            <w:rStyle w:val="Hyperlink"/>
          </w:rPr>
          <w:t xml:space="preserve">5.  SED RASA Staff Evaluation of Joint Utility Proposal,  </w:t>
        </w:r>
        <w:r w:rsidR="006C5C5A">
          <w:rPr>
            <w:rStyle w:val="Hyperlink"/>
          </w:rPr>
          <w:br/>
        </w:r>
        <w:r w:rsidR="008C5F12" w:rsidRPr="00AE790A">
          <w:rPr>
            <w:rStyle w:val="Hyperlink"/>
          </w:rPr>
          <w:t>Security Plan Element and SED RASA Recommendations</w:t>
        </w:r>
        <w:r w:rsidR="008C5F12">
          <w:rPr>
            <w:webHidden/>
          </w:rPr>
          <w:tab/>
        </w:r>
        <w:r w:rsidR="008C5F12">
          <w:rPr>
            <w:webHidden/>
          </w:rPr>
          <w:fldChar w:fldCharType="begin"/>
        </w:r>
        <w:r w:rsidR="008C5F12">
          <w:rPr>
            <w:webHidden/>
          </w:rPr>
          <w:instrText xml:space="preserve"> PAGEREF _Toc529357792 \h </w:instrText>
        </w:r>
        <w:r w:rsidR="008C5F12">
          <w:rPr>
            <w:webHidden/>
          </w:rPr>
        </w:r>
        <w:r w:rsidR="008C5F12">
          <w:rPr>
            <w:webHidden/>
          </w:rPr>
          <w:fldChar w:fldCharType="separate"/>
        </w:r>
        <w:r>
          <w:rPr>
            <w:webHidden/>
          </w:rPr>
          <w:t>31</w:t>
        </w:r>
        <w:r w:rsidR="008C5F12">
          <w:rPr>
            <w:webHidden/>
          </w:rPr>
          <w:fldChar w:fldCharType="end"/>
        </w:r>
      </w:hyperlink>
    </w:p>
    <w:p w14:paraId="6058369A" w14:textId="1B527FD2" w:rsidR="008C5F12" w:rsidRPr="00D84D77" w:rsidRDefault="00096C93">
      <w:pPr>
        <w:pStyle w:val="TOC2"/>
        <w:rPr>
          <w:rFonts w:ascii="Calibri" w:eastAsia="MS Mincho" w:hAnsi="Calibri"/>
          <w:sz w:val="22"/>
          <w:szCs w:val="22"/>
        </w:rPr>
      </w:pPr>
      <w:hyperlink w:anchor="_Toc529357793" w:history="1">
        <w:r w:rsidR="008C5F12" w:rsidRPr="00AE790A">
          <w:rPr>
            <w:rStyle w:val="Hyperlink"/>
          </w:rPr>
          <w:t>6.  Guiding Principles of California  Electric Physical Security</w:t>
        </w:r>
        <w:r w:rsidR="008C5F12">
          <w:rPr>
            <w:webHidden/>
          </w:rPr>
          <w:tab/>
        </w:r>
        <w:r w:rsidR="008C5F12">
          <w:rPr>
            <w:webHidden/>
          </w:rPr>
          <w:fldChar w:fldCharType="begin"/>
        </w:r>
        <w:r w:rsidR="008C5F12">
          <w:rPr>
            <w:webHidden/>
          </w:rPr>
          <w:instrText xml:space="preserve"> PAGEREF _Toc529357793 \h </w:instrText>
        </w:r>
        <w:r w:rsidR="008C5F12">
          <w:rPr>
            <w:webHidden/>
          </w:rPr>
        </w:r>
        <w:r w:rsidR="008C5F12">
          <w:rPr>
            <w:webHidden/>
          </w:rPr>
          <w:fldChar w:fldCharType="separate"/>
        </w:r>
        <w:r>
          <w:rPr>
            <w:webHidden/>
          </w:rPr>
          <w:t>32</w:t>
        </w:r>
        <w:r w:rsidR="008C5F12">
          <w:rPr>
            <w:webHidden/>
          </w:rPr>
          <w:fldChar w:fldCharType="end"/>
        </w:r>
      </w:hyperlink>
    </w:p>
    <w:p w14:paraId="3333A4A9" w14:textId="30C37008" w:rsidR="008C5F12" w:rsidRPr="00D84D77" w:rsidRDefault="00096C93">
      <w:pPr>
        <w:pStyle w:val="TOC3"/>
        <w:tabs>
          <w:tab w:val="left" w:pos="3060"/>
        </w:tabs>
        <w:rPr>
          <w:rFonts w:ascii="Calibri" w:eastAsia="MS Mincho" w:hAnsi="Calibri"/>
          <w:sz w:val="22"/>
          <w:szCs w:val="22"/>
        </w:rPr>
      </w:pPr>
      <w:hyperlink w:anchor="_Toc529357794" w:history="1">
        <w:r w:rsidR="008C5F12" w:rsidRPr="00AE790A">
          <w:rPr>
            <w:rStyle w:val="Hyperlink"/>
          </w:rPr>
          <w:t>6.1.</w:t>
        </w:r>
        <w:r w:rsidR="008C5F12" w:rsidRPr="00D84D77">
          <w:rPr>
            <w:rFonts w:ascii="Calibri" w:eastAsia="MS Mincho" w:hAnsi="Calibri"/>
            <w:sz w:val="22"/>
            <w:szCs w:val="22"/>
          </w:rPr>
          <w:tab/>
        </w:r>
        <w:r w:rsidR="008C5F12" w:rsidRPr="00AE790A">
          <w:rPr>
            <w:rStyle w:val="Hyperlink"/>
          </w:rPr>
          <w:t>Six-Step Procedure to Address Utilities’ Distribution Assets</w:t>
        </w:r>
        <w:r w:rsidR="008C5F12">
          <w:rPr>
            <w:webHidden/>
          </w:rPr>
          <w:tab/>
        </w:r>
        <w:r w:rsidR="008C5F12">
          <w:rPr>
            <w:webHidden/>
          </w:rPr>
          <w:fldChar w:fldCharType="begin"/>
        </w:r>
        <w:r w:rsidR="008C5F12">
          <w:rPr>
            <w:webHidden/>
          </w:rPr>
          <w:instrText xml:space="preserve"> PAGEREF _Toc529357794 \h </w:instrText>
        </w:r>
        <w:r w:rsidR="008C5F12">
          <w:rPr>
            <w:webHidden/>
          </w:rPr>
        </w:r>
        <w:r w:rsidR="008C5F12">
          <w:rPr>
            <w:webHidden/>
          </w:rPr>
          <w:fldChar w:fldCharType="separate"/>
        </w:r>
        <w:r>
          <w:rPr>
            <w:webHidden/>
          </w:rPr>
          <w:t>32</w:t>
        </w:r>
        <w:r w:rsidR="008C5F12">
          <w:rPr>
            <w:webHidden/>
          </w:rPr>
          <w:fldChar w:fldCharType="end"/>
        </w:r>
      </w:hyperlink>
    </w:p>
    <w:p w14:paraId="5F40C4C1" w14:textId="37D7591F" w:rsidR="008C5F12" w:rsidRPr="00D84D77" w:rsidRDefault="00096C93">
      <w:pPr>
        <w:pStyle w:val="TOC3"/>
        <w:rPr>
          <w:rFonts w:ascii="Calibri" w:eastAsia="MS Mincho" w:hAnsi="Calibri"/>
          <w:sz w:val="22"/>
          <w:szCs w:val="22"/>
        </w:rPr>
      </w:pPr>
      <w:hyperlink w:anchor="_Toc529357795" w:history="1">
        <w:r w:rsidR="008C5F12" w:rsidRPr="00AE790A">
          <w:rPr>
            <w:rStyle w:val="Hyperlink"/>
          </w:rPr>
          <w:t>6.2.  Additional Requirements for Mitigation Plans</w:t>
        </w:r>
        <w:r w:rsidR="008C5F12">
          <w:rPr>
            <w:webHidden/>
          </w:rPr>
          <w:tab/>
        </w:r>
        <w:r w:rsidR="008C5F12">
          <w:rPr>
            <w:webHidden/>
          </w:rPr>
          <w:fldChar w:fldCharType="begin"/>
        </w:r>
        <w:r w:rsidR="008C5F12">
          <w:rPr>
            <w:webHidden/>
          </w:rPr>
          <w:instrText xml:space="preserve"> PAGEREF _Toc529357795 \h </w:instrText>
        </w:r>
        <w:r w:rsidR="008C5F12">
          <w:rPr>
            <w:webHidden/>
          </w:rPr>
        </w:r>
        <w:r w:rsidR="008C5F12">
          <w:rPr>
            <w:webHidden/>
          </w:rPr>
          <w:fldChar w:fldCharType="separate"/>
        </w:r>
        <w:r>
          <w:rPr>
            <w:webHidden/>
          </w:rPr>
          <w:t>34</w:t>
        </w:r>
        <w:r w:rsidR="008C5F12">
          <w:rPr>
            <w:webHidden/>
          </w:rPr>
          <w:fldChar w:fldCharType="end"/>
        </w:r>
      </w:hyperlink>
    </w:p>
    <w:p w14:paraId="52C90664" w14:textId="25A61EA3" w:rsidR="008C5F12" w:rsidRPr="00D84D77" w:rsidRDefault="00096C93">
      <w:pPr>
        <w:pStyle w:val="TOC4"/>
        <w:rPr>
          <w:rFonts w:ascii="Calibri" w:eastAsia="MS Mincho" w:hAnsi="Calibri"/>
          <w:noProof/>
          <w:sz w:val="22"/>
          <w:szCs w:val="22"/>
        </w:rPr>
      </w:pPr>
      <w:hyperlink w:anchor="_Toc529357796" w:history="1">
        <w:r w:rsidR="008C5F12" w:rsidRPr="00AE790A">
          <w:rPr>
            <w:rStyle w:val="Hyperlink"/>
            <w:noProof/>
          </w:rPr>
          <w:t>6.2.1.  Additional Optional Requirements for Mitigation Plans</w:t>
        </w:r>
        <w:r w:rsidR="008C5F12">
          <w:rPr>
            <w:noProof/>
            <w:webHidden/>
          </w:rPr>
          <w:tab/>
        </w:r>
        <w:r w:rsidR="008C5F12">
          <w:rPr>
            <w:noProof/>
            <w:webHidden/>
          </w:rPr>
          <w:fldChar w:fldCharType="begin"/>
        </w:r>
        <w:r w:rsidR="008C5F12">
          <w:rPr>
            <w:noProof/>
            <w:webHidden/>
          </w:rPr>
          <w:instrText xml:space="preserve"> PAGEREF _Toc529357796 \h </w:instrText>
        </w:r>
        <w:r w:rsidR="008C5F12">
          <w:rPr>
            <w:noProof/>
            <w:webHidden/>
          </w:rPr>
        </w:r>
        <w:r w:rsidR="008C5F12">
          <w:rPr>
            <w:noProof/>
            <w:webHidden/>
          </w:rPr>
          <w:fldChar w:fldCharType="separate"/>
        </w:r>
        <w:r>
          <w:rPr>
            <w:noProof/>
            <w:webHidden/>
          </w:rPr>
          <w:t>35</w:t>
        </w:r>
        <w:r w:rsidR="008C5F12">
          <w:rPr>
            <w:noProof/>
            <w:webHidden/>
          </w:rPr>
          <w:fldChar w:fldCharType="end"/>
        </w:r>
      </w:hyperlink>
    </w:p>
    <w:p w14:paraId="050701D9" w14:textId="2B13B2C3" w:rsidR="008C5F12" w:rsidRPr="00D84D77" w:rsidRDefault="00096C93">
      <w:pPr>
        <w:pStyle w:val="TOC3"/>
        <w:rPr>
          <w:rFonts w:ascii="Calibri" w:eastAsia="MS Mincho" w:hAnsi="Calibri"/>
          <w:sz w:val="22"/>
          <w:szCs w:val="22"/>
        </w:rPr>
      </w:pPr>
      <w:hyperlink w:anchor="_Toc529357797" w:history="1">
        <w:r w:rsidR="008C5F12" w:rsidRPr="00AE790A">
          <w:rPr>
            <w:rStyle w:val="Hyperlink"/>
          </w:rPr>
          <w:t>6.3.  Third-Party Verification</w:t>
        </w:r>
        <w:r w:rsidR="008C5F12">
          <w:rPr>
            <w:webHidden/>
          </w:rPr>
          <w:tab/>
        </w:r>
        <w:r w:rsidR="008C5F12">
          <w:rPr>
            <w:webHidden/>
          </w:rPr>
          <w:fldChar w:fldCharType="begin"/>
        </w:r>
        <w:r w:rsidR="008C5F12">
          <w:rPr>
            <w:webHidden/>
          </w:rPr>
          <w:instrText xml:space="preserve"> PAGEREF _Toc529357797 \h </w:instrText>
        </w:r>
        <w:r w:rsidR="008C5F12">
          <w:rPr>
            <w:webHidden/>
          </w:rPr>
        </w:r>
        <w:r w:rsidR="008C5F12">
          <w:rPr>
            <w:webHidden/>
          </w:rPr>
          <w:fldChar w:fldCharType="separate"/>
        </w:r>
        <w:r>
          <w:rPr>
            <w:webHidden/>
          </w:rPr>
          <w:t>36</w:t>
        </w:r>
        <w:r w:rsidR="008C5F12">
          <w:rPr>
            <w:webHidden/>
          </w:rPr>
          <w:fldChar w:fldCharType="end"/>
        </w:r>
      </w:hyperlink>
    </w:p>
    <w:p w14:paraId="78DE9B4D" w14:textId="413CF0D8" w:rsidR="008C5F12" w:rsidRPr="00D84D77" w:rsidRDefault="00096C93">
      <w:pPr>
        <w:pStyle w:val="TOC3"/>
        <w:rPr>
          <w:rFonts w:ascii="Calibri" w:eastAsia="MS Mincho" w:hAnsi="Calibri"/>
          <w:sz w:val="22"/>
          <w:szCs w:val="22"/>
        </w:rPr>
      </w:pPr>
      <w:hyperlink w:anchor="_Toc529357798" w:history="1">
        <w:r w:rsidR="008C5F12" w:rsidRPr="00AE790A">
          <w:rPr>
            <w:rStyle w:val="Hyperlink"/>
          </w:rPr>
          <w:t>6.4.  Third-Party Expert Qualifications</w:t>
        </w:r>
        <w:r w:rsidR="008C5F12">
          <w:rPr>
            <w:webHidden/>
          </w:rPr>
          <w:tab/>
        </w:r>
        <w:r w:rsidR="008C5F12">
          <w:rPr>
            <w:webHidden/>
          </w:rPr>
          <w:fldChar w:fldCharType="begin"/>
        </w:r>
        <w:r w:rsidR="008C5F12">
          <w:rPr>
            <w:webHidden/>
          </w:rPr>
          <w:instrText xml:space="preserve"> PAGEREF _Toc529357798 \h </w:instrText>
        </w:r>
        <w:r w:rsidR="008C5F12">
          <w:rPr>
            <w:webHidden/>
          </w:rPr>
        </w:r>
        <w:r w:rsidR="008C5F12">
          <w:rPr>
            <w:webHidden/>
          </w:rPr>
          <w:fldChar w:fldCharType="separate"/>
        </w:r>
        <w:r>
          <w:rPr>
            <w:webHidden/>
          </w:rPr>
          <w:t>37</w:t>
        </w:r>
        <w:r w:rsidR="008C5F12">
          <w:rPr>
            <w:webHidden/>
          </w:rPr>
          <w:fldChar w:fldCharType="end"/>
        </w:r>
      </w:hyperlink>
    </w:p>
    <w:p w14:paraId="0EF8BF07" w14:textId="6A2327A6" w:rsidR="008C5F12" w:rsidRPr="00D84D77" w:rsidRDefault="00096C93">
      <w:pPr>
        <w:pStyle w:val="TOC3"/>
        <w:rPr>
          <w:rFonts w:ascii="Calibri" w:eastAsia="MS Mincho" w:hAnsi="Calibri"/>
          <w:sz w:val="22"/>
          <w:szCs w:val="22"/>
        </w:rPr>
      </w:pPr>
      <w:hyperlink w:anchor="_Toc529357799" w:history="1">
        <w:r w:rsidR="008C5F12" w:rsidRPr="00AE790A">
          <w:rPr>
            <w:rStyle w:val="Hyperlink"/>
          </w:rPr>
          <w:t>6.5.  Access to Information</w:t>
        </w:r>
        <w:r w:rsidR="008C5F12">
          <w:rPr>
            <w:webHidden/>
          </w:rPr>
          <w:tab/>
        </w:r>
        <w:r w:rsidR="008C5F12">
          <w:rPr>
            <w:webHidden/>
          </w:rPr>
          <w:fldChar w:fldCharType="begin"/>
        </w:r>
        <w:r w:rsidR="008C5F12">
          <w:rPr>
            <w:webHidden/>
          </w:rPr>
          <w:instrText xml:space="preserve"> PAGEREF _Toc529357799 \h </w:instrText>
        </w:r>
        <w:r w:rsidR="008C5F12">
          <w:rPr>
            <w:webHidden/>
          </w:rPr>
        </w:r>
        <w:r w:rsidR="008C5F12">
          <w:rPr>
            <w:webHidden/>
          </w:rPr>
          <w:fldChar w:fldCharType="separate"/>
        </w:r>
        <w:r>
          <w:rPr>
            <w:webHidden/>
          </w:rPr>
          <w:t>38</w:t>
        </w:r>
        <w:r w:rsidR="008C5F12">
          <w:rPr>
            <w:webHidden/>
          </w:rPr>
          <w:fldChar w:fldCharType="end"/>
        </w:r>
      </w:hyperlink>
    </w:p>
    <w:p w14:paraId="77C5324D" w14:textId="0A1AC588" w:rsidR="008C5F12" w:rsidRPr="00D84D77" w:rsidRDefault="00096C93">
      <w:pPr>
        <w:pStyle w:val="TOC3"/>
        <w:rPr>
          <w:rFonts w:ascii="Calibri" w:eastAsia="MS Mincho" w:hAnsi="Calibri"/>
          <w:sz w:val="22"/>
          <w:szCs w:val="22"/>
        </w:rPr>
      </w:pPr>
      <w:hyperlink w:anchor="_Toc529357800" w:history="1">
        <w:r w:rsidR="008C5F12" w:rsidRPr="00AE790A">
          <w:rPr>
            <w:rStyle w:val="Hyperlink"/>
          </w:rPr>
          <w:t>6.6.  Timeline for Implementation</w:t>
        </w:r>
        <w:r w:rsidR="008C5F12">
          <w:rPr>
            <w:webHidden/>
          </w:rPr>
          <w:tab/>
        </w:r>
        <w:r w:rsidR="008C5F12">
          <w:rPr>
            <w:webHidden/>
          </w:rPr>
          <w:fldChar w:fldCharType="begin"/>
        </w:r>
        <w:r w:rsidR="008C5F12">
          <w:rPr>
            <w:webHidden/>
          </w:rPr>
          <w:instrText xml:space="preserve"> PAGEREF _Toc529357800 \h </w:instrText>
        </w:r>
        <w:r w:rsidR="008C5F12">
          <w:rPr>
            <w:webHidden/>
          </w:rPr>
        </w:r>
        <w:r w:rsidR="008C5F12">
          <w:rPr>
            <w:webHidden/>
          </w:rPr>
          <w:fldChar w:fldCharType="separate"/>
        </w:r>
        <w:r>
          <w:rPr>
            <w:webHidden/>
          </w:rPr>
          <w:t>41</w:t>
        </w:r>
        <w:r w:rsidR="008C5F12">
          <w:rPr>
            <w:webHidden/>
          </w:rPr>
          <w:fldChar w:fldCharType="end"/>
        </w:r>
      </w:hyperlink>
    </w:p>
    <w:p w14:paraId="6327AE1B" w14:textId="5B945623" w:rsidR="008C5F12" w:rsidRPr="00D84D77" w:rsidRDefault="00096C93">
      <w:pPr>
        <w:pStyle w:val="TOC3"/>
        <w:rPr>
          <w:rFonts w:ascii="Calibri" w:eastAsia="MS Mincho" w:hAnsi="Calibri"/>
          <w:sz w:val="22"/>
          <w:szCs w:val="22"/>
        </w:rPr>
      </w:pPr>
      <w:hyperlink w:anchor="_Toc529357801" w:history="1">
        <w:r w:rsidR="008C5F12" w:rsidRPr="00AE790A">
          <w:rPr>
            <w:rStyle w:val="Hyperlink"/>
          </w:rPr>
          <w:t>6.7.  Reporting</w:t>
        </w:r>
        <w:r w:rsidR="008C5F12">
          <w:rPr>
            <w:webHidden/>
          </w:rPr>
          <w:tab/>
        </w:r>
        <w:r w:rsidR="008C5F12">
          <w:rPr>
            <w:webHidden/>
          </w:rPr>
          <w:fldChar w:fldCharType="begin"/>
        </w:r>
        <w:r w:rsidR="008C5F12">
          <w:rPr>
            <w:webHidden/>
          </w:rPr>
          <w:instrText xml:space="preserve"> PAGEREF _Toc529357801 \h </w:instrText>
        </w:r>
        <w:r w:rsidR="008C5F12">
          <w:rPr>
            <w:webHidden/>
          </w:rPr>
        </w:r>
        <w:r w:rsidR="008C5F12">
          <w:rPr>
            <w:webHidden/>
          </w:rPr>
          <w:fldChar w:fldCharType="separate"/>
        </w:r>
        <w:r>
          <w:rPr>
            <w:webHidden/>
          </w:rPr>
          <w:t>41</w:t>
        </w:r>
        <w:r w:rsidR="008C5F12">
          <w:rPr>
            <w:webHidden/>
          </w:rPr>
          <w:fldChar w:fldCharType="end"/>
        </w:r>
      </w:hyperlink>
    </w:p>
    <w:p w14:paraId="044F1EA6" w14:textId="644AE765" w:rsidR="008C5F12" w:rsidRPr="00D84D77" w:rsidRDefault="00096C93">
      <w:pPr>
        <w:pStyle w:val="TOC3"/>
        <w:rPr>
          <w:rFonts w:ascii="Calibri" w:eastAsia="MS Mincho" w:hAnsi="Calibri"/>
          <w:sz w:val="22"/>
          <w:szCs w:val="22"/>
        </w:rPr>
      </w:pPr>
      <w:hyperlink w:anchor="_Toc529357802" w:history="1">
        <w:r w:rsidR="008C5F12" w:rsidRPr="00AE790A">
          <w:rPr>
            <w:rStyle w:val="Hyperlink"/>
          </w:rPr>
          <w:t>6.8.  Cost Recovery</w:t>
        </w:r>
        <w:r w:rsidR="008C5F12">
          <w:rPr>
            <w:webHidden/>
          </w:rPr>
          <w:tab/>
        </w:r>
        <w:r w:rsidR="008C5F12">
          <w:rPr>
            <w:webHidden/>
          </w:rPr>
          <w:fldChar w:fldCharType="begin"/>
        </w:r>
        <w:r w:rsidR="008C5F12">
          <w:rPr>
            <w:webHidden/>
          </w:rPr>
          <w:instrText xml:space="preserve"> PAGEREF _Toc529357802 \h </w:instrText>
        </w:r>
        <w:r w:rsidR="008C5F12">
          <w:rPr>
            <w:webHidden/>
          </w:rPr>
        </w:r>
        <w:r w:rsidR="008C5F12">
          <w:rPr>
            <w:webHidden/>
          </w:rPr>
          <w:fldChar w:fldCharType="separate"/>
        </w:r>
        <w:r>
          <w:rPr>
            <w:webHidden/>
          </w:rPr>
          <w:t>42</w:t>
        </w:r>
        <w:r w:rsidR="008C5F12">
          <w:rPr>
            <w:webHidden/>
          </w:rPr>
          <w:fldChar w:fldCharType="end"/>
        </w:r>
      </w:hyperlink>
    </w:p>
    <w:p w14:paraId="6A577BCD" w14:textId="400214B2" w:rsidR="008C5F12" w:rsidRPr="00D84D77" w:rsidRDefault="00096C93">
      <w:pPr>
        <w:pStyle w:val="TOC2"/>
        <w:rPr>
          <w:rFonts w:ascii="Calibri" w:eastAsia="MS Mincho" w:hAnsi="Calibri"/>
          <w:sz w:val="22"/>
          <w:szCs w:val="22"/>
        </w:rPr>
      </w:pPr>
      <w:hyperlink w:anchor="_Toc529357803" w:history="1">
        <w:r w:rsidR="008C5F12" w:rsidRPr="00AE790A">
          <w:rPr>
            <w:rStyle w:val="Hyperlink"/>
          </w:rPr>
          <w:t>7.  Commission Position on Joint Utility Proposal and SED RASA Recommendations</w:t>
        </w:r>
        <w:r w:rsidR="008C5F12">
          <w:rPr>
            <w:webHidden/>
          </w:rPr>
          <w:tab/>
        </w:r>
        <w:r w:rsidR="008C5F12">
          <w:rPr>
            <w:webHidden/>
          </w:rPr>
          <w:fldChar w:fldCharType="begin"/>
        </w:r>
        <w:r w:rsidR="008C5F12">
          <w:rPr>
            <w:webHidden/>
          </w:rPr>
          <w:instrText xml:space="preserve"> PAGEREF _Toc529357803 \h </w:instrText>
        </w:r>
        <w:r w:rsidR="008C5F12">
          <w:rPr>
            <w:webHidden/>
          </w:rPr>
        </w:r>
        <w:r w:rsidR="008C5F12">
          <w:rPr>
            <w:webHidden/>
          </w:rPr>
          <w:fldChar w:fldCharType="separate"/>
        </w:r>
        <w:r>
          <w:rPr>
            <w:webHidden/>
          </w:rPr>
          <w:t>43</w:t>
        </w:r>
        <w:r w:rsidR="008C5F12">
          <w:rPr>
            <w:webHidden/>
          </w:rPr>
          <w:fldChar w:fldCharType="end"/>
        </w:r>
      </w:hyperlink>
    </w:p>
    <w:p w14:paraId="39355BD6" w14:textId="5B0F4292" w:rsidR="008C5F12" w:rsidRPr="00D84D77" w:rsidRDefault="00096C93">
      <w:pPr>
        <w:pStyle w:val="TOC2"/>
        <w:rPr>
          <w:rFonts w:ascii="Calibri" w:eastAsia="MS Mincho" w:hAnsi="Calibri"/>
          <w:sz w:val="22"/>
          <w:szCs w:val="22"/>
        </w:rPr>
      </w:pPr>
      <w:hyperlink w:anchor="_Toc529357804" w:history="1">
        <w:r w:rsidR="008C5F12" w:rsidRPr="00AE790A">
          <w:rPr>
            <w:rStyle w:val="Hyperlink"/>
          </w:rPr>
          <w:t>8.  Safety Considerations</w:t>
        </w:r>
        <w:r w:rsidR="008C5F12">
          <w:rPr>
            <w:webHidden/>
          </w:rPr>
          <w:tab/>
        </w:r>
        <w:r w:rsidR="008C5F12">
          <w:rPr>
            <w:webHidden/>
          </w:rPr>
          <w:fldChar w:fldCharType="begin"/>
        </w:r>
        <w:r w:rsidR="008C5F12">
          <w:rPr>
            <w:webHidden/>
          </w:rPr>
          <w:instrText xml:space="preserve"> PAGEREF _Toc529357804 \h </w:instrText>
        </w:r>
        <w:r w:rsidR="008C5F12">
          <w:rPr>
            <w:webHidden/>
          </w:rPr>
        </w:r>
        <w:r w:rsidR="008C5F12">
          <w:rPr>
            <w:webHidden/>
          </w:rPr>
          <w:fldChar w:fldCharType="separate"/>
        </w:r>
        <w:r>
          <w:rPr>
            <w:webHidden/>
          </w:rPr>
          <w:t>44</w:t>
        </w:r>
        <w:r w:rsidR="008C5F12">
          <w:rPr>
            <w:webHidden/>
          </w:rPr>
          <w:fldChar w:fldCharType="end"/>
        </w:r>
      </w:hyperlink>
    </w:p>
    <w:p w14:paraId="4F10FDF4" w14:textId="000A5BEC" w:rsidR="008C5F12" w:rsidRPr="00D84D77" w:rsidRDefault="00096C93">
      <w:pPr>
        <w:pStyle w:val="TOC2"/>
        <w:rPr>
          <w:rFonts w:ascii="Calibri" w:eastAsia="MS Mincho" w:hAnsi="Calibri"/>
          <w:sz w:val="22"/>
          <w:szCs w:val="22"/>
        </w:rPr>
      </w:pPr>
      <w:hyperlink w:anchor="_Toc529357805" w:history="1">
        <w:r w:rsidR="008C5F12" w:rsidRPr="00AE790A">
          <w:rPr>
            <w:rStyle w:val="Hyperlink"/>
          </w:rPr>
          <w:t>9.  Conclusion</w:t>
        </w:r>
        <w:r w:rsidR="008C5F12">
          <w:rPr>
            <w:webHidden/>
          </w:rPr>
          <w:tab/>
        </w:r>
        <w:r w:rsidR="008C5F12">
          <w:rPr>
            <w:webHidden/>
          </w:rPr>
          <w:fldChar w:fldCharType="begin"/>
        </w:r>
        <w:r w:rsidR="008C5F12">
          <w:rPr>
            <w:webHidden/>
          </w:rPr>
          <w:instrText xml:space="preserve"> PAGEREF _Toc529357805 \h </w:instrText>
        </w:r>
        <w:r w:rsidR="008C5F12">
          <w:rPr>
            <w:webHidden/>
          </w:rPr>
        </w:r>
        <w:r w:rsidR="008C5F12">
          <w:rPr>
            <w:webHidden/>
          </w:rPr>
          <w:fldChar w:fldCharType="separate"/>
        </w:r>
        <w:r>
          <w:rPr>
            <w:webHidden/>
          </w:rPr>
          <w:t>44</w:t>
        </w:r>
        <w:r w:rsidR="008C5F12">
          <w:rPr>
            <w:webHidden/>
          </w:rPr>
          <w:fldChar w:fldCharType="end"/>
        </w:r>
      </w:hyperlink>
    </w:p>
    <w:p w14:paraId="59EB51FB" w14:textId="4A88282C" w:rsidR="008C5F12" w:rsidRPr="00D84D77" w:rsidRDefault="00096C93" w:rsidP="006C5C5A">
      <w:pPr>
        <w:pStyle w:val="TOC2"/>
        <w:ind w:left="810" w:hanging="270"/>
        <w:rPr>
          <w:rFonts w:ascii="Calibri" w:eastAsia="MS Mincho" w:hAnsi="Calibri"/>
          <w:sz w:val="22"/>
          <w:szCs w:val="22"/>
        </w:rPr>
      </w:pPr>
      <w:hyperlink w:anchor="_Toc529357806" w:history="1">
        <w:r w:rsidR="008C5F12" w:rsidRPr="00AE790A">
          <w:rPr>
            <w:rStyle w:val="Hyperlink"/>
          </w:rPr>
          <w:t>10.  Comment Period</w:t>
        </w:r>
        <w:r w:rsidR="008C5F12">
          <w:rPr>
            <w:webHidden/>
          </w:rPr>
          <w:tab/>
        </w:r>
        <w:r w:rsidR="008C5F12">
          <w:rPr>
            <w:webHidden/>
          </w:rPr>
          <w:fldChar w:fldCharType="begin"/>
        </w:r>
        <w:r w:rsidR="008C5F12">
          <w:rPr>
            <w:webHidden/>
          </w:rPr>
          <w:instrText xml:space="preserve"> PAGEREF _Toc529357806 \h </w:instrText>
        </w:r>
        <w:r w:rsidR="008C5F12">
          <w:rPr>
            <w:webHidden/>
          </w:rPr>
        </w:r>
        <w:r w:rsidR="008C5F12">
          <w:rPr>
            <w:webHidden/>
          </w:rPr>
          <w:fldChar w:fldCharType="separate"/>
        </w:r>
        <w:r>
          <w:rPr>
            <w:webHidden/>
          </w:rPr>
          <w:t>44</w:t>
        </w:r>
        <w:r w:rsidR="008C5F12">
          <w:rPr>
            <w:webHidden/>
          </w:rPr>
          <w:fldChar w:fldCharType="end"/>
        </w:r>
      </w:hyperlink>
    </w:p>
    <w:p w14:paraId="33B4E9F1" w14:textId="2742888A" w:rsidR="008C5F12" w:rsidRPr="00D84D77" w:rsidRDefault="00096C93" w:rsidP="006C5C5A">
      <w:pPr>
        <w:pStyle w:val="TOC2"/>
        <w:ind w:hanging="450"/>
        <w:rPr>
          <w:rFonts w:ascii="Calibri" w:eastAsia="MS Mincho" w:hAnsi="Calibri"/>
          <w:sz w:val="22"/>
          <w:szCs w:val="22"/>
        </w:rPr>
      </w:pPr>
      <w:hyperlink w:anchor="_Toc529357807" w:history="1">
        <w:r w:rsidR="008C5F12" w:rsidRPr="00AE790A">
          <w:rPr>
            <w:rStyle w:val="Hyperlink"/>
          </w:rPr>
          <w:t>11.  Assignment of Proceeding</w:t>
        </w:r>
        <w:r w:rsidR="008C5F12">
          <w:rPr>
            <w:webHidden/>
          </w:rPr>
          <w:tab/>
        </w:r>
        <w:r w:rsidR="008C5F12">
          <w:rPr>
            <w:webHidden/>
          </w:rPr>
          <w:fldChar w:fldCharType="begin"/>
        </w:r>
        <w:r w:rsidR="008C5F12">
          <w:rPr>
            <w:webHidden/>
          </w:rPr>
          <w:instrText xml:space="preserve"> PAGEREF _Toc529357807 \h </w:instrText>
        </w:r>
        <w:r w:rsidR="008C5F12">
          <w:rPr>
            <w:webHidden/>
          </w:rPr>
        </w:r>
        <w:r w:rsidR="008C5F12">
          <w:rPr>
            <w:webHidden/>
          </w:rPr>
          <w:fldChar w:fldCharType="separate"/>
        </w:r>
        <w:r>
          <w:rPr>
            <w:webHidden/>
          </w:rPr>
          <w:t>45</w:t>
        </w:r>
        <w:r w:rsidR="008C5F12">
          <w:rPr>
            <w:webHidden/>
          </w:rPr>
          <w:fldChar w:fldCharType="end"/>
        </w:r>
      </w:hyperlink>
    </w:p>
    <w:p w14:paraId="3E7FA1A3" w14:textId="2307BD52" w:rsidR="008C5F12" w:rsidRPr="00D84D77" w:rsidRDefault="00096C93" w:rsidP="006C5C5A">
      <w:pPr>
        <w:pStyle w:val="TOC2"/>
        <w:ind w:hanging="450"/>
        <w:rPr>
          <w:rFonts w:ascii="Calibri" w:eastAsia="MS Mincho" w:hAnsi="Calibri"/>
          <w:sz w:val="22"/>
          <w:szCs w:val="22"/>
        </w:rPr>
      </w:pPr>
      <w:hyperlink w:anchor="_Toc529357808" w:history="1">
        <w:r w:rsidR="008C5F12" w:rsidRPr="00AE790A">
          <w:rPr>
            <w:rStyle w:val="Hyperlink"/>
          </w:rPr>
          <w:t>Findings of Fact</w:t>
        </w:r>
        <w:r w:rsidR="008C5F12">
          <w:rPr>
            <w:webHidden/>
          </w:rPr>
          <w:tab/>
        </w:r>
        <w:r w:rsidR="008C5F12">
          <w:rPr>
            <w:webHidden/>
          </w:rPr>
          <w:fldChar w:fldCharType="begin"/>
        </w:r>
        <w:r w:rsidR="008C5F12">
          <w:rPr>
            <w:webHidden/>
          </w:rPr>
          <w:instrText xml:space="preserve"> PAGEREF _Toc529357808 \h </w:instrText>
        </w:r>
        <w:r w:rsidR="008C5F12">
          <w:rPr>
            <w:webHidden/>
          </w:rPr>
        </w:r>
        <w:r w:rsidR="008C5F12">
          <w:rPr>
            <w:webHidden/>
          </w:rPr>
          <w:fldChar w:fldCharType="separate"/>
        </w:r>
        <w:r>
          <w:rPr>
            <w:webHidden/>
          </w:rPr>
          <w:t>45</w:t>
        </w:r>
        <w:r w:rsidR="008C5F12">
          <w:rPr>
            <w:webHidden/>
          </w:rPr>
          <w:fldChar w:fldCharType="end"/>
        </w:r>
      </w:hyperlink>
    </w:p>
    <w:p w14:paraId="4168B0F3" w14:textId="42730400" w:rsidR="008C5F12" w:rsidRPr="00D84D77" w:rsidRDefault="00096C93" w:rsidP="006C5C5A">
      <w:pPr>
        <w:pStyle w:val="TOC2"/>
        <w:ind w:hanging="450"/>
        <w:rPr>
          <w:rFonts w:ascii="Calibri" w:eastAsia="MS Mincho" w:hAnsi="Calibri"/>
          <w:sz w:val="22"/>
          <w:szCs w:val="22"/>
        </w:rPr>
      </w:pPr>
      <w:hyperlink w:anchor="_Toc529357809" w:history="1">
        <w:r w:rsidR="008C5F12" w:rsidRPr="00AE790A">
          <w:rPr>
            <w:rStyle w:val="Hyperlink"/>
          </w:rPr>
          <w:t>Conclusions of Law</w:t>
        </w:r>
        <w:r w:rsidR="008C5F12">
          <w:rPr>
            <w:webHidden/>
          </w:rPr>
          <w:tab/>
        </w:r>
        <w:r w:rsidR="008C5F12">
          <w:rPr>
            <w:webHidden/>
          </w:rPr>
          <w:fldChar w:fldCharType="begin"/>
        </w:r>
        <w:r w:rsidR="008C5F12">
          <w:rPr>
            <w:webHidden/>
          </w:rPr>
          <w:instrText xml:space="preserve"> PAGEREF _Toc529357809 \h </w:instrText>
        </w:r>
        <w:r w:rsidR="008C5F12">
          <w:rPr>
            <w:webHidden/>
          </w:rPr>
        </w:r>
        <w:r w:rsidR="008C5F12">
          <w:rPr>
            <w:webHidden/>
          </w:rPr>
          <w:fldChar w:fldCharType="separate"/>
        </w:r>
        <w:r>
          <w:rPr>
            <w:webHidden/>
          </w:rPr>
          <w:t>49</w:t>
        </w:r>
        <w:r w:rsidR="008C5F12">
          <w:rPr>
            <w:webHidden/>
          </w:rPr>
          <w:fldChar w:fldCharType="end"/>
        </w:r>
      </w:hyperlink>
    </w:p>
    <w:p w14:paraId="68591FBC" w14:textId="4AF6BF3C" w:rsidR="008C5F12" w:rsidRPr="00D84D77" w:rsidRDefault="00096C93" w:rsidP="008D57A3">
      <w:pPr>
        <w:pStyle w:val="TOC1"/>
        <w:rPr>
          <w:rFonts w:ascii="Calibri" w:eastAsia="MS Mincho" w:hAnsi="Calibri"/>
          <w:sz w:val="22"/>
          <w:szCs w:val="22"/>
        </w:rPr>
      </w:pPr>
      <w:hyperlink w:anchor="_Toc529357810" w:history="1">
        <w:r w:rsidR="008C5F12" w:rsidRPr="00AE790A">
          <w:rPr>
            <w:rStyle w:val="Hyperlink"/>
          </w:rPr>
          <w:t>ORDER</w:t>
        </w:r>
        <w:r w:rsidR="008C5F12">
          <w:rPr>
            <w:webHidden/>
          </w:rPr>
          <w:tab/>
        </w:r>
        <w:r w:rsidR="008C5F12">
          <w:rPr>
            <w:webHidden/>
          </w:rPr>
          <w:fldChar w:fldCharType="begin"/>
        </w:r>
        <w:r w:rsidR="008C5F12">
          <w:rPr>
            <w:webHidden/>
          </w:rPr>
          <w:instrText xml:space="preserve"> PAGEREF _Toc529357810 \h </w:instrText>
        </w:r>
        <w:r w:rsidR="008C5F12">
          <w:rPr>
            <w:webHidden/>
          </w:rPr>
        </w:r>
        <w:r w:rsidR="008C5F12">
          <w:rPr>
            <w:webHidden/>
          </w:rPr>
          <w:fldChar w:fldCharType="separate"/>
        </w:r>
        <w:r>
          <w:rPr>
            <w:webHidden/>
          </w:rPr>
          <w:t>50</w:t>
        </w:r>
        <w:r w:rsidR="008C5F12">
          <w:rPr>
            <w:webHidden/>
          </w:rPr>
          <w:fldChar w:fldCharType="end"/>
        </w:r>
      </w:hyperlink>
    </w:p>
    <w:p w14:paraId="3E2357BF" w14:textId="77777777" w:rsidR="003F7204" w:rsidRDefault="0000712F" w:rsidP="00994FD2">
      <w:pPr>
        <w:ind w:firstLine="540"/>
      </w:pPr>
      <w:r>
        <w:fldChar w:fldCharType="end"/>
      </w:r>
    </w:p>
    <w:p w14:paraId="6CEA1C2A" w14:textId="388EA200" w:rsidR="00994FD2" w:rsidRPr="00994FD2" w:rsidRDefault="00994FD2" w:rsidP="00994FD2">
      <w:pPr>
        <w:ind w:firstLine="540"/>
        <w:rPr>
          <w:b/>
        </w:rPr>
      </w:pPr>
    </w:p>
    <w:p w14:paraId="6C477908" w14:textId="77777777" w:rsidR="00F87C91" w:rsidRDefault="00F87C91"/>
    <w:p w14:paraId="0CFB18D4" w14:textId="77777777" w:rsidR="00F87C91" w:rsidRDefault="00F87C91">
      <w:pPr>
        <w:sectPr w:rsidR="00F87C91" w:rsidSect="002F4B64">
          <w:headerReference w:type="default" r:id="rId15"/>
          <w:footerReference w:type="default" r:id="rId16"/>
          <w:headerReference w:type="first" r:id="rId17"/>
          <w:footerReference w:type="first" r:id="rId18"/>
          <w:pgSz w:w="12240" w:h="15840" w:code="1"/>
          <w:pgMar w:top="1152" w:right="1440" w:bottom="1440" w:left="1440" w:header="720" w:footer="720" w:gutter="0"/>
          <w:pgNumType w:fmt="lowerRoman" w:start="1"/>
          <w:cols w:space="720"/>
          <w:titlePg/>
        </w:sectPr>
      </w:pPr>
    </w:p>
    <w:p w14:paraId="17F4264E" w14:textId="77777777" w:rsidR="00B80F6A" w:rsidRPr="00A427DA" w:rsidRDefault="00A427DA" w:rsidP="00434CB6">
      <w:pPr>
        <w:pStyle w:val="main"/>
        <w:spacing w:after="240"/>
      </w:pPr>
      <w:bookmarkStart w:id="1" w:name="_Toc529357775"/>
      <w:r w:rsidRPr="00A427DA">
        <w:lastRenderedPageBreak/>
        <w:t xml:space="preserve">PHASE </w:t>
      </w:r>
      <w:r>
        <w:t>I DECISION ON ORDER INSTITUTING RULEMAKING</w:t>
      </w:r>
      <w:r>
        <w:br/>
        <w:t>REGARDING THE PHYSICAL SECURITY</w:t>
      </w:r>
      <w:r>
        <w:br/>
        <w:t>OF ELECTRICAL CORPORATIONS</w:t>
      </w:r>
      <w:bookmarkEnd w:id="1"/>
    </w:p>
    <w:p w14:paraId="0C6E3509" w14:textId="77777777" w:rsidR="00B80F6A" w:rsidRPr="00434CB6" w:rsidRDefault="00B80F6A" w:rsidP="00B94B9A">
      <w:pPr>
        <w:pStyle w:val="Heading1"/>
      </w:pPr>
      <w:bookmarkStart w:id="2" w:name="_Toc370798910"/>
      <w:bookmarkStart w:id="3" w:name="_Toc529357776"/>
      <w:r w:rsidRPr="00434CB6">
        <w:t>Summary</w:t>
      </w:r>
      <w:bookmarkEnd w:id="2"/>
      <w:bookmarkEnd w:id="3"/>
    </w:p>
    <w:p w14:paraId="7AF564AC" w14:textId="77777777" w:rsidR="0097193B" w:rsidRPr="006751CD" w:rsidRDefault="0097193B" w:rsidP="0097193B">
      <w:pPr>
        <w:pStyle w:val="standard"/>
      </w:pPr>
      <w:r w:rsidRPr="006751CD">
        <w:t xml:space="preserve">This decision requires electric utilities to identify electric </w:t>
      </w:r>
      <w:r>
        <w:t>distribution assets</w:t>
      </w:r>
      <w:r w:rsidRPr="006751CD">
        <w:t xml:space="preserve"> that may merit special protection and measures to lessen identified risks and threats.  In order to address the risk of long-term outage to a distribution facility, each Operator will develop and implement a Mitigation Plan.  The Mitigation Plans will follow a six-step procedure for carrying out these new physical security plan requirements.  The six-step plan is modeled on the security plan requirements set forth by the North America Electric Reliability Corporation (NERC) </w:t>
      </w:r>
      <w:r w:rsidR="000D1F2C">
        <w:t>Critical Infrastructure Protocol (</w:t>
      </w:r>
      <w:r w:rsidRPr="006751CD">
        <w:t>CIP</w:t>
      </w:r>
      <w:r w:rsidR="000D1F2C">
        <w:t>)</w:t>
      </w:r>
      <w:r w:rsidRPr="006751CD">
        <w:t xml:space="preserve">-014.  </w:t>
      </w:r>
    </w:p>
    <w:p w14:paraId="3324027C" w14:textId="6CB5353D" w:rsidR="0097193B" w:rsidRPr="006751CD" w:rsidRDefault="0097193B" w:rsidP="0097193B">
      <w:pPr>
        <w:pStyle w:val="standard"/>
      </w:pPr>
      <w:r w:rsidRPr="006751CD">
        <w:t xml:space="preserve">This decision requires the Investor Owned Utilities (IOUs) to prepare and </w:t>
      </w:r>
      <w:r w:rsidRPr="005C404A">
        <w:t xml:space="preserve">submit to the Commission a preliminary assessment of priority facilities for their distribution assets and control centers </w:t>
      </w:r>
      <w:r>
        <w:t xml:space="preserve">(“covered assets”) </w:t>
      </w:r>
      <w:r w:rsidRPr="005C404A">
        <w:t>within 1</w:t>
      </w:r>
      <w:r w:rsidR="00BE596B">
        <w:t>8</w:t>
      </w:r>
      <w:r w:rsidRPr="005C404A">
        <w:t xml:space="preserve"> months of this decision.  </w:t>
      </w:r>
      <w:r w:rsidR="00640DAA">
        <w:t>A</w:t>
      </w:r>
      <w:r w:rsidR="00904650">
        <w:t>n unaffiliated,</w:t>
      </w:r>
      <w:r w:rsidR="00640DAA">
        <w:t xml:space="preserve"> third-party review of the plans should be completed within 27 months of this decision. </w:t>
      </w:r>
      <w:r w:rsidRPr="005C404A">
        <w:t>Within</w:t>
      </w:r>
      <w:r w:rsidRPr="006751CD">
        <w:t xml:space="preserve"> </w:t>
      </w:r>
      <w:r w:rsidR="00F205B3">
        <w:t>30</w:t>
      </w:r>
      <w:r w:rsidRPr="005C404A">
        <w:t xml:space="preserve"> months of this decision</w:t>
      </w:r>
      <w:r>
        <w:t>,</w:t>
      </w:r>
      <w:r w:rsidRPr="005C404A">
        <w:t xml:space="preserve"> the IOUs will be required to submit their Final Security Plan Report.  Within 30</w:t>
      </w:r>
      <w:r w:rsidR="00B953A1">
        <w:t> </w:t>
      </w:r>
      <w:r w:rsidRPr="005C404A">
        <w:t>months, each of the Publicly Owned Utilities (POUs) will be required to provide the Commission with notice that a</w:t>
      </w:r>
      <w:r w:rsidR="00CE3651">
        <w:t>n independently-reviewed</w:t>
      </w:r>
      <w:r w:rsidRPr="005C404A">
        <w:t xml:space="preserve"> plan has been adopted.</w:t>
      </w:r>
    </w:p>
    <w:p w14:paraId="07802D63" w14:textId="77777777" w:rsidR="0097193B" w:rsidRDefault="0097193B" w:rsidP="0097193B">
      <w:pPr>
        <w:pStyle w:val="standard"/>
      </w:pPr>
      <w:r>
        <w:t>Sections</w:t>
      </w:r>
      <w:r w:rsidRPr="006751CD">
        <w:t xml:space="preserve"> 8001-8057 of the Public Utilities Code </w:t>
      </w:r>
      <w:r>
        <w:t xml:space="preserve">compel the </w:t>
      </w:r>
      <w:r w:rsidRPr="006751CD">
        <w:t xml:space="preserve">POUs </w:t>
      </w:r>
      <w:r>
        <w:t xml:space="preserve">to </w:t>
      </w:r>
      <w:r w:rsidRPr="006751CD">
        <w:t>also</w:t>
      </w:r>
      <w:r>
        <w:t xml:space="preserve"> adhere to </w:t>
      </w:r>
      <w:r w:rsidRPr="006751CD">
        <w:t xml:space="preserve">this decision as it relates to </w:t>
      </w:r>
      <w:r>
        <w:t xml:space="preserve">physical security and </w:t>
      </w:r>
      <w:r w:rsidRPr="006751CD">
        <w:t>Phase I</w:t>
      </w:r>
      <w:r>
        <w:t xml:space="preserve"> </w:t>
      </w:r>
      <w:r w:rsidRPr="006751CD">
        <w:t xml:space="preserve">of this proceeding.  </w:t>
      </w:r>
    </w:p>
    <w:p w14:paraId="5B59D660" w14:textId="77777777" w:rsidR="0097193B" w:rsidRPr="006751CD" w:rsidRDefault="0097193B" w:rsidP="0097193B">
      <w:pPr>
        <w:pStyle w:val="standard"/>
      </w:pPr>
      <w:r>
        <w:t xml:space="preserve">Any new rules for emergency and disaster preparedness plans promulgated within </w:t>
      </w:r>
      <w:r w:rsidRPr="006751CD">
        <w:t>Phase II of this proceeding will not apply to the POUs.  However, the</w:t>
      </w:r>
      <w:r>
        <w:t xml:space="preserve"> POUs </w:t>
      </w:r>
      <w:r w:rsidRPr="006751CD">
        <w:t xml:space="preserve">are strongly encouraged to participate in Phase II.  This </w:t>
      </w:r>
      <w:r w:rsidRPr="006751CD">
        <w:lastRenderedPageBreak/>
        <w:t xml:space="preserve">proceeding will remain open </w:t>
      </w:r>
      <w:r>
        <w:t xml:space="preserve">at the conclusion of Phase I </w:t>
      </w:r>
      <w:r w:rsidRPr="006751CD">
        <w:t>to address Phase II issues.</w:t>
      </w:r>
    </w:p>
    <w:p w14:paraId="20820F8C" w14:textId="77777777" w:rsidR="0097193B" w:rsidRPr="006751CD" w:rsidRDefault="00434CB6" w:rsidP="00B94B9A">
      <w:pPr>
        <w:pStyle w:val="Heading1"/>
      </w:pPr>
      <w:bookmarkStart w:id="4" w:name="_Toc529357777"/>
      <w:r>
        <w:t xml:space="preserve">1.  </w:t>
      </w:r>
      <w:r w:rsidR="0097193B" w:rsidRPr="006751CD">
        <w:t>Factual Background</w:t>
      </w:r>
      <w:bookmarkEnd w:id="4"/>
    </w:p>
    <w:p w14:paraId="389B2C33" w14:textId="77777777" w:rsidR="0097193B" w:rsidRDefault="0097193B" w:rsidP="0097193B">
      <w:pPr>
        <w:pStyle w:val="standard"/>
      </w:pPr>
      <w:r w:rsidRPr="006751CD">
        <w:t xml:space="preserve">In April 2013, a rifle attack </w:t>
      </w:r>
      <w:r w:rsidRPr="006751CD">
        <w:rPr>
          <w:rFonts w:cs="Arial"/>
          <w:szCs w:val="24"/>
        </w:rPr>
        <w:t>at PG&amp;E’s Metcalf Transmission Substation south of San Jose</w:t>
      </w:r>
      <w:r w:rsidRPr="006751CD">
        <w:t xml:space="preserve"> </w:t>
      </w:r>
      <w:r>
        <w:t xml:space="preserve">resulted </w:t>
      </w:r>
      <w:r w:rsidRPr="006751CD">
        <w:t xml:space="preserve">in approximately $15.4 million in damages.  Although PG&amp;E initiated various changes </w:t>
      </w:r>
      <w:r>
        <w:t>to</w:t>
      </w:r>
      <w:r w:rsidRPr="006751CD">
        <w:t xml:space="preserve"> its security protocol, in late August 2014, burglars entered the Metcalf facility and removed $38,651 of tools and equipment.</w:t>
      </w:r>
      <w:r w:rsidRPr="006751CD">
        <w:rPr>
          <w:rStyle w:val="FootnoteReference"/>
        </w:rPr>
        <w:footnoteReference w:id="2"/>
      </w:r>
      <w:r w:rsidRPr="006751CD">
        <w:t xml:space="preserve">  </w:t>
      </w:r>
      <w:r>
        <w:t>C</w:t>
      </w:r>
      <w:r w:rsidRPr="006751CD">
        <w:t xml:space="preserve">hanges </w:t>
      </w:r>
      <w:r>
        <w:t xml:space="preserve">were made </w:t>
      </w:r>
      <w:r w:rsidRPr="006751CD">
        <w:t xml:space="preserve">to Pub. Util. Code </w:t>
      </w:r>
      <w:r w:rsidRPr="006751CD">
        <w:rPr>
          <w:rFonts w:cs="Arial"/>
          <w:szCs w:val="24"/>
        </w:rPr>
        <w:t xml:space="preserve">§ 364(a) </w:t>
      </w:r>
      <w:r>
        <w:rPr>
          <w:rFonts w:cs="Arial"/>
          <w:szCs w:val="24"/>
        </w:rPr>
        <w:t xml:space="preserve">as </w:t>
      </w:r>
      <w:r w:rsidRPr="006751CD">
        <w:rPr>
          <w:rFonts w:cs="Arial"/>
          <w:szCs w:val="24"/>
        </w:rPr>
        <w:t xml:space="preserve">a direct result of </w:t>
      </w:r>
      <w:r>
        <w:rPr>
          <w:rFonts w:cs="Arial"/>
          <w:szCs w:val="24"/>
        </w:rPr>
        <w:t xml:space="preserve">the Metcalf incident, addressing the </w:t>
      </w:r>
      <w:r w:rsidRPr="006751CD">
        <w:rPr>
          <w:rFonts w:cs="Arial"/>
          <w:szCs w:val="24"/>
        </w:rPr>
        <w:t>vulnerability of electrical supply facilities</w:t>
      </w:r>
      <w:r>
        <w:rPr>
          <w:rFonts w:cs="Arial"/>
          <w:szCs w:val="24"/>
        </w:rPr>
        <w:t xml:space="preserve"> to physical security threats</w:t>
      </w:r>
      <w:r w:rsidRPr="006751CD">
        <w:rPr>
          <w:rFonts w:cs="Arial"/>
          <w:szCs w:val="24"/>
        </w:rPr>
        <w:t xml:space="preserve">.  </w:t>
      </w:r>
      <w:r w:rsidRPr="006751CD">
        <w:t xml:space="preserve">Phase I of this proceeding was initiated by Senate Bill (SB) 699 </w:t>
      </w:r>
      <w:r w:rsidRPr="006751CD">
        <w:rPr>
          <w:szCs w:val="22"/>
        </w:rPr>
        <w:t>(Stats. 2014, Ch. 550, Sec. 2)</w:t>
      </w:r>
      <w:r w:rsidRPr="006751CD">
        <w:t xml:space="preserve">.  </w:t>
      </w:r>
    </w:p>
    <w:p w14:paraId="33FB7F2A" w14:textId="77777777" w:rsidR="0097193B" w:rsidRDefault="0097193B" w:rsidP="0097193B">
      <w:pPr>
        <w:pStyle w:val="standard"/>
        <w:rPr>
          <w:rFonts w:cs="Arial"/>
          <w:szCs w:val="24"/>
        </w:rPr>
      </w:pPr>
      <w:r>
        <w:rPr>
          <w:rFonts w:cs="Arial"/>
          <w:szCs w:val="24"/>
        </w:rPr>
        <w:t>The Federal government swiftly responded to the Metcalf attack, resulting in new additional provisions to the decade-old Critical Infrastructure Protocols (CIP).  These were developed in a rulemaking conducted by the Federal Energy Regulatory Commission (FERC).  FERC directed the North American Electric Reliability Corporation (NERC) to establish various criteria for determining which assets would be subject to the new CIP rules.  The CIP rules cover both physical- and cyber-security rules.</w:t>
      </w:r>
    </w:p>
    <w:p w14:paraId="524A318B" w14:textId="77777777" w:rsidR="0097193B" w:rsidRPr="006751CD" w:rsidRDefault="0097193B" w:rsidP="0097193B">
      <w:pPr>
        <w:pStyle w:val="standard"/>
        <w:rPr>
          <w:rFonts w:cs="Arial"/>
          <w:szCs w:val="24"/>
        </w:rPr>
      </w:pPr>
      <w:r>
        <w:rPr>
          <w:rFonts w:cs="Arial"/>
          <w:szCs w:val="24"/>
        </w:rPr>
        <w:t xml:space="preserve">The new CIP rules and requirements (CIP-014) require electric utilities to employ physical security plans as a way to address vulnerabilities.  Among other things, CIP-014 applies to any asset deemed not redundant and for which failure of these assets could result in cascading power failures.  These rules established a risk-based protocol that identifies critical transmission assets and control centers.  </w:t>
      </w:r>
      <w:r>
        <w:rPr>
          <w:rFonts w:cs="Arial"/>
          <w:szCs w:val="24"/>
        </w:rPr>
        <w:lastRenderedPageBreak/>
        <w:t>CIP-014 authorized FERC to establish a uniform, mandatory physical security standard for the nation’s transmission assets.</w:t>
      </w:r>
    </w:p>
    <w:p w14:paraId="035B7FAF" w14:textId="77777777" w:rsidR="0097193B" w:rsidRDefault="0097193B" w:rsidP="0097193B">
      <w:pPr>
        <w:pStyle w:val="standard"/>
      </w:pPr>
      <w:r w:rsidRPr="006751CD">
        <w:t xml:space="preserve">On June 11, 2015, the Commission </w:t>
      </w:r>
      <w:r>
        <w:t xml:space="preserve">issued </w:t>
      </w:r>
      <w:r w:rsidRPr="006751CD">
        <w:t>an Order Instituting Rulemaking (OIR) to establish policies, procedures, and rules for the regulation of physical security risks to the electric supply facilities of electrical corporations consistent with Public Utilities (Pub. Util.) Code § 364 (Phase I) and to establish standards for disaster and emergency preparedness plans for electrical corporations and regulated water companies consistent with Pub. Util. Code § 768.6 (Phase II).</w:t>
      </w:r>
      <w:r w:rsidRPr="006751CD">
        <w:rPr>
          <w:rStyle w:val="FootnoteReference"/>
        </w:rPr>
        <w:footnoteReference w:id="3"/>
      </w:r>
    </w:p>
    <w:p w14:paraId="683E1C69" w14:textId="77777777" w:rsidR="0097193B" w:rsidRPr="006751CD" w:rsidRDefault="0097193B" w:rsidP="0097193B">
      <w:pPr>
        <w:pStyle w:val="standard"/>
      </w:pPr>
      <w:r w:rsidRPr="006751CD">
        <w:t>SB 699 amended Pub. Util. Code § 364 and requires the Commission to develop rules for addressing physical security risks to the distribution systems of electrical corporations.  Section 364 was amended by SB 699 to read:</w:t>
      </w:r>
      <w:r w:rsidRPr="006751CD">
        <w:rPr>
          <w:rStyle w:val="FootnoteReference"/>
        </w:rPr>
        <w:footnoteReference w:id="4"/>
      </w:r>
      <w:r w:rsidRPr="006751CD">
        <w:t xml:space="preserve"> </w:t>
      </w:r>
    </w:p>
    <w:p w14:paraId="31D4DF0F" w14:textId="77777777" w:rsidR="0097193B" w:rsidRPr="009824E7" w:rsidRDefault="0097193B" w:rsidP="009824E7">
      <w:pPr>
        <w:pStyle w:val="standard"/>
        <w:spacing w:after="120" w:line="240" w:lineRule="auto"/>
        <w:ind w:left="780" w:right="1440" w:firstLine="0"/>
        <w:rPr>
          <w:szCs w:val="26"/>
        </w:rPr>
      </w:pPr>
      <w:r w:rsidRPr="009824E7">
        <w:rPr>
          <w:szCs w:val="26"/>
        </w:rPr>
        <w:t>The commission shall … consider adopting rules to address the physical security risks to the distribution systems of electrical corporations.</w:t>
      </w:r>
      <w:r w:rsidR="009824E7">
        <w:rPr>
          <w:szCs w:val="26"/>
        </w:rPr>
        <w:t xml:space="preserve"> </w:t>
      </w:r>
      <w:r w:rsidRPr="009824E7">
        <w:rPr>
          <w:szCs w:val="26"/>
        </w:rPr>
        <w:t xml:space="preserve"> The standards or rules, which shall be prescriptive or performance based, or both, and may be based on risk management, as appropriate, for each substantial type of distribution equipment or facility, shall provide for high-quality, safe, and reliable service. </w:t>
      </w:r>
    </w:p>
    <w:p w14:paraId="4E7E000A" w14:textId="77777777" w:rsidR="0097193B" w:rsidRPr="006751CD" w:rsidRDefault="0097193B" w:rsidP="0097193B">
      <w:pPr>
        <w:pStyle w:val="standard"/>
      </w:pPr>
      <w:r w:rsidRPr="006751CD">
        <w:t>Section 364(b) continues in relevant part that:</w:t>
      </w:r>
    </w:p>
    <w:p w14:paraId="52D4654F" w14:textId="77777777" w:rsidR="0097193B" w:rsidRPr="00D52917" w:rsidRDefault="0097193B" w:rsidP="00D52917">
      <w:pPr>
        <w:spacing w:after="120"/>
        <w:ind w:left="720" w:right="1440"/>
        <w:textAlignment w:val="baseline"/>
        <w:rPr>
          <w:szCs w:val="26"/>
        </w:rPr>
      </w:pPr>
      <w:r w:rsidRPr="00D52917">
        <w:rPr>
          <w:szCs w:val="26"/>
        </w:rPr>
        <w:t xml:space="preserve">In setting its standards or rules, the commission shall consider: </w:t>
      </w:r>
      <w:r w:rsidR="00D52917">
        <w:rPr>
          <w:szCs w:val="26"/>
        </w:rPr>
        <w:t xml:space="preserve"> </w:t>
      </w:r>
      <w:r w:rsidRPr="00D52917">
        <w:rPr>
          <w:szCs w:val="26"/>
        </w:rPr>
        <w:t xml:space="preserve">cost, local geography and weather, applicable </w:t>
      </w:r>
      <w:r w:rsidRPr="00D52917">
        <w:rPr>
          <w:szCs w:val="26"/>
        </w:rPr>
        <w:lastRenderedPageBreak/>
        <w:t>codes, potential physical security risks, national electric industry practices, sound engineering judgment, and experience.</w:t>
      </w:r>
      <w:r w:rsidR="00D52917">
        <w:rPr>
          <w:szCs w:val="26"/>
        </w:rPr>
        <w:t xml:space="preserve"> </w:t>
      </w:r>
      <w:r w:rsidRPr="00D52917">
        <w:rPr>
          <w:szCs w:val="26"/>
        </w:rPr>
        <w:t xml:space="preserve"> The commission shall also adopt standards for operation, reliability, and safety during periods of emergency and disaster. </w:t>
      </w:r>
      <w:r w:rsidR="00D52917">
        <w:rPr>
          <w:szCs w:val="26"/>
        </w:rPr>
        <w:t xml:space="preserve"> </w:t>
      </w:r>
      <w:r w:rsidRPr="00D52917">
        <w:rPr>
          <w:szCs w:val="26"/>
        </w:rPr>
        <w:t>The commission shall require each electrical corporation to report annually on its compliance with the standards or rules.</w:t>
      </w:r>
      <w:r w:rsidR="00D52917">
        <w:rPr>
          <w:szCs w:val="26"/>
        </w:rPr>
        <w:t xml:space="preserve"> </w:t>
      </w:r>
      <w:r w:rsidRPr="00D52917">
        <w:rPr>
          <w:szCs w:val="26"/>
        </w:rPr>
        <w:t xml:space="preserve"> Except as provided in subdivision (d), that report shall be made available to the public.</w:t>
      </w:r>
    </w:p>
    <w:p w14:paraId="393F7432" w14:textId="77777777" w:rsidR="0097193B" w:rsidRPr="006751CD" w:rsidRDefault="0097193B" w:rsidP="0097193B">
      <w:pPr>
        <w:pStyle w:val="standard"/>
      </w:pPr>
      <w:r w:rsidRPr="006751CD">
        <w:rPr>
          <w:rFonts w:cs="Arial"/>
          <w:szCs w:val="24"/>
        </w:rPr>
        <w:t>Phase II of this proceeding was instituted as a result of Pub. Util. Code §</w:t>
      </w:r>
      <w:r w:rsidR="00D52917">
        <w:rPr>
          <w:rFonts w:cs="Arial"/>
          <w:szCs w:val="24"/>
        </w:rPr>
        <w:t> </w:t>
      </w:r>
      <w:r w:rsidRPr="006751CD">
        <w:rPr>
          <w:rFonts w:cs="Arial"/>
          <w:szCs w:val="24"/>
        </w:rPr>
        <w:t>768.6 being added to the Pub</w:t>
      </w:r>
      <w:r w:rsidR="00114769">
        <w:rPr>
          <w:rFonts w:cs="Arial"/>
          <w:szCs w:val="24"/>
        </w:rPr>
        <w:t>.</w:t>
      </w:r>
      <w:r w:rsidRPr="006751CD">
        <w:rPr>
          <w:rFonts w:cs="Arial"/>
          <w:szCs w:val="24"/>
        </w:rPr>
        <w:t xml:space="preserve"> Util</w:t>
      </w:r>
      <w:r w:rsidR="00114769">
        <w:rPr>
          <w:rFonts w:cs="Arial"/>
          <w:szCs w:val="24"/>
        </w:rPr>
        <w:t>.</w:t>
      </w:r>
      <w:r w:rsidRPr="006751CD">
        <w:rPr>
          <w:rFonts w:cs="Arial"/>
          <w:szCs w:val="24"/>
        </w:rPr>
        <w:t xml:space="preserve"> Code by Assembly Bill (AB) 1650.  It requires the Commission to:</w:t>
      </w:r>
    </w:p>
    <w:p w14:paraId="52597C9A" w14:textId="77777777" w:rsidR="0097193B" w:rsidRPr="006751CD" w:rsidRDefault="00114769" w:rsidP="00D52917">
      <w:pPr>
        <w:spacing w:after="120"/>
        <w:ind w:left="720" w:right="1440"/>
        <w:rPr>
          <w:rFonts w:cs="Arial"/>
          <w:szCs w:val="24"/>
        </w:rPr>
      </w:pPr>
      <w:r>
        <w:rPr>
          <w:rFonts w:cs="Arial"/>
          <w:szCs w:val="24"/>
        </w:rPr>
        <w:t>E</w:t>
      </w:r>
      <w:r w:rsidR="0097193B" w:rsidRPr="006751CD">
        <w:rPr>
          <w:rFonts w:cs="Arial"/>
          <w:szCs w:val="24"/>
        </w:rPr>
        <w:t xml:space="preserve">stablish standards for disaster and emergency preparedness plans within an existing proceeding, including, but not limited to, use of weather reports to preposition manpower and equipment before anticipated severe weather, methods of improving communications between governmental agencies and the public, and methods of working to control and mitigate an emergency or disaster and its aftereffects. </w:t>
      </w:r>
    </w:p>
    <w:p w14:paraId="4E0E0300" w14:textId="77777777" w:rsidR="0097193B" w:rsidRPr="006751CD" w:rsidRDefault="0097193B" w:rsidP="0097193B">
      <w:pPr>
        <w:spacing w:line="360" w:lineRule="auto"/>
        <w:rPr>
          <w:rFonts w:cs="Arial"/>
          <w:szCs w:val="24"/>
        </w:rPr>
      </w:pPr>
      <w:r w:rsidRPr="006751CD">
        <w:rPr>
          <w:rFonts w:cs="Arial"/>
          <w:szCs w:val="24"/>
        </w:rPr>
        <w:t>This language bears similarities to the pre-amendment version of § 364(b), which states:</w:t>
      </w:r>
    </w:p>
    <w:p w14:paraId="0A95F5CA" w14:textId="77777777" w:rsidR="0097193B" w:rsidRPr="006751CD" w:rsidRDefault="0097193B" w:rsidP="008D56B1">
      <w:pPr>
        <w:spacing w:after="120"/>
        <w:ind w:left="720" w:right="1440"/>
        <w:rPr>
          <w:rFonts w:cs="Arial"/>
          <w:szCs w:val="24"/>
        </w:rPr>
      </w:pPr>
      <w:r w:rsidRPr="006751CD">
        <w:rPr>
          <w:rFonts w:cs="Arial"/>
          <w:szCs w:val="24"/>
        </w:rPr>
        <w:t xml:space="preserve">In setting its standards, the commission shall consider: cost, local geography and weather, applicable codes, national electric industry practices, sound engineering judgment, and experience. </w:t>
      </w:r>
      <w:r w:rsidR="008D56B1">
        <w:rPr>
          <w:rFonts w:cs="Arial"/>
          <w:szCs w:val="24"/>
        </w:rPr>
        <w:t xml:space="preserve"> </w:t>
      </w:r>
      <w:r w:rsidRPr="006751CD">
        <w:rPr>
          <w:rFonts w:cs="Arial"/>
          <w:szCs w:val="24"/>
        </w:rPr>
        <w:t>The commission shall also adopt standards for operation, reliability, and safety during periods of emergency and disaster.</w:t>
      </w:r>
    </w:p>
    <w:p w14:paraId="3602F13E" w14:textId="77777777" w:rsidR="0097193B" w:rsidRPr="008F0558" w:rsidRDefault="0097193B" w:rsidP="0097193B">
      <w:pPr>
        <w:textAlignment w:val="baseline"/>
        <w:rPr>
          <w:szCs w:val="26"/>
        </w:rPr>
      </w:pPr>
      <w:r w:rsidRPr="008F0558">
        <w:rPr>
          <w:szCs w:val="26"/>
        </w:rPr>
        <w:t xml:space="preserve">Phase II of this proceeding is ongoing. </w:t>
      </w:r>
    </w:p>
    <w:p w14:paraId="29EDAD78" w14:textId="77777777" w:rsidR="0097193B" w:rsidRPr="00E916BD" w:rsidRDefault="00D34E37" w:rsidP="001B6698">
      <w:pPr>
        <w:pStyle w:val="Heading2"/>
        <w:keepNext/>
        <w:keepLines/>
        <w:spacing w:before="120"/>
        <w:ind w:left="1267" w:hanging="547"/>
      </w:pPr>
      <w:bookmarkStart w:id="5" w:name="_Toc529357778"/>
      <w:r>
        <w:t xml:space="preserve">1.1.  </w:t>
      </w:r>
      <w:r w:rsidR="0097193B" w:rsidRPr="00E916BD">
        <w:t>Procedural Background</w:t>
      </w:r>
      <w:bookmarkEnd w:id="5"/>
    </w:p>
    <w:p w14:paraId="1E24952F" w14:textId="77777777" w:rsidR="0097193B" w:rsidRDefault="0097193B" w:rsidP="00A63029">
      <w:pPr>
        <w:pStyle w:val="standard"/>
      </w:pPr>
      <w:r w:rsidRPr="006751CD">
        <w:t>An initial prehearing conference (PHC) was held on October 29, 2015.  A supplemental PHC</w:t>
      </w:r>
      <w:r>
        <w:t xml:space="preserve"> was</w:t>
      </w:r>
      <w:r w:rsidRPr="006751CD">
        <w:t xml:space="preserve"> conducted on February 2, 2017 and a Scoping Memo and Ruling was issued on March 10, 2017.</w:t>
      </w:r>
    </w:p>
    <w:p w14:paraId="7C7BF593" w14:textId="77777777" w:rsidR="0097193B" w:rsidRDefault="0097193B" w:rsidP="00A63029">
      <w:pPr>
        <w:pStyle w:val="standard"/>
      </w:pPr>
      <w:r>
        <w:t>The scoping memo set forth the following issues to be addressed in this proceeding:</w:t>
      </w:r>
    </w:p>
    <w:p w14:paraId="3A890FE0" w14:textId="77777777" w:rsidR="0097193B" w:rsidRPr="0041575F" w:rsidRDefault="0097193B" w:rsidP="003763AB">
      <w:pPr>
        <w:keepNext/>
        <w:keepLines/>
        <w:numPr>
          <w:ilvl w:val="0"/>
          <w:numId w:val="37"/>
        </w:numPr>
        <w:spacing w:after="160"/>
        <w:ind w:left="1166" w:right="1440" w:hanging="446"/>
        <w:rPr>
          <w:szCs w:val="26"/>
        </w:rPr>
      </w:pPr>
      <w:r w:rsidRPr="0041575F">
        <w:rPr>
          <w:szCs w:val="26"/>
        </w:rPr>
        <w:lastRenderedPageBreak/>
        <w:t>What is currently in place in terms of physical security regulations at the state and federal level?</w:t>
      </w:r>
    </w:p>
    <w:p w14:paraId="3732C770" w14:textId="77777777" w:rsidR="0097193B" w:rsidRPr="0041575F" w:rsidRDefault="0097193B" w:rsidP="003763AB">
      <w:pPr>
        <w:keepNext/>
        <w:keepLines/>
        <w:numPr>
          <w:ilvl w:val="0"/>
          <w:numId w:val="37"/>
        </w:numPr>
        <w:spacing w:after="160"/>
        <w:ind w:left="1166" w:right="1440" w:hanging="446"/>
        <w:rPr>
          <w:szCs w:val="26"/>
        </w:rPr>
      </w:pPr>
      <w:r w:rsidRPr="0041575F">
        <w:rPr>
          <w:szCs w:val="26"/>
        </w:rPr>
        <w:t>What are the key potential physical secur</w:t>
      </w:r>
      <w:r>
        <w:rPr>
          <w:szCs w:val="26"/>
        </w:rPr>
        <w:t xml:space="preserve">ity risks to electrical </w:t>
      </w:r>
      <w:r w:rsidRPr="0041575F">
        <w:rPr>
          <w:szCs w:val="26"/>
        </w:rPr>
        <w:t>distribution facilities?</w:t>
      </w:r>
    </w:p>
    <w:p w14:paraId="3219DCF8" w14:textId="77777777" w:rsidR="0097193B" w:rsidRPr="0041575F" w:rsidRDefault="0097193B" w:rsidP="0097193B">
      <w:pPr>
        <w:numPr>
          <w:ilvl w:val="0"/>
          <w:numId w:val="37"/>
        </w:numPr>
        <w:spacing w:after="160"/>
        <w:ind w:left="1166" w:right="1440" w:hanging="446"/>
        <w:rPr>
          <w:szCs w:val="26"/>
        </w:rPr>
      </w:pPr>
      <w:r w:rsidRPr="0041575F">
        <w:rPr>
          <w:szCs w:val="26"/>
        </w:rPr>
        <w:t>What new rules, standards, or General Orders or modifications to existing policies should the Commission consider to help mitigate physical sec</w:t>
      </w:r>
      <w:r>
        <w:rPr>
          <w:szCs w:val="26"/>
        </w:rPr>
        <w:t>urity risks to electrical distribution</w:t>
      </w:r>
      <w:r w:rsidRPr="0041575F">
        <w:rPr>
          <w:szCs w:val="26"/>
        </w:rPr>
        <w:t xml:space="preserve"> facilities? </w:t>
      </w:r>
    </w:p>
    <w:p w14:paraId="253EE24C" w14:textId="77777777" w:rsidR="0097193B" w:rsidRPr="0041575F" w:rsidRDefault="0097193B" w:rsidP="0097193B">
      <w:pPr>
        <w:numPr>
          <w:ilvl w:val="0"/>
          <w:numId w:val="37"/>
        </w:numPr>
        <w:spacing w:after="160"/>
        <w:ind w:left="1166" w:right="1440" w:hanging="446"/>
        <w:rPr>
          <w:szCs w:val="26"/>
        </w:rPr>
      </w:pPr>
      <w:r w:rsidRPr="0041575F">
        <w:rPr>
          <w:szCs w:val="26"/>
        </w:rPr>
        <w:t xml:space="preserve">Should the Commission go beyond the physical security regulations presented in the </w:t>
      </w:r>
      <w:r>
        <w:rPr>
          <w:szCs w:val="26"/>
        </w:rPr>
        <w:t>NER</w:t>
      </w:r>
      <w:r w:rsidRPr="0041575F">
        <w:rPr>
          <w:szCs w:val="26"/>
        </w:rPr>
        <w:t>C CIP-014-2 physical security regulations?</w:t>
      </w:r>
    </w:p>
    <w:p w14:paraId="787C4D08" w14:textId="77777777" w:rsidR="0097193B" w:rsidRPr="0041575F" w:rsidRDefault="0097193B" w:rsidP="0097193B">
      <w:pPr>
        <w:numPr>
          <w:ilvl w:val="0"/>
          <w:numId w:val="37"/>
        </w:numPr>
        <w:spacing w:after="160"/>
        <w:ind w:left="1166" w:right="1440" w:hanging="446"/>
        <w:rPr>
          <w:szCs w:val="26"/>
        </w:rPr>
      </w:pPr>
      <w:r w:rsidRPr="0041575F">
        <w:rPr>
          <w:szCs w:val="26"/>
        </w:rPr>
        <w:t>Should any new rules, standards, or General Orders or modifications to existing policies apply to all electrical supply facilities within the jurisdiction of the Commission</w:t>
      </w:r>
      <w:r>
        <w:rPr>
          <w:szCs w:val="26"/>
        </w:rPr>
        <w:t xml:space="preserve">, including </w:t>
      </w:r>
      <w:r w:rsidRPr="0041575F">
        <w:rPr>
          <w:szCs w:val="26"/>
        </w:rPr>
        <w:t>publicly owned electrical utilities and rural electric cooperatives?</w:t>
      </w:r>
    </w:p>
    <w:p w14:paraId="53A41A6D" w14:textId="77777777" w:rsidR="0097193B" w:rsidRPr="0041575F" w:rsidRDefault="0097193B" w:rsidP="0097193B">
      <w:pPr>
        <w:numPr>
          <w:ilvl w:val="0"/>
          <w:numId w:val="37"/>
        </w:numPr>
        <w:spacing w:after="160"/>
        <w:ind w:left="1166" w:right="1440" w:hanging="446"/>
        <w:rPr>
          <w:szCs w:val="26"/>
        </w:rPr>
      </w:pPr>
      <w:r>
        <w:rPr>
          <w:szCs w:val="26"/>
        </w:rPr>
        <w:t xml:space="preserve">What regulations or standards should be established </w:t>
      </w:r>
      <w:r w:rsidRPr="0041575F">
        <w:rPr>
          <w:szCs w:val="26"/>
        </w:rPr>
        <w:t>for small and multi-jurisdictional electric corporations?</w:t>
      </w:r>
    </w:p>
    <w:p w14:paraId="59969E70" w14:textId="77777777" w:rsidR="0097193B" w:rsidRPr="0041575F" w:rsidRDefault="0097193B" w:rsidP="0097193B">
      <w:pPr>
        <w:numPr>
          <w:ilvl w:val="0"/>
          <w:numId w:val="37"/>
        </w:numPr>
        <w:spacing w:after="160"/>
        <w:ind w:left="1166" w:right="1440" w:hanging="446"/>
        <w:rPr>
          <w:szCs w:val="26"/>
        </w:rPr>
      </w:pPr>
      <w:r w:rsidRPr="0041575F">
        <w:rPr>
          <w:szCs w:val="26"/>
        </w:rPr>
        <w:t>What has changed since Metcalf and what still needs to be accomplished in terms of physical security?</w:t>
      </w:r>
    </w:p>
    <w:p w14:paraId="02491C89" w14:textId="77777777" w:rsidR="0097193B" w:rsidRPr="0041575F" w:rsidRDefault="0097193B" w:rsidP="00B05310">
      <w:pPr>
        <w:keepNext/>
        <w:keepLines/>
        <w:numPr>
          <w:ilvl w:val="0"/>
          <w:numId w:val="37"/>
        </w:numPr>
        <w:spacing w:after="160"/>
        <w:ind w:left="1166" w:right="1440" w:hanging="446"/>
        <w:rPr>
          <w:szCs w:val="26"/>
        </w:rPr>
      </w:pPr>
      <w:r w:rsidRPr="0041575F">
        <w:rPr>
          <w:szCs w:val="26"/>
        </w:rPr>
        <w:t>Are there other factors not listed</w:t>
      </w:r>
      <w:r>
        <w:rPr>
          <w:szCs w:val="26"/>
        </w:rPr>
        <w:t xml:space="preserve"> in Section 364(b) of the Pub. Util.</w:t>
      </w:r>
      <w:r w:rsidRPr="0041575F">
        <w:rPr>
          <w:szCs w:val="26"/>
        </w:rPr>
        <w:t xml:space="preserve"> Code that the Commission should consider when adopting any new rules, standards, or General Orders or modifications to existing policies during this rulemaking that will help to minimize attacks and the extent of damages?</w:t>
      </w:r>
    </w:p>
    <w:p w14:paraId="49D8722F" w14:textId="77777777" w:rsidR="0097193B" w:rsidRPr="0041575F" w:rsidRDefault="0097193B" w:rsidP="0097193B">
      <w:pPr>
        <w:numPr>
          <w:ilvl w:val="0"/>
          <w:numId w:val="37"/>
        </w:numPr>
        <w:spacing w:after="160"/>
        <w:ind w:left="1166" w:right="1440" w:hanging="446"/>
        <w:rPr>
          <w:szCs w:val="26"/>
        </w:rPr>
      </w:pPr>
      <w:r w:rsidRPr="0041575F">
        <w:rPr>
          <w:szCs w:val="26"/>
        </w:rPr>
        <w:t xml:space="preserve">What new rules or standards or modifications to existing policies should the Commission consider to allow for adequate disclosure of information to the public without disclosing sensitive information that could pose a </w:t>
      </w:r>
      <w:r>
        <w:rPr>
          <w:szCs w:val="26"/>
        </w:rPr>
        <w:t xml:space="preserve">physical </w:t>
      </w:r>
      <w:r w:rsidRPr="0041575F">
        <w:rPr>
          <w:szCs w:val="26"/>
        </w:rPr>
        <w:t>security risk or threat if disclosed?</w:t>
      </w:r>
    </w:p>
    <w:p w14:paraId="0FA15AAF" w14:textId="77777777" w:rsidR="0097193B" w:rsidRPr="0041575F" w:rsidRDefault="0097193B" w:rsidP="000158EE">
      <w:pPr>
        <w:numPr>
          <w:ilvl w:val="0"/>
          <w:numId w:val="37"/>
        </w:numPr>
        <w:spacing w:after="160"/>
        <w:ind w:left="1166" w:right="1440" w:hanging="626"/>
        <w:rPr>
          <w:szCs w:val="26"/>
        </w:rPr>
      </w:pPr>
      <w:r w:rsidRPr="0041575F">
        <w:rPr>
          <w:szCs w:val="26"/>
        </w:rPr>
        <w:t xml:space="preserve">What is the role of cost and risk management in relation to the mitigation of any potential </w:t>
      </w:r>
      <w:r>
        <w:rPr>
          <w:szCs w:val="26"/>
        </w:rPr>
        <w:t xml:space="preserve">physical </w:t>
      </w:r>
      <w:r w:rsidRPr="0041575F">
        <w:rPr>
          <w:szCs w:val="26"/>
        </w:rPr>
        <w:t>security risks</w:t>
      </w:r>
      <w:r>
        <w:rPr>
          <w:szCs w:val="26"/>
        </w:rPr>
        <w:t xml:space="preserve"> to electrical supply facilities</w:t>
      </w:r>
      <w:r w:rsidRPr="0041575F">
        <w:rPr>
          <w:szCs w:val="26"/>
        </w:rPr>
        <w:t>?</w:t>
      </w:r>
    </w:p>
    <w:p w14:paraId="3C209B61" w14:textId="77777777" w:rsidR="0097193B" w:rsidRPr="0041575F" w:rsidRDefault="0097193B" w:rsidP="000158EE">
      <w:pPr>
        <w:numPr>
          <w:ilvl w:val="0"/>
          <w:numId w:val="37"/>
        </w:numPr>
        <w:spacing w:after="160"/>
        <w:ind w:left="1166" w:right="1440" w:hanging="626"/>
        <w:rPr>
          <w:szCs w:val="26"/>
        </w:rPr>
      </w:pPr>
      <w:r w:rsidRPr="0041575F">
        <w:rPr>
          <w:szCs w:val="26"/>
        </w:rPr>
        <w:lastRenderedPageBreak/>
        <w:t>Should any new rules, standards, or General Orders or modifications to existing policies the Commission considers be prescriptive or performance based, or both?</w:t>
      </w:r>
    </w:p>
    <w:p w14:paraId="49F5ADBB" w14:textId="77777777" w:rsidR="0097193B" w:rsidRPr="0041575F" w:rsidRDefault="0097193B" w:rsidP="000158EE">
      <w:pPr>
        <w:numPr>
          <w:ilvl w:val="0"/>
          <w:numId w:val="37"/>
        </w:numPr>
        <w:spacing w:after="160"/>
        <w:ind w:left="1166" w:right="1440" w:hanging="626"/>
        <w:rPr>
          <w:szCs w:val="26"/>
        </w:rPr>
      </w:pPr>
      <w:r w:rsidRPr="0041575F">
        <w:rPr>
          <w:szCs w:val="26"/>
        </w:rPr>
        <w:t xml:space="preserve">What new rules, standards, or General Orders or modifications to existing policies should the Commission consider to ensure continued operation, reliability and safety during periods of emergencies and disasters as it relates to </w:t>
      </w:r>
      <w:r>
        <w:rPr>
          <w:szCs w:val="26"/>
        </w:rPr>
        <w:t xml:space="preserve">the physical </w:t>
      </w:r>
      <w:r w:rsidRPr="0041575F">
        <w:rPr>
          <w:szCs w:val="26"/>
        </w:rPr>
        <w:t>security of electrical facilities?</w:t>
      </w:r>
    </w:p>
    <w:p w14:paraId="7116C270" w14:textId="77777777" w:rsidR="0097193B" w:rsidRPr="0041575F" w:rsidRDefault="0097193B" w:rsidP="000158EE">
      <w:pPr>
        <w:numPr>
          <w:ilvl w:val="0"/>
          <w:numId w:val="37"/>
        </w:numPr>
        <w:spacing w:after="160"/>
        <w:ind w:left="1166" w:right="1440" w:hanging="626"/>
        <w:rPr>
          <w:szCs w:val="26"/>
        </w:rPr>
      </w:pPr>
      <w:r w:rsidRPr="0041575F">
        <w:rPr>
          <w:szCs w:val="26"/>
        </w:rPr>
        <w:t>How should this rulemaking proceed in order t</w:t>
      </w:r>
      <w:r>
        <w:rPr>
          <w:szCs w:val="26"/>
        </w:rPr>
        <w:t>o ensure consistency with the N</w:t>
      </w:r>
      <w:r w:rsidRPr="0041575F">
        <w:rPr>
          <w:szCs w:val="26"/>
        </w:rPr>
        <w:t>E</w:t>
      </w:r>
      <w:r>
        <w:rPr>
          <w:szCs w:val="26"/>
        </w:rPr>
        <w:t>R</w:t>
      </w:r>
      <w:r w:rsidRPr="0041575F">
        <w:rPr>
          <w:szCs w:val="26"/>
        </w:rPr>
        <w:t>C, Federal Energy Regulatory Commissions (FERC), the California Independent System Operator (CAISO), the Department of Homeland Security (DHS), the Federal Bureau of</w:t>
      </w:r>
      <w:r>
        <w:rPr>
          <w:szCs w:val="26"/>
        </w:rPr>
        <w:t xml:space="preserve"> Investigations (FBI) and other </w:t>
      </w:r>
      <w:r w:rsidRPr="0041575F">
        <w:rPr>
          <w:szCs w:val="26"/>
        </w:rPr>
        <w:t>regulatory agency regulations?</w:t>
      </w:r>
    </w:p>
    <w:p w14:paraId="112E24EC" w14:textId="77777777" w:rsidR="0097193B" w:rsidRPr="008F4261" w:rsidRDefault="0097193B" w:rsidP="000158EE">
      <w:pPr>
        <w:numPr>
          <w:ilvl w:val="0"/>
          <w:numId w:val="37"/>
        </w:numPr>
        <w:spacing w:after="160"/>
        <w:ind w:left="1166" w:right="1440" w:hanging="626"/>
        <w:rPr>
          <w:szCs w:val="26"/>
        </w:rPr>
      </w:pPr>
      <w:r>
        <w:rPr>
          <w:szCs w:val="26"/>
        </w:rPr>
        <w:t>What ongoing processes should be instituted to ensure confidentiality of physical security information while providing adequate access to necessary information by the Commission</w:t>
      </w:r>
      <w:r>
        <w:rPr>
          <w:rStyle w:val="FootnoteReference"/>
          <w:szCs w:val="26"/>
        </w:rPr>
        <w:footnoteReference w:id="5"/>
      </w:r>
      <w:r>
        <w:rPr>
          <w:szCs w:val="26"/>
        </w:rPr>
        <w:t>?</w:t>
      </w:r>
    </w:p>
    <w:p w14:paraId="324B2A4E" w14:textId="5B960E8A" w:rsidR="0097193B" w:rsidRPr="006751CD" w:rsidRDefault="0097193B" w:rsidP="00962E57">
      <w:pPr>
        <w:pStyle w:val="standard"/>
      </w:pPr>
      <w:r w:rsidRPr="006751CD">
        <w:t>On July 12, 2017, the assigned Administrative Law Judge (ALJ) issued a ruling requesting th</w:t>
      </w:r>
      <w:r>
        <w:t>at</w:t>
      </w:r>
      <w:r w:rsidRPr="006751CD">
        <w:t xml:space="preserve"> parties file a Straw Proposal for Physical Security Regulations (Joint Utility Proposal).  The Joint Utility Proposal was filed on </w:t>
      </w:r>
      <w:r w:rsidRPr="006751CD">
        <w:lastRenderedPageBreak/>
        <w:t>August 31, 2017.</w:t>
      </w:r>
      <w:r w:rsidRPr="006751CD">
        <w:rPr>
          <w:rStyle w:val="FootnoteReference"/>
          <w:szCs w:val="26"/>
        </w:rPr>
        <w:footnoteReference w:id="6"/>
      </w:r>
      <w:r w:rsidRPr="006751CD">
        <w:t xml:space="preserve">  On September 14, 2017, the Office of Ratepayer Advocates (ORA)</w:t>
      </w:r>
      <w:r w:rsidR="00A9524B">
        <w:rPr>
          <w:rStyle w:val="FootnoteReference"/>
          <w:szCs w:val="26"/>
        </w:rPr>
        <w:footnoteReference w:id="7"/>
      </w:r>
      <w:r w:rsidRPr="006751CD">
        <w:t xml:space="preserve"> and the Electric Safety and Reliability Branch of the Safety and Enforcement Division (SED Advocacy) filed comments on the Joint Utility Proposal.</w:t>
      </w:r>
    </w:p>
    <w:p w14:paraId="694BC2D6" w14:textId="26B8AE3C" w:rsidR="0097193B" w:rsidRPr="006751CD" w:rsidRDefault="0097193B" w:rsidP="0008501F">
      <w:pPr>
        <w:pStyle w:val="standard"/>
      </w:pPr>
      <w:r w:rsidRPr="006751CD">
        <w:t xml:space="preserve">On January 3, 2018, the assigned ALJ issued a ruling allowing the parties to file legal briefs concerning the Commission’s jurisdiction over </w:t>
      </w:r>
      <w:r>
        <w:t xml:space="preserve">POUs </w:t>
      </w:r>
      <w:r w:rsidRPr="006751CD">
        <w:t xml:space="preserve">and rural electric cooperatives. CMUA, LADWP, NRECA and SMUD filed a joint opening brief on January 26, 2018, opposing any attempt by the Commission to assert safety jurisdiction over the POUs and rural cooperatives.  </w:t>
      </w:r>
      <w:r w:rsidR="00194C17">
        <w:t>Also,</w:t>
      </w:r>
      <w:r>
        <w:t xml:space="preserve"> on </w:t>
      </w:r>
      <w:r w:rsidRPr="006751CD">
        <w:t>January</w:t>
      </w:r>
      <w:r w:rsidR="00E5373D">
        <w:t> </w:t>
      </w:r>
      <w:r w:rsidRPr="006751CD">
        <w:t>26,</w:t>
      </w:r>
      <w:r w:rsidR="00E5373D">
        <w:t> </w:t>
      </w:r>
      <w:r w:rsidRPr="006751CD">
        <w:t>2018, SED Advocacy</w:t>
      </w:r>
      <w:r w:rsidR="00EB7219">
        <w:rPr>
          <w:rStyle w:val="FootnoteReference"/>
        </w:rPr>
        <w:footnoteReference w:id="8"/>
      </w:r>
      <w:r w:rsidRPr="006751CD">
        <w:t xml:space="preserve"> and ORA filed briefs in support of the Commission’s ability to assert jurisdiction over the POUs. </w:t>
      </w:r>
      <w:r w:rsidR="00194C17">
        <w:t xml:space="preserve"> </w:t>
      </w:r>
      <w:r w:rsidRPr="006751CD">
        <w:t xml:space="preserve">On February 9, 2018, CMUA, LADWP, NRECA and SMUD </w:t>
      </w:r>
      <w:r>
        <w:t xml:space="preserve">jointly </w:t>
      </w:r>
      <w:r w:rsidRPr="006751CD">
        <w:t>filed a reply brief on the jurisdictional issue.  SED Advocacy also filed a reply brief at the same time.</w:t>
      </w:r>
      <w:r w:rsidRPr="00A53748">
        <w:t xml:space="preserve"> </w:t>
      </w:r>
      <w:r>
        <w:t>On January 4</w:t>
      </w:r>
      <w:r w:rsidRPr="006751CD">
        <w:t xml:space="preserve">, 2018, SED’s Risk Assessment </w:t>
      </w:r>
      <w:r>
        <w:t>and</w:t>
      </w:r>
      <w:r w:rsidRPr="006751CD">
        <w:t xml:space="preserve"> Safety Advisory (RASA)</w:t>
      </w:r>
      <w:r w:rsidR="000D1F2C">
        <w:t xml:space="preserve"> unit</w:t>
      </w:r>
      <w:r w:rsidRPr="006751CD">
        <w:rPr>
          <w:rStyle w:val="FootnoteReference"/>
        </w:rPr>
        <w:footnoteReference w:id="9"/>
      </w:r>
      <w:r w:rsidRPr="006751CD">
        <w:t xml:space="preserve"> </w:t>
      </w:r>
      <w:r>
        <w:lastRenderedPageBreak/>
        <w:t>completed its recommendations and analysis</w:t>
      </w:r>
      <w:r w:rsidRPr="006751CD">
        <w:t xml:space="preserve"> </w:t>
      </w:r>
      <w:r>
        <w:t xml:space="preserve">on the </w:t>
      </w:r>
      <w:r w:rsidRPr="006751CD">
        <w:rPr>
          <w:szCs w:val="26"/>
        </w:rPr>
        <w:t>Joint Utility Proposal</w:t>
      </w:r>
      <w:r w:rsidRPr="006751CD">
        <w:rPr>
          <w:rStyle w:val="FootnoteReference"/>
        </w:rPr>
        <w:footnoteReference w:id="10"/>
      </w:r>
      <w:r>
        <w:rPr>
          <w:szCs w:val="26"/>
        </w:rPr>
        <w:t xml:space="preserve"> (</w:t>
      </w:r>
      <w:r w:rsidRPr="006751CD">
        <w:t>RASA evaluation</w:t>
      </w:r>
      <w:r>
        <w:t xml:space="preserve">). </w:t>
      </w:r>
      <w:r w:rsidR="0069239C">
        <w:t xml:space="preserve"> </w:t>
      </w:r>
      <w:r w:rsidRPr="006751CD">
        <w:t xml:space="preserve">On January 16, 2018, the </w:t>
      </w:r>
      <w:r>
        <w:t xml:space="preserve">assigned </w:t>
      </w:r>
      <w:r w:rsidRPr="006751CD">
        <w:t>ALJ issued a ruling</w:t>
      </w:r>
      <w:r>
        <w:t xml:space="preserve"> that made available the </w:t>
      </w:r>
      <w:r w:rsidRPr="006751CD">
        <w:t>RASA evaluation</w:t>
      </w:r>
      <w:r>
        <w:t xml:space="preserve"> as an attachment and that</w:t>
      </w:r>
      <w:r w:rsidRPr="006751CD">
        <w:t xml:space="preserve"> </w:t>
      </w:r>
      <w:r>
        <w:t xml:space="preserve">requested </w:t>
      </w:r>
      <w:r w:rsidRPr="006751CD">
        <w:t>comments and reply comments on the RASA evaluation.  Comments were filed on February 9, 2018</w:t>
      </w:r>
      <w:r>
        <w:t xml:space="preserve"> by SCE, SDG&amp;E, ORA, SED, SMUD, LADWP, and NRECA.  R</w:t>
      </w:r>
      <w:r w:rsidRPr="006751CD">
        <w:t>eply comments were filed on February 23, 201</w:t>
      </w:r>
      <w:r>
        <w:t xml:space="preserve">8 </w:t>
      </w:r>
      <w:r w:rsidR="000D1F2C">
        <w:t xml:space="preserve">by </w:t>
      </w:r>
      <w:r>
        <w:t>the same parties</w:t>
      </w:r>
      <w:r w:rsidRPr="006751CD">
        <w:t>.  On March 2, 2018, SCE filed sur-reply comments.</w:t>
      </w:r>
    </w:p>
    <w:p w14:paraId="1A7E7372" w14:textId="77777777" w:rsidR="0097193B" w:rsidRDefault="0069239C" w:rsidP="00B94B9A">
      <w:pPr>
        <w:pStyle w:val="Heading1"/>
      </w:pPr>
      <w:bookmarkStart w:id="6" w:name="_Toc529357779"/>
      <w:r>
        <w:t xml:space="preserve">2.  </w:t>
      </w:r>
      <w:r w:rsidR="0097193B">
        <w:t>Electric Physical Security Prior to Metcalf</w:t>
      </w:r>
      <w:bookmarkEnd w:id="6"/>
    </w:p>
    <w:p w14:paraId="001F9EE1" w14:textId="77777777" w:rsidR="0097193B" w:rsidRDefault="0097193B" w:rsidP="0097193B">
      <w:pPr>
        <w:pStyle w:val="standard"/>
      </w:pPr>
      <w:r>
        <w:t xml:space="preserve">Before the Metcalf incident, electric physical security in the United States had been voluntary and primarily directed at monitoring physical security incidents.  In 2001, NERC issued guidelines prescribing new physical security requirements for electric utilities, and the Institute for Electric and Electronic Engineers (IEEE) published its own guidelines titled </w:t>
      </w:r>
      <w:r w:rsidRPr="00713DC3">
        <w:rPr>
          <w:i/>
        </w:rPr>
        <w:t>1402-2000 IEEE Guide for Electric Power Substation Physical and Electronic Security</w:t>
      </w:r>
      <w:r>
        <w:t>.</w:t>
      </w:r>
      <w:r>
        <w:rPr>
          <w:rStyle w:val="FootnoteReference"/>
        </w:rPr>
        <w:footnoteReference w:id="11"/>
      </w:r>
      <w:r>
        <w:t xml:space="preserve">  </w:t>
      </w:r>
    </w:p>
    <w:p w14:paraId="581ED5A2" w14:textId="77777777" w:rsidR="0097193B" w:rsidRDefault="0097193B" w:rsidP="0097193B">
      <w:pPr>
        <w:pStyle w:val="standard"/>
      </w:pPr>
      <w:r>
        <w:t xml:space="preserve">In 2010, the National Infrastructure Advisory Council, in conjunction with the U.S. Department of Homeland Security (DHS), issued </w:t>
      </w:r>
      <w:r>
        <w:rPr>
          <w:i/>
        </w:rPr>
        <w:t>A Framework for Establishing Critical Infrastructure Resilience Goals</w:t>
      </w:r>
      <w:r>
        <w:rPr>
          <w:rStyle w:val="FootnoteReference"/>
          <w:i/>
        </w:rPr>
        <w:footnoteReference w:id="12"/>
      </w:r>
      <w:r>
        <w:t xml:space="preserve"> which defined resilience as the ability to reduce the magnitude and/or duration of disruptive events.  The report noted the potential for public agencies to enhance the resilience of the electricity </w:t>
      </w:r>
      <w:r>
        <w:lastRenderedPageBreak/>
        <w:t>sector through policy, planning, standards and regulations.  The report also stressed the importance of improving access to information regarding threats.</w:t>
      </w:r>
    </w:p>
    <w:p w14:paraId="31F69506" w14:textId="77777777" w:rsidR="0097193B" w:rsidRPr="009B3528" w:rsidRDefault="0097193B" w:rsidP="0097193B">
      <w:pPr>
        <w:pStyle w:val="standard"/>
      </w:pPr>
      <w:r>
        <w:t>Early in 2013, Presidential Policy Directive 21</w:t>
      </w:r>
      <w:r>
        <w:rPr>
          <w:rStyle w:val="FootnoteReference"/>
        </w:rPr>
        <w:footnoteReference w:id="13"/>
      </w:r>
      <w:r>
        <w:t xml:space="preserve"> established Federal agencies’ roles regarding physical- and cyber-security threats.  These policies reemphasized the need for a collaborative approach to security and risk assessment, with the U.S. Department of Energy (U.S. DOE) overseeing issues related to the electric utility sector through the newly-formed Electric Subsector Coordinating Council (ESCC).</w:t>
      </w:r>
    </w:p>
    <w:p w14:paraId="5BBFE1FE" w14:textId="77777777" w:rsidR="0097193B" w:rsidRPr="00876D77" w:rsidRDefault="00EC58AA" w:rsidP="00B94B9A">
      <w:pPr>
        <w:pStyle w:val="Heading1"/>
      </w:pPr>
      <w:bookmarkStart w:id="7" w:name="_Toc529357780"/>
      <w:r>
        <w:t xml:space="preserve">3.  </w:t>
      </w:r>
      <w:r w:rsidR="0097193B" w:rsidRPr="006751CD">
        <w:t>Jurisdictional Issue</w:t>
      </w:r>
      <w:bookmarkEnd w:id="7"/>
    </w:p>
    <w:p w14:paraId="6B4DACCE" w14:textId="77777777" w:rsidR="0097193B" w:rsidRPr="006751CD" w:rsidRDefault="0097193B" w:rsidP="00EC58AA">
      <w:pPr>
        <w:pStyle w:val="standard"/>
      </w:pPr>
      <w:r w:rsidRPr="006751CD">
        <w:t>When this rulemaking was initiated, CMUA, LADWP, NRECA and SMUD objected to any attempt to have either Phase I or II of this proceeding be applicable to them.  They assert that the Commission does not have jurisdiction to assert any new regulations on them.  SED and ORA argue that there is an underlying safety concern which mandates that this rulemaking apply to them.</w:t>
      </w:r>
    </w:p>
    <w:p w14:paraId="1DEB4B61" w14:textId="77777777" w:rsidR="0097193B" w:rsidRPr="006751CD" w:rsidRDefault="0097193B" w:rsidP="00887A7E">
      <w:pPr>
        <w:pStyle w:val="standard"/>
      </w:pPr>
      <w:r w:rsidRPr="006751CD">
        <w:t>CMUA, LADWP, NRECA and SMUD actively participated in Phase I of this proceeding.  The insight and knowledge that they brought to this proceeding was valuable and the Commission acknowledges the</w:t>
      </w:r>
      <w:r>
        <w:t>ir</w:t>
      </w:r>
      <w:r w:rsidRPr="006751CD">
        <w:t xml:space="preserve"> </w:t>
      </w:r>
      <w:r>
        <w:t>engagement and contributions</w:t>
      </w:r>
      <w:r w:rsidRPr="006751CD">
        <w:t xml:space="preserve">.  </w:t>
      </w:r>
      <w:r>
        <w:t>W</w:t>
      </w:r>
      <w:r w:rsidRPr="006751CD">
        <w:t>orking together</w:t>
      </w:r>
      <w:r>
        <w:t xml:space="preserve"> has allowed us to</w:t>
      </w:r>
      <w:r w:rsidRPr="006751CD">
        <w:t xml:space="preserve"> develop an extremely important set of standards to help ensure the safety of all residents in California.  </w:t>
      </w:r>
    </w:p>
    <w:p w14:paraId="66B79B7B" w14:textId="77777777" w:rsidR="0097193B" w:rsidRDefault="0097193B" w:rsidP="00887A7E">
      <w:pPr>
        <w:pStyle w:val="standard"/>
      </w:pPr>
      <w:r w:rsidRPr="006751CD">
        <w:t xml:space="preserve">The Joint Parties agreed to fully participate in Phase I and address the issue of jurisdiction in legal briefs near the conclusion of Phase I.  The Commission recognizes the </w:t>
      </w:r>
      <w:r>
        <w:t xml:space="preserve">high </w:t>
      </w:r>
      <w:r w:rsidRPr="006751CD">
        <w:t xml:space="preserve">level of cooperation </w:t>
      </w:r>
      <w:r>
        <w:t>among</w:t>
      </w:r>
      <w:r w:rsidRPr="006751CD">
        <w:t xml:space="preserve"> everyone involved </w:t>
      </w:r>
      <w:r w:rsidRPr="006751CD">
        <w:lastRenderedPageBreak/>
        <w:t xml:space="preserve">with Phase I and encourages continued cooperation by everyone in Phase II.  We will now address why </w:t>
      </w:r>
      <w:r>
        <w:t xml:space="preserve">new </w:t>
      </w:r>
      <w:r w:rsidRPr="006751CD">
        <w:t xml:space="preserve">Phase I </w:t>
      </w:r>
      <w:r>
        <w:t xml:space="preserve">rules </w:t>
      </w:r>
      <w:r w:rsidRPr="006751CD">
        <w:t xml:space="preserve">apply to </w:t>
      </w:r>
      <w:r>
        <w:t xml:space="preserve">the POUs.  </w:t>
      </w:r>
    </w:p>
    <w:p w14:paraId="2CD4B652" w14:textId="77777777" w:rsidR="0097193B" w:rsidRPr="00C01F23" w:rsidRDefault="00C01F23" w:rsidP="00C01F23">
      <w:pPr>
        <w:pStyle w:val="Heading2"/>
      </w:pPr>
      <w:bookmarkStart w:id="8" w:name="_Toc529357781"/>
      <w:r w:rsidRPr="00C01F23">
        <w:t xml:space="preserve">3.1.  </w:t>
      </w:r>
      <w:r w:rsidR="0097193B" w:rsidRPr="00C01F23">
        <w:t xml:space="preserve">Position of CMUA, LADWP, </w:t>
      </w:r>
      <w:r w:rsidRPr="00C01F23">
        <w:br/>
      </w:r>
      <w:r w:rsidR="0097193B" w:rsidRPr="00C01F23">
        <w:t>NRECA and SMUD</w:t>
      </w:r>
      <w:bookmarkEnd w:id="8"/>
    </w:p>
    <w:p w14:paraId="77632C32" w14:textId="77777777" w:rsidR="0097193B" w:rsidRDefault="0097193B" w:rsidP="00066B10">
      <w:pPr>
        <w:pStyle w:val="standard"/>
      </w:pPr>
      <w:bookmarkStart w:id="9" w:name="_Hlk532208476"/>
      <w:r w:rsidRPr="006751CD">
        <w:t xml:space="preserve">The POUs contend that Commission jurisdiction over </w:t>
      </w:r>
      <w:r>
        <w:t xml:space="preserve">POUs’ </w:t>
      </w:r>
      <w:r w:rsidRPr="006751CD">
        <w:t>physical security is not supported by (1) the statutory language, (2) legislative history, (3)</w:t>
      </w:r>
      <w:r w:rsidR="00066B10">
        <w:t> </w:t>
      </w:r>
      <w:r w:rsidRPr="006751CD">
        <w:t xml:space="preserve">case law, or (4) policy. </w:t>
      </w:r>
    </w:p>
    <w:p w14:paraId="32A37426" w14:textId="77777777" w:rsidR="0097193B" w:rsidRPr="00456EA4" w:rsidRDefault="0097193B" w:rsidP="0097193B">
      <w:pPr>
        <w:pStyle w:val="ListParagraph"/>
        <w:numPr>
          <w:ilvl w:val="0"/>
          <w:numId w:val="39"/>
        </w:numPr>
        <w:spacing w:line="360" w:lineRule="auto"/>
        <w:rPr>
          <w:rFonts w:cs="Arial"/>
          <w:szCs w:val="24"/>
        </w:rPr>
      </w:pPr>
      <w:r w:rsidRPr="00456EA4">
        <w:rPr>
          <w:rFonts w:cs="Arial"/>
          <w:szCs w:val="24"/>
        </w:rPr>
        <w:t>Statutory Language and Legislative History</w:t>
      </w:r>
    </w:p>
    <w:p w14:paraId="43ABA48E" w14:textId="77777777" w:rsidR="0097193B" w:rsidRDefault="0097193B" w:rsidP="0097193B">
      <w:pPr>
        <w:spacing w:line="360" w:lineRule="auto"/>
        <w:ind w:firstLine="720"/>
        <w:rPr>
          <w:rFonts w:cs="Arial"/>
          <w:szCs w:val="24"/>
        </w:rPr>
      </w:pPr>
      <w:r>
        <w:rPr>
          <w:rFonts w:cs="Arial"/>
          <w:szCs w:val="24"/>
        </w:rPr>
        <w:t xml:space="preserve">The POUs </w:t>
      </w:r>
      <w:r w:rsidRPr="004F28D0">
        <w:rPr>
          <w:rFonts w:cs="Arial"/>
          <w:szCs w:val="24"/>
        </w:rPr>
        <w:t>argue that Article XI, Section 7 of the California Constitution provides certain POUs with the authority to own and operate their own utility systems and self-regulate their operations</w:t>
      </w:r>
      <w:r>
        <w:rPr>
          <w:rFonts w:cs="Arial"/>
          <w:szCs w:val="24"/>
        </w:rPr>
        <w:t xml:space="preserve">, and </w:t>
      </w:r>
      <w:r w:rsidRPr="004F28D0">
        <w:rPr>
          <w:rFonts w:cs="Arial"/>
          <w:szCs w:val="24"/>
        </w:rPr>
        <w:t>that the statutory and legislative history demonstrate that SB 699 was not intended to apply to the POUs</w:t>
      </w:r>
      <w:r>
        <w:rPr>
          <w:rFonts w:cs="Arial"/>
          <w:szCs w:val="24"/>
        </w:rPr>
        <w:t xml:space="preserve">. </w:t>
      </w:r>
      <w:r w:rsidR="00F73738">
        <w:rPr>
          <w:rFonts w:cs="Arial"/>
          <w:szCs w:val="24"/>
        </w:rPr>
        <w:t xml:space="preserve"> </w:t>
      </w:r>
      <w:r>
        <w:rPr>
          <w:rFonts w:cs="Arial"/>
          <w:szCs w:val="24"/>
        </w:rPr>
        <w:t xml:space="preserve">SB 699 amended </w:t>
      </w:r>
      <w:r w:rsidRPr="006751CD">
        <w:rPr>
          <w:rFonts w:cs="Arial"/>
          <w:szCs w:val="24"/>
        </w:rPr>
        <w:t>§ 364</w:t>
      </w:r>
      <w:r>
        <w:rPr>
          <w:rFonts w:cs="Arial"/>
          <w:szCs w:val="24"/>
        </w:rPr>
        <w:t xml:space="preserve"> to provide that “[t}he Commission shall … in a new proceeding … consider adopting rules to address the physical security risks to the distribution systems of electrical corporations.”</w:t>
      </w:r>
      <w:r>
        <w:rPr>
          <w:rStyle w:val="FootnoteReference"/>
          <w:rFonts w:cs="Arial"/>
          <w:szCs w:val="24"/>
        </w:rPr>
        <w:footnoteReference w:id="14"/>
      </w:r>
    </w:p>
    <w:p w14:paraId="2AD4B1C1" w14:textId="77777777" w:rsidR="0097193B" w:rsidRDefault="0097193B" w:rsidP="00A233A6">
      <w:pPr>
        <w:pStyle w:val="standard"/>
      </w:pPr>
      <w:r w:rsidRPr="006751CD">
        <w:t xml:space="preserve">The POUs argue they are not “electrical corporations” </w:t>
      </w:r>
      <w:r>
        <w:t xml:space="preserve">as traditionally defined in </w:t>
      </w:r>
      <w:r w:rsidRPr="006751CD">
        <w:t>§ 218</w:t>
      </w:r>
      <w:r>
        <w:t>,</w:t>
      </w:r>
      <w:r w:rsidRPr="006751CD">
        <w:rPr>
          <w:rStyle w:val="FootnoteReference"/>
          <w:rFonts w:cs="Arial"/>
          <w:szCs w:val="24"/>
        </w:rPr>
        <w:footnoteReference w:id="15"/>
      </w:r>
      <w:r>
        <w:t xml:space="preserve"> and that nothing in </w:t>
      </w:r>
      <w:r w:rsidRPr="006751CD">
        <w:t>§ 364</w:t>
      </w:r>
      <w:r>
        <w:t xml:space="preserve"> provides the Commission with authority to adopt such rules for the POUs.</w:t>
      </w:r>
      <w:r>
        <w:rPr>
          <w:rStyle w:val="FootnoteReference"/>
          <w:rFonts w:cs="Arial"/>
          <w:szCs w:val="24"/>
        </w:rPr>
        <w:footnoteReference w:id="16"/>
      </w:r>
      <w:r>
        <w:t xml:space="preserve"> </w:t>
      </w:r>
      <w:r w:rsidRPr="00B16878">
        <w:t xml:space="preserve"> </w:t>
      </w:r>
      <w:r>
        <w:t xml:space="preserve">Moreover, they argue that </w:t>
      </w:r>
      <w:r w:rsidRPr="00B16878">
        <w:t>POUs do not fall within the meaning of “electrical corporations” referenced in § 364(a).</w:t>
      </w:r>
      <w:r>
        <w:t xml:space="preserve">  </w:t>
      </w:r>
      <w:r w:rsidRPr="006751CD">
        <w:t xml:space="preserve">In support of this </w:t>
      </w:r>
      <w:r>
        <w:t>argument</w:t>
      </w:r>
      <w:r w:rsidRPr="006751CD">
        <w:t xml:space="preserve">, the POUs quote extensively from SB 699 legislative reports that appear to exclusively discuss IOUs or expressly state that POUs “are </w:t>
      </w:r>
      <w:r w:rsidRPr="006751CD">
        <w:lastRenderedPageBreak/>
        <w:t>self-governing by a local government.”</w:t>
      </w:r>
      <w:r w:rsidRPr="006751CD">
        <w:rPr>
          <w:rStyle w:val="FootnoteReference"/>
          <w:rFonts w:cs="Arial"/>
          <w:szCs w:val="24"/>
        </w:rPr>
        <w:footnoteReference w:id="17"/>
      </w:r>
      <w:r w:rsidRPr="006751CD">
        <w:t xml:space="preserve"> </w:t>
      </w:r>
      <w:r w:rsidR="00A233A6">
        <w:t xml:space="preserve"> </w:t>
      </w:r>
      <w:r>
        <w:t xml:space="preserve">They state that because the POUs are not electrical corporations and the legislature did not explicitly refer to POUs in </w:t>
      </w:r>
      <w:r w:rsidRPr="006751CD">
        <w:t>§</w:t>
      </w:r>
      <w:r w:rsidR="00A233A6">
        <w:t> </w:t>
      </w:r>
      <w:r w:rsidRPr="006751CD">
        <w:t>364</w:t>
      </w:r>
      <w:r>
        <w:t>(a), it clearly intended to have the requirements of this provision apply solely to the IOUs.</w:t>
      </w:r>
    </w:p>
    <w:p w14:paraId="3CB40E9B" w14:textId="77777777" w:rsidR="0097193B" w:rsidRDefault="0097193B" w:rsidP="00A233A6">
      <w:pPr>
        <w:pStyle w:val="standard"/>
        <w:rPr>
          <w:rFonts w:cs="Arial"/>
          <w:szCs w:val="24"/>
        </w:rPr>
      </w:pPr>
      <w:r>
        <w:rPr>
          <w:rFonts w:cs="Arial"/>
          <w:szCs w:val="24"/>
        </w:rPr>
        <w:t xml:space="preserve">The POUs also state that nowhere in </w:t>
      </w:r>
      <w:r w:rsidRPr="006751CD">
        <w:rPr>
          <w:rFonts w:cs="Arial"/>
          <w:szCs w:val="24"/>
        </w:rPr>
        <w:t>§§</w:t>
      </w:r>
      <w:r>
        <w:rPr>
          <w:rFonts w:cs="Arial"/>
          <w:szCs w:val="24"/>
        </w:rPr>
        <w:t xml:space="preserve"> 8001-8057 did the Legislature provide mechanisms for the Commission to enforce its adopted regulations against a POU.</w:t>
      </w:r>
      <w:r>
        <w:rPr>
          <w:rStyle w:val="FootnoteReference"/>
          <w:rFonts w:cs="Arial"/>
          <w:szCs w:val="24"/>
        </w:rPr>
        <w:footnoteReference w:id="18"/>
      </w:r>
      <w:r>
        <w:rPr>
          <w:rFonts w:cs="Arial"/>
          <w:szCs w:val="24"/>
        </w:rPr>
        <w:t xml:space="preserve">  Additionally, they state that </w:t>
      </w:r>
      <w:r w:rsidRPr="006751CD">
        <w:rPr>
          <w:rFonts w:cs="Arial"/>
          <w:szCs w:val="24"/>
        </w:rPr>
        <w:t>§</w:t>
      </w:r>
      <w:r>
        <w:rPr>
          <w:rFonts w:cs="Arial"/>
          <w:szCs w:val="24"/>
        </w:rPr>
        <w:t xml:space="preserve"> 2107 of the Pub. Util. Code, which grants the Commission authority to perform investigations and levy fines against the IOUs, does not apply to the POUs, and the Commission therefore lacks the authority to levy fines or penalties against them.</w:t>
      </w:r>
    </w:p>
    <w:p w14:paraId="62A133D0" w14:textId="77777777" w:rsidR="0097193B" w:rsidRPr="00456EA4" w:rsidRDefault="0097193B" w:rsidP="00655742">
      <w:pPr>
        <w:pStyle w:val="ListParagraph"/>
        <w:keepNext/>
        <w:keepLines/>
        <w:numPr>
          <w:ilvl w:val="0"/>
          <w:numId w:val="39"/>
        </w:numPr>
        <w:spacing w:line="360" w:lineRule="auto"/>
        <w:rPr>
          <w:rFonts w:cs="Arial"/>
          <w:szCs w:val="24"/>
        </w:rPr>
      </w:pPr>
      <w:r>
        <w:rPr>
          <w:rFonts w:cs="Arial"/>
          <w:szCs w:val="24"/>
        </w:rPr>
        <w:t xml:space="preserve">Case Law </w:t>
      </w:r>
    </w:p>
    <w:p w14:paraId="5D4D94CB" w14:textId="77777777" w:rsidR="0097193B" w:rsidRDefault="0097193B" w:rsidP="00655742">
      <w:pPr>
        <w:keepNext/>
        <w:keepLines/>
        <w:spacing w:line="360" w:lineRule="auto"/>
        <w:ind w:firstLine="720"/>
        <w:rPr>
          <w:rFonts w:cs="Arial"/>
          <w:szCs w:val="24"/>
        </w:rPr>
      </w:pPr>
      <w:r w:rsidRPr="006751CD">
        <w:rPr>
          <w:rFonts w:cs="Arial"/>
          <w:szCs w:val="24"/>
        </w:rPr>
        <w:t>In addition to statutory language and legislative history, the POUs rely on County of Inyo v. Pub. Util. Comm’n</w:t>
      </w:r>
      <w:r w:rsidRPr="006751CD">
        <w:rPr>
          <w:rStyle w:val="FootnoteReference"/>
          <w:rFonts w:cs="Arial"/>
          <w:szCs w:val="24"/>
        </w:rPr>
        <w:footnoteReference w:id="19"/>
      </w:r>
      <w:r w:rsidRPr="006751CD">
        <w:rPr>
          <w:rFonts w:cs="Arial"/>
          <w:szCs w:val="24"/>
        </w:rPr>
        <w:t xml:space="preserve"> for the proposition that the Commission has no jurisdiction </w:t>
      </w:r>
      <w:r>
        <w:rPr>
          <w:rFonts w:cs="Arial"/>
          <w:szCs w:val="24"/>
        </w:rPr>
        <w:t xml:space="preserve">over them </w:t>
      </w:r>
      <w:r w:rsidRPr="006751CD">
        <w:rPr>
          <w:rFonts w:cs="Arial"/>
          <w:szCs w:val="24"/>
        </w:rPr>
        <w:t xml:space="preserve">without express statutory authorization. </w:t>
      </w:r>
    </w:p>
    <w:p w14:paraId="04520E9C" w14:textId="77777777" w:rsidR="0097193B" w:rsidRPr="00456EA4" w:rsidRDefault="0097193B" w:rsidP="005A610A">
      <w:pPr>
        <w:pStyle w:val="ListParagraph"/>
        <w:keepNext/>
        <w:keepLines/>
        <w:numPr>
          <w:ilvl w:val="0"/>
          <w:numId w:val="39"/>
        </w:numPr>
        <w:spacing w:line="360" w:lineRule="auto"/>
        <w:rPr>
          <w:rFonts w:cs="Arial"/>
          <w:szCs w:val="24"/>
        </w:rPr>
      </w:pPr>
      <w:r>
        <w:rPr>
          <w:rFonts w:cs="Arial"/>
          <w:szCs w:val="24"/>
        </w:rPr>
        <w:t xml:space="preserve">Public Policy Considerations </w:t>
      </w:r>
    </w:p>
    <w:p w14:paraId="5B07287F" w14:textId="77777777" w:rsidR="0097193B" w:rsidRPr="006751CD" w:rsidRDefault="0097193B" w:rsidP="00F73738">
      <w:pPr>
        <w:pStyle w:val="standard"/>
      </w:pPr>
      <w:r>
        <w:t>The POUs</w:t>
      </w:r>
      <w:r w:rsidRPr="009A1AB1">
        <w:t xml:space="preserve"> also argue that ex</w:t>
      </w:r>
      <w:r>
        <w:t>empting</w:t>
      </w:r>
      <w:r w:rsidRPr="009A1AB1">
        <w:t xml:space="preserve"> POUs from the rulemaking would not </w:t>
      </w:r>
      <w:r>
        <w:t xml:space="preserve">pose a public safety threat because POUs are beholden to their local boards and oversight bodies, which are typically directly-elected officials put in office by local voters. </w:t>
      </w:r>
      <w:r w:rsidR="00D44970">
        <w:t xml:space="preserve"> </w:t>
      </w:r>
      <w:r>
        <w:t>Because POU customers, the POUs explain, ultimately have the ability to vote in or out POU board members, the POUs are held accountable and function under close scrutiny of their local communities.</w:t>
      </w:r>
      <w:r w:rsidRPr="006751CD">
        <w:t xml:space="preserve"> </w:t>
      </w:r>
    </w:p>
    <w:p w14:paraId="3CA98852" w14:textId="77777777" w:rsidR="0097193B" w:rsidRPr="006751CD" w:rsidRDefault="0097193B" w:rsidP="00F73738">
      <w:pPr>
        <w:pStyle w:val="standard"/>
      </w:pPr>
      <w:r w:rsidRPr="006751CD">
        <w:lastRenderedPageBreak/>
        <w:t xml:space="preserve">In 1996, the Legislature adopted § 364. Section 364(a) required the Commission to “adopt inspection, maintenance, repair, and replacement standards.” </w:t>
      </w:r>
      <w:r w:rsidR="00D44970">
        <w:t xml:space="preserve"> </w:t>
      </w:r>
      <w:r w:rsidRPr="006751CD">
        <w:t xml:space="preserve">These maintenance and inspection standards were promulgated and applied to IOUs in D.97-03-070. </w:t>
      </w:r>
      <w:r w:rsidR="0073514B">
        <w:t xml:space="preserve"> </w:t>
      </w:r>
      <w:r w:rsidRPr="006751CD">
        <w:t xml:space="preserve">The standards were later applied to POUs in D.98-03-036. </w:t>
      </w:r>
      <w:r w:rsidR="00194C17">
        <w:t xml:space="preserve"> </w:t>
      </w:r>
      <w:r w:rsidRPr="006751CD">
        <w:t>CMUA asked for rehearing on the issue of jurisdiction over POUs, which the Commission denied in D.98-10-059.</w:t>
      </w:r>
      <w:r w:rsidR="00194C17">
        <w:t xml:space="preserve">  </w:t>
      </w:r>
      <w:r w:rsidRPr="006751CD">
        <w:t>CMUA then filed a petition to modify D.98-03-036 and vacate D.98-10-059.</w:t>
      </w:r>
      <w:r w:rsidR="00D44970">
        <w:t xml:space="preserve"> </w:t>
      </w:r>
      <w:r w:rsidRPr="006751CD">
        <w:t xml:space="preserve"> This second petition was denied in D.99-12-052. </w:t>
      </w:r>
    </w:p>
    <w:p w14:paraId="4EDF991D" w14:textId="77777777" w:rsidR="0097193B" w:rsidRPr="006751CD" w:rsidRDefault="0097193B" w:rsidP="00D44970">
      <w:pPr>
        <w:pStyle w:val="standard"/>
      </w:pPr>
      <w:r w:rsidRPr="006751CD">
        <w:t>Meanwhile, § 364(b) required the Commission to “adopt standards for operation, reliability, and safety during periods of emergency and disaster.” These emergency response standards were proposed in D.98-03-036 and applied to IOUs in D.98-07-097.</w:t>
      </w:r>
      <w:r w:rsidR="0073514B">
        <w:t xml:space="preserve"> </w:t>
      </w:r>
      <w:r w:rsidRPr="006751CD">
        <w:t xml:space="preserve"> However, D.98-07-097 clarified that the emergency response standards did not apply to POUs. </w:t>
      </w:r>
    </w:p>
    <w:p w14:paraId="7301D9E1" w14:textId="1600EF11" w:rsidR="0097193B" w:rsidRPr="006751CD" w:rsidRDefault="0097193B" w:rsidP="00D44970">
      <w:pPr>
        <w:pStyle w:val="standard"/>
      </w:pPr>
      <w:r w:rsidRPr="006751CD">
        <w:t>D.98-03-036 and D.98-10-059 attempt to explain why the Commission has jurisdiction over POUs with respect to § 364(a) inspection and maintenance standards but not with respect to § 364(b) emergency response standards. Specifically, D.98-03-036 asserts that under §§ 8001-8057</w:t>
      </w:r>
      <w:r>
        <w:t>,</w:t>
      </w:r>
      <w:r w:rsidRPr="006751CD">
        <w:t xml:space="preserve"> the “Commission has historically had authority over the public safety aspects of publicly-owned utilities. . . ‘for the purpose of safety to employees and the general public.’”</w:t>
      </w:r>
      <w:r w:rsidRPr="006751CD">
        <w:rPr>
          <w:rStyle w:val="FootnoteReference"/>
          <w:rFonts w:cs="Arial"/>
          <w:szCs w:val="24"/>
        </w:rPr>
        <w:footnoteReference w:id="20"/>
      </w:r>
      <w:r w:rsidRPr="006751CD">
        <w:t xml:space="preserve"> </w:t>
      </w:r>
      <w:r w:rsidR="006420AA" w:rsidRPr="00466B02">
        <w:t xml:space="preserve">The Commission further noted that it not only has the authority to regulate public safety aspects of the publicly-owned utilities' operations, but that it has a duty to do so under PU Code </w:t>
      </w:r>
      <w:r w:rsidRPr="006751CD">
        <w:t>§ 8037 and § 8056</w:t>
      </w:r>
      <w:r w:rsidR="006420AA" w:rsidRPr="00466B02">
        <w:t>, which</w:t>
      </w:r>
      <w:r w:rsidRPr="006751CD">
        <w:t xml:space="preserve"> expressly required the Commission to enforce such rules against POUs.</w:t>
      </w:r>
      <w:r w:rsidR="006420AA">
        <w:rPr>
          <w:rStyle w:val="FootnoteReference"/>
        </w:rPr>
        <w:footnoteReference w:id="21"/>
      </w:r>
      <w:r w:rsidRPr="006751CD">
        <w:t xml:space="preserve"> </w:t>
      </w:r>
      <w:r w:rsidR="00194C17">
        <w:t xml:space="preserve"> </w:t>
      </w:r>
      <w:r w:rsidR="000D1F2C">
        <w:t>T</w:t>
      </w:r>
      <w:r>
        <w:t xml:space="preserve">he Commission’s </w:t>
      </w:r>
      <w:r w:rsidRPr="009A1AB1">
        <w:lastRenderedPageBreak/>
        <w:t>jurisdiction over maintenance and construction was affirmed by the California Supreme Court in Polk v. City of Los</w:t>
      </w:r>
      <w:r w:rsidR="00D44970">
        <w:t> A</w:t>
      </w:r>
      <w:r w:rsidRPr="009A1AB1">
        <w:t>ngeles.</w:t>
      </w:r>
      <w:r w:rsidRPr="009B3186">
        <w:rPr>
          <w:rStyle w:val="FootnoteReference"/>
          <w:rFonts w:cs="Arial"/>
          <w:szCs w:val="24"/>
        </w:rPr>
        <w:footnoteReference w:id="22"/>
      </w:r>
      <w:r w:rsidRPr="009B3186">
        <w:t xml:space="preserve"> </w:t>
      </w:r>
      <w:r w:rsidR="00D44970">
        <w:t xml:space="preserve"> </w:t>
      </w:r>
      <w:r>
        <w:t xml:space="preserve">The Legislature </w:t>
      </w:r>
      <w:r w:rsidRPr="009B3186">
        <w:t>did not alter the Commission’s jurisdiction when it enacted § 364(a)</w:t>
      </w:r>
      <w:r>
        <w:t>;</w:t>
      </w:r>
      <w:r w:rsidRPr="009B3186">
        <w:t xml:space="preserve"> the Commission </w:t>
      </w:r>
      <w:r>
        <w:t xml:space="preserve">therefore rightly </w:t>
      </w:r>
      <w:r w:rsidRPr="009B3186">
        <w:t>concluded that it could apply the maintenance and construction standards to POUs.</w:t>
      </w:r>
      <w:r w:rsidRPr="009B3186">
        <w:rPr>
          <w:rStyle w:val="FootnoteReference"/>
          <w:rFonts w:cs="Arial"/>
          <w:szCs w:val="24"/>
        </w:rPr>
        <w:footnoteReference w:id="23"/>
      </w:r>
    </w:p>
    <w:p w14:paraId="29107F9B" w14:textId="7F1DD576" w:rsidR="0097193B" w:rsidRDefault="0097193B" w:rsidP="00D44970">
      <w:pPr>
        <w:pStyle w:val="standard"/>
      </w:pPr>
      <w:r w:rsidRPr="006751CD">
        <w:t xml:space="preserve">CMUA </w:t>
      </w:r>
      <w:r>
        <w:t xml:space="preserve">argued </w:t>
      </w:r>
      <w:r w:rsidRPr="006751CD">
        <w:t xml:space="preserve">that §§ 8001-8057 </w:t>
      </w:r>
      <w:r>
        <w:t xml:space="preserve">did not </w:t>
      </w:r>
      <w:r w:rsidRPr="006751CD">
        <w:t xml:space="preserve">confer jurisdiction </w:t>
      </w:r>
      <w:r w:rsidRPr="009A1AB1">
        <w:t>on the Commission to regulate the public safety aspects of POUs,</w:t>
      </w:r>
      <w:r>
        <w:t xml:space="preserve"> </w:t>
      </w:r>
      <w:r w:rsidRPr="006751CD">
        <w:t xml:space="preserve">and characterized Polk as merely holding that Commission safety rules established a POU’s duty of care in a negligence action. </w:t>
      </w:r>
      <w:r w:rsidR="001A39CA" w:rsidRPr="00466B02">
        <w:t>D.98-10-059 rejected CMUA’s arguments.</w:t>
      </w:r>
      <w:r w:rsidR="001A39CA" w:rsidRPr="006751CD">
        <w:t xml:space="preserve"> </w:t>
      </w:r>
      <w:r w:rsidR="001A39CA">
        <w:t xml:space="preserve"> </w:t>
      </w:r>
    </w:p>
    <w:p w14:paraId="78FC2250" w14:textId="3693050E" w:rsidR="0097193B" w:rsidRPr="006478A3" w:rsidRDefault="0097193B" w:rsidP="00D44970">
      <w:pPr>
        <w:pStyle w:val="standard"/>
      </w:pPr>
      <w:r w:rsidRPr="006751CD">
        <w:t>More recently, the Commission summarized its jurisdiction over POUs in R.08-11-005: “Under Pub. Util. Code §§ 8002, 8037, and 8056, the Commission’s jurisdiction extended to publicly-owned utilities for the limited purpose of adopting and enforcing rules governing electric transmission and distribution facilities to protect the safety of employees and the general public.”</w:t>
      </w:r>
      <w:r w:rsidRPr="006751CD">
        <w:rPr>
          <w:rStyle w:val="FootnoteReference"/>
          <w:rFonts w:cs="Arial"/>
          <w:szCs w:val="24"/>
        </w:rPr>
        <w:footnoteReference w:id="24"/>
      </w:r>
      <w:r w:rsidRPr="006751CD">
        <w:t xml:space="preserve">  </w:t>
      </w:r>
    </w:p>
    <w:p w14:paraId="7BBD626D" w14:textId="77777777" w:rsidR="0097193B" w:rsidRPr="006478A3" w:rsidRDefault="0073514B" w:rsidP="0073514B">
      <w:pPr>
        <w:pStyle w:val="ListParagraph"/>
        <w:keepNext/>
        <w:keepLines/>
        <w:spacing w:line="360" w:lineRule="auto"/>
        <w:rPr>
          <w:rFonts w:ascii="Helvetica" w:hAnsi="Helvetica"/>
          <w:b/>
        </w:rPr>
      </w:pPr>
      <w:r>
        <w:rPr>
          <w:rFonts w:ascii="Helvetica" w:hAnsi="Helvetica"/>
          <w:b/>
        </w:rPr>
        <w:t xml:space="preserve">3.2.  </w:t>
      </w:r>
      <w:r w:rsidR="0097193B">
        <w:rPr>
          <w:rFonts w:ascii="Helvetica" w:hAnsi="Helvetica"/>
          <w:b/>
        </w:rPr>
        <w:t>Legal Precedent</w:t>
      </w:r>
    </w:p>
    <w:p w14:paraId="2B75EA1B" w14:textId="77777777" w:rsidR="0097193B" w:rsidRPr="006751CD" w:rsidRDefault="0097193B" w:rsidP="00C62FC4">
      <w:pPr>
        <w:pStyle w:val="standard"/>
        <w:rPr>
          <w:rFonts w:cs="Arial"/>
          <w:szCs w:val="24"/>
        </w:rPr>
      </w:pPr>
      <w:r>
        <w:t xml:space="preserve">We now turn to the case law beyond these prior Commission precedents. Both the POUs and SED Advocacy rely on </w:t>
      </w:r>
      <w:r>
        <w:rPr>
          <w:i/>
        </w:rPr>
        <w:t>County of Inyo</w:t>
      </w:r>
      <w:r>
        <w:rPr>
          <w:rStyle w:val="FootnoteReference"/>
          <w:rFonts w:ascii="Book Antiqua" w:hAnsi="Book Antiqua"/>
          <w:i/>
        </w:rPr>
        <w:footnoteReference w:id="25"/>
      </w:r>
      <w:r>
        <w:t xml:space="preserve"> to support contrary positions.  </w:t>
      </w:r>
      <w:r w:rsidRPr="006751CD">
        <w:rPr>
          <w:rFonts w:cs="Arial"/>
          <w:szCs w:val="24"/>
        </w:rPr>
        <w:t>In County of Inyo, Inyo County initiated a complaint proceeding against LADWP over water rates charged to the County and its residents.</w:t>
      </w:r>
      <w:r w:rsidRPr="006751CD">
        <w:rPr>
          <w:rStyle w:val="FootnoteReference"/>
          <w:rFonts w:cs="Arial"/>
          <w:szCs w:val="24"/>
        </w:rPr>
        <w:footnoteReference w:id="26"/>
      </w:r>
      <w:r w:rsidRPr="006751CD">
        <w:rPr>
          <w:rFonts w:cs="Arial"/>
          <w:szCs w:val="24"/>
        </w:rPr>
        <w:t xml:space="preserve"> </w:t>
      </w:r>
      <w:r w:rsidR="00E659E9">
        <w:rPr>
          <w:rFonts w:cs="Arial"/>
          <w:szCs w:val="24"/>
        </w:rPr>
        <w:t xml:space="preserve"> </w:t>
      </w:r>
      <w:r>
        <w:rPr>
          <w:rFonts w:cs="Arial"/>
          <w:szCs w:val="24"/>
        </w:rPr>
        <w:t xml:space="preserve">Inyo </w:t>
      </w:r>
      <w:r>
        <w:rPr>
          <w:rFonts w:cs="Arial"/>
          <w:szCs w:val="24"/>
        </w:rPr>
        <w:lastRenderedPageBreak/>
        <w:t xml:space="preserve">County </w:t>
      </w:r>
      <w:r w:rsidRPr="006751CD">
        <w:rPr>
          <w:rFonts w:cs="Arial"/>
          <w:szCs w:val="24"/>
        </w:rPr>
        <w:t>argued there was a practical need for Commission regulation because Inyo residents could not vote in Los Angeles elections and thus had no political remedy for unreasonable water rates charged by LADWP.</w:t>
      </w:r>
      <w:r w:rsidRPr="006751CD">
        <w:rPr>
          <w:rStyle w:val="FootnoteReference"/>
          <w:rFonts w:cs="Arial"/>
          <w:szCs w:val="24"/>
        </w:rPr>
        <w:footnoteReference w:id="27"/>
      </w:r>
      <w:r w:rsidRPr="006751CD">
        <w:rPr>
          <w:rFonts w:cs="Arial"/>
          <w:szCs w:val="24"/>
        </w:rPr>
        <w:t xml:space="preserve"> </w:t>
      </w:r>
      <w:r w:rsidR="00E659E9">
        <w:rPr>
          <w:rFonts w:cs="Arial"/>
          <w:szCs w:val="24"/>
        </w:rPr>
        <w:t xml:space="preserve"> </w:t>
      </w:r>
      <w:r w:rsidRPr="006751CD">
        <w:rPr>
          <w:rFonts w:cs="Arial"/>
          <w:szCs w:val="24"/>
        </w:rPr>
        <w:t xml:space="preserve">The Commission, however, dismissed the complaint for want of jurisdiction over POUs, as the Legislature had not included POUs “within the classes of regulated public utilities in divisions 1 and 2 of the Public Utilities Code.” </w:t>
      </w:r>
    </w:p>
    <w:p w14:paraId="65A2E70C" w14:textId="77777777" w:rsidR="0097193B" w:rsidRPr="006751CD" w:rsidRDefault="0097193B" w:rsidP="0097193B">
      <w:pPr>
        <w:spacing w:line="360" w:lineRule="auto"/>
        <w:ind w:firstLine="720"/>
        <w:rPr>
          <w:rFonts w:cs="Arial"/>
          <w:szCs w:val="24"/>
        </w:rPr>
      </w:pPr>
      <w:r w:rsidRPr="006751CD">
        <w:rPr>
          <w:rFonts w:cs="Arial"/>
          <w:szCs w:val="24"/>
        </w:rPr>
        <w:t xml:space="preserve">Although the California Supreme Court determined that </w:t>
      </w:r>
      <w:r>
        <w:rPr>
          <w:rFonts w:cs="Arial"/>
          <w:szCs w:val="24"/>
        </w:rPr>
        <w:t xml:space="preserve">Commission </w:t>
      </w:r>
      <w:r w:rsidRPr="006751CD">
        <w:rPr>
          <w:rFonts w:cs="Arial"/>
          <w:szCs w:val="24"/>
        </w:rPr>
        <w:t xml:space="preserve">jurisdiction </w:t>
      </w:r>
      <w:r>
        <w:rPr>
          <w:rFonts w:cs="Arial"/>
          <w:szCs w:val="24"/>
        </w:rPr>
        <w:t xml:space="preserve">over POUs </w:t>
      </w:r>
      <w:r w:rsidRPr="006751CD">
        <w:rPr>
          <w:rFonts w:cs="Arial"/>
          <w:szCs w:val="24"/>
        </w:rPr>
        <w:t xml:space="preserve">was a constitutional possibility, as legislation conferring PUC jurisdiction “would fall clearly within the scope of present article XII, section 5 [of the California Constitution],” </w:t>
      </w:r>
      <w:r>
        <w:rPr>
          <w:rFonts w:cs="Arial"/>
          <w:szCs w:val="24"/>
        </w:rPr>
        <w:t xml:space="preserve">it also found that </w:t>
      </w:r>
      <w:r w:rsidRPr="006751CD">
        <w:rPr>
          <w:rFonts w:cs="Arial"/>
          <w:szCs w:val="24"/>
        </w:rPr>
        <w:t>the Legislature had never enacted such a statute to confer jurisdiction.</w:t>
      </w:r>
      <w:r w:rsidRPr="006751CD">
        <w:rPr>
          <w:rStyle w:val="FootnoteReference"/>
          <w:rFonts w:cs="Arial"/>
          <w:szCs w:val="24"/>
        </w:rPr>
        <w:footnoteReference w:id="28"/>
      </w:r>
      <w:r w:rsidRPr="006751CD">
        <w:rPr>
          <w:rFonts w:cs="Arial"/>
          <w:szCs w:val="24"/>
        </w:rPr>
        <w:t xml:space="preserve"> </w:t>
      </w:r>
      <w:r w:rsidR="00BF381A">
        <w:rPr>
          <w:rFonts w:cs="Arial"/>
          <w:szCs w:val="24"/>
        </w:rPr>
        <w:t xml:space="preserve"> </w:t>
      </w:r>
      <w:r w:rsidRPr="006751CD">
        <w:rPr>
          <w:rFonts w:cs="Arial"/>
          <w:szCs w:val="24"/>
        </w:rPr>
        <w:t xml:space="preserve">Therefore, despite the equities favoring Inyo County and its residents, the Court was obliged to affirm the Commission’s dismissal.   </w:t>
      </w:r>
    </w:p>
    <w:p w14:paraId="35869E03" w14:textId="77777777" w:rsidR="0097193B" w:rsidRPr="006751CD" w:rsidRDefault="0097193B" w:rsidP="005843FC">
      <w:pPr>
        <w:pStyle w:val="standard"/>
      </w:pPr>
      <w:r w:rsidRPr="006751CD">
        <w:t>In this proceeding, the POUs argue that “the plain language of Section 364 and SB 699’s legislative history both confirm that POUs are outside the scope of this OIR” because there is no statute granting jurisdiction.</w:t>
      </w:r>
      <w:r w:rsidRPr="006751CD">
        <w:rPr>
          <w:rStyle w:val="FootnoteReference"/>
          <w:rFonts w:cs="Arial"/>
          <w:szCs w:val="24"/>
        </w:rPr>
        <w:footnoteReference w:id="29"/>
      </w:r>
      <w:r w:rsidRPr="006751CD">
        <w:t xml:space="preserve"> </w:t>
      </w:r>
    </w:p>
    <w:p w14:paraId="0868AD17" w14:textId="4135C739" w:rsidR="0097193B" w:rsidRPr="006751CD" w:rsidRDefault="0097193B" w:rsidP="005843FC">
      <w:pPr>
        <w:pStyle w:val="standard"/>
      </w:pPr>
      <w:r w:rsidRPr="006751CD">
        <w:t xml:space="preserve">In D.98-10-059, the Commission cited to County of Inyo for the proposition that “Article XII, section 5 authorizes the </w:t>
      </w:r>
      <w:r w:rsidR="005E4DBF" w:rsidRPr="006751CD">
        <w:t>Legislat</w:t>
      </w:r>
      <w:r w:rsidR="005E4DBF">
        <w:t>ure</w:t>
      </w:r>
      <w:r w:rsidR="005E4DBF" w:rsidRPr="006751CD">
        <w:t xml:space="preserve">’s </w:t>
      </w:r>
      <w:r w:rsidRPr="006751CD">
        <w:t>grant of jurisdiction” over POUs.</w:t>
      </w:r>
      <w:r w:rsidRPr="006751CD">
        <w:rPr>
          <w:rStyle w:val="FootnoteReference"/>
          <w:rFonts w:cs="Arial"/>
          <w:szCs w:val="24"/>
        </w:rPr>
        <w:footnoteReference w:id="30"/>
      </w:r>
      <w:r w:rsidRPr="006751CD">
        <w:t xml:space="preserve"> </w:t>
      </w:r>
      <w:r w:rsidR="005843FC">
        <w:t xml:space="preserve"> </w:t>
      </w:r>
      <w:r w:rsidRPr="006751CD">
        <w:t xml:space="preserve">However, </w:t>
      </w:r>
      <w:r>
        <w:t xml:space="preserve">that decision concluded that Commission </w:t>
      </w:r>
      <w:r w:rsidRPr="006751CD">
        <w:t xml:space="preserve">jurisdiction </w:t>
      </w:r>
      <w:r>
        <w:t xml:space="preserve">over POUs </w:t>
      </w:r>
      <w:r w:rsidRPr="006751CD">
        <w:t>was granted not by § 364, but by §§ 8001-8057, which expressly confer jurisdiction to regulate electric lines for public safety purposes.</w:t>
      </w:r>
      <w:r w:rsidR="005843FC">
        <w:t xml:space="preserve"> </w:t>
      </w:r>
      <w:r w:rsidRPr="006751CD">
        <w:t xml:space="preserve"> The Commission </w:t>
      </w:r>
      <w:r w:rsidRPr="006751CD">
        <w:lastRenderedPageBreak/>
        <w:t xml:space="preserve">reasoned that because §§ 8001-8057 were not limited to IOUs and § 364 did not purport to restrict Commission jurisdiction, </w:t>
      </w:r>
      <w:r>
        <w:t>it</w:t>
      </w:r>
      <w:r w:rsidRPr="006751CD">
        <w:t xml:space="preserve"> could </w:t>
      </w:r>
      <w:r w:rsidRPr="00C33F42">
        <w:t>enforce § 364</w:t>
      </w:r>
      <w:r w:rsidRPr="006751CD">
        <w:t xml:space="preserve"> </w:t>
      </w:r>
      <w:r>
        <w:t xml:space="preserve">against POUs </w:t>
      </w:r>
      <w:r w:rsidRPr="006751CD">
        <w:t>under §§ 8001-8057.</w:t>
      </w:r>
      <w:r w:rsidR="005843FC">
        <w:t xml:space="preserve"> </w:t>
      </w:r>
      <w:r w:rsidRPr="006751CD">
        <w:t xml:space="preserve"> “Moreover,” D.98-10-05</w:t>
      </w:r>
      <w:r>
        <w:t>9</w:t>
      </w:r>
      <w:r w:rsidRPr="006751CD">
        <w:t xml:space="preserve"> noted, “the Commission’s jurisdiction is liberally construed” under Consumers Lobby Against Monopolies v. Pub. Util. Comm’n,</w:t>
      </w:r>
      <w:r w:rsidRPr="006751CD">
        <w:rPr>
          <w:rStyle w:val="FootnoteReference"/>
          <w:rFonts w:cs="Arial"/>
          <w:szCs w:val="24"/>
        </w:rPr>
        <w:footnoteReference w:id="31"/>
      </w:r>
      <w:r w:rsidRPr="006751CD">
        <w:t xml:space="preserve"> and therefore “the absence of a specific statutory authorization [did] not necessarily deprive the Commission of jurisdiction.”</w:t>
      </w:r>
      <w:r w:rsidRPr="006751CD">
        <w:rPr>
          <w:rStyle w:val="FootnoteReference"/>
          <w:rFonts w:cs="Arial"/>
          <w:szCs w:val="24"/>
        </w:rPr>
        <w:footnoteReference w:id="32"/>
      </w:r>
      <w:r w:rsidRPr="006751CD">
        <w:t xml:space="preserve"> </w:t>
      </w:r>
    </w:p>
    <w:p w14:paraId="32C4F039" w14:textId="77777777" w:rsidR="0097193B" w:rsidRPr="006751CD" w:rsidRDefault="0097193B" w:rsidP="00920249">
      <w:pPr>
        <w:pStyle w:val="standard"/>
        <w:keepNext/>
        <w:keepLines/>
      </w:pPr>
      <w:r w:rsidRPr="006751CD">
        <w:t xml:space="preserve">As correctly noted in the Opening Brief of ORA, the Commission has </w:t>
      </w:r>
      <w:r>
        <w:t xml:space="preserve">consistently </w:t>
      </w:r>
      <w:r w:rsidRPr="006751CD">
        <w:t>affirmed its jurisdiction to regulate safety issues concerning POUs.  In D.98-03-036, the Commission held that pursuant to the Pub. Util. Code, it has the authority and duty to regulate and enforce safety aspects of the POUs.</w:t>
      </w:r>
      <w:r w:rsidRPr="006751CD">
        <w:rPr>
          <w:rStyle w:val="FootnoteReference"/>
          <w:rFonts w:cs="Arial"/>
          <w:szCs w:val="24"/>
        </w:rPr>
        <w:footnoteReference w:id="33"/>
      </w:r>
      <w:r w:rsidRPr="006751CD">
        <w:t xml:space="preserve">  </w:t>
      </w:r>
    </w:p>
    <w:p w14:paraId="48407C45" w14:textId="77777777" w:rsidR="0097193B" w:rsidRPr="006478A3" w:rsidRDefault="0097193B" w:rsidP="005843FC">
      <w:pPr>
        <w:pStyle w:val="standard"/>
      </w:pPr>
      <w:r w:rsidRPr="006751CD">
        <w:t>ORA contends that the CPUC subsequently affirmed this determination in D.09-08-029 and D.10-02-034.</w:t>
      </w:r>
      <w:r w:rsidRPr="006751CD">
        <w:rPr>
          <w:rStyle w:val="FootnoteReference"/>
          <w:rFonts w:cs="Arial"/>
          <w:szCs w:val="24"/>
        </w:rPr>
        <w:footnoteReference w:id="34"/>
      </w:r>
      <w:r w:rsidRPr="006751CD">
        <w:t xml:space="preserve">  In D.09-08-029, the CPUC concluded that, as a matter of law, its jurisdiction “extends to POUs for the limited purpose of adopting and enforcing rules governing electric transmission and distribution facilities to protect the safety of employees and the general public.”</w:t>
      </w:r>
      <w:r w:rsidRPr="006751CD">
        <w:rPr>
          <w:rStyle w:val="FootnoteReference"/>
          <w:rFonts w:cs="Arial"/>
          <w:szCs w:val="24"/>
        </w:rPr>
        <w:footnoteReference w:id="35"/>
      </w:r>
    </w:p>
    <w:p w14:paraId="6CEC3A6E" w14:textId="77777777" w:rsidR="0097193B" w:rsidRPr="006751CD" w:rsidRDefault="0097193B" w:rsidP="005843FC">
      <w:pPr>
        <w:pStyle w:val="standard"/>
      </w:pPr>
      <w:r w:rsidRPr="009F0335">
        <w:t>Polk</w:t>
      </w:r>
      <w:r w:rsidRPr="009F0335">
        <w:rPr>
          <w:rStyle w:val="FootnoteReference"/>
          <w:rFonts w:cs="Arial"/>
          <w:szCs w:val="24"/>
        </w:rPr>
        <w:footnoteReference w:id="36"/>
      </w:r>
      <w:r w:rsidRPr="009F0335">
        <w:t xml:space="preserve"> provides a basis to exercise Commission jurisdiction over POUs </w:t>
      </w:r>
      <w:r w:rsidRPr="006751CD">
        <w:t xml:space="preserve">with respect to electric lines. </w:t>
      </w:r>
      <w:r w:rsidR="00D55250">
        <w:t xml:space="preserve"> </w:t>
      </w:r>
      <w:r w:rsidRPr="006751CD">
        <w:t xml:space="preserve">In Polk, a tree trimmer </w:t>
      </w:r>
      <w:r>
        <w:t xml:space="preserve">was injured after a fall from a ladder caused by an electric </w:t>
      </w:r>
      <w:r w:rsidRPr="006751CD">
        <w:t xml:space="preserve">shock </w:t>
      </w:r>
      <w:r>
        <w:t>from</w:t>
      </w:r>
      <w:r w:rsidRPr="006751CD">
        <w:t xml:space="preserve"> an overhead power line </w:t>
      </w:r>
      <w:r>
        <w:t xml:space="preserve">with worn insulation </w:t>
      </w:r>
      <w:r w:rsidRPr="006751CD">
        <w:t xml:space="preserve">operated by the City of Los Angeles in its capacity as a municipal </w:t>
      </w:r>
      <w:r w:rsidRPr="006751CD">
        <w:lastRenderedPageBreak/>
        <w:t>utility.</w:t>
      </w:r>
      <w:r w:rsidRPr="006751CD">
        <w:rPr>
          <w:rStyle w:val="FootnoteReference"/>
          <w:rFonts w:cs="Arial"/>
          <w:szCs w:val="24"/>
        </w:rPr>
        <w:footnoteReference w:id="37"/>
      </w:r>
      <w:r w:rsidRPr="006751CD">
        <w:t xml:space="preserve"> </w:t>
      </w:r>
      <w:r w:rsidR="00D55250">
        <w:t xml:space="preserve"> </w:t>
      </w:r>
      <w:r w:rsidRPr="006751CD">
        <w:t xml:space="preserve">The overhead line was not maintained in accordance with General Order (GO) 64-A, a predecessor to GO 95, which </w:t>
      </w:r>
      <w:r>
        <w:t>prescribes</w:t>
      </w:r>
      <w:r w:rsidRPr="006751CD">
        <w:t xml:space="preserve"> rules for the design, construction, and maintenance of overhead lines.</w:t>
      </w:r>
      <w:r w:rsidRPr="006751CD">
        <w:rPr>
          <w:rStyle w:val="FootnoteReference"/>
          <w:rFonts w:cs="Arial"/>
          <w:szCs w:val="24"/>
        </w:rPr>
        <w:footnoteReference w:id="38"/>
      </w:r>
      <w:r w:rsidRPr="006751CD">
        <w:t xml:space="preserve"> </w:t>
      </w:r>
      <w:r w:rsidR="00D55250">
        <w:t xml:space="preserve"> </w:t>
      </w:r>
      <w:r w:rsidRPr="006751CD">
        <w:t>At trial, the implied violation of GO 64-A was used to establish the duty of care for the municipal utility as well as the resultant breach.</w:t>
      </w:r>
      <w:r w:rsidRPr="006751CD">
        <w:rPr>
          <w:rStyle w:val="FootnoteReference"/>
          <w:rFonts w:cs="Arial"/>
          <w:szCs w:val="24"/>
        </w:rPr>
        <w:footnoteReference w:id="39"/>
      </w:r>
      <w:r w:rsidRPr="006751CD">
        <w:t xml:space="preserve"> </w:t>
      </w:r>
    </w:p>
    <w:p w14:paraId="3D8A8639" w14:textId="77777777" w:rsidR="0097193B" w:rsidRPr="006751CD" w:rsidRDefault="0097193B" w:rsidP="00AD7AB6">
      <w:pPr>
        <w:pStyle w:val="standard"/>
      </w:pPr>
      <w:r w:rsidRPr="006751CD">
        <w:t xml:space="preserve">On appeal before the California Supreme Court, the city argued that the Commission lacked jurisdiction over POUs and thus its safety rules could not </w:t>
      </w:r>
      <w:r>
        <w:t>prescribe</w:t>
      </w:r>
      <w:r w:rsidRPr="006751CD">
        <w:t xml:space="preserve"> </w:t>
      </w:r>
      <w:r>
        <w:t xml:space="preserve">POUs’ </w:t>
      </w:r>
      <w:r w:rsidRPr="006751CD">
        <w:t xml:space="preserve">duty of care. </w:t>
      </w:r>
      <w:r w:rsidR="00AD7AB6">
        <w:t xml:space="preserve"> </w:t>
      </w:r>
      <w:r w:rsidRPr="006751CD">
        <w:t xml:space="preserve">The Court conceded that, as a general matter, the Commission did lack jurisdiction over POUs, but then proceeded to state an exception for electric lines. </w:t>
      </w:r>
    </w:p>
    <w:p w14:paraId="064C00B8" w14:textId="77777777" w:rsidR="0097193B" w:rsidRPr="006751CD" w:rsidRDefault="0097193B" w:rsidP="00AD7AB6">
      <w:pPr>
        <w:pStyle w:val="standard"/>
      </w:pPr>
      <w:r w:rsidRPr="006751CD">
        <w:t>The Polk Court first observed that the predecessor statutes to §§ 8002, 8003, 8037, and 8056 applied by their express terms to municipalities and empowered the Railroad Commission (before it was reconstituted as the Public Utilities Commission) to inspect all electric lines and “make such further additions or changes as said commission may deem necessary for the purposes of safety to employees and the general public.”</w:t>
      </w:r>
      <w:r w:rsidRPr="006751CD">
        <w:rPr>
          <w:rStyle w:val="FootnoteReference"/>
          <w:rFonts w:cs="Arial"/>
          <w:szCs w:val="24"/>
        </w:rPr>
        <w:footnoteReference w:id="40"/>
      </w:r>
      <w:r w:rsidRPr="006751CD">
        <w:t xml:space="preserve"> </w:t>
      </w:r>
      <w:r w:rsidR="00AD7AB6">
        <w:t xml:space="preserve"> </w:t>
      </w:r>
      <w:r w:rsidRPr="006751CD">
        <w:t xml:space="preserve">The Court then noted that the regulations which established the duty of care, GO 64-A, were promulgated pursuant to the foregoing statutory provisions. </w:t>
      </w:r>
      <w:r w:rsidR="00AD7AB6">
        <w:t xml:space="preserve"> </w:t>
      </w:r>
      <w:r w:rsidRPr="006751CD">
        <w:t xml:space="preserve">Because “[t]here can be no doubt that the Legislature was empowered to pass such a statute and make it </w:t>
      </w:r>
      <w:r w:rsidRPr="006751CD">
        <w:lastRenderedPageBreak/>
        <w:t>applicable to [POUs]” and because “danger to the public is a matter of state concern,” POUs were subject to the Commission’s rules for electric lines.</w:t>
      </w:r>
      <w:r w:rsidRPr="006751CD">
        <w:rPr>
          <w:rStyle w:val="FootnoteReference"/>
          <w:rFonts w:cs="Arial"/>
          <w:szCs w:val="24"/>
        </w:rPr>
        <w:footnoteReference w:id="41"/>
      </w:r>
      <w:r w:rsidRPr="006751CD">
        <w:t xml:space="preserve"> </w:t>
      </w:r>
      <w:r w:rsidR="00AD7AB6">
        <w:t xml:space="preserve"> </w:t>
      </w:r>
      <w:r w:rsidRPr="006751CD">
        <w:t xml:space="preserve">The Court’s analysis is essentially the same as the Commission’s in D.98-10-059, which denied rehearing of the decision to apply the § 364(a) maintenance and inspection rules to POUs. </w:t>
      </w:r>
    </w:p>
    <w:p w14:paraId="35F99AA5" w14:textId="46C00027" w:rsidR="006B478B" w:rsidRPr="006751CD" w:rsidRDefault="0097193B" w:rsidP="009041E4">
      <w:pPr>
        <w:pStyle w:val="standard"/>
        <w:keepNext/>
        <w:keepLines/>
      </w:pPr>
      <w:r>
        <w:t xml:space="preserve">In </w:t>
      </w:r>
      <w:r w:rsidRPr="006751CD">
        <w:t>Polk</w:t>
      </w:r>
      <w:r>
        <w:t xml:space="preserve">, the Court noted that </w:t>
      </w:r>
      <w:r w:rsidRPr="006751CD">
        <w:t>“safety rules are in reality not regulations or the exercise of control by the commission” but are “nothing more than safety requirements in which the entire state has an interest.”</w:t>
      </w:r>
      <w:r w:rsidRPr="006751CD">
        <w:rPr>
          <w:rStyle w:val="FootnoteReference"/>
          <w:rFonts w:cs="Arial"/>
          <w:szCs w:val="24"/>
        </w:rPr>
        <w:footnoteReference w:id="42"/>
      </w:r>
      <w:r w:rsidRPr="006751CD">
        <w:t xml:space="preserve"> </w:t>
      </w:r>
      <w:r w:rsidR="000720C8">
        <w:t xml:space="preserve"> </w:t>
      </w:r>
      <w:r>
        <w:t>T</w:t>
      </w:r>
      <w:r w:rsidRPr="009F2F4A">
        <w:t xml:space="preserve">he Commission </w:t>
      </w:r>
      <w:r>
        <w:t>reiterated that point in its conclusion about jurisdiction in D</w:t>
      </w:r>
      <w:r w:rsidR="005275C7">
        <w:t>.</w:t>
      </w:r>
      <w:r>
        <w:t>98-10-059</w:t>
      </w:r>
      <w:r w:rsidR="00F82C3B">
        <w:t>.</w:t>
      </w:r>
      <w:r w:rsidRPr="009F2F4A">
        <w:t xml:space="preserve">  </w:t>
      </w:r>
      <w:r w:rsidR="006B478B" w:rsidRPr="006751CD">
        <w:rPr>
          <w:rFonts w:cs="Arial"/>
          <w:szCs w:val="24"/>
        </w:rPr>
        <w:t xml:space="preserve">The Court sanctioned the use of GO 64-A </w:t>
      </w:r>
      <w:r w:rsidR="006B478B">
        <w:rPr>
          <w:rFonts w:cs="Arial"/>
          <w:szCs w:val="24"/>
        </w:rPr>
        <w:t xml:space="preserve">to prescribe POUs’ </w:t>
      </w:r>
      <w:r w:rsidR="006B478B" w:rsidRPr="006751CD">
        <w:rPr>
          <w:rFonts w:cs="Arial"/>
          <w:szCs w:val="24"/>
        </w:rPr>
        <w:t xml:space="preserve">duty of care </w:t>
      </w:r>
      <w:r w:rsidR="00C5439B">
        <w:rPr>
          <w:rFonts w:cs="Arial"/>
          <w:szCs w:val="24"/>
        </w:rPr>
        <w:t>on the basis that</w:t>
      </w:r>
      <w:r w:rsidR="006B478B" w:rsidRPr="006751CD">
        <w:rPr>
          <w:rFonts w:cs="Arial"/>
          <w:szCs w:val="24"/>
        </w:rPr>
        <w:t xml:space="preserve"> the Legislature had long since authorized the Commission to inspect electric lines, including those owned by local government</w:t>
      </w:r>
      <w:r w:rsidR="006B478B">
        <w:rPr>
          <w:rFonts w:cs="Arial"/>
          <w:szCs w:val="24"/>
        </w:rPr>
        <w:t>s</w:t>
      </w:r>
      <w:r w:rsidR="006B478B" w:rsidRPr="006751CD">
        <w:rPr>
          <w:rFonts w:cs="Arial"/>
          <w:szCs w:val="24"/>
        </w:rPr>
        <w:t xml:space="preserve">, in the interest of public safety. In Polk, </w:t>
      </w:r>
      <w:r w:rsidR="006B478B">
        <w:rPr>
          <w:rFonts w:cs="Arial"/>
          <w:szCs w:val="24"/>
        </w:rPr>
        <w:t xml:space="preserve">the Court noted that Commission authority over the public safety aspects of POUs’ operation is derived from the </w:t>
      </w:r>
      <w:r w:rsidR="006B478B" w:rsidRPr="006751CD">
        <w:rPr>
          <w:rFonts w:cs="Arial"/>
          <w:szCs w:val="24"/>
        </w:rPr>
        <w:t>overriding statewide concern for public safety</w:t>
      </w:r>
      <w:r w:rsidR="006B478B">
        <w:rPr>
          <w:rFonts w:cs="Arial"/>
          <w:szCs w:val="24"/>
        </w:rPr>
        <w:t xml:space="preserve">.  </w:t>
      </w:r>
      <w:r w:rsidR="00C5439B">
        <w:rPr>
          <w:rFonts w:cs="Arial"/>
          <w:szCs w:val="24"/>
        </w:rPr>
        <w:t xml:space="preserve">The </w:t>
      </w:r>
      <w:r w:rsidR="006B478B" w:rsidRPr="006751CD">
        <w:rPr>
          <w:rFonts w:cs="Arial"/>
          <w:szCs w:val="24"/>
        </w:rPr>
        <w:t xml:space="preserve">Polk </w:t>
      </w:r>
      <w:r w:rsidR="00C5439B">
        <w:rPr>
          <w:rFonts w:cs="Arial"/>
          <w:szCs w:val="24"/>
        </w:rPr>
        <w:t xml:space="preserve">Court found </w:t>
      </w:r>
      <w:r w:rsidR="006B478B">
        <w:rPr>
          <w:rFonts w:cs="Arial"/>
          <w:szCs w:val="24"/>
        </w:rPr>
        <w:t>that “t</w:t>
      </w:r>
      <w:r w:rsidR="006B478B" w:rsidRPr="006E0CD7">
        <w:rPr>
          <w:rFonts w:cs="Arial"/>
          <w:szCs w:val="24"/>
        </w:rPr>
        <w:t xml:space="preserve">he safety </w:t>
      </w:r>
      <w:r w:rsidR="006B478B">
        <w:rPr>
          <w:rFonts w:cs="Arial"/>
          <w:szCs w:val="24"/>
        </w:rPr>
        <w:t xml:space="preserve">of overhead </w:t>
      </w:r>
      <w:r w:rsidR="006B478B" w:rsidRPr="006E0CD7">
        <w:rPr>
          <w:rFonts w:cs="Arial"/>
          <w:szCs w:val="24"/>
        </w:rPr>
        <w:t>wire</w:t>
      </w:r>
      <w:r w:rsidR="006B478B">
        <w:rPr>
          <w:rFonts w:cs="Arial"/>
          <w:szCs w:val="24"/>
        </w:rPr>
        <w:t xml:space="preserve"> </w:t>
      </w:r>
      <w:r w:rsidR="006B478B" w:rsidRPr="006E0CD7">
        <w:rPr>
          <w:rFonts w:cs="Arial"/>
          <w:szCs w:val="24"/>
        </w:rPr>
        <w:t xml:space="preserve">maintenance is a </w:t>
      </w:r>
      <w:r w:rsidR="006B478B">
        <w:rPr>
          <w:rFonts w:cs="Arial"/>
          <w:szCs w:val="24"/>
        </w:rPr>
        <w:t xml:space="preserve">matter of statewide </w:t>
      </w:r>
      <w:r w:rsidR="006B478B" w:rsidRPr="006E0CD7">
        <w:rPr>
          <w:rFonts w:cs="Arial"/>
          <w:szCs w:val="24"/>
        </w:rPr>
        <w:t>rather than local concern, the state law is paramount</w:t>
      </w:r>
      <w:r w:rsidR="006B478B" w:rsidRPr="006751CD">
        <w:rPr>
          <w:rFonts w:cs="Arial"/>
          <w:szCs w:val="24"/>
        </w:rPr>
        <w:t>.</w:t>
      </w:r>
      <w:r w:rsidR="006B478B">
        <w:rPr>
          <w:rFonts w:cs="Arial"/>
          <w:szCs w:val="24"/>
        </w:rPr>
        <w:t>”</w:t>
      </w:r>
      <w:r w:rsidR="006B478B" w:rsidRPr="006751CD">
        <w:rPr>
          <w:rFonts w:cs="Arial"/>
          <w:szCs w:val="24"/>
        </w:rPr>
        <w:t xml:space="preserve"> </w:t>
      </w:r>
      <w:r w:rsidR="006B478B">
        <w:rPr>
          <w:rFonts w:cs="Arial"/>
          <w:szCs w:val="24"/>
        </w:rPr>
        <w:t xml:space="preserve"> </w:t>
      </w:r>
    </w:p>
    <w:p w14:paraId="2BA9B9EF" w14:textId="4DB818EF" w:rsidR="00A342FB" w:rsidRDefault="002E2BE0" w:rsidP="005275C7">
      <w:pPr>
        <w:pStyle w:val="standard"/>
        <w:rPr>
          <w:rFonts w:cs="Arial"/>
          <w:szCs w:val="24"/>
        </w:rPr>
      </w:pPr>
      <w:r>
        <w:rPr>
          <w:rFonts w:cs="Arial"/>
          <w:szCs w:val="24"/>
        </w:rPr>
        <w:t>Sections</w:t>
      </w:r>
      <w:r w:rsidR="0097193B" w:rsidRPr="006751CD">
        <w:rPr>
          <w:rFonts w:cs="Arial"/>
          <w:szCs w:val="24"/>
        </w:rPr>
        <w:t xml:space="preserve"> 8001-8057</w:t>
      </w:r>
      <w:r w:rsidR="001A39CA">
        <w:rPr>
          <w:rFonts w:cs="Arial"/>
          <w:szCs w:val="24"/>
        </w:rPr>
        <w:t>, read in light of the Polk decision,</w:t>
      </w:r>
      <w:r w:rsidR="0097193B" w:rsidRPr="006751CD">
        <w:rPr>
          <w:rFonts w:cs="Arial"/>
          <w:szCs w:val="24"/>
        </w:rPr>
        <w:t xml:space="preserve"> </w:t>
      </w:r>
      <w:r w:rsidR="001A39CA">
        <w:rPr>
          <w:rFonts w:cs="Arial"/>
          <w:szCs w:val="24"/>
        </w:rPr>
        <w:t xml:space="preserve">make it clear that the </w:t>
      </w:r>
      <w:r w:rsidR="0097193B" w:rsidRPr="006751CD">
        <w:rPr>
          <w:rFonts w:cs="Arial"/>
          <w:szCs w:val="24"/>
        </w:rPr>
        <w:t>Commission</w:t>
      </w:r>
      <w:r w:rsidR="001A39CA">
        <w:rPr>
          <w:rFonts w:cs="Arial"/>
          <w:szCs w:val="24"/>
        </w:rPr>
        <w:t xml:space="preserve"> has the </w:t>
      </w:r>
      <w:r w:rsidR="0097193B" w:rsidRPr="006751CD">
        <w:rPr>
          <w:rFonts w:cs="Arial"/>
          <w:szCs w:val="24"/>
        </w:rPr>
        <w:t xml:space="preserve">authority to </w:t>
      </w:r>
      <w:r w:rsidR="001A39CA">
        <w:rPr>
          <w:rFonts w:cs="Arial"/>
          <w:szCs w:val="24"/>
        </w:rPr>
        <w:t xml:space="preserve">apply </w:t>
      </w:r>
      <w:r w:rsidR="0097193B">
        <w:rPr>
          <w:rFonts w:cs="Arial"/>
          <w:szCs w:val="24"/>
        </w:rPr>
        <w:t xml:space="preserve">physical security rules created through </w:t>
      </w:r>
      <w:r w:rsidR="0097193B" w:rsidRPr="006751CD">
        <w:rPr>
          <w:rFonts w:cs="Arial"/>
          <w:szCs w:val="24"/>
        </w:rPr>
        <w:t xml:space="preserve">this rulemaking </w:t>
      </w:r>
      <w:r w:rsidR="0097193B">
        <w:rPr>
          <w:rFonts w:cs="Arial"/>
          <w:szCs w:val="24"/>
        </w:rPr>
        <w:t xml:space="preserve">to </w:t>
      </w:r>
      <w:r w:rsidR="0097193B" w:rsidRPr="006751CD">
        <w:rPr>
          <w:rFonts w:cs="Arial"/>
          <w:szCs w:val="24"/>
        </w:rPr>
        <w:t xml:space="preserve">the POUs. </w:t>
      </w:r>
      <w:r w:rsidR="0097193B">
        <w:rPr>
          <w:rFonts w:cs="Arial"/>
          <w:szCs w:val="24"/>
        </w:rPr>
        <w:t xml:space="preserve"> </w:t>
      </w:r>
      <w:r w:rsidR="004C3030">
        <w:rPr>
          <w:rFonts w:cs="Arial"/>
          <w:szCs w:val="24"/>
        </w:rPr>
        <w:t>The L</w:t>
      </w:r>
      <w:r w:rsidRPr="002E2BE0">
        <w:rPr>
          <w:rFonts w:cs="Arial"/>
          <w:szCs w:val="24"/>
        </w:rPr>
        <w:t>egislature granted the Commission the power to make “further additions or changes as the Commission deems necessary for the purpose of safety to employees and the general public.”</w:t>
      </w:r>
      <w:r w:rsidR="00A342FB">
        <w:rPr>
          <w:rStyle w:val="FootnoteReference"/>
          <w:rFonts w:cs="Arial"/>
          <w:szCs w:val="24"/>
        </w:rPr>
        <w:footnoteReference w:id="43"/>
      </w:r>
      <w:r w:rsidRPr="002E2BE0">
        <w:rPr>
          <w:rFonts w:cs="Arial"/>
          <w:szCs w:val="24"/>
        </w:rPr>
        <w:t xml:space="preserve"> The </w:t>
      </w:r>
      <w:r w:rsidRPr="002E2BE0">
        <w:rPr>
          <w:rFonts w:cs="Arial"/>
          <w:szCs w:val="24"/>
        </w:rPr>
        <w:lastRenderedPageBreak/>
        <w:t xml:space="preserve">Commission </w:t>
      </w:r>
      <w:r w:rsidR="00F2781C">
        <w:rPr>
          <w:rFonts w:cs="Arial"/>
          <w:szCs w:val="24"/>
        </w:rPr>
        <w:t xml:space="preserve">is  relying on this authority to </w:t>
      </w:r>
      <w:r w:rsidRPr="002E2BE0">
        <w:rPr>
          <w:rFonts w:cs="Arial"/>
          <w:szCs w:val="24"/>
        </w:rPr>
        <w:t xml:space="preserve"> set minimum </w:t>
      </w:r>
      <w:r w:rsidR="00C5439B">
        <w:rPr>
          <w:rFonts w:cs="Arial"/>
          <w:szCs w:val="24"/>
        </w:rPr>
        <w:t>standards</w:t>
      </w:r>
      <w:r w:rsidRPr="002E2BE0">
        <w:rPr>
          <w:rFonts w:cs="Arial"/>
          <w:szCs w:val="24"/>
        </w:rPr>
        <w:t xml:space="preserve"> </w:t>
      </w:r>
      <w:r w:rsidR="008A600C">
        <w:rPr>
          <w:rFonts w:cs="Arial"/>
          <w:szCs w:val="24"/>
        </w:rPr>
        <w:t xml:space="preserve">to ensure </w:t>
      </w:r>
      <w:r w:rsidRPr="002E2BE0">
        <w:rPr>
          <w:rFonts w:cs="Arial"/>
          <w:szCs w:val="24"/>
        </w:rPr>
        <w:t>the physical security of the State’s electric grid</w:t>
      </w:r>
      <w:r w:rsidR="008A600C">
        <w:rPr>
          <w:rFonts w:cs="Arial"/>
          <w:szCs w:val="24"/>
        </w:rPr>
        <w:t>, which is operated by both investor owned utilities and publicly owned utilities</w:t>
      </w:r>
      <w:r w:rsidRPr="002E2BE0">
        <w:rPr>
          <w:rFonts w:cs="Arial"/>
          <w:szCs w:val="24"/>
        </w:rPr>
        <w:t xml:space="preserve">. </w:t>
      </w:r>
    </w:p>
    <w:p w14:paraId="7E3E06D0" w14:textId="75AF032C" w:rsidR="0097193B" w:rsidRPr="006478A3" w:rsidRDefault="0097193B" w:rsidP="0008501F">
      <w:pPr>
        <w:pStyle w:val="standard"/>
        <w:rPr>
          <w:rFonts w:ascii="Book Antiqua" w:hAnsi="Book Antiqua"/>
        </w:rPr>
      </w:pPr>
      <w:r w:rsidRPr="006751CD">
        <w:rPr>
          <w:rFonts w:cs="Arial"/>
          <w:szCs w:val="24"/>
        </w:rPr>
        <w:t xml:space="preserve"> </w:t>
      </w:r>
      <w:r w:rsidR="005275C7">
        <w:rPr>
          <w:rFonts w:cs="Arial"/>
          <w:szCs w:val="24"/>
        </w:rPr>
        <w:t xml:space="preserve"> </w:t>
      </w:r>
      <w:r w:rsidR="00B65E04">
        <w:rPr>
          <w:rFonts w:cs="Arial"/>
          <w:szCs w:val="24"/>
        </w:rPr>
        <w:t xml:space="preserve"> </w:t>
      </w:r>
      <w:r w:rsidR="006F5E07">
        <w:rPr>
          <w:rFonts w:cs="Arial"/>
          <w:szCs w:val="24"/>
        </w:rPr>
        <w:t xml:space="preserve"> The </w:t>
      </w:r>
      <w:r>
        <w:rPr>
          <w:rFonts w:cs="Arial"/>
          <w:szCs w:val="24"/>
        </w:rPr>
        <w:t xml:space="preserve">rationale </w:t>
      </w:r>
      <w:r w:rsidR="006F5E07">
        <w:rPr>
          <w:rFonts w:cs="Arial"/>
          <w:szCs w:val="24"/>
        </w:rPr>
        <w:t>employed by the Polk Court</w:t>
      </w:r>
      <w:r w:rsidR="00224ADC">
        <w:rPr>
          <w:rFonts w:cs="Arial"/>
          <w:szCs w:val="24"/>
        </w:rPr>
        <w:t xml:space="preserve"> </w:t>
      </w:r>
      <w:r>
        <w:rPr>
          <w:rFonts w:cs="Arial"/>
          <w:szCs w:val="24"/>
        </w:rPr>
        <w:t xml:space="preserve">applies even more forcefully in </w:t>
      </w:r>
      <w:r w:rsidRPr="00F50363">
        <w:rPr>
          <w:rFonts w:cs="Arial"/>
          <w:szCs w:val="24"/>
        </w:rPr>
        <w:t xml:space="preserve">the present case, given the increased importance of electric service and the distribution grid, and the interconnected nature of the grid. </w:t>
      </w:r>
      <w:r w:rsidR="00DA5D45">
        <w:rPr>
          <w:rFonts w:cs="Arial"/>
          <w:szCs w:val="24"/>
        </w:rPr>
        <w:t xml:space="preserve"> </w:t>
      </w:r>
      <w:r w:rsidR="00A342FB">
        <w:t xml:space="preserve">The Legislature </w:t>
      </w:r>
      <w:r w:rsidR="006F5E07">
        <w:t xml:space="preserve">has </w:t>
      </w:r>
      <w:r w:rsidR="00A342FB">
        <w:t xml:space="preserve">directed the Commission to ensure the safety of employees and the public. That includes not only ensuring that wires are clear from accidental contact but also that the electrical systems are safe from intentional intrusions by bad actors. </w:t>
      </w:r>
      <w:r w:rsidRPr="00F50363">
        <w:rPr>
          <w:rFonts w:cs="Arial"/>
          <w:szCs w:val="24"/>
        </w:rPr>
        <w:t xml:space="preserve">As the need to ensure the public safety of electric infrastructure is greater now, </w:t>
      </w:r>
      <w:r>
        <w:rPr>
          <w:rFonts w:cs="Arial"/>
          <w:szCs w:val="24"/>
        </w:rPr>
        <w:t xml:space="preserve">more so than ever before, </w:t>
      </w:r>
      <w:r w:rsidRPr="00F50363">
        <w:rPr>
          <w:rFonts w:cs="Arial"/>
          <w:szCs w:val="24"/>
        </w:rPr>
        <w:t>the Commission’s regulatory mandate is also correspondingly enhanced.</w:t>
      </w:r>
    </w:p>
    <w:p w14:paraId="2C986814" w14:textId="77777777" w:rsidR="0097193B" w:rsidRPr="005275C7" w:rsidRDefault="005275C7" w:rsidP="00147718">
      <w:pPr>
        <w:pStyle w:val="Heading2"/>
        <w:keepNext/>
        <w:keepLines/>
        <w:ind w:left="1350" w:hanging="630"/>
      </w:pPr>
      <w:bookmarkStart w:id="10" w:name="_Toc529357782"/>
      <w:r>
        <w:t>3.</w:t>
      </w:r>
      <w:r w:rsidR="0073477E">
        <w:t>3</w:t>
      </w:r>
      <w:r>
        <w:t xml:space="preserve">.  </w:t>
      </w:r>
      <w:r w:rsidR="0097193B" w:rsidRPr="005275C7">
        <w:t xml:space="preserve">Safety Policy Concerns Support Commission </w:t>
      </w:r>
      <w:r w:rsidR="007C7479">
        <w:br/>
      </w:r>
      <w:r w:rsidR="0097193B" w:rsidRPr="005275C7">
        <w:t>Jurisdiction by POUs in Phase I</w:t>
      </w:r>
      <w:bookmarkEnd w:id="10"/>
    </w:p>
    <w:p w14:paraId="6DDD8D52" w14:textId="77777777" w:rsidR="0097193B" w:rsidRPr="006751CD" w:rsidRDefault="0097193B" w:rsidP="00147718">
      <w:pPr>
        <w:pStyle w:val="standard"/>
        <w:keepNext/>
        <w:keepLines/>
      </w:pPr>
      <w:r w:rsidRPr="006751CD">
        <w:t>The physical security rules contemplated by the amended version of §</w:t>
      </w:r>
      <w:r w:rsidR="00445CAA">
        <w:t> </w:t>
      </w:r>
      <w:r w:rsidRPr="006751CD">
        <w:t xml:space="preserve">364(a) are similar to the maintenance and inspection rules contained in GO 165 and made applicable to POUs by D.98-03-036. </w:t>
      </w:r>
      <w:r w:rsidR="001B4B2F">
        <w:t xml:space="preserve"> </w:t>
      </w:r>
      <w:r>
        <w:t>Given this context, it is notable that t</w:t>
      </w:r>
      <w:r w:rsidRPr="006751CD">
        <w:t xml:space="preserve">he Legislature </w:t>
      </w:r>
      <w:r>
        <w:t xml:space="preserve">did not insert any language in the </w:t>
      </w:r>
      <w:r w:rsidRPr="006751CD">
        <w:t>amended version of §</w:t>
      </w:r>
      <w:r w:rsidR="00445CAA">
        <w:t> </w:t>
      </w:r>
      <w:r w:rsidRPr="006751CD">
        <w:t>364(a) restrict</w:t>
      </w:r>
      <w:r>
        <w:t>ing</w:t>
      </w:r>
      <w:r w:rsidRPr="006751CD">
        <w:t xml:space="preserve"> </w:t>
      </w:r>
      <w:r>
        <w:t xml:space="preserve">the Commission’s </w:t>
      </w:r>
      <w:r w:rsidRPr="006751CD">
        <w:t xml:space="preserve">jurisdiction. </w:t>
      </w:r>
    </w:p>
    <w:p w14:paraId="67837C9F" w14:textId="77777777" w:rsidR="0097193B" w:rsidRDefault="0097193B" w:rsidP="00445CAA">
      <w:pPr>
        <w:pStyle w:val="standard"/>
      </w:pPr>
      <w:r w:rsidRPr="006751CD">
        <w:t xml:space="preserve">Moreover, </w:t>
      </w:r>
      <w:r w:rsidRPr="0075554D">
        <w:t>even without § 364, the</w:t>
      </w:r>
      <w:r w:rsidRPr="006751CD">
        <w:t xml:space="preserve"> Commission has authority to make the new physical security rules applicable to POUs, as the statut</w:t>
      </w:r>
      <w:r>
        <w:t>ory provisions</w:t>
      </w:r>
      <w:r w:rsidRPr="006751CD">
        <w:t xml:space="preserve"> which enabled the application of GO 64-A in Polk are virtually identical to §§</w:t>
      </w:r>
      <w:r w:rsidR="00445CAA">
        <w:t> </w:t>
      </w:r>
      <w:r w:rsidRPr="006751CD">
        <w:t xml:space="preserve">8001-8056. </w:t>
      </w:r>
    </w:p>
    <w:p w14:paraId="3A50C717" w14:textId="53CB5944" w:rsidR="0097193B" w:rsidRPr="006751CD" w:rsidRDefault="006F5E07" w:rsidP="00445CAA">
      <w:pPr>
        <w:pStyle w:val="standard"/>
      </w:pPr>
      <w:r>
        <w:t xml:space="preserve">As noted above, </w:t>
      </w:r>
      <w:r w:rsidR="0097193B" w:rsidRPr="006751CD">
        <w:t>Sections 8037 and 8056 authorize the Commission to “inspect all work” relating to surface and underground transmission and “make such further additions or changes as the commission deems necessary for the purpose of safety to employees and the general public.”</w:t>
      </w:r>
      <w:r w:rsidR="00324D71">
        <w:t xml:space="preserve"> </w:t>
      </w:r>
      <w:r w:rsidR="0097193B" w:rsidRPr="006751CD">
        <w:t xml:space="preserve"> Section 8002 </w:t>
      </w:r>
      <w:r w:rsidR="0097193B">
        <w:t xml:space="preserve">states that </w:t>
      </w:r>
      <w:r w:rsidR="0097193B">
        <w:lastRenderedPageBreak/>
        <w:t>the term “person” includes any “commission, officer, agent, or employee of this State, or any county, city, city and county, or other political subdivision thereof, and any other person, firm, or corporation.”  Based on</w:t>
      </w:r>
      <w:r w:rsidR="0097193B" w:rsidRPr="006751CD">
        <w:t xml:space="preserve"> these statutory provisions, D.98</w:t>
      </w:r>
      <w:r w:rsidR="009E20A1">
        <w:noBreakHyphen/>
      </w:r>
      <w:r w:rsidR="0097193B" w:rsidRPr="006751CD">
        <w:t>03-036 made GO 165 applicable to POUs.</w:t>
      </w:r>
    </w:p>
    <w:p w14:paraId="47F28357" w14:textId="2FED126F" w:rsidR="0097193B" w:rsidRPr="00B3573F" w:rsidRDefault="0097193B" w:rsidP="00B3573F">
      <w:pPr>
        <w:pStyle w:val="standard"/>
      </w:pPr>
      <w:r w:rsidRPr="006751CD">
        <w:t>Sections 8001-8057 expressly apply to local government entities and authorize the Commission to promulgate new rules to ensure the safety of electrical lines.  The mandate in § 364(a) to enforce “</w:t>
      </w:r>
      <w:r w:rsidRPr="006751CD">
        <w:rPr>
          <w:shd w:val="clear" w:color="auto" w:fill="FFFFFF"/>
        </w:rPr>
        <w:t xml:space="preserve">inspection, maintenance, </w:t>
      </w:r>
      <w:r w:rsidRPr="00B3573F">
        <w:t>repair, and replacement standards” is consistent with §§ 8001-8057, and Polk indicates that those statut</w:t>
      </w:r>
      <w:r w:rsidR="00033F04">
        <w:t>ory provisions</w:t>
      </w:r>
      <w:r w:rsidRPr="00B3573F">
        <w:t xml:space="preserve"> provide sufficient statutory authority to extend the Commission’s physical security rules to POUs.  </w:t>
      </w:r>
    </w:p>
    <w:p w14:paraId="2CC246CB" w14:textId="768AB2EC" w:rsidR="004844C7" w:rsidRPr="00B3573F" w:rsidRDefault="0097193B" w:rsidP="00CF202A">
      <w:pPr>
        <w:pStyle w:val="standard"/>
      </w:pPr>
      <w:r w:rsidRPr="00B3573F">
        <w:t>The POUs argue that the Commission’s jurisdiction over them is limited and it is inappropriate for the Commission to use statewide concerns about safety to expand the scope of the Commission’s jurisdiction.</w:t>
      </w:r>
      <w:r w:rsidR="007147AF">
        <w:rPr>
          <w:rStyle w:val="FootnoteReference"/>
        </w:rPr>
        <w:footnoteReference w:id="44"/>
      </w:r>
      <w:r w:rsidRPr="00B3573F">
        <w:t xml:space="preserve">  They do concede that Commission decisions relating to safety may be relevant to the POUs to the extent that they represent industry standards.</w:t>
      </w:r>
      <w:r w:rsidR="007147AF">
        <w:rPr>
          <w:rStyle w:val="FootnoteReference"/>
        </w:rPr>
        <w:footnoteReference w:id="45"/>
      </w:r>
      <w:r w:rsidRPr="00B3573F">
        <w:t xml:space="preserve">  </w:t>
      </w:r>
      <w:r w:rsidR="004178D6">
        <w:t xml:space="preserve">In view of </w:t>
      </w:r>
      <w:r w:rsidR="003E42EE">
        <w:t xml:space="preserve">the Commission’s </w:t>
      </w:r>
      <w:r w:rsidR="004178D6">
        <w:t>mandate to ensure the safety of the State’s electric grid</w:t>
      </w:r>
      <w:r w:rsidR="003E42EE">
        <w:t>, the Legislature tasked it with developing standards for the overhead and underground electrical systems. The authorizing statutes specifically grant the Commission authority to develop these standards and ensure compliance with them, not just by IOUs, but also the POUs</w:t>
      </w:r>
      <w:r w:rsidR="00E51A8E">
        <w:t>.</w:t>
      </w:r>
      <w:r w:rsidR="003E42EE">
        <w:rPr>
          <w:rStyle w:val="FootnoteReference"/>
        </w:rPr>
        <w:footnoteReference w:id="46"/>
      </w:r>
      <w:r w:rsidR="003E42EE">
        <w:t xml:space="preserve"> </w:t>
      </w:r>
      <w:r w:rsidR="00E51A8E">
        <w:t xml:space="preserve">The </w:t>
      </w:r>
      <w:r w:rsidR="002E2BE0">
        <w:t xml:space="preserve">POUs state that </w:t>
      </w:r>
      <w:r w:rsidR="00E51A8E">
        <w:t xml:space="preserve">by applying new physical security rules to them, </w:t>
      </w:r>
      <w:r w:rsidR="002E2BE0">
        <w:t xml:space="preserve">the </w:t>
      </w:r>
      <w:r w:rsidR="002E2BE0">
        <w:lastRenderedPageBreak/>
        <w:t>Commission is encroaching on the domain of the public entities’ police, fire and safety departments</w:t>
      </w:r>
      <w:r w:rsidR="00E51A8E">
        <w:t>. T</w:t>
      </w:r>
      <w:r w:rsidR="002E2BE0">
        <w:t xml:space="preserve">his argument is without merit. </w:t>
      </w:r>
      <w:r w:rsidR="00E51A8E">
        <w:t>P</w:t>
      </w:r>
      <w:r w:rsidR="002E2BE0">
        <w:t xml:space="preserve">recedent, </w:t>
      </w:r>
      <w:r w:rsidR="00E51A8E">
        <w:t xml:space="preserve">public </w:t>
      </w:r>
      <w:r w:rsidR="002E2BE0">
        <w:t xml:space="preserve">policy </w:t>
      </w:r>
      <w:r w:rsidR="00E51A8E">
        <w:t xml:space="preserve">considerations </w:t>
      </w:r>
      <w:r w:rsidR="002E2BE0">
        <w:t xml:space="preserve">and </w:t>
      </w:r>
      <w:r w:rsidR="00E51A8E">
        <w:t xml:space="preserve">longstanding </w:t>
      </w:r>
      <w:r w:rsidR="002E2BE0">
        <w:t xml:space="preserve">Commission practice provides </w:t>
      </w:r>
      <w:r w:rsidR="00E51A8E">
        <w:t xml:space="preserve">the Commission </w:t>
      </w:r>
      <w:r w:rsidR="002E2BE0">
        <w:t xml:space="preserve">with sufficient basis in this particular case to extend physical security rules to POUs. The Commission already possesses jurisdiction over the POUs, for the purposes of setting, and ensuring compliance with, standards for their electrical grids to ensure safety. The Commission does not intend </w:t>
      </w:r>
      <w:r w:rsidR="00DC7E47">
        <w:t xml:space="preserve">in any way </w:t>
      </w:r>
      <w:r w:rsidR="002E2BE0">
        <w:t xml:space="preserve">to usurp the role of the public </w:t>
      </w:r>
      <w:r w:rsidR="00C5439B">
        <w:t xml:space="preserve">utilities’ </w:t>
      </w:r>
      <w:r w:rsidR="002E2BE0">
        <w:t>police, fire and safety departments.</w:t>
      </w:r>
      <w:r w:rsidR="00A13AB0">
        <w:t xml:space="preserve"> </w:t>
      </w:r>
      <w:r w:rsidR="00E51A8E">
        <w:t xml:space="preserve">The rules set forth in this decision are the minimum standards to ensure the physical security of the State’s electric grid. </w:t>
      </w:r>
      <w:r w:rsidR="00C5439B">
        <w:t>T</w:t>
      </w:r>
      <w:r w:rsidR="00E51A8E">
        <w:t>he POUs’ governing bodies may</w:t>
      </w:r>
      <w:r w:rsidR="00C5439B">
        <w:t>, of course,</w:t>
      </w:r>
      <w:r w:rsidR="00E51A8E">
        <w:t xml:space="preserve"> prescribe standards that go above and beyond these requirements.  </w:t>
      </w:r>
    </w:p>
    <w:p w14:paraId="0E57901C" w14:textId="3422A3A0" w:rsidR="0097193B" w:rsidRPr="00B3573F" w:rsidRDefault="0097193B" w:rsidP="00B3573F">
      <w:pPr>
        <w:pStyle w:val="standard"/>
      </w:pPr>
      <w:r w:rsidRPr="00B3573F">
        <w:t xml:space="preserve">The major focus of Phase I of this proceeding is to address the risks and threats of a long-term outage to a distribution facility.  Clearly, a long-term outage at any distribution facility poses numerous safety issues, whether it be at an IOU or POU facility.  The Commission was tasked with establishing industry standards to help reduce the risk and threats of a long-term outage.  Minimizing the risks to distribution systems throughout the state promotes public safety and helps to establish industry standards.  </w:t>
      </w:r>
      <w:r w:rsidR="007A05C5">
        <w:t xml:space="preserve">Further, as the Commission noted in D.98-10-059, electrical disruptions can affect </w:t>
      </w:r>
      <w:r w:rsidR="005C3A8B">
        <w:t>neighboring utilities, regardless of their ownership: “emergencies or power outages with a municipal utility’s service area can have effects on the State’s grid that are not confined to that utility’s electric system.”</w:t>
      </w:r>
      <w:r w:rsidR="005C3A8B">
        <w:rPr>
          <w:rStyle w:val="FootnoteReference"/>
        </w:rPr>
        <w:footnoteReference w:id="47"/>
      </w:r>
      <w:r w:rsidR="005C3A8B">
        <w:t xml:space="preserve"> </w:t>
      </w:r>
      <w:r w:rsidR="006946F8">
        <w:t xml:space="preserve">Threats to the electrical grid </w:t>
      </w:r>
      <w:r w:rsidR="009B7D1E">
        <w:t xml:space="preserve">and public safety do not discriminate based on the utility’s ownership. </w:t>
      </w:r>
      <w:r w:rsidRPr="00B3573F">
        <w:t xml:space="preserve">Therefore, we conclude that it is </w:t>
      </w:r>
      <w:r w:rsidRPr="00B3573F">
        <w:lastRenderedPageBreak/>
        <w:t>within the authority and jurisdiction of the Commission to have these standards apply to both the IOUs and the POUs.</w:t>
      </w:r>
    </w:p>
    <w:p w14:paraId="504039D8" w14:textId="252AEF62" w:rsidR="0097193B" w:rsidRPr="006C5599" w:rsidRDefault="0097193B" w:rsidP="00B3573F">
      <w:pPr>
        <w:pStyle w:val="standard"/>
        <w:rPr>
          <w:rFonts w:cs="Arial"/>
          <w:szCs w:val="24"/>
          <w:shd w:val="clear" w:color="auto" w:fill="FFFFFF"/>
        </w:rPr>
      </w:pPr>
      <w:r w:rsidRPr="00B3573F">
        <w:t xml:space="preserve">We now will briefly address the issues raised </w:t>
      </w:r>
      <w:r w:rsidR="000D1F2C">
        <w:t>c</w:t>
      </w:r>
      <w:r w:rsidRPr="00B3573F">
        <w:t xml:space="preserve">oncerning § 2107, which grants the Commission authority to perform investigations and levy fines against the IOUs. </w:t>
      </w:r>
      <w:r w:rsidR="001B4B2F" w:rsidRPr="00B3573F">
        <w:t xml:space="preserve"> </w:t>
      </w:r>
      <w:r w:rsidRPr="00B3573F">
        <w:t>It is the intention of the Commission to use Phase I of this proceeding to establish systemwide</w:t>
      </w:r>
      <w:r w:rsidRPr="00FE7D20">
        <w:rPr>
          <w:rFonts w:cs="Arial"/>
          <w:szCs w:val="24"/>
        </w:rPr>
        <w:t xml:space="preserve"> industry standards that are aimed at addressing the potential risks and threats associated with a long-term outage at a distribution facility on a statewide basis</w:t>
      </w:r>
      <w:r w:rsidR="00DC7E47">
        <w:rPr>
          <w:rFonts w:cs="Arial"/>
          <w:szCs w:val="24"/>
        </w:rPr>
        <w:t>, and we are optimistic that the POUs, having participated extensively in the proceeding, will adhere to these standards</w:t>
      </w:r>
      <w:r>
        <w:rPr>
          <w:rFonts w:cs="Arial"/>
          <w:szCs w:val="24"/>
        </w:rPr>
        <w:t xml:space="preserve">.  </w:t>
      </w:r>
      <w:r w:rsidR="00DC7E47">
        <w:rPr>
          <w:rFonts w:cs="Arial"/>
          <w:szCs w:val="24"/>
        </w:rPr>
        <w:t>Th</w:t>
      </w:r>
      <w:r w:rsidR="003A06E2">
        <w:rPr>
          <w:rFonts w:cs="Arial"/>
          <w:szCs w:val="24"/>
        </w:rPr>
        <w:t>is</w:t>
      </w:r>
      <w:r w:rsidR="00DC7E47">
        <w:rPr>
          <w:rFonts w:cs="Arial"/>
          <w:szCs w:val="24"/>
        </w:rPr>
        <w:t xml:space="preserve"> proceeding</w:t>
      </w:r>
      <w:r>
        <w:rPr>
          <w:rFonts w:cs="Arial"/>
          <w:szCs w:val="24"/>
        </w:rPr>
        <w:t xml:space="preserve"> is not designed to expand Commission investigatory or penalty authority against the POUs</w:t>
      </w:r>
      <w:r w:rsidR="00C5439B">
        <w:rPr>
          <w:rFonts w:cs="Arial"/>
          <w:szCs w:val="24"/>
        </w:rPr>
        <w:t xml:space="preserve"> beyond what it already possesses</w:t>
      </w:r>
      <w:r>
        <w:rPr>
          <w:rFonts w:cs="Arial"/>
          <w:szCs w:val="24"/>
        </w:rPr>
        <w:t xml:space="preserve">.  </w:t>
      </w:r>
      <w:bookmarkEnd w:id="9"/>
    </w:p>
    <w:p w14:paraId="4AF7EBBC" w14:textId="77777777" w:rsidR="0097193B" w:rsidRPr="006751CD" w:rsidRDefault="00C65E79" w:rsidP="00527CEE">
      <w:pPr>
        <w:pStyle w:val="Heading2"/>
        <w:keepNext/>
        <w:keepLines/>
      </w:pPr>
      <w:bookmarkStart w:id="11" w:name="_Toc529357783"/>
      <w:r>
        <w:t xml:space="preserve">3.4.  </w:t>
      </w:r>
      <w:r w:rsidR="0097193B" w:rsidRPr="006751CD">
        <w:t>Phase II Jurisdiction</w:t>
      </w:r>
      <w:bookmarkEnd w:id="11"/>
    </w:p>
    <w:p w14:paraId="241B6417" w14:textId="77777777" w:rsidR="00F06679" w:rsidRDefault="0097193B" w:rsidP="00DA71A0">
      <w:pPr>
        <w:pStyle w:val="standard"/>
      </w:pPr>
      <w:r w:rsidRPr="006751CD">
        <w:t>The POUs assert that neither the Pub. Util. Code nor public policy supports the exercise of Commission jurisdiction over emergency and disaster preparedness planning for Phase 2</w:t>
      </w:r>
      <w:r>
        <w:t xml:space="preserve">.  </w:t>
      </w:r>
    </w:p>
    <w:p w14:paraId="49DB8332" w14:textId="00F5C137" w:rsidR="00F06679" w:rsidRDefault="0097193B" w:rsidP="00DA71A0">
      <w:pPr>
        <w:pStyle w:val="standard"/>
      </w:pPr>
      <w:r w:rsidRPr="006751CD">
        <w:t xml:space="preserve">As originally enacted, § 364(b) required the Commission to “adopt standards for operation, reliability, and safety during periods of emergency and disaster.” However, in D.98-03-036 and D.98-07-097, the Commission clarified that the emergency response rules could not be applied to POUs. </w:t>
      </w:r>
      <w:r w:rsidR="00F54AC7">
        <w:t xml:space="preserve"> </w:t>
      </w:r>
      <w:r>
        <w:t>The Commission</w:t>
      </w:r>
      <w:r w:rsidRPr="006751CD">
        <w:t xml:space="preserve"> conclude</w:t>
      </w:r>
      <w:r>
        <w:t>d</w:t>
      </w:r>
      <w:r w:rsidRPr="006751CD">
        <w:t xml:space="preserve"> that because §§ 8001-8057 do not relate to emergency and disaster preparedness, those </w:t>
      </w:r>
      <w:r>
        <w:t>provisions</w:t>
      </w:r>
      <w:r w:rsidRPr="006751CD">
        <w:t xml:space="preserve"> </w:t>
      </w:r>
      <w:r>
        <w:t xml:space="preserve">do </w:t>
      </w:r>
      <w:r w:rsidRPr="006751CD">
        <w:t xml:space="preserve">not support the exercise of Commission jurisdiction over POUs with respect to emergency and disaster preparedness.  </w:t>
      </w:r>
    </w:p>
    <w:p w14:paraId="054501E4" w14:textId="7C74F4AC" w:rsidR="0097193B" w:rsidRPr="0076312C" w:rsidRDefault="0097193B" w:rsidP="00DA71A0">
      <w:pPr>
        <w:pStyle w:val="standard"/>
      </w:pPr>
      <w:r w:rsidRPr="006751CD">
        <w:t>This conclusion is still sound, as § 768.</w:t>
      </w:r>
      <w:r>
        <w:t>6</w:t>
      </w:r>
      <w:r w:rsidRPr="006751CD">
        <w:t xml:space="preserve"> does not evince a Legislative intent to </w:t>
      </w:r>
      <w:r>
        <w:t xml:space="preserve">alter the status quo by </w:t>
      </w:r>
      <w:r w:rsidRPr="006751CD">
        <w:t>expand</w:t>
      </w:r>
      <w:r>
        <w:t>ing</w:t>
      </w:r>
      <w:r w:rsidRPr="006751CD">
        <w:t xml:space="preserve"> the Commission’s jurisdiction. </w:t>
      </w:r>
      <w:r w:rsidR="00F06679">
        <w:t xml:space="preserve">We therefore conclude that adherence to proposed Phase II rules concerning disaster and </w:t>
      </w:r>
      <w:r w:rsidR="00F06679">
        <w:lastRenderedPageBreak/>
        <w:t xml:space="preserve">emergency preparedness plans shall not be required of the POUs. Although not bound by Commission rules pertaining to disaster and emergency preparedness plans, the POUs are encouraged to participate in Phase II </w:t>
      </w:r>
      <w:r w:rsidR="00EF1D30">
        <w:t xml:space="preserve">of this </w:t>
      </w:r>
      <w:r w:rsidR="00F06679">
        <w:t xml:space="preserve">proceeding and to </w:t>
      </w:r>
      <w:r w:rsidR="00EF1D30">
        <w:t xml:space="preserve">adopt </w:t>
      </w:r>
      <w:r w:rsidR="00F06679">
        <w:t xml:space="preserve">resulting best practices to the extent they find them useful and appropriate. </w:t>
      </w:r>
      <w:r w:rsidRPr="006751CD">
        <w:t xml:space="preserve"> </w:t>
      </w:r>
      <w:r w:rsidR="00EF1D30">
        <w:t>C</w:t>
      </w:r>
      <w:r w:rsidRPr="006751CD">
        <w:t>onsistency on a statewide level as it relates to emergency and disaster preparedness plans</w:t>
      </w:r>
      <w:r w:rsidR="00F06679">
        <w:t xml:space="preserve"> is a desirable goal</w:t>
      </w:r>
      <w:r w:rsidR="00EF1D30">
        <w:t xml:space="preserve">. </w:t>
      </w:r>
      <w:r w:rsidR="00F06679">
        <w:t>POU participation will advance this aim</w:t>
      </w:r>
      <w:r w:rsidRPr="006751CD">
        <w:t>.</w:t>
      </w:r>
    </w:p>
    <w:p w14:paraId="43662A72" w14:textId="77777777" w:rsidR="0097193B" w:rsidRPr="006751CD" w:rsidRDefault="00277D1C" w:rsidP="00BC4631">
      <w:pPr>
        <w:pStyle w:val="Heading1"/>
        <w:keepNext/>
        <w:keepLines/>
      </w:pPr>
      <w:bookmarkStart w:id="12" w:name="_Toc529357784"/>
      <w:r>
        <w:t xml:space="preserve">4.  </w:t>
      </w:r>
      <w:r w:rsidR="0097193B" w:rsidRPr="006751CD">
        <w:t xml:space="preserve">The Joint </w:t>
      </w:r>
      <w:r w:rsidR="0097193B">
        <w:t xml:space="preserve">Utility </w:t>
      </w:r>
      <w:r w:rsidR="0097193B" w:rsidRPr="006751CD">
        <w:t>Proposal</w:t>
      </w:r>
      <w:bookmarkEnd w:id="12"/>
    </w:p>
    <w:p w14:paraId="41772E1B" w14:textId="40C056A7" w:rsidR="0097193B" w:rsidRPr="006751CD" w:rsidRDefault="0097193B" w:rsidP="00BC4631">
      <w:pPr>
        <w:pStyle w:val="standard"/>
        <w:keepNext/>
        <w:keepLines/>
      </w:pPr>
      <w:r w:rsidRPr="006751CD">
        <w:t xml:space="preserve">To meet the requirements of SB 699, SED RASA conducted a series of </w:t>
      </w:r>
      <w:r w:rsidR="0008501F">
        <w:t xml:space="preserve">four </w:t>
      </w:r>
      <w:r w:rsidRPr="006751CD">
        <w:t xml:space="preserve">physical security workshops from May to September 2017.  In connection with these </w:t>
      </w:r>
      <w:r w:rsidR="00F06679">
        <w:t xml:space="preserve">four </w:t>
      </w:r>
      <w:r w:rsidRPr="006751CD">
        <w:t>workshops, a technical work</w:t>
      </w:r>
      <w:r>
        <w:t>ing</w:t>
      </w:r>
      <w:r w:rsidRPr="006751CD">
        <w:t xml:space="preserve"> group was formed by the parties </w:t>
      </w:r>
      <w:r>
        <w:t xml:space="preserve">which </w:t>
      </w:r>
      <w:r w:rsidRPr="006751CD">
        <w:t>submitted the Joint Utility Proposal to provide guidance for compliance with §</w:t>
      </w:r>
      <w:r w:rsidR="00933035">
        <w:t> </w:t>
      </w:r>
      <w:r w:rsidRPr="006751CD">
        <w:t xml:space="preserve">364.  </w:t>
      </w:r>
    </w:p>
    <w:p w14:paraId="1430A1B8" w14:textId="77777777" w:rsidR="0097193B" w:rsidRPr="006751CD" w:rsidRDefault="0097193B" w:rsidP="00891069">
      <w:pPr>
        <w:pStyle w:val="standard"/>
      </w:pPr>
      <w:r w:rsidRPr="006751CD">
        <w:t>The Joint Proposal describes how a utility should establish a Distribution Substation and Distribution Control Center Security Program (Distribution Security Program).</w:t>
      </w:r>
      <w:r w:rsidRPr="006751CD">
        <w:rPr>
          <w:rStyle w:val="FootnoteReference"/>
        </w:rPr>
        <w:footnoteReference w:id="48"/>
      </w:r>
      <w:r w:rsidRPr="006751CD">
        <w:t xml:space="preserve">  The Distribution Security Program consists of the following:  1) Identification of distribution facilities, 2) Assessment of physical security risk on distribution facilities, 3) Development and implementation of security plans, 4) </w:t>
      </w:r>
      <w:r>
        <w:t>V</w:t>
      </w:r>
      <w:r w:rsidRPr="006751CD">
        <w:t>erification, 5) Record keeping, 6) Timelines and 7) Cost reco</w:t>
      </w:r>
      <w:r>
        <w:t>v</w:t>
      </w:r>
      <w:r w:rsidRPr="006751CD">
        <w:t xml:space="preserve">ery.  </w:t>
      </w:r>
    </w:p>
    <w:p w14:paraId="28B8D681" w14:textId="6C5052AC" w:rsidR="0097193B" w:rsidRPr="006751CD" w:rsidRDefault="0097193B" w:rsidP="00CF202A">
      <w:pPr>
        <w:spacing w:line="360" w:lineRule="auto"/>
        <w:ind w:firstLine="720"/>
      </w:pPr>
      <w:r>
        <w:t xml:space="preserve">The following is a </w:t>
      </w:r>
      <w:r w:rsidRPr="006751CD">
        <w:t xml:space="preserve">summary of the </w:t>
      </w:r>
      <w:r>
        <w:t>utility working group’s</w:t>
      </w:r>
      <w:r w:rsidRPr="006751CD">
        <w:t xml:space="preserve"> Joint Proposal</w:t>
      </w:r>
      <w:r>
        <w:t>:</w:t>
      </w:r>
    </w:p>
    <w:p w14:paraId="5609D15A" w14:textId="77777777" w:rsidR="0097193B" w:rsidRPr="00891069" w:rsidRDefault="0097193B" w:rsidP="00891069">
      <w:pPr>
        <w:pStyle w:val="Heading2"/>
      </w:pPr>
      <w:bookmarkStart w:id="13" w:name="_Toc529357785"/>
      <w:r w:rsidRPr="00891069">
        <w:lastRenderedPageBreak/>
        <w:t>4.1</w:t>
      </w:r>
      <w:r w:rsidR="00891069">
        <w:t xml:space="preserve">. </w:t>
      </w:r>
      <w:r w:rsidRPr="00891069">
        <w:t xml:space="preserve"> Identification</w:t>
      </w:r>
      <w:bookmarkEnd w:id="13"/>
    </w:p>
    <w:p w14:paraId="51B15644" w14:textId="77777777" w:rsidR="0097193B" w:rsidRPr="006751CD" w:rsidRDefault="0097193B" w:rsidP="00144855">
      <w:pPr>
        <w:pStyle w:val="standard"/>
      </w:pPr>
      <w:r w:rsidRPr="006751CD">
        <w:t xml:space="preserve">In accordance with the general direction of SB 699, the </w:t>
      </w:r>
      <w:r>
        <w:t xml:space="preserve">intent of the </w:t>
      </w:r>
      <w:r w:rsidRPr="006751CD">
        <w:t>Joint Utility Proposal</w:t>
      </w:r>
      <w:r>
        <w:t xml:space="preserve"> is</w:t>
      </w:r>
      <w:r w:rsidRPr="006751CD">
        <w:t xml:space="preserve"> to implement a risk management approach towards distribution system physical security, with appropriate consideration for resiliency, impact and cost.  The Joint Utility Proposal sets forth a set of general principles that derive from information described and evaluated during the workshops.  These principles note the following:</w:t>
      </w:r>
    </w:p>
    <w:p w14:paraId="1B47501D" w14:textId="77777777" w:rsidR="0097193B" w:rsidRPr="009E077D" w:rsidRDefault="0097193B" w:rsidP="00144855">
      <w:pPr>
        <w:pStyle w:val="ListParagraph"/>
        <w:numPr>
          <w:ilvl w:val="0"/>
          <w:numId w:val="25"/>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systems are not subject to the same physical security risks and associated consequences, including threats of physical attack by terrorists, as the transmission system.</w:t>
      </w:r>
    </w:p>
    <w:p w14:paraId="19D9211C" w14:textId="77777777" w:rsidR="0097193B" w:rsidRPr="009E077D" w:rsidRDefault="0097193B" w:rsidP="000B1761">
      <w:pPr>
        <w:pStyle w:val="ListParagraph"/>
        <w:numPr>
          <w:ilvl w:val="0"/>
          <w:numId w:val="25"/>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utilities will not be able to eliminate the risk of a physical attack occurring, but certain actions can be taken to reduce the risk or consequences, or both, of a significant attack.</w:t>
      </w:r>
    </w:p>
    <w:p w14:paraId="39D7E7F8" w14:textId="77777777" w:rsidR="0097193B" w:rsidRPr="005C404A" w:rsidRDefault="0097193B" w:rsidP="000B1761">
      <w:pPr>
        <w:pStyle w:val="ListParagraph"/>
        <w:numPr>
          <w:ilvl w:val="0"/>
          <w:numId w:val="25"/>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A one-size-fits-all standard or rule will not work. Distribution utilities should have the flexibility to address physical security risks in a manner that works best for their systems and unique situations, consistent with a risk management approach.</w:t>
      </w:r>
    </w:p>
    <w:p w14:paraId="2AEAE2CC" w14:textId="77777777" w:rsidR="0097193B" w:rsidRPr="005C404A" w:rsidRDefault="0097193B" w:rsidP="000B1761">
      <w:pPr>
        <w:pStyle w:val="ListParagraph"/>
        <w:numPr>
          <w:ilvl w:val="0"/>
          <w:numId w:val="25"/>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Protecting the distribution system should consider both physical security protection and operational resiliency or redundancy.</w:t>
      </w:r>
    </w:p>
    <w:p w14:paraId="100B6D73" w14:textId="77777777" w:rsidR="0097193B" w:rsidRPr="005C404A" w:rsidRDefault="0097193B" w:rsidP="000B1761">
      <w:pPr>
        <w:pStyle w:val="ListParagraph"/>
        <w:numPr>
          <w:ilvl w:val="0"/>
          <w:numId w:val="25"/>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The focus should not be on all Distribution Facilities, but only those that risk dictates would require additional measures.</w:t>
      </w:r>
    </w:p>
    <w:p w14:paraId="2172973E" w14:textId="77777777" w:rsidR="0097193B" w:rsidRPr="005C404A" w:rsidRDefault="0097193B" w:rsidP="000B1761">
      <w:pPr>
        <w:pStyle w:val="ListParagraph"/>
        <w:numPr>
          <w:ilvl w:val="0"/>
          <w:numId w:val="25"/>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Planning and coordination with the appropriate federal and state regulatory and law enforcement authorities will help prepare for attacks on the electrical distribution system and thereby help reduce or mitigate the potential consequences of such attacks.</w:t>
      </w:r>
    </w:p>
    <w:p w14:paraId="4420DD6C" w14:textId="77777777" w:rsidR="0097193B" w:rsidRPr="006751CD" w:rsidRDefault="0097193B" w:rsidP="000B1761">
      <w:pPr>
        <w:pStyle w:val="standard"/>
      </w:pPr>
      <w:r w:rsidRPr="006751CD">
        <w:lastRenderedPageBreak/>
        <w:t>Consistent with these general principles, the Joint Utility Proposal suggests various criteria to provide Operators</w:t>
      </w:r>
      <w:r w:rsidRPr="006751CD">
        <w:rPr>
          <w:rStyle w:val="FootnoteReference"/>
          <w:rFonts w:cs="TimesNewRomanPSMT"/>
          <w:color w:val="000000"/>
          <w:szCs w:val="24"/>
        </w:rPr>
        <w:footnoteReference w:id="49"/>
      </w:r>
      <w:r w:rsidRPr="006751CD">
        <w:t xml:space="preserve"> with guidance needed to identify Distribution Facilities</w:t>
      </w:r>
      <w:r w:rsidRPr="006751CD">
        <w:rPr>
          <w:rStyle w:val="FootnoteReference"/>
          <w:rFonts w:cs="TimesNewRomanPSMT"/>
          <w:color w:val="000000"/>
          <w:szCs w:val="24"/>
        </w:rPr>
        <w:footnoteReference w:id="50"/>
      </w:r>
      <w:r w:rsidRPr="006751CD">
        <w:t xml:space="preserve"> requiring further assessment.  </w:t>
      </w:r>
    </w:p>
    <w:p w14:paraId="3BDB3F0B" w14:textId="77777777" w:rsidR="0097193B" w:rsidRPr="006751CD" w:rsidRDefault="0097193B" w:rsidP="000B1761">
      <w:pPr>
        <w:pStyle w:val="standard"/>
      </w:pPr>
      <w:r w:rsidRPr="006751CD">
        <w:t>Specifically, the Joint Utility Proposal sets forth the following</w:t>
      </w:r>
      <w:r>
        <w:t xml:space="preserve"> as facilities requiring such assessments</w:t>
      </w:r>
      <w:r w:rsidRPr="006751CD">
        <w:t>:</w:t>
      </w:r>
    </w:p>
    <w:p w14:paraId="650E556C" w14:textId="77777777" w:rsidR="0097193B" w:rsidRPr="005C404A" w:rsidRDefault="0097193B" w:rsidP="000B1761">
      <w:pPr>
        <w:pStyle w:val="ListParagraph"/>
        <w:numPr>
          <w:ilvl w:val="0"/>
          <w:numId w:val="29"/>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Facility necessary for crank path, black start or capability essential to the restoration of regional electricity service that are not subject to the California Independent System Operator’s (CAISO) operational control and/or subject to North American Electric Reliability Corporation (NERC) Reliability Standard CIP-014-2 or its successors;</w:t>
      </w:r>
    </w:p>
    <w:p w14:paraId="71EFF490" w14:textId="77777777" w:rsidR="0097193B" w:rsidRPr="005C404A" w:rsidRDefault="0097193B" w:rsidP="006F5CA8">
      <w:pPr>
        <w:pStyle w:val="ListParagraph"/>
        <w:numPr>
          <w:ilvl w:val="0"/>
          <w:numId w:val="29"/>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Facility that is the primary source of electrical service to a military installation essential to national security and/or emergency response services (may include certain air fields, command centers, weapons stations, emergency supply depots);</w:t>
      </w:r>
    </w:p>
    <w:p w14:paraId="1D861A79" w14:textId="77777777" w:rsidR="0097193B" w:rsidRPr="005C404A" w:rsidRDefault="0097193B" w:rsidP="006F5CA8">
      <w:pPr>
        <w:pStyle w:val="ListParagraph"/>
        <w:numPr>
          <w:ilvl w:val="0"/>
          <w:numId w:val="29"/>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Facility that serves installations necessary for the provision of regional drinking water supplies and wastewater services (may include certain aqueducts, well fields, groundwater pumps, and treatment plants);</w:t>
      </w:r>
    </w:p>
    <w:p w14:paraId="3CB245A3" w14:textId="77777777" w:rsidR="0097193B" w:rsidRPr="005C404A" w:rsidRDefault="0097193B" w:rsidP="006F5CA8">
      <w:pPr>
        <w:pStyle w:val="ListParagraph"/>
        <w:numPr>
          <w:ilvl w:val="0"/>
          <w:numId w:val="29"/>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Facility that serves a regional public safety establishment (may include County Emergency Operations Centers; county sheriff’s department and major city police department headquarters; major state and county fire service headquarters; county jails and state and federal prisons; and 911 dispatch centers);</w:t>
      </w:r>
    </w:p>
    <w:p w14:paraId="1E26421A" w14:textId="77777777" w:rsidR="0097193B" w:rsidRPr="005C404A" w:rsidRDefault="0097193B" w:rsidP="006F5CA8">
      <w:pPr>
        <w:pStyle w:val="ListParagraph"/>
        <w:numPr>
          <w:ilvl w:val="0"/>
          <w:numId w:val="29"/>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 xml:space="preserve">Distribution Facility that serves a major transportation facility (may include International Airport, Mega Seaport, </w:t>
      </w:r>
      <w:r w:rsidRPr="005C404A">
        <w:rPr>
          <w:rFonts w:cs="TimesNewRomanPSMT"/>
          <w:color w:val="000000"/>
          <w:szCs w:val="24"/>
        </w:rPr>
        <w:lastRenderedPageBreak/>
        <w:t>other air traffic control center, and international border crossing);</w:t>
      </w:r>
    </w:p>
    <w:p w14:paraId="3CC2A8A7" w14:textId="77777777" w:rsidR="0097193B" w:rsidRDefault="0097193B" w:rsidP="006F5CA8">
      <w:pPr>
        <w:pStyle w:val="ListParagraph"/>
        <w:numPr>
          <w:ilvl w:val="0"/>
          <w:numId w:val="29"/>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 xml:space="preserve">Distribution Facility that serves as a Level 1 Trauma Center as designated by the Office of Statewide Health Planning and Development; </w:t>
      </w:r>
      <w:r w:rsidR="006F5CA8">
        <w:rPr>
          <w:rFonts w:cs="TimesNewRomanPSMT"/>
          <w:color w:val="000000"/>
          <w:szCs w:val="24"/>
        </w:rPr>
        <w:t>and</w:t>
      </w:r>
    </w:p>
    <w:p w14:paraId="12CCD3E8" w14:textId="77777777" w:rsidR="0097193B" w:rsidRPr="0051102F" w:rsidRDefault="0097193B" w:rsidP="006F5CA8">
      <w:pPr>
        <w:pStyle w:val="ListParagraph"/>
        <w:numPr>
          <w:ilvl w:val="0"/>
          <w:numId w:val="29"/>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Facility that serves over 60,000 meters</w:t>
      </w:r>
      <w:r w:rsidRPr="0051102F">
        <w:rPr>
          <w:rFonts w:cs="TimesNewRomanPSMT"/>
          <w:color w:val="000000"/>
          <w:szCs w:val="24"/>
        </w:rPr>
        <w:t>.</w:t>
      </w:r>
    </w:p>
    <w:p w14:paraId="56EA1876" w14:textId="77777777" w:rsidR="0097193B" w:rsidRPr="006751CD" w:rsidRDefault="0097193B" w:rsidP="00CE4B57">
      <w:pPr>
        <w:pStyle w:val="Heading2"/>
        <w:keepNext/>
        <w:keepLines/>
      </w:pPr>
      <w:bookmarkStart w:id="14" w:name="_Toc529357786"/>
      <w:r>
        <w:t>4.2</w:t>
      </w:r>
      <w:r w:rsidR="00D5537C">
        <w:t>.</w:t>
      </w:r>
      <w:r w:rsidR="0023788A">
        <w:t xml:space="preserve"> </w:t>
      </w:r>
      <w:r>
        <w:t xml:space="preserve"> </w:t>
      </w:r>
      <w:r w:rsidRPr="006751CD">
        <w:t>Assessment</w:t>
      </w:r>
      <w:bookmarkEnd w:id="14"/>
    </w:p>
    <w:p w14:paraId="6DB95502" w14:textId="77777777" w:rsidR="0097193B" w:rsidRPr="006751CD" w:rsidRDefault="0097193B" w:rsidP="00CE4B57">
      <w:pPr>
        <w:pStyle w:val="standard"/>
      </w:pPr>
      <w:r w:rsidRPr="006751CD">
        <w:t xml:space="preserve">After the Operator has identified </w:t>
      </w:r>
      <w:r>
        <w:t>any</w:t>
      </w:r>
      <w:r w:rsidRPr="006751CD">
        <w:t xml:space="preserve"> Distribution Facilit</w:t>
      </w:r>
      <w:r>
        <w:t>y</w:t>
      </w:r>
      <w:r w:rsidRPr="006751CD">
        <w:t xml:space="preserve"> requir</w:t>
      </w:r>
      <w:r>
        <w:t>ing</w:t>
      </w:r>
      <w:r w:rsidRPr="006751CD">
        <w:t xml:space="preserve"> additional assessment</w:t>
      </w:r>
      <w:r>
        <w:t xml:space="preserve"> (“</w:t>
      </w:r>
      <w:r w:rsidRPr="006751CD">
        <w:t>Covered</w:t>
      </w:r>
      <w:r w:rsidRPr="006751CD">
        <w:rPr>
          <w:rStyle w:val="FootnoteReference"/>
        </w:rPr>
        <w:footnoteReference w:id="51"/>
      </w:r>
      <w:r w:rsidRPr="006751CD">
        <w:t xml:space="preserve"> Distribution Facility</w:t>
      </w:r>
      <w:r>
        <w:t>”)</w:t>
      </w:r>
      <w:r w:rsidRPr="006751CD">
        <w:t>, the operator will conduct an evaluation of the potential risks associated with a successful physical attack on such</w:t>
      </w:r>
      <w:r>
        <w:t xml:space="preserve"> a facility or f</w:t>
      </w:r>
      <w:r w:rsidRPr="006751CD">
        <w:t xml:space="preserve">acilities and whether existing grid resiliency, requirements for customer-owned back-up generation and/or physical security measures appropriately mitigate </w:t>
      </w:r>
      <w:r>
        <w:t>identified</w:t>
      </w:r>
      <w:r w:rsidRPr="006751CD">
        <w:t xml:space="preserve"> risks.  In doing so, the Operator may consider the following:</w:t>
      </w:r>
    </w:p>
    <w:p w14:paraId="79FF2E60" w14:textId="77777777" w:rsidR="0097193B" w:rsidRPr="006751CD" w:rsidRDefault="0097193B" w:rsidP="00CE4B57">
      <w:pPr>
        <w:pStyle w:val="ListParagraph"/>
        <w:numPr>
          <w:ilvl w:val="0"/>
          <w:numId w:val="13"/>
        </w:numPr>
        <w:spacing w:after="120"/>
        <w:ind w:left="1080" w:right="1440"/>
        <w:contextualSpacing w:val="0"/>
        <w:rPr>
          <w:rFonts w:cs="TimesNewRomanPSMT"/>
          <w:color w:val="000000"/>
          <w:szCs w:val="24"/>
        </w:rPr>
      </w:pPr>
      <w:r w:rsidRPr="006751CD">
        <w:rPr>
          <w:rFonts w:cs="TimesNewRomanPSMT"/>
          <w:color w:val="000000"/>
          <w:szCs w:val="24"/>
        </w:rPr>
        <w:t>The existing system resiliency and/or redundancy solutions (</w:t>
      </w:r>
      <w:r w:rsidRPr="00E86179">
        <w:rPr>
          <w:rFonts w:cs="TimesNewRomanPSMT"/>
          <w:i/>
          <w:color w:val="000000"/>
          <w:szCs w:val="24"/>
        </w:rPr>
        <w:t>e.g.,</w:t>
      </w:r>
      <w:r w:rsidRPr="006751CD">
        <w:rPr>
          <w:rFonts w:cs="TimesNewRomanPSMT"/>
          <w:color w:val="000000"/>
          <w:szCs w:val="24"/>
        </w:rPr>
        <w:t xml:space="preserve"> switching the load to another substation or circuit capable of serving the load, temporary circuit ties, mobile generation and/or storage solutions);</w:t>
      </w:r>
    </w:p>
    <w:p w14:paraId="4DA3146E" w14:textId="77777777" w:rsidR="0097193B" w:rsidRPr="006751CD" w:rsidRDefault="0097193B" w:rsidP="00CE4B57">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6751CD">
        <w:rPr>
          <w:rFonts w:cs="TimesNewRomanPSMT"/>
          <w:color w:val="000000"/>
          <w:szCs w:val="24"/>
        </w:rPr>
        <w:t>The availability of spare assets to restore a particular load;</w:t>
      </w:r>
    </w:p>
    <w:p w14:paraId="0453AE09" w14:textId="77777777" w:rsidR="0097193B" w:rsidRPr="006751CD" w:rsidRDefault="0097193B" w:rsidP="00CE4B57">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6751CD">
        <w:rPr>
          <w:rFonts w:cs="TimesNewRomanPSMT"/>
          <w:color w:val="000000"/>
          <w:szCs w:val="24"/>
        </w:rPr>
        <w:t>The existing physical security protections to reasonably address the risk;</w:t>
      </w:r>
    </w:p>
    <w:p w14:paraId="19483C3B" w14:textId="77777777" w:rsidR="0097193B" w:rsidRPr="006751CD" w:rsidRDefault="0097193B" w:rsidP="00CE4B57">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6751CD">
        <w:rPr>
          <w:rFonts w:cs="TimesNewRomanPSMT"/>
          <w:color w:val="000000"/>
          <w:szCs w:val="24"/>
        </w:rPr>
        <w:t>The potential for emergency responders to identify and respond to an attack in a timely manner;</w:t>
      </w:r>
    </w:p>
    <w:p w14:paraId="033B5650" w14:textId="77777777" w:rsidR="0097193B" w:rsidRPr="006751CD" w:rsidRDefault="0097193B" w:rsidP="00CE4B57">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6751CD">
        <w:rPr>
          <w:rFonts w:cs="TimesNewRomanPSMT"/>
          <w:color w:val="000000"/>
          <w:szCs w:val="24"/>
        </w:rPr>
        <w:t>Location and physical surroundings, including proximity to gas pipelines and geographical challenges, and impacts of weather;</w:t>
      </w:r>
    </w:p>
    <w:p w14:paraId="166AFB5B" w14:textId="77777777" w:rsidR="0097193B" w:rsidRPr="006751CD" w:rsidRDefault="0097193B" w:rsidP="00CE4B57">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6751CD">
        <w:rPr>
          <w:rFonts w:cs="TimesNewRomanPSMT"/>
          <w:color w:val="000000"/>
          <w:szCs w:val="24"/>
        </w:rPr>
        <w:lastRenderedPageBreak/>
        <w:t>History of criminal activity at the Distribution Facility and in the area;</w:t>
      </w:r>
    </w:p>
    <w:p w14:paraId="21397FB2" w14:textId="77777777" w:rsidR="0097193B" w:rsidRPr="006751CD" w:rsidRDefault="0097193B" w:rsidP="00CE4B57">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6751CD">
        <w:rPr>
          <w:rFonts w:cs="TimesNewRomanPSMT"/>
          <w:color w:val="000000"/>
          <w:szCs w:val="24"/>
        </w:rPr>
        <w:t>The availability of other sources of energy to serve the load (</w:t>
      </w:r>
      <w:r w:rsidRPr="00E86179">
        <w:rPr>
          <w:rFonts w:cs="TimesNewRomanPSMT"/>
          <w:i/>
          <w:color w:val="000000"/>
          <w:szCs w:val="24"/>
        </w:rPr>
        <w:t>e.g</w:t>
      </w:r>
      <w:r w:rsidRPr="006751CD">
        <w:rPr>
          <w:rFonts w:cs="TimesNewRomanPSMT"/>
          <w:color w:val="000000"/>
          <w:szCs w:val="24"/>
        </w:rPr>
        <w:t>., customer owned back-up generation or storage solutions);</w:t>
      </w:r>
    </w:p>
    <w:p w14:paraId="35E48B88" w14:textId="77777777" w:rsidR="000D1F2C" w:rsidRDefault="0097193B" w:rsidP="000D1F2C">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6751CD">
        <w:rPr>
          <w:rFonts w:cs="TimesNewRomanPSMT"/>
          <w:color w:val="000000"/>
          <w:szCs w:val="24"/>
        </w:rPr>
        <w:t>The availability of alternative ways to meet the health, safety, or security</w:t>
      </w:r>
      <w:r w:rsidR="00E86179">
        <w:rPr>
          <w:rFonts w:cs="TimesNewRomanPSMT"/>
          <w:color w:val="000000"/>
          <w:szCs w:val="24"/>
        </w:rPr>
        <w:t>; and</w:t>
      </w:r>
    </w:p>
    <w:p w14:paraId="1BC9BF45" w14:textId="77777777" w:rsidR="0097193B" w:rsidRPr="000D1F2C" w:rsidRDefault="0097193B" w:rsidP="000D1F2C">
      <w:pPr>
        <w:pStyle w:val="ListParagraph"/>
        <w:numPr>
          <w:ilvl w:val="0"/>
          <w:numId w:val="13"/>
        </w:numPr>
        <w:autoSpaceDE w:val="0"/>
        <w:autoSpaceDN w:val="0"/>
        <w:adjustRightInd w:val="0"/>
        <w:spacing w:after="120"/>
        <w:ind w:left="1080" w:right="1440"/>
        <w:contextualSpacing w:val="0"/>
        <w:rPr>
          <w:rFonts w:cs="TimesNewRomanPSMT"/>
          <w:color w:val="000000"/>
          <w:szCs w:val="24"/>
        </w:rPr>
      </w:pPr>
      <w:r w:rsidRPr="000D1F2C">
        <w:rPr>
          <w:rFonts w:cs="TimesNewRomanPSMT"/>
          <w:color w:val="000000"/>
          <w:szCs w:val="24"/>
        </w:rPr>
        <w:t>requirements served by the load (</w:t>
      </w:r>
      <w:r w:rsidRPr="000D1F2C">
        <w:rPr>
          <w:rFonts w:cs="TimesNewRomanPSMT"/>
          <w:i/>
          <w:color w:val="000000"/>
          <w:szCs w:val="24"/>
        </w:rPr>
        <w:t>e.g</w:t>
      </w:r>
      <w:r w:rsidRPr="000D1F2C">
        <w:rPr>
          <w:rFonts w:cs="TimesNewRomanPSMT"/>
          <w:color w:val="000000"/>
          <w:szCs w:val="24"/>
        </w:rPr>
        <w:t>., back up command center or water storage facility).</w:t>
      </w:r>
    </w:p>
    <w:p w14:paraId="25BB6BE5" w14:textId="77777777" w:rsidR="0097193B" w:rsidRPr="009E077D" w:rsidRDefault="0097193B" w:rsidP="00EA1F84">
      <w:pPr>
        <w:pStyle w:val="Heading2"/>
      </w:pPr>
      <w:bookmarkStart w:id="15" w:name="_Toc529357787"/>
      <w:r>
        <w:t>4.3</w:t>
      </w:r>
      <w:r w:rsidR="00B31E65">
        <w:t xml:space="preserve">. </w:t>
      </w:r>
      <w:r>
        <w:t xml:space="preserve"> </w:t>
      </w:r>
      <w:r w:rsidRPr="009E077D">
        <w:t>Mitigation Plan</w:t>
      </w:r>
      <w:bookmarkEnd w:id="15"/>
    </w:p>
    <w:p w14:paraId="22270204" w14:textId="77777777" w:rsidR="0097193B" w:rsidRPr="006751CD" w:rsidRDefault="0097193B" w:rsidP="005B297A">
      <w:pPr>
        <w:pStyle w:val="standard"/>
      </w:pPr>
      <w:r w:rsidRPr="006751CD">
        <w:t>In order to address the risk of a long-term outage to a Covered Distribution Facility due to a physical attack, each Operator will develop and implement a Mitigation Plan</w:t>
      </w:r>
      <w:r w:rsidRPr="006751CD">
        <w:rPr>
          <w:rStyle w:val="FootnoteReference"/>
        </w:rPr>
        <w:footnoteReference w:id="52"/>
      </w:r>
      <w:r w:rsidRPr="006751CD">
        <w:t xml:space="preserve">.  The Operator should have discretion to select the specific security measures that </w:t>
      </w:r>
      <w:r>
        <w:t>are</w:t>
      </w:r>
      <w:r w:rsidRPr="006751CD">
        <w:t xml:space="preserve"> most appropriate for the Covered Distribution Facility.  The Mitigation Plan will include consideration of the costs associated with any physical security improvements.  In developing the Mitigation Plans, the Operator may also consider local geography and weather, engineering judgment and its own experience.</w:t>
      </w:r>
    </w:p>
    <w:p w14:paraId="4D85146A" w14:textId="77777777" w:rsidR="0097193B" w:rsidRPr="006751CD" w:rsidRDefault="0097193B" w:rsidP="00254A32">
      <w:pPr>
        <w:pStyle w:val="standard"/>
      </w:pPr>
      <w:r w:rsidRPr="006751CD">
        <w:t>In developing Mitigation Plans, Operators may use risk-based performance standards to identify the means by which a Covered Distribution Facility’s security can be upgraded (</w:t>
      </w:r>
      <w:r w:rsidRPr="00C64B5A">
        <w:rPr>
          <w:i/>
        </w:rPr>
        <w:t>e.g.,</w:t>
      </w:r>
      <w:r w:rsidRPr="006751CD">
        <w:t xml:space="preserve"> perimeter security, improved monitoring) and its resiliency improved (</w:t>
      </w:r>
      <w:r w:rsidRPr="00C64B5A">
        <w:rPr>
          <w:i/>
        </w:rPr>
        <w:t>e.g.,</w:t>
      </w:r>
      <w:r w:rsidRPr="006751CD">
        <w:t xml:space="preserve"> timely access to spare equipment, the ability to serve in whole or in part from another facility or circuit, back-up generation or storage). </w:t>
      </w:r>
      <w:r w:rsidR="00C64B5A">
        <w:t xml:space="preserve"> </w:t>
      </w:r>
      <w:r w:rsidRPr="006751CD">
        <w:t xml:space="preserve">A performance standard specifies the outcome required </w:t>
      </w:r>
      <w:r w:rsidRPr="006751CD">
        <w:lastRenderedPageBreak/>
        <w:t>but leaves the specific measures to achieve that outcome up to the discretion of the Operato</w:t>
      </w:r>
      <w:r>
        <w:t xml:space="preserve">r.  </w:t>
      </w:r>
      <w:r w:rsidR="007A2FFA">
        <w:t>The goal</w:t>
      </w:r>
      <w:r w:rsidRPr="006751CD">
        <w:t xml:space="preserve"> in this case is to reduce the risk and/or consequences of a successful physical attack on a Covered Distribution Facility and provide a variety of solutions to mitigate the risk and/or consequences and achieve the goal.</w:t>
      </w:r>
    </w:p>
    <w:p w14:paraId="056D12DC" w14:textId="77777777" w:rsidR="0097193B" w:rsidRDefault="0097193B" w:rsidP="00254A32">
      <w:pPr>
        <w:pStyle w:val="standard"/>
        <w:rPr>
          <w:rFonts w:cs="TimesNewRomanPSMT"/>
          <w:color w:val="000000"/>
          <w:szCs w:val="24"/>
        </w:rPr>
      </w:pPr>
      <w:r w:rsidRPr="006751CD">
        <w:rPr>
          <w:rFonts w:cs="TimesNewRomanPSMT"/>
          <w:color w:val="000000"/>
          <w:szCs w:val="24"/>
        </w:rPr>
        <w:t>Examples of potential resiliency and security solutions that could be deployed to address identified risks and are not meant to be binding or definitive or to be required for any particular Distribution Facility include, but are not limited to:</w:t>
      </w:r>
    </w:p>
    <w:p w14:paraId="4479280F" w14:textId="77777777" w:rsidR="0097193B" w:rsidRPr="006751CD" w:rsidRDefault="0097193B" w:rsidP="00254A32">
      <w:pPr>
        <w:pStyle w:val="standard"/>
      </w:pPr>
      <w:r w:rsidRPr="006751CD">
        <w:t xml:space="preserve">Examples of Potential </w:t>
      </w:r>
      <w:r>
        <w:t xml:space="preserve">Resiliency </w:t>
      </w:r>
      <w:r w:rsidRPr="006751CD">
        <w:t>Solutions:</w:t>
      </w:r>
    </w:p>
    <w:p w14:paraId="7702B2BE" w14:textId="77777777" w:rsidR="0097193B" w:rsidRPr="005C404A" w:rsidRDefault="0097193B" w:rsidP="00254A32">
      <w:pPr>
        <w:pStyle w:val="ListParagraph"/>
        <w:numPr>
          <w:ilvl w:val="1"/>
          <w:numId w:val="33"/>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Strategically Located Spares – Strategically locate spare equipment to facilitate the repair of a Covered Distribution Facility;</w:t>
      </w:r>
    </w:p>
    <w:p w14:paraId="3D90276C" w14:textId="77777777" w:rsidR="0097193B" w:rsidRPr="005C404A" w:rsidRDefault="0097193B" w:rsidP="00254A32">
      <w:pPr>
        <w:pStyle w:val="ListParagraph"/>
        <w:numPr>
          <w:ilvl w:val="1"/>
          <w:numId w:val="33"/>
        </w:numPr>
        <w:autoSpaceDE w:val="0"/>
        <w:autoSpaceDN w:val="0"/>
        <w:adjustRightInd w:val="0"/>
        <w:spacing w:after="120"/>
        <w:ind w:left="1080" w:right="1440"/>
        <w:contextualSpacing w:val="0"/>
        <w:rPr>
          <w:rFonts w:cs="TimesNewRomanPSMT"/>
          <w:color w:val="000000"/>
          <w:szCs w:val="24"/>
        </w:rPr>
      </w:pPr>
      <w:r w:rsidRPr="005C404A">
        <w:rPr>
          <w:rFonts w:cs="TimesNewRomanPSMT"/>
          <w:color w:val="000000"/>
          <w:szCs w:val="24"/>
        </w:rPr>
        <w:t>Distribution Resiliency Upgrades – Adding circuit ties or other facilities to enhance the ability to switch around damaged facilities to facilitate the repair and restoration of service;</w:t>
      </w:r>
    </w:p>
    <w:p w14:paraId="5E453293" w14:textId="77777777" w:rsidR="0097193B" w:rsidRPr="000B5FF8" w:rsidRDefault="0097193B" w:rsidP="00254A32">
      <w:pPr>
        <w:pStyle w:val="ListParagraph"/>
        <w:numPr>
          <w:ilvl w:val="1"/>
          <w:numId w:val="33"/>
        </w:numPr>
        <w:autoSpaceDE w:val="0"/>
        <w:autoSpaceDN w:val="0"/>
        <w:adjustRightInd w:val="0"/>
        <w:spacing w:after="120"/>
        <w:ind w:left="1080" w:right="1440"/>
        <w:contextualSpacing w:val="0"/>
        <w:rPr>
          <w:rFonts w:cs="TimesNewRomanPSMT"/>
          <w:szCs w:val="24"/>
        </w:rPr>
      </w:pPr>
      <w:r w:rsidRPr="000B5FF8">
        <w:rPr>
          <w:rFonts w:cs="TimesNewRomanPSMT"/>
          <w:szCs w:val="24"/>
        </w:rPr>
        <w:t>Enhanced Resiliency Response – Develop response strategies for temporarily</w:t>
      </w:r>
      <w:r w:rsidRPr="000B5FF8">
        <w:rPr>
          <w:rFonts w:cs="TimesNewRomanPSMT"/>
          <w:color w:val="000000"/>
          <w:szCs w:val="24"/>
        </w:rPr>
        <w:t xml:space="preserve"> </w:t>
      </w:r>
      <w:r w:rsidRPr="000B5FF8">
        <w:rPr>
          <w:rFonts w:cs="TimesNewRomanPSMT"/>
          <w:szCs w:val="24"/>
        </w:rPr>
        <w:t>restoring service (e.g., mobile generation/storage, jumper from an adjacent</w:t>
      </w:r>
      <w:r w:rsidRPr="000B5FF8">
        <w:rPr>
          <w:rFonts w:cs="TimesNewRomanPSMT"/>
          <w:color w:val="000000"/>
          <w:szCs w:val="24"/>
        </w:rPr>
        <w:t xml:space="preserve"> </w:t>
      </w:r>
      <w:r w:rsidRPr="000B5FF8">
        <w:rPr>
          <w:rFonts w:cs="TimesNewRomanPSMT"/>
          <w:szCs w:val="24"/>
        </w:rPr>
        <w:t>circuit);</w:t>
      </w:r>
    </w:p>
    <w:p w14:paraId="1FB2112A" w14:textId="77777777" w:rsidR="0097193B" w:rsidRPr="006751CD" w:rsidRDefault="0097193B" w:rsidP="00254A32">
      <w:pPr>
        <w:pStyle w:val="standard"/>
      </w:pPr>
      <w:r w:rsidRPr="006751CD">
        <w:t>Examples of Potential Security Solutions:</w:t>
      </w:r>
    </w:p>
    <w:p w14:paraId="0D4930FB" w14:textId="77777777" w:rsidR="0097193B" w:rsidRPr="000B5FF8" w:rsidRDefault="0097193B" w:rsidP="00254A32">
      <w:pPr>
        <w:pStyle w:val="ListParagraph"/>
        <w:numPr>
          <w:ilvl w:val="1"/>
          <w:numId w:val="35"/>
        </w:numPr>
        <w:autoSpaceDE w:val="0"/>
        <w:autoSpaceDN w:val="0"/>
        <w:adjustRightInd w:val="0"/>
        <w:spacing w:after="120"/>
        <w:ind w:left="1080" w:right="1440"/>
        <w:contextualSpacing w:val="0"/>
        <w:rPr>
          <w:rFonts w:cs="TimesNewRomanPSMT"/>
          <w:szCs w:val="24"/>
        </w:rPr>
      </w:pPr>
      <w:r w:rsidRPr="000B5FF8">
        <w:rPr>
          <w:rFonts w:cs="TimesNewRomanPSMT"/>
          <w:szCs w:val="24"/>
        </w:rPr>
        <w:t>Access – Measures to limit unauthorized entry or breach of the facility (</w:t>
      </w:r>
      <w:r w:rsidRPr="005469DB">
        <w:rPr>
          <w:rFonts w:cs="TimesNewRomanPSMT"/>
          <w:i/>
          <w:szCs w:val="24"/>
        </w:rPr>
        <w:t>e.g</w:t>
      </w:r>
      <w:r w:rsidRPr="000B5FF8">
        <w:rPr>
          <w:rFonts w:cs="TimesNewRomanPSMT"/>
          <w:szCs w:val="24"/>
        </w:rPr>
        <w:t>., fencing, gates, barriers or other security devices);</w:t>
      </w:r>
    </w:p>
    <w:p w14:paraId="4BE8D3EA" w14:textId="77777777" w:rsidR="0097193B" w:rsidRPr="000B5FF8" w:rsidRDefault="0097193B" w:rsidP="00254A32">
      <w:pPr>
        <w:pStyle w:val="ListParagraph"/>
        <w:numPr>
          <w:ilvl w:val="1"/>
          <w:numId w:val="35"/>
        </w:numPr>
        <w:autoSpaceDE w:val="0"/>
        <w:autoSpaceDN w:val="0"/>
        <w:adjustRightInd w:val="0"/>
        <w:spacing w:after="120"/>
        <w:ind w:left="1080" w:right="1440"/>
        <w:contextualSpacing w:val="0"/>
        <w:rPr>
          <w:rFonts w:cs="TimesNewRomanPSMT"/>
          <w:szCs w:val="24"/>
        </w:rPr>
      </w:pPr>
      <w:r w:rsidRPr="000B5FF8">
        <w:rPr>
          <w:rFonts w:cs="TimesNewRomanPSMT"/>
          <w:szCs w:val="24"/>
        </w:rPr>
        <w:t>Deterrent – Measures to discourage unauthorized entry or breach of the facility (</w:t>
      </w:r>
      <w:r w:rsidRPr="00254A32">
        <w:rPr>
          <w:rFonts w:cs="TimesNewRomanPSMT"/>
          <w:i/>
          <w:szCs w:val="24"/>
        </w:rPr>
        <w:t>e.g.,</w:t>
      </w:r>
      <w:r w:rsidRPr="000B5FF8">
        <w:rPr>
          <w:rFonts w:cs="TimesNewRomanPSMT"/>
          <w:szCs w:val="24"/>
        </w:rPr>
        <w:t xml:space="preserve"> cameras, lights);</w:t>
      </w:r>
      <w:r w:rsidR="00254A32">
        <w:rPr>
          <w:rFonts w:cs="TimesNewRomanPSMT"/>
          <w:szCs w:val="24"/>
        </w:rPr>
        <w:t xml:space="preserve"> and</w:t>
      </w:r>
    </w:p>
    <w:p w14:paraId="3D025B4B" w14:textId="2DDB5AA7" w:rsidR="00CF202A" w:rsidRPr="0008501F" w:rsidRDefault="0097193B" w:rsidP="007375A7">
      <w:pPr>
        <w:autoSpaceDE w:val="0"/>
        <w:autoSpaceDN w:val="0"/>
        <w:adjustRightInd w:val="0"/>
        <w:spacing w:after="120"/>
        <w:ind w:right="1440"/>
        <w:rPr>
          <w:rFonts w:cs="TimesNewRomanPSMT"/>
          <w:szCs w:val="24"/>
        </w:rPr>
      </w:pPr>
      <w:r w:rsidRPr="000B5FF8">
        <w:rPr>
          <w:rFonts w:cs="TimesNewRomanPSMT"/>
          <w:szCs w:val="24"/>
        </w:rPr>
        <w:t xml:space="preserve">Coordination – Measures to further collaborate with </w:t>
      </w:r>
      <w:r>
        <w:rPr>
          <w:rFonts w:cs="TimesNewRomanPSMT"/>
          <w:szCs w:val="24"/>
        </w:rPr>
        <w:t>l</w:t>
      </w:r>
      <w:r w:rsidRPr="000B5FF8">
        <w:rPr>
          <w:rFonts w:cs="TimesNewRomanPSMT"/>
          <w:szCs w:val="24"/>
        </w:rPr>
        <w:t xml:space="preserve">aw </w:t>
      </w:r>
      <w:r>
        <w:rPr>
          <w:rFonts w:cs="TimesNewRomanPSMT"/>
          <w:szCs w:val="24"/>
        </w:rPr>
        <w:t>e</w:t>
      </w:r>
      <w:r w:rsidRPr="000B5FF8">
        <w:rPr>
          <w:rFonts w:cs="TimesNewRomanPSMT"/>
          <w:szCs w:val="24"/>
        </w:rPr>
        <w:t>nforcement as appropriate.</w:t>
      </w:r>
    </w:p>
    <w:p w14:paraId="0597E478" w14:textId="77777777" w:rsidR="0097193B" w:rsidRPr="009E077D" w:rsidRDefault="0097193B" w:rsidP="00254A32">
      <w:pPr>
        <w:pStyle w:val="Heading2"/>
      </w:pPr>
      <w:bookmarkStart w:id="16" w:name="_Toc529357788"/>
      <w:r>
        <w:t>4.4</w:t>
      </w:r>
      <w:r w:rsidR="005E0B34">
        <w:t>.</w:t>
      </w:r>
      <w:r>
        <w:t xml:space="preserve"> </w:t>
      </w:r>
      <w:r w:rsidR="005E0B34">
        <w:t xml:space="preserve"> </w:t>
      </w:r>
      <w:r w:rsidRPr="009E077D">
        <w:t>Verification</w:t>
      </w:r>
      <w:bookmarkEnd w:id="16"/>
    </w:p>
    <w:p w14:paraId="2F248B03" w14:textId="77777777" w:rsidR="0097193B" w:rsidRPr="006751CD" w:rsidRDefault="0097193B" w:rsidP="00254A32">
      <w:pPr>
        <w:pStyle w:val="standard"/>
      </w:pPr>
      <w:r w:rsidRPr="006751CD">
        <w:lastRenderedPageBreak/>
        <w:t>In order to evaluate each Mitigation Plan(s), each Operator will select an unaffiliated third party with the appropriate experience needed to review the Identification and Assessment evaluations and the Mitigation Plan(s) performed and developed by the Operator.  After the Mitigation Plans have been evaluated, the Operator should either modify its Mitigation Plan to be consistent with the recommendations or document its reasons for not doing so.</w:t>
      </w:r>
    </w:p>
    <w:p w14:paraId="27F5CD81" w14:textId="77777777" w:rsidR="0097193B" w:rsidRPr="006751CD" w:rsidRDefault="0097193B" w:rsidP="00DC7DCC">
      <w:pPr>
        <w:pStyle w:val="Heading2"/>
      </w:pPr>
      <w:bookmarkStart w:id="17" w:name="_Toc529357789"/>
      <w:r>
        <w:t>4.5</w:t>
      </w:r>
      <w:r w:rsidR="005E0B34">
        <w:t xml:space="preserve">. </w:t>
      </w:r>
      <w:r>
        <w:t xml:space="preserve"> </w:t>
      </w:r>
      <w:r w:rsidRPr="006751CD">
        <w:t>Records</w:t>
      </w:r>
      <w:bookmarkEnd w:id="17"/>
    </w:p>
    <w:p w14:paraId="1BD9986B" w14:textId="77777777" w:rsidR="0097193B" w:rsidRPr="006751CD" w:rsidRDefault="0097193B" w:rsidP="00DC7DCC">
      <w:pPr>
        <w:pStyle w:val="standard"/>
      </w:pPr>
      <w:r w:rsidRPr="006751CD">
        <w:t xml:space="preserve">Adequate record retention is important to ensure each utility’s Mitigation Plan is successful.  Electronic or hard copy records of the Distribution Security Program implementation will be retained for not less than five (5) years.  </w:t>
      </w:r>
      <w:r>
        <w:t>Such r</w:t>
      </w:r>
      <w:r w:rsidRPr="006751CD">
        <w:t xml:space="preserve">ecords are extremely confidential and will be maintained in a secure manner at the Operator’s headquarters. </w:t>
      </w:r>
      <w:r w:rsidR="00A77083">
        <w:t xml:space="preserve"> </w:t>
      </w:r>
      <w:r w:rsidRPr="006751CD">
        <w:t xml:space="preserve">The records maintained by </w:t>
      </w:r>
      <w:r>
        <w:t xml:space="preserve">an Operator </w:t>
      </w:r>
      <w:r w:rsidRPr="006751CD">
        <w:t xml:space="preserve">will be available for inspection at </w:t>
      </w:r>
      <w:r>
        <w:t xml:space="preserve">its </w:t>
      </w:r>
      <w:r w:rsidRPr="006751CD">
        <w:t>headquarters or San Francisco offices by Commission staff upon request.</w:t>
      </w:r>
    </w:p>
    <w:p w14:paraId="05B91073" w14:textId="77777777" w:rsidR="0097193B" w:rsidRPr="006751CD" w:rsidRDefault="0097193B" w:rsidP="00DC7DCC">
      <w:pPr>
        <w:pStyle w:val="standard"/>
      </w:pPr>
      <w:r w:rsidRPr="006751CD">
        <w:t>Electronic or hard copy records of the Operator’s Distribution Security Program Implementation will include, at a minimum:</w:t>
      </w:r>
    </w:p>
    <w:p w14:paraId="27B8BB82" w14:textId="77777777" w:rsidR="0097193B" w:rsidRPr="006751CD" w:rsidRDefault="0097193B" w:rsidP="00A77083">
      <w:pPr>
        <w:pStyle w:val="ListParagraph"/>
        <w:numPr>
          <w:ilvl w:val="0"/>
          <w:numId w:val="16"/>
        </w:numPr>
        <w:autoSpaceDE w:val="0"/>
        <w:autoSpaceDN w:val="0"/>
        <w:adjustRightInd w:val="0"/>
        <w:spacing w:after="120"/>
        <w:ind w:left="1080" w:right="1440"/>
        <w:contextualSpacing w:val="0"/>
        <w:rPr>
          <w:rFonts w:cs="TimesNewRomanPSMT"/>
          <w:szCs w:val="24"/>
        </w:rPr>
      </w:pPr>
      <w:r w:rsidRPr="006751CD">
        <w:rPr>
          <w:rFonts w:cs="TimesNewRomanPSMT"/>
          <w:szCs w:val="24"/>
        </w:rPr>
        <w:t xml:space="preserve">The Operator’s Identification of Distribution Facilities requiring further assessment; </w:t>
      </w:r>
    </w:p>
    <w:p w14:paraId="74FE38C0" w14:textId="77777777" w:rsidR="0097193B" w:rsidRPr="006751CD" w:rsidRDefault="0097193B" w:rsidP="00A77083">
      <w:pPr>
        <w:pStyle w:val="ListParagraph"/>
        <w:numPr>
          <w:ilvl w:val="0"/>
          <w:numId w:val="16"/>
        </w:numPr>
        <w:autoSpaceDE w:val="0"/>
        <w:autoSpaceDN w:val="0"/>
        <w:adjustRightInd w:val="0"/>
        <w:spacing w:after="120"/>
        <w:ind w:left="1080" w:right="1440"/>
        <w:contextualSpacing w:val="0"/>
        <w:rPr>
          <w:rFonts w:cs="TimesNewRomanPSMT"/>
          <w:szCs w:val="24"/>
        </w:rPr>
      </w:pPr>
      <w:r w:rsidRPr="006751CD">
        <w:rPr>
          <w:rFonts w:cs="TimesNewRomanPSMT"/>
          <w:szCs w:val="24"/>
        </w:rPr>
        <w:t>Each Operator’s Assessment of the potential threats and vulnerabilities of a physical attack and whether existing grid resiliency, customer-owned back-up generation and/or physical security measures appropriately mitigate the risks on each of its identified Distribution Facilities;</w:t>
      </w:r>
    </w:p>
    <w:p w14:paraId="57D40560" w14:textId="77777777" w:rsidR="0097193B" w:rsidRPr="006751CD" w:rsidRDefault="0097193B" w:rsidP="00A77083">
      <w:pPr>
        <w:pStyle w:val="ListParagraph"/>
        <w:numPr>
          <w:ilvl w:val="0"/>
          <w:numId w:val="16"/>
        </w:numPr>
        <w:autoSpaceDE w:val="0"/>
        <w:autoSpaceDN w:val="0"/>
        <w:adjustRightInd w:val="0"/>
        <w:spacing w:after="120"/>
        <w:ind w:left="1080" w:right="1440"/>
        <w:contextualSpacing w:val="0"/>
        <w:rPr>
          <w:rFonts w:cs="TimesNewRomanPSMT"/>
          <w:szCs w:val="24"/>
        </w:rPr>
      </w:pPr>
      <w:r w:rsidRPr="006751CD">
        <w:rPr>
          <w:rFonts w:cs="TimesNewRomanPSMT"/>
          <w:szCs w:val="24"/>
        </w:rPr>
        <w:t>Each Operator’s Mitigation Plans covering each of its Covered Distribution Facilities under Section 4;</w:t>
      </w:r>
    </w:p>
    <w:p w14:paraId="7BDF15CE" w14:textId="74E2B95C" w:rsidR="0097193B" w:rsidRPr="006751CD" w:rsidRDefault="0097193B" w:rsidP="00A77083">
      <w:pPr>
        <w:pStyle w:val="ListParagraph"/>
        <w:numPr>
          <w:ilvl w:val="0"/>
          <w:numId w:val="16"/>
        </w:numPr>
        <w:autoSpaceDE w:val="0"/>
        <w:autoSpaceDN w:val="0"/>
        <w:adjustRightInd w:val="0"/>
        <w:spacing w:after="120"/>
        <w:ind w:left="1080" w:right="1440"/>
        <w:contextualSpacing w:val="0"/>
        <w:rPr>
          <w:rFonts w:cs="TimesNewRomanPSMT"/>
          <w:szCs w:val="24"/>
        </w:rPr>
      </w:pPr>
      <w:r w:rsidRPr="006751CD">
        <w:rPr>
          <w:rFonts w:cs="TimesNewRomanPSMT"/>
          <w:szCs w:val="24"/>
        </w:rPr>
        <w:t>The unaffiliated third-party evaluation of the Operator’s Identification and</w:t>
      </w:r>
      <w:r w:rsidR="00166981">
        <w:rPr>
          <w:rFonts w:cs="TimesNewRomanPSMT"/>
          <w:szCs w:val="24"/>
        </w:rPr>
        <w:t xml:space="preserve"> Assessment evaluations and Mitigation Plans performed and developed by the Operator; and </w:t>
      </w:r>
    </w:p>
    <w:p w14:paraId="38546930" w14:textId="5ECA06DB" w:rsidR="0097193B" w:rsidRPr="006751CD" w:rsidRDefault="0097193B" w:rsidP="007375A7">
      <w:pPr>
        <w:autoSpaceDE w:val="0"/>
        <w:autoSpaceDN w:val="0"/>
        <w:adjustRightInd w:val="0"/>
        <w:spacing w:after="120"/>
        <w:ind w:right="1440"/>
        <w:rPr>
          <w:rFonts w:cs="TimesNewRomanPSMT"/>
          <w:szCs w:val="24"/>
        </w:rPr>
      </w:pPr>
    </w:p>
    <w:p w14:paraId="195418E7" w14:textId="77777777" w:rsidR="0097193B" w:rsidRPr="006751CD" w:rsidRDefault="0097193B" w:rsidP="00A77083">
      <w:pPr>
        <w:pStyle w:val="ListParagraph"/>
        <w:numPr>
          <w:ilvl w:val="0"/>
          <w:numId w:val="16"/>
        </w:numPr>
        <w:autoSpaceDE w:val="0"/>
        <w:autoSpaceDN w:val="0"/>
        <w:adjustRightInd w:val="0"/>
        <w:spacing w:after="120"/>
        <w:ind w:left="1080" w:right="1440"/>
        <w:contextualSpacing w:val="0"/>
        <w:rPr>
          <w:rFonts w:cs="TimesNewRomanPSMT"/>
          <w:szCs w:val="24"/>
        </w:rPr>
      </w:pPr>
      <w:r w:rsidRPr="006751CD">
        <w:rPr>
          <w:rFonts w:cs="TimesNewRomanPSMT"/>
          <w:szCs w:val="24"/>
        </w:rPr>
        <w:lastRenderedPageBreak/>
        <w:t>If applicable, the Operator’s documented reasons for not modifying its Mitigation Plans consistent with the unaffiliated third-party’s evaluation.</w:t>
      </w:r>
    </w:p>
    <w:p w14:paraId="4A4C0DD0" w14:textId="77777777" w:rsidR="0097193B" w:rsidRPr="009E077D" w:rsidRDefault="0097193B" w:rsidP="00A77083">
      <w:pPr>
        <w:pStyle w:val="Heading2"/>
      </w:pPr>
      <w:bookmarkStart w:id="18" w:name="_Toc529357790"/>
      <w:r>
        <w:t>4.6</w:t>
      </w:r>
      <w:r w:rsidR="00D86416">
        <w:t xml:space="preserve">. </w:t>
      </w:r>
      <w:r>
        <w:t xml:space="preserve"> </w:t>
      </w:r>
      <w:r w:rsidRPr="009E077D">
        <w:t>Timelines and Frequency</w:t>
      </w:r>
      <w:bookmarkEnd w:id="18"/>
    </w:p>
    <w:p w14:paraId="62BAD1BB" w14:textId="77777777" w:rsidR="0097193B" w:rsidRPr="006751CD" w:rsidRDefault="0097193B" w:rsidP="00A77083">
      <w:pPr>
        <w:pStyle w:val="standard"/>
      </w:pPr>
      <w:r w:rsidRPr="006751CD">
        <w:t xml:space="preserve">Any Operator that has identified at least one Distribution Facility requiring further assessment whose risks are not found to be appropriately mitigated </w:t>
      </w:r>
      <w:r>
        <w:t xml:space="preserve">during the verification phase </w:t>
      </w:r>
      <w:r w:rsidRPr="006751CD">
        <w:t>will complete an initial draft of its Mitigation Plan(s), within eighteen (18) months from the effective date of these guidelines.</w:t>
      </w:r>
    </w:p>
    <w:p w14:paraId="340CE5BA" w14:textId="77777777" w:rsidR="0097193B" w:rsidRPr="006751CD" w:rsidRDefault="0097193B" w:rsidP="00A77083">
      <w:pPr>
        <w:pStyle w:val="standard"/>
        <w:rPr>
          <w:rFonts w:cs="TimesNewRomanPSMT"/>
          <w:szCs w:val="24"/>
        </w:rPr>
      </w:pPr>
      <w:r w:rsidRPr="006751CD">
        <w:rPr>
          <w:rFonts w:cs="TimesNewRomanPSMT"/>
          <w:szCs w:val="24"/>
        </w:rPr>
        <w:t xml:space="preserve">Where the Operator is required to seek verification, the Operator will obtain an unaffiliated, third-party review within twenty-seven (27) months from the effective date of these guidelines. </w:t>
      </w:r>
      <w:r w:rsidR="00FD2B81">
        <w:rPr>
          <w:rFonts w:cs="TimesNewRomanPSMT"/>
          <w:szCs w:val="24"/>
        </w:rPr>
        <w:t xml:space="preserve"> </w:t>
      </w:r>
      <w:r w:rsidRPr="006751CD">
        <w:rPr>
          <w:rFonts w:cs="TimesNewRomanPSMT"/>
          <w:szCs w:val="24"/>
        </w:rPr>
        <w:t xml:space="preserve">Each Operator will meet </w:t>
      </w:r>
      <w:r>
        <w:rPr>
          <w:rFonts w:cs="TimesNewRomanPSMT"/>
          <w:szCs w:val="24"/>
        </w:rPr>
        <w:t xml:space="preserve">all </w:t>
      </w:r>
      <w:r w:rsidRPr="006751CD">
        <w:rPr>
          <w:rFonts w:cs="TimesNewRomanPSMT"/>
          <w:szCs w:val="24"/>
        </w:rPr>
        <w:t>obligations</w:t>
      </w:r>
      <w:r>
        <w:rPr>
          <w:rFonts w:cs="TimesNewRomanPSMT"/>
          <w:szCs w:val="24"/>
        </w:rPr>
        <w:t xml:space="preserve"> set out in this decision</w:t>
      </w:r>
      <w:r w:rsidRPr="006751CD">
        <w:rPr>
          <w:rFonts w:cs="TimesNewRomanPSMT"/>
          <w:szCs w:val="24"/>
        </w:rPr>
        <w:t xml:space="preserve"> within thirty (30) months of the effective date of these guidelines.</w:t>
      </w:r>
    </w:p>
    <w:p w14:paraId="6DD5CE89" w14:textId="77777777" w:rsidR="0097193B" w:rsidRPr="009E077D" w:rsidRDefault="0097193B" w:rsidP="005816E4">
      <w:pPr>
        <w:pStyle w:val="Heading2"/>
        <w:keepNext/>
        <w:keepLines/>
      </w:pPr>
      <w:bookmarkStart w:id="19" w:name="_Toc529357791"/>
      <w:r>
        <w:t>4.7</w:t>
      </w:r>
      <w:r w:rsidR="00C63404">
        <w:t xml:space="preserve">. </w:t>
      </w:r>
      <w:r>
        <w:t xml:space="preserve"> </w:t>
      </w:r>
      <w:r w:rsidRPr="009E077D">
        <w:t>Cost</w:t>
      </w:r>
      <w:r>
        <w:rPr>
          <w:rStyle w:val="FootnoteReference"/>
          <w:b w:val="0"/>
        </w:rPr>
        <w:footnoteReference w:id="53"/>
      </w:r>
      <w:bookmarkEnd w:id="19"/>
    </w:p>
    <w:p w14:paraId="3E613FED" w14:textId="77777777" w:rsidR="0097193B" w:rsidRPr="006751CD" w:rsidRDefault="007A2FFA" w:rsidP="005816E4">
      <w:pPr>
        <w:pStyle w:val="standard"/>
        <w:keepNext/>
        <w:keepLines/>
      </w:pPr>
      <w:r>
        <w:t>The IOUs propose that a</w:t>
      </w:r>
      <w:r w:rsidR="0097193B" w:rsidRPr="006751CD">
        <w:t>t its discretion, the Operator may establish an account to track the expenditures</w:t>
      </w:r>
      <w:r w:rsidR="0097193B" w:rsidRPr="006751CD">
        <w:rPr>
          <w:rFonts w:cs="TimesNewRomanPS-BoldMT"/>
          <w:bCs/>
        </w:rPr>
        <w:t xml:space="preserve"> </w:t>
      </w:r>
      <w:r w:rsidR="0097193B" w:rsidRPr="006751CD">
        <w:t xml:space="preserve">associated with the development and execution of its Distribution Security Program. </w:t>
      </w:r>
      <w:r w:rsidR="00272D20">
        <w:t xml:space="preserve"> </w:t>
      </w:r>
      <w:r w:rsidR="0097193B">
        <w:t>IOUs</w:t>
      </w:r>
      <w:r>
        <w:t xml:space="preserve"> request authorization </w:t>
      </w:r>
      <w:r w:rsidR="0097193B" w:rsidRPr="006751CD">
        <w:t xml:space="preserve">to file Tier 1 Advice Letters for this purpose. </w:t>
      </w:r>
      <w:r w:rsidR="00CC050F">
        <w:t xml:space="preserve"> </w:t>
      </w:r>
      <w:r w:rsidR="0097193B" w:rsidRPr="006751CD">
        <w:t xml:space="preserve">Electrical Cooperatives and </w:t>
      </w:r>
      <w:r w:rsidR="0097193B">
        <w:t xml:space="preserve">POUs </w:t>
      </w:r>
      <w:r>
        <w:t>w</w:t>
      </w:r>
      <w:r w:rsidR="0097193B" w:rsidRPr="006751CD">
        <w:t xml:space="preserve">ould act in accordance with </w:t>
      </w:r>
      <w:r w:rsidR="0097193B">
        <w:t xml:space="preserve">any </w:t>
      </w:r>
      <w:r w:rsidR="0097193B" w:rsidRPr="006751CD">
        <w:t xml:space="preserve">processes established by a governing or other type of board with the </w:t>
      </w:r>
      <w:r w:rsidR="0097193B">
        <w:t xml:space="preserve">requisite </w:t>
      </w:r>
      <w:r w:rsidR="0097193B" w:rsidRPr="006751CD">
        <w:t>authority.</w:t>
      </w:r>
    </w:p>
    <w:p w14:paraId="33DE3F24" w14:textId="77777777" w:rsidR="0097193B" w:rsidRPr="006751CD" w:rsidRDefault="0097193B" w:rsidP="00A77083">
      <w:pPr>
        <w:pStyle w:val="standard"/>
      </w:pPr>
      <w:r>
        <w:t xml:space="preserve">IOUs </w:t>
      </w:r>
      <w:r w:rsidR="007A2FFA">
        <w:t xml:space="preserve">also recommend that they be </w:t>
      </w:r>
      <w:r w:rsidRPr="006751CD">
        <w:t xml:space="preserve">authorized to file separate applications or GRC requests for the recovery of costs associated with their respective </w:t>
      </w:r>
      <w:r w:rsidRPr="006751CD">
        <w:lastRenderedPageBreak/>
        <w:t>Distribution Security Programs.</w:t>
      </w:r>
      <w:r w:rsidR="00A77083">
        <w:t xml:space="preserve"> </w:t>
      </w:r>
      <w:r w:rsidRPr="006751CD">
        <w:t xml:space="preserve"> Although the Distribution Security Program documents are considered </w:t>
      </w:r>
      <w:r>
        <w:t>s</w:t>
      </w:r>
      <w:r w:rsidRPr="006751CD">
        <w:t xml:space="preserve">ecurity-sensitive </w:t>
      </w:r>
      <w:r>
        <w:t>i</w:t>
      </w:r>
      <w:r w:rsidRPr="006751CD">
        <w:t xml:space="preserve">nformation and cannot be filed as supporting documentation, the </w:t>
      </w:r>
      <w:r>
        <w:t xml:space="preserve">IOUs </w:t>
      </w:r>
      <w:r w:rsidRPr="006751CD">
        <w:t>may file a public version of the unaffiliated third-party review and Commission approval in support of their recovery requests.</w:t>
      </w:r>
    </w:p>
    <w:p w14:paraId="70290BF6" w14:textId="77777777" w:rsidR="0097193B" w:rsidRPr="00B94B9A" w:rsidRDefault="0097193B" w:rsidP="00B94B9A">
      <w:pPr>
        <w:pStyle w:val="Heading1"/>
      </w:pPr>
      <w:bookmarkStart w:id="20" w:name="_Toc529357792"/>
      <w:r w:rsidRPr="00B94B9A">
        <w:t xml:space="preserve">5. </w:t>
      </w:r>
      <w:r w:rsidR="00B94B9A" w:rsidRPr="00B94B9A">
        <w:t xml:space="preserve"> </w:t>
      </w:r>
      <w:r w:rsidRPr="00B94B9A">
        <w:t xml:space="preserve">SED RASA Staff Evaluation of Joint Utility Proposal, </w:t>
      </w:r>
      <w:r w:rsidR="00B94B9A" w:rsidRPr="00B94B9A">
        <w:br/>
      </w:r>
      <w:r w:rsidRPr="00B94B9A">
        <w:t>Security Plan Element and SED RASA Recommendations</w:t>
      </w:r>
      <w:bookmarkEnd w:id="20"/>
    </w:p>
    <w:p w14:paraId="71BCCBEF" w14:textId="77777777" w:rsidR="0097193B" w:rsidRPr="00B94B9A" w:rsidRDefault="0097193B" w:rsidP="00B94B9A">
      <w:pPr>
        <w:pStyle w:val="standard"/>
      </w:pPr>
      <w:r>
        <w:t xml:space="preserve">Four workshops were </w:t>
      </w:r>
      <w:r w:rsidRPr="00B94B9A">
        <w:t xml:space="preserve">conducted during Phase I of this proceeding.  The first three workshops identified and explored the regulatory framework that currently exists for assessing physical security and how new regulations could be drafted.  The utilities presented the Joint Utility Proposal at the fourth workshop.  </w:t>
      </w:r>
    </w:p>
    <w:p w14:paraId="72E87B7E" w14:textId="77777777" w:rsidR="0097193B" w:rsidRPr="00E20DEA" w:rsidRDefault="0097193B" w:rsidP="00E20DEA">
      <w:pPr>
        <w:pStyle w:val="standard"/>
      </w:pPr>
      <w:r w:rsidRPr="00B94B9A">
        <w:t>In addition to being actively involved</w:t>
      </w:r>
      <w:r w:rsidRPr="006751CD">
        <w:t xml:space="preserve"> with the workshops, SED RASA analyzed the Joint Utility Proposal and made various recommendations.  This analysis was </w:t>
      </w:r>
      <w:r>
        <w:t>made available</w:t>
      </w:r>
      <w:r w:rsidRPr="006751CD">
        <w:t xml:space="preserve"> to the parties on January </w:t>
      </w:r>
      <w:r>
        <w:t>16</w:t>
      </w:r>
      <w:r w:rsidRPr="006751CD">
        <w:t>, 2018</w:t>
      </w:r>
      <w:r>
        <w:t xml:space="preserve"> within a ruling by the assigned ALJ</w:t>
      </w:r>
      <w:r w:rsidRPr="006751CD">
        <w:t>.  The parties filed both comments and reply comments on SED RASA’s evaluation.  SED RASA thoroughly considered all comments and reply comments</w:t>
      </w:r>
      <w:bookmarkStart w:id="21" w:name="_Hlk515980779"/>
      <w:r>
        <w:t xml:space="preserve">, and in </w:t>
      </w:r>
      <w:r w:rsidRPr="00E20DEA">
        <w:t xml:space="preserve">response </w:t>
      </w:r>
      <w:bookmarkStart w:id="22" w:name="_Hlk515892194"/>
      <w:r w:rsidRPr="00E20DEA">
        <w:t>undertook additional evaluation, and revisited its original set of recommendations.</w:t>
      </w:r>
    </w:p>
    <w:bookmarkEnd w:id="21"/>
    <w:bookmarkEnd w:id="22"/>
    <w:p w14:paraId="5BD691B9" w14:textId="69061D2C" w:rsidR="0097193B" w:rsidRPr="006751CD" w:rsidRDefault="0097193B" w:rsidP="00E20DEA">
      <w:pPr>
        <w:pStyle w:val="standard"/>
      </w:pPr>
      <w:r w:rsidRPr="00E20DEA">
        <w:t>The Joint Utilit</w:t>
      </w:r>
      <w:r w:rsidR="00D43F0D">
        <w:t>y</w:t>
      </w:r>
      <w:r w:rsidRPr="00E20DEA">
        <w:t xml:space="preserve"> Proposal would introduce new requirements covering electric assets that support distribution-level service within California’s regulatory and safety jurisdiction</w:t>
      </w:r>
      <w:r w:rsidRPr="006751CD">
        <w:t>.  These assets,</w:t>
      </w:r>
      <w:r>
        <w:t xml:space="preserve"> </w:t>
      </w:r>
      <w:r w:rsidRPr="006751CD">
        <w:t>largely substations and control centers</w:t>
      </w:r>
      <w:r>
        <w:t>,</w:t>
      </w:r>
      <w:r w:rsidRPr="006751CD">
        <w:t xml:space="preserve"> do not typically rise to the level of critical infrastructure as defined in the federal Critical Infrastructure Protocols (CIPs).  Yet, they are essential for providing reliable energy to residential, commercial and industrial loads.</w:t>
      </w:r>
    </w:p>
    <w:p w14:paraId="51A15746" w14:textId="64831D1F" w:rsidR="0097193B" w:rsidRDefault="0097193B" w:rsidP="0097193B">
      <w:pPr>
        <w:pStyle w:val="standard"/>
        <w:ind w:firstLine="360"/>
      </w:pPr>
      <w:r w:rsidRPr="006751CD">
        <w:t xml:space="preserve">In addition to the </w:t>
      </w:r>
      <w:r>
        <w:t>new rules and measures articulated by the Joint Utilit</w:t>
      </w:r>
      <w:r w:rsidR="00904650">
        <w:t>ies</w:t>
      </w:r>
      <w:r>
        <w:t xml:space="preserve"> in their Proposal, as outlined in Section 4</w:t>
      </w:r>
      <w:r w:rsidRPr="006751CD">
        <w:t xml:space="preserve"> above, SED RASA recommends additional </w:t>
      </w:r>
      <w:r>
        <w:t xml:space="preserve">new rules and measures, and guiding principles, above and beyond </w:t>
      </w:r>
      <w:r>
        <w:lastRenderedPageBreak/>
        <w:t>those outlined in Section 4, to further strengthen the Joint Utility Proposal. These items are detailed below.</w:t>
      </w:r>
      <w:r w:rsidRPr="006751CD" w:rsidDel="00E76C77">
        <w:t xml:space="preserve"> </w:t>
      </w:r>
    </w:p>
    <w:p w14:paraId="359DF5F1" w14:textId="77777777" w:rsidR="0097193B" w:rsidRPr="009E077D" w:rsidRDefault="0097193B" w:rsidP="00A35A57">
      <w:pPr>
        <w:pStyle w:val="Heading1"/>
      </w:pPr>
      <w:bookmarkStart w:id="23" w:name="_Toc529357793"/>
      <w:r>
        <w:t>6</w:t>
      </w:r>
      <w:r w:rsidRPr="009E077D">
        <w:t xml:space="preserve">. </w:t>
      </w:r>
      <w:r w:rsidR="004128D1">
        <w:t xml:space="preserve"> </w:t>
      </w:r>
      <w:r w:rsidRPr="009E077D">
        <w:t xml:space="preserve">Guiding Principles of California </w:t>
      </w:r>
      <w:r w:rsidR="003A2D6C">
        <w:br/>
      </w:r>
      <w:r w:rsidRPr="009E077D">
        <w:t>Electric Physical Security</w:t>
      </w:r>
      <w:bookmarkEnd w:id="23"/>
    </w:p>
    <w:p w14:paraId="07F0EC68" w14:textId="77777777" w:rsidR="0097193B" w:rsidRPr="006751CD" w:rsidRDefault="0097193B" w:rsidP="0050548C">
      <w:pPr>
        <w:pStyle w:val="standard"/>
        <w:numPr>
          <w:ilvl w:val="0"/>
          <w:numId w:val="18"/>
        </w:numPr>
        <w:spacing w:after="120" w:line="240" w:lineRule="auto"/>
        <w:ind w:left="1080" w:right="1440"/>
      </w:pPr>
      <w:r w:rsidRPr="006751CD">
        <w:t>Costs of incremental physical security measures should be reasonable, controlled, and weighed against potential benefit, so they do not result in a burden to ratepayers.</w:t>
      </w:r>
    </w:p>
    <w:p w14:paraId="40A9FAB1" w14:textId="77777777" w:rsidR="0097193B" w:rsidRPr="006751CD" w:rsidRDefault="0097193B" w:rsidP="0050548C">
      <w:pPr>
        <w:pStyle w:val="standard"/>
        <w:numPr>
          <w:ilvl w:val="0"/>
          <w:numId w:val="18"/>
        </w:numPr>
        <w:spacing w:after="120" w:line="240" w:lineRule="auto"/>
        <w:ind w:left="1080" w:right="1440"/>
      </w:pPr>
      <w:r w:rsidRPr="006751CD">
        <w:t>Opportunities to incorporate high-benefit, low-cost measures should be captured, particularly at the time of new or upgraded substation construction.</w:t>
      </w:r>
    </w:p>
    <w:p w14:paraId="540338E2" w14:textId="77777777" w:rsidR="0097193B" w:rsidRPr="006751CD" w:rsidRDefault="0097193B" w:rsidP="0050548C">
      <w:pPr>
        <w:pStyle w:val="standard"/>
        <w:numPr>
          <w:ilvl w:val="0"/>
          <w:numId w:val="18"/>
        </w:numPr>
        <w:spacing w:after="120" w:line="240" w:lineRule="auto"/>
        <w:ind w:left="1080" w:right="1440"/>
      </w:pPr>
      <w:r w:rsidRPr="006751CD">
        <w:t xml:space="preserve">Distribution assets </w:t>
      </w:r>
      <w:r>
        <w:t>should</w:t>
      </w:r>
      <w:r w:rsidRPr="006751CD">
        <w:t xml:space="preserve"> be hardened or designated with consideration for ensuring service integrity to essential customers, among other factors identified in the Joint Proposal.</w:t>
      </w:r>
    </w:p>
    <w:p w14:paraId="1AAA151D" w14:textId="77777777" w:rsidR="0097193B" w:rsidRDefault="0097193B" w:rsidP="0050548C">
      <w:pPr>
        <w:pStyle w:val="standard"/>
        <w:numPr>
          <w:ilvl w:val="0"/>
          <w:numId w:val="18"/>
        </w:numPr>
        <w:spacing w:after="120" w:line="240" w:lineRule="auto"/>
        <w:ind w:left="1080" w:right="1440"/>
      </w:pPr>
      <w:r w:rsidRPr="006751CD">
        <w:t>Resiliency strategies to ensure that priority distribution assets, particularly those tied to service of essential customers remain in service and are able to rapidly recover from an unplanned service outage should be considered an equally effective response to addressing physical security risks.</w:t>
      </w:r>
    </w:p>
    <w:p w14:paraId="09F8B94E" w14:textId="77777777" w:rsidR="00F1325B" w:rsidRDefault="00F1325B" w:rsidP="009E01E8">
      <w:pPr>
        <w:pStyle w:val="Heading2"/>
        <w:keepNext/>
        <w:keepLines/>
        <w:numPr>
          <w:ilvl w:val="1"/>
          <w:numId w:val="25"/>
        </w:numPr>
      </w:pPr>
      <w:bookmarkStart w:id="24" w:name="_Toc529357794"/>
      <w:r>
        <w:t>Six-Step Procedure to Address</w:t>
      </w:r>
      <w:r>
        <w:br/>
        <w:t>Utilities’ Distribution Assets</w:t>
      </w:r>
      <w:bookmarkEnd w:id="24"/>
    </w:p>
    <w:p w14:paraId="25E9888E" w14:textId="77777777" w:rsidR="0097193B" w:rsidRPr="00374129" w:rsidRDefault="0097193B" w:rsidP="009E01E8">
      <w:pPr>
        <w:pStyle w:val="standard"/>
        <w:keepNext/>
        <w:keepLines/>
      </w:pPr>
      <w:r w:rsidRPr="006751CD">
        <w:t xml:space="preserve">SED </w:t>
      </w:r>
      <w:r>
        <w:t xml:space="preserve">RASA </w:t>
      </w:r>
      <w:r w:rsidRPr="006751CD">
        <w:t xml:space="preserve">recommends the following six-step procedure for carrying out new physical security plan requirements to address utilities’ </w:t>
      </w:r>
      <w:r w:rsidRPr="00374129">
        <w:t>distribution assets.  These proposed steps are modeled on the security plan requirements set forth by NERC CIP-014.</w:t>
      </w:r>
    </w:p>
    <w:p w14:paraId="0B28714D" w14:textId="77777777" w:rsidR="0097193B" w:rsidRPr="00374129" w:rsidRDefault="0097193B" w:rsidP="00374129">
      <w:pPr>
        <w:pStyle w:val="standard"/>
      </w:pPr>
      <w:r w:rsidRPr="00374129">
        <w:t>This six-step plan is as follows:</w:t>
      </w:r>
    </w:p>
    <w:p w14:paraId="298F55EA" w14:textId="77777777" w:rsidR="0097193B" w:rsidRPr="006751CD" w:rsidRDefault="0097193B" w:rsidP="00374129">
      <w:pPr>
        <w:pStyle w:val="ListParagraph"/>
        <w:pBdr>
          <w:top w:val="nil"/>
          <w:left w:val="nil"/>
          <w:bottom w:val="nil"/>
          <w:right w:val="nil"/>
          <w:between w:val="nil"/>
          <w:bar w:val="nil"/>
        </w:pBdr>
        <w:tabs>
          <w:tab w:val="num" w:pos="755"/>
        </w:tabs>
        <w:spacing w:after="160" w:line="256" w:lineRule="auto"/>
        <w:ind w:left="755" w:right="1350"/>
        <w:contextualSpacing w:val="0"/>
        <w:rPr>
          <w:rFonts w:eastAsia="Times" w:cs="Times"/>
        </w:rPr>
      </w:pPr>
      <w:r w:rsidRPr="006751CD">
        <w:rPr>
          <w:rFonts w:eastAsia="Palatino Linotype" w:cs="Palatino Linotype"/>
          <w:szCs w:val="26"/>
          <w:u w:val="single"/>
        </w:rPr>
        <w:t xml:space="preserve">Step 1. </w:t>
      </w:r>
      <w:r w:rsidR="00374129">
        <w:rPr>
          <w:rFonts w:eastAsia="Palatino Linotype" w:cs="Palatino Linotype"/>
          <w:szCs w:val="26"/>
          <w:u w:val="single"/>
        </w:rPr>
        <w:t xml:space="preserve"> </w:t>
      </w:r>
      <w:r w:rsidRPr="006751CD">
        <w:rPr>
          <w:rFonts w:eastAsia="Palatino Linotype" w:cs="Palatino Linotype"/>
          <w:szCs w:val="26"/>
          <w:u w:val="single"/>
        </w:rPr>
        <w:t>Assessment</w:t>
      </w:r>
      <w:r w:rsidRPr="006751CD">
        <w:rPr>
          <w:rFonts w:eastAsia="Palatino Linotype" w:cs="Palatino Linotype"/>
          <w:szCs w:val="26"/>
        </w:rPr>
        <w:t>.</w:t>
      </w:r>
      <w:r w:rsidR="00374129">
        <w:rPr>
          <w:rFonts w:eastAsia="Palatino Linotype" w:cs="Palatino Linotype"/>
          <w:szCs w:val="26"/>
        </w:rPr>
        <w:t xml:space="preserve"> </w:t>
      </w:r>
      <w:r w:rsidRPr="006751CD">
        <w:rPr>
          <w:rFonts w:eastAsia="Palatino Linotype" w:cs="Palatino Linotype"/>
          <w:szCs w:val="26"/>
        </w:rPr>
        <w:t xml:space="preserve"> Drafting of a plan, addressing prevention, response, and recovery, which could be prepared in-house or by a consultant, and which shall include proposed and recommended mitigation measures. </w:t>
      </w:r>
    </w:p>
    <w:p w14:paraId="7ADFBBA9" w14:textId="13D511ED" w:rsidR="0097193B" w:rsidRPr="006751CD" w:rsidRDefault="0097193B" w:rsidP="006933C7">
      <w:pPr>
        <w:pStyle w:val="ListParagraph"/>
        <w:pBdr>
          <w:top w:val="nil"/>
          <w:left w:val="nil"/>
          <w:bottom w:val="nil"/>
          <w:right w:val="nil"/>
          <w:between w:val="nil"/>
          <w:bar w:val="nil"/>
        </w:pBdr>
        <w:tabs>
          <w:tab w:val="num" w:pos="755"/>
        </w:tabs>
        <w:spacing w:after="160" w:line="256" w:lineRule="auto"/>
        <w:ind w:left="755" w:right="1440"/>
        <w:contextualSpacing w:val="0"/>
        <w:rPr>
          <w:rFonts w:eastAsia="Times" w:cs="Times"/>
        </w:rPr>
      </w:pPr>
      <w:r w:rsidRPr="006751CD">
        <w:rPr>
          <w:rFonts w:eastAsia="Palatino Linotype" w:cs="Palatino Linotype"/>
          <w:szCs w:val="26"/>
          <w:u w:val="single"/>
        </w:rPr>
        <w:t>Step 2.</w:t>
      </w:r>
      <w:r w:rsidR="006933C7">
        <w:rPr>
          <w:rFonts w:eastAsia="Palatino Linotype" w:cs="Palatino Linotype"/>
          <w:szCs w:val="26"/>
          <w:u w:val="single"/>
        </w:rPr>
        <w:t xml:space="preserve"> </w:t>
      </w:r>
      <w:r w:rsidRPr="006751CD">
        <w:rPr>
          <w:rFonts w:eastAsia="Palatino Linotype" w:cs="Palatino Linotype"/>
          <w:szCs w:val="26"/>
          <w:u w:val="single"/>
        </w:rPr>
        <w:t xml:space="preserve"> Independent Review and Utility Response to Recommendations.</w:t>
      </w:r>
      <w:r w:rsidRPr="006751CD">
        <w:rPr>
          <w:rFonts w:eastAsia="Palatino Linotype" w:cs="Palatino Linotype"/>
          <w:szCs w:val="26"/>
        </w:rPr>
        <w:t xml:space="preserve"> </w:t>
      </w:r>
      <w:r w:rsidR="007C754C">
        <w:rPr>
          <w:rFonts w:eastAsia="Palatino Linotype" w:cs="Palatino Linotype"/>
          <w:szCs w:val="26"/>
        </w:rPr>
        <w:t xml:space="preserve"> </w:t>
      </w:r>
      <w:r w:rsidRPr="006751CD">
        <w:rPr>
          <w:rFonts w:eastAsia="Palatino Linotype" w:cs="Palatino Linotype"/>
          <w:szCs w:val="26"/>
        </w:rPr>
        <w:t xml:space="preserve">Proposed plan would be reviewed and by </w:t>
      </w:r>
      <w:r>
        <w:rPr>
          <w:rFonts w:eastAsia="Palatino Linotype" w:cs="Palatino Linotype"/>
          <w:szCs w:val="26"/>
        </w:rPr>
        <w:lastRenderedPageBreak/>
        <w:t>an</w:t>
      </w:r>
      <w:r w:rsidRPr="006751CD">
        <w:rPr>
          <w:rFonts w:eastAsia="Palatino Linotype" w:cs="Palatino Linotype"/>
          <w:szCs w:val="26"/>
        </w:rPr>
        <w:t xml:space="preserve"> independent third party, likely a qualified consultant expert, national laboratory, or a regulatory or industry standard body (such as the Electric Power Research Institute). </w:t>
      </w:r>
      <w:r w:rsidR="007C754C">
        <w:rPr>
          <w:rFonts w:eastAsia="Palatino Linotype" w:cs="Palatino Linotype"/>
          <w:szCs w:val="26"/>
        </w:rPr>
        <w:t xml:space="preserve"> </w:t>
      </w:r>
      <w:r w:rsidRPr="006751CD">
        <w:rPr>
          <w:rFonts w:eastAsia="Palatino Linotype" w:cs="Palatino Linotype"/>
          <w:szCs w:val="26"/>
        </w:rPr>
        <w:t xml:space="preserve">Step 2 would include reviewer recommendations that assess and appraise the appropriateness of the risk assessment, proposed mitigation measures, and other plan elements. </w:t>
      </w:r>
      <w:r w:rsidR="007C754C">
        <w:rPr>
          <w:rFonts w:eastAsia="Palatino Linotype" w:cs="Palatino Linotype"/>
          <w:szCs w:val="26"/>
        </w:rPr>
        <w:t xml:space="preserve"> </w:t>
      </w:r>
      <w:r w:rsidRPr="006751CD">
        <w:rPr>
          <w:rFonts w:eastAsia="Palatino Linotype" w:cs="Palatino Linotype"/>
          <w:szCs w:val="26"/>
        </w:rPr>
        <w:t>A utility would be expected to fully address reviewer recommendations, including justifying any mitigations that it declines to accept; the independent third-party opinion/recommendations, utility response, threat and risk assessment, and mitigation measures combined would constitute a final plan report.</w:t>
      </w:r>
    </w:p>
    <w:p w14:paraId="742F316F" w14:textId="275B3EF5" w:rsidR="0097193B" w:rsidRPr="006751CD" w:rsidRDefault="0097193B" w:rsidP="006933C7">
      <w:pPr>
        <w:pStyle w:val="ListParagraph"/>
        <w:pBdr>
          <w:top w:val="nil"/>
          <w:left w:val="nil"/>
          <w:bottom w:val="nil"/>
          <w:right w:val="nil"/>
          <w:between w:val="nil"/>
          <w:bar w:val="nil"/>
        </w:pBdr>
        <w:tabs>
          <w:tab w:val="num" w:pos="755"/>
        </w:tabs>
        <w:spacing w:after="160" w:line="256" w:lineRule="auto"/>
        <w:ind w:left="755" w:right="1440"/>
        <w:contextualSpacing w:val="0"/>
        <w:rPr>
          <w:rFonts w:eastAsia="Times" w:cs="Times"/>
        </w:rPr>
      </w:pPr>
      <w:r w:rsidRPr="006751CD">
        <w:rPr>
          <w:rFonts w:eastAsia="Palatino Linotype" w:cs="Palatino Linotype"/>
          <w:szCs w:val="26"/>
          <w:u w:val="single"/>
        </w:rPr>
        <w:t xml:space="preserve">Step 3. </w:t>
      </w:r>
      <w:r w:rsidR="00142FA1">
        <w:rPr>
          <w:rFonts w:eastAsia="Palatino Linotype" w:cs="Palatino Linotype"/>
          <w:szCs w:val="26"/>
          <w:u w:val="single"/>
        </w:rPr>
        <w:t>SED Review</w:t>
      </w:r>
      <w:r w:rsidRPr="006751CD">
        <w:rPr>
          <w:rFonts w:eastAsia="Palatino Linotype" w:cs="Palatino Linotype"/>
          <w:szCs w:val="26"/>
          <w:u w:val="single"/>
        </w:rPr>
        <w:t xml:space="preserve"> (for IOUs only).</w:t>
      </w:r>
      <w:r w:rsidR="006933C7">
        <w:rPr>
          <w:rFonts w:eastAsia="Palatino Linotype" w:cs="Palatino Linotype"/>
          <w:szCs w:val="26"/>
          <w:u w:val="single"/>
        </w:rPr>
        <w:t xml:space="preserve"> </w:t>
      </w:r>
      <w:r w:rsidRPr="006751CD">
        <w:rPr>
          <w:rFonts w:eastAsia="Palatino Linotype" w:cs="Palatino Linotype"/>
          <w:szCs w:val="26"/>
        </w:rPr>
        <w:t xml:space="preserve"> Final plan report would be </w:t>
      </w:r>
      <w:r w:rsidR="00142FA1">
        <w:rPr>
          <w:rFonts w:eastAsia="Palatino Linotype" w:cs="Palatino Linotype"/>
          <w:szCs w:val="26"/>
        </w:rPr>
        <w:t>reviewed</w:t>
      </w:r>
      <w:r w:rsidRPr="006751CD">
        <w:rPr>
          <w:rFonts w:eastAsia="Palatino Linotype" w:cs="Palatino Linotype"/>
          <w:szCs w:val="26"/>
        </w:rPr>
        <w:t xml:space="preserve"> </w:t>
      </w:r>
      <w:r w:rsidR="00142FA1" w:rsidRPr="006751CD">
        <w:rPr>
          <w:rFonts w:eastAsia="Palatino Linotype" w:cs="Palatino Linotype"/>
          <w:szCs w:val="26"/>
        </w:rPr>
        <w:t xml:space="preserve">by the CPUC SED </w:t>
      </w:r>
      <w:r w:rsidRPr="006751CD">
        <w:rPr>
          <w:rFonts w:eastAsia="Palatino Linotype" w:cs="Palatino Linotype"/>
          <w:szCs w:val="26"/>
        </w:rPr>
        <w:t>(recurring every five years)</w:t>
      </w:r>
      <w:r w:rsidRPr="006751CD">
        <w:rPr>
          <w:rFonts w:eastAsia="Palatino Linotype" w:cs="Palatino Linotype"/>
          <w:szCs w:val="26"/>
          <w:vertAlign w:val="superscript"/>
        </w:rPr>
        <w:footnoteReference w:id="54"/>
      </w:r>
      <w:r w:rsidRPr="006751CD">
        <w:rPr>
          <w:rFonts w:eastAsia="Palatino Linotype" w:cs="Palatino Linotype"/>
          <w:szCs w:val="26"/>
        </w:rPr>
        <w:t xml:space="preserve"> so as to de</w:t>
      </w:r>
      <w:r w:rsidR="00142FA1">
        <w:rPr>
          <w:rFonts w:eastAsia="Palatino Linotype" w:cs="Palatino Linotype"/>
          <w:szCs w:val="26"/>
        </w:rPr>
        <w:t xml:space="preserve">termine whether it is </w:t>
      </w:r>
      <w:r w:rsidRPr="006751CD">
        <w:rPr>
          <w:rFonts w:eastAsia="Palatino Linotype" w:cs="Palatino Linotype"/>
          <w:szCs w:val="26"/>
        </w:rPr>
        <w:t>in compliance</w:t>
      </w:r>
      <w:r w:rsidR="00142FA1">
        <w:rPr>
          <w:rFonts w:eastAsia="Palatino Linotype" w:cs="Palatino Linotype"/>
          <w:szCs w:val="26"/>
        </w:rPr>
        <w:t xml:space="preserve"> with regulatory requirements</w:t>
      </w:r>
      <w:r w:rsidRPr="006751CD">
        <w:rPr>
          <w:rFonts w:eastAsia="Palatino Linotype" w:cs="Palatino Linotype"/>
          <w:szCs w:val="26"/>
        </w:rPr>
        <w:t>, and eligible to request funding for implementation</w:t>
      </w:r>
      <w:r w:rsidR="009F535E">
        <w:rPr>
          <w:rFonts w:eastAsia="Palatino Linotype" w:cs="Palatino Linotype"/>
          <w:szCs w:val="26"/>
        </w:rPr>
        <w:t>.  Upon five years from the date of adoption, a utility would be required to have any revised or original plan updated and repeat the review process.  Utilities may be afforded regulatory relief by way of an exemption request process for special cases where undertaking of the plan overhaul and/or review process may be impracticable or unduly burdensome</w:t>
      </w:r>
      <w:r w:rsidRPr="006751CD">
        <w:rPr>
          <w:rFonts w:eastAsia="Palatino Linotype" w:cs="Palatino Linotype"/>
          <w:szCs w:val="26"/>
        </w:rPr>
        <w:t xml:space="preserve">. </w:t>
      </w:r>
      <w:r w:rsidR="007C754C">
        <w:rPr>
          <w:rFonts w:eastAsia="Palatino Linotype" w:cs="Palatino Linotype"/>
          <w:szCs w:val="26"/>
        </w:rPr>
        <w:t xml:space="preserve"> </w:t>
      </w:r>
      <w:r w:rsidRPr="006751CD">
        <w:rPr>
          <w:rFonts w:eastAsia="Palatino Linotype" w:cs="Palatino Linotype"/>
          <w:szCs w:val="26"/>
        </w:rPr>
        <w:t xml:space="preserve">Non-compliance </w:t>
      </w:r>
      <w:r w:rsidR="00142FA1">
        <w:rPr>
          <w:rFonts w:eastAsia="Palatino Linotype" w:cs="Palatino Linotype"/>
          <w:szCs w:val="26"/>
        </w:rPr>
        <w:t>c</w:t>
      </w:r>
      <w:r w:rsidRPr="006751CD">
        <w:rPr>
          <w:rFonts w:eastAsia="Palatino Linotype" w:cs="Palatino Linotype"/>
          <w:szCs w:val="26"/>
        </w:rPr>
        <w:t xml:space="preserve">ould </w:t>
      </w:r>
      <w:r w:rsidR="00142FA1">
        <w:rPr>
          <w:rFonts w:eastAsia="Palatino Linotype" w:cs="Palatino Linotype"/>
          <w:szCs w:val="26"/>
        </w:rPr>
        <w:t xml:space="preserve">result in an enforcement action, </w:t>
      </w:r>
      <w:r w:rsidRPr="006751CD">
        <w:rPr>
          <w:rFonts w:eastAsia="Palatino Linotype" w:cs="Palatino Linotype"/>
          <w:szCs w:val="26"/>
        </w:rPr>
        <w:t xml:space="preserve">potentially resulting in sanctions and/or penalties as provided by PU Code Sec. 364(c). </w:t>
      </w:r>
      <w:r w:rsidR="007C754C">
        <w:rPr>
          <w:rFonts w:eastAsia="Palatino Linotype" w:cs="Palatino Linotype"/>
          <w:szCs w:val="26"/>
        </w:rPr>
        <w:t xml:space="preserve"> </w:t>
      </w:r>
      <w:r w:rsidR="00142FA1">
        <w:rPr>
          <w:rFonts w:eastAsia="Palatino Linotype" w:cs="Palatino Linotype"/>
          <w:szCs w:val="26"/>
        </w:rPr>
        <w:t xml:space="preserve">An SED finding of compliance </w:t>
      </w:r>
      <w:r w:rsidRPr="006751CD">
        <w:rPr>
          <w:rFonts w:eastAsia="Palatino Linotype" w:cs="Palatino Linotype"/>
          <w:szCs w:val="26"/>
        </w:rPr>
        <w:t xml:space="preserve">would render </w:t>
      </w:r>
      <w:r w:rsidR="00142FA1">
        <w:rPr>
          <w:rFonts w:eastAsia="Palatino Linotype" w:cs="Palatino Linotype"/>
          <w:szCs w:val="26"/>
        </w:rPr>
        <w:t xml:space="preserve">IOUs </w:t>
      </w:r>
      <w:r w:rsidRPr="006751CD">
        <w:rPr>
          <w:rFonts w:eastAsia="Palatino Linotype" w:cs="Palatino Linotype"/>
          <w:szCs w:val="26"/>
        </w:rPr>
        <w:t xml:space="preserve">eligible </w:t>
      </w:r>
      <w:r w:rsidR="00142FA1">
        <w:rPr>
          <w:rFonts w:eastAsia="Palatino Linotype" w:cs="Palatino Linotype"/>
          <w:szCs w:val="26"/>
        </w:rPr>
        <w:t xml:space="preserve">to request </w:t>
      </w:r>
      <w:r w:rsidRPr="006751CD">
        <w:rPr>
          <w:rFonts w:eastAsia="Palatino Linotype" w:cs="Palatino Linotype"/>
          <w:szCs w:val="26"/>
        </w:rPr>
        <w:t xml:space="preserve">funding </w:t>
      </w:r>
      <w:r w:rsidR="00142FA1">
        <w:rPr>
          <w:rFonts w:eastAsia="Palatino Linotype" w:cs="Palatino Linotype"/>
          <w:szCs w:val="26"/>
        </w:rPr>
        <w:t xml:space="preserve">for </w:t>
      </w:r>
      <w:r w:rsidRPr="006751CD">
        <w:rPr>
          <w:rFonts w:eastAsia="Palatino Linotype" w:cs="Palatino Linotype"/>
          <w:szCs w:val="26"/>
        </w:rPr>
        <w:t>appropriate physical security needs identified by IOUs; project</w:t>
      </w:r>
      <w:r w:rsidR="00142FA1">
        <w:rPr>
          <w:rFonts w:eastAsia="Palatino Linotype" w:cs="Palatino Linotype"/>
          <w:szCs w:val="26"/>
        </w:rPr>
        <w:t xml:space="preserve"> expenditures</w:t>
      </w:r>
      <w:r w:rsidR="00513EED">
        <w:rPr>
          <w:rFonts w:eastAsia="Palatino Linotype" w:cs="Palatino Linotype"/>
          <w:szCs w:val="26"/>
        </w:rPr>
        <w:t xml:space="preserve"> </w:t>
      </w:r>
      <w:r w:rsidRPr="006751CD">
        <w:rPr>
          <w:rFonts w:eastAsia="Palatino Linotype" w:cs="Palatino Linotype"/>
          <w:szCs w:val="26"/>
        </w:rPr>
        <w:t>would be tracked</w:t>
      </w:r>
      <w:r w:rsidR="00142FA1">
        <w:rPr>
          <w:rFonts w:eastAsia="Palatino Linotype" w:cs="Palatino Linotype"/>
          <w:szCs w:val="26"/>
        </w:rPr>
        <w:t xml:space="preserve"> in a memorandum account and subject to reasonableness review in the GRC.</w:t>
      </w:r>
    </w:p>
    <w:p w14:paraId="51887705" w14:textId="5BD2FB55" w:rsidR="0097193B" w:rsidRPr="006751CD" w:rsidRDefault="0097193B" w:rsidP="00581C0C">
      <w:pPr>
        <w:pStyle w:val="ListParagraph"/>
        <w:pBdr>
          <w:top w:val="nil"/>
          <w:left w:val="nil"/>
          <w:bottom w:val="nil"/>
          <w:right w:val="nil"/>
          <w:between w:val="nil"/>
          <w:bar w:val="nil"/>
        </w:pBdr>
        <w:tabs>
          <w:tab w:val="num" w:pos="755"/>
        </w:tabs>
        <w:spacing w:after="160" w:line="256" w:lineRule="auto"/>
        <w:ind w:left="755" w:right="1440"/>
        <w:contextualSpacing w:val="0"/>
        <w:rPr>
          <w:rFonts w:eastAsia="Times" w:cs="Times"/>
        </w:rPr>
      </w:pPr>
      <w:r w:rsidRPr="006751CD">
        <w:rPr>
          <w:rFonts w:eastAsia="Palatino Linotype" w:cs="Palatino Linotype"/>
          <w:szCs w:val="26"/>
          <w:u w:val="single"/>
        </w:rPr>
        <w:lastRenderedPageBreak/>
        <w:t xml:space="preserve">Step 3a. </w:t>
      </w:r>
      <w:r w:rsidR="00142FA1">
        <w:rPr>
          <w:rFonts w:eastAsia="Palatino Linotype" w:cs="Palatino Linotype"/>
          <w:szCs w:val="26"/>
          <w:u w:val="single"/>
        </w:rPr>
        <w:t>Plan Review</w:t>
      </w:r>
      <w:r w:rsidRPr="006751CD">
        <w:rPr>
          <w:rFonts w:eastAsia="Palatino Linotype" w:cs="Palatino Linotype"/>
          <w:szCs w:val="26"/>
          <w:u w:val="single"/>
        </w:rPr>
        <w:t xml:space="preserve"> (for POUs only)</w:t>
      </w:r>
      <w:r w:rsidRPr="00581C0C">
        <w:rPr>
          <w:rFonts w:eastAsia="Palatino Linotype" w:cs="Palatino Linotype"/>
          <w:szCs w:val="26"/>
        </w:rPr>
        <w:t xml:space="preserve">. </w:t>
      </w:r>
      <w:r w:rsidR="00581C0C">
        <w:rPr>
          <w:rFonts w:eastAsia="Palatino Linotype" w:cs="Palatino Linotype"/>
          <w:szCs w:val="26"/>
        </w:rPr>
        <w:t xml:space="preserve"> </w:t>
      </w:r>
      <w:r w:rsidRPr="006751CD">
        <w:rPr>
          <w:rFonts w:eastAsia="Palatino Linotype" w:cs="Palatino Linotype"/>
          <w:szCs w:val="26"/>
        </w:rPr>
        <w:t xml:space="preserve">Final plan report would be </w:t>
      </w:r>
      <w:r w:rsidR="00142FA1">
        <w:rPr>
          <w:rFonts w:eastAsia="Palatino Linotype" w:cs="Palatino Linotype"/>
          <w:szCs w:val="26"/>
        </w:rPr>
        <w:t xml:space="preserve">deemed adequate </w:t>
      </w:r>
      <w:r w:rsidRPr="006751CD">
        <w:rPr>
          <w:rFonts w:eastAsia="Palatino Linotype" w:cs="Palatino Linotype"/>
          <w:szCs w:val="26"/>
        </w:rPr>
        <w:t>(recurring every five years, and eligible for same exemption request process made available to the IOUs) by a qualified authority designated by the applicable local governance body. (For example, Riverside Public Utilities currently develops a security and emergency response plan that conforms to the Governor’s Office of Emergency Services (CalOES) and Federal Emergency Management Agency (FEMA) standards and receives their endorsement.)</w:t>
      </w:r>
    </w:p>
    <w:p w14:paraId="7B4AD2DB" w14:textId="4800C39F" w:rsidR="0097193B" w:rsidRPr="006751CD" w:rsidRDefault="0097193B" w:rsidP="00581C0C">
      <w:pPr>
        <w:pStyle w:val="ListParagraph"/>
        <w:pBdr>
          <w:top w:val="nil"/>
          <w:left w:val="nil"/>
          <w:bottom w:val="nil"/>
          <w:right w:val="nil"/>
          <w:between w:val="nil"/>
          <w:bar w:val="nil"/>
        </w:pBdr>
        <w:tabs>
          <w:tab w:val="num" w:pos="755"/>
        </w:tabs>
        <w:spacing w:after="160" w:line="256" w:lineRule="auto"/>
        <w:ind w:left="755" w:right="1440"/>
        <w:contextualSpacing w:val="0"/>
        <w:rPr>
          <w:rFonts w:eastAsia="Times" w:cs="Times"/>
        </w:rPr>
      </w:pPr>
      <w:r w:rsidRPr="006751CD">
        <w:rPr>
          <w:rFonts w:eastAsia="Palatino Linotype" w:cs="Palatino Linotype"/>
          <w:szCs w:val="26"/>
          <w:u w:val="single"/>
        </w:rPr>
        <w:t>Step 4</w:t>
      </w:r>
      <w:r>
        <w:rPr>
          <w:rFonts w:eastAsia="Palatino Linotype" w:cs="Palatino Linotype"/>
          <w:szCs w:val="26"/>
          <w:u w:val="single"/>
        </w:rPr>
        <w:t>.</w:t>
      </w:r>
      <w:r w:rsidRPr="006751CD">
        <w:rPr>
          <w:rFonts w:eastAsia="Palatino Linotype" w:cs="Palatino Linotype"/>
          <w:szCs w:val="26"/>
          <w:u w:val="single"/>
        </w:rPr>
        <w:t xml:space="preserve"> Adoption (for POUs only)</w:t>
      </w:r>
      <w:r w:rsidRPr="00581C0C">
        <w:rPr>
          <w:rFonts w:eastAsia="Palatino Linotype" w:cs="Palatino Linotype"/>
          <w:szCs w:val="26"/>
        </w:rPr>
        <w:t xml:space="preserve">. </w:t>
      </w:r>
      <w:r w:rsidR="00581C0C">
        <w:rPr>
          <w:rFonts w:eastAsia="Palatino Linotype" w:cs="Palatino Linotype"/>
          <w:szCs w:val="26"/>
        </w:rPr>
        <w:t xml:space="preserve"> </w:t>
      </w:r>
      <w:r w:rsidR="00142FA1">
        <w:rPr>
          <w:rFonts w:eastAsia="Palatino Linotype" w:cs="Palatino Linotype"/>
          <w:szCs w:val="26"/>
        </w:rPr>
        <w:t xml:space="preserve">Reviewed </w:t>
      </w:r>
      <w:r w:rsidRPr="006751CD">
        <w:rPr>
          <w:rFonts w:eastAsia="Palatino Linotype" w:cs="Palatino Linotype"/>
          <w:szCs w:val="26"/>
        </w:rPr>
        <w:t>plan would be submitted to the appropriate regulatory oversight body (local governance body) for review and greenlighting (adoption). Step 4 should include funding to implement the plan.</w:t>
      </w:r>
      <w:r w:rsidRPr="006751CD" w:rsidDel="00ED7163">
        <w:rPr>
          <w:rFonts w:eastAsia="Palatino Linotype" w:cs="Palatino Linotype"/>
          <w:szCs w:val="26"/>
        </w:rPr>
        <w:t xml:space="preserve"> </w:t>
      </w:r>
    </w:p>
    <w:p w14:paraId="008805D0" w14:textId="77777777" w:rsidR="0097193B" w:rsidRPr="006751CD" w:rsidRDefault="0097193B" w:rsidP="00581C0C">
      <w:pPr>
        <w:pStyle w:val="ListParagraph"/>
        <w:pBdr>
          <w:top w:val="nil"/>
          <w:left w:val="nil"/>
          <w:bottom w:val="nil"/>
          <w:right w:val="nil"/>
          <w:between w:val="nil"/>
          <w:bar w:val="nil"/>
        </w:pBdr>
        <w:tabs>
          <w:tab w:val="num" w:pos="755"/>
        </w:tabs>
        <w:spacing w:after="160" w:line="256" w:lineRule="auto"/>
        <w:ind w:left="755" w:right="1440"/>
        <w:contextualSpacing w:val="0"/>
        <w:rPr>
          <w:rFonts w:eastAsia="Times" w:cs="Times"/>
        </w:rPr>
      </w:pPr>
      <w:r w:rsidRPr="006751CD">
        <w:rPr>
          <w:rFonts w:eastAsia="Palatino Linotype" w:cs="Palatino Linotype"/>
          <w:szCs w:val="26"/>
          <w:u w:val="single"/>
        </w:rPr>
        <w:t>Step 4a. Notice. (for POUs only)</w:t>
      </w:r>
      <w:r w:rsidRPr="00581C0C">
        <w:rPr>
          <w:rFonts w:eastAsia="Palatino Linotype" w:cs="Palatino Linotype"/>
          <w:szCs w:val="26"/>
        </w:rPr>
        <w:t>.</w:t>
      </w:r>
      <w:r w:rsidR="00581C0C" w:rsidRPr="00581C0C">
        <w:rPr>
          <w:rFonts w:eastAsia="Palatino Linotype" w:cs="Palatino Linotype"/>
          <w:szCs w:val="26"/>
        </w:rPr>
        <w:t xml:space="preserve"> </w:t>
      </w:r>
      <w:r w:rsidRPr="00581C0C">
        <w:rPr>
          <w:rFonts w:eastAsia="Palatino Linotype" w:cs="Palatino Linotype"/>
          <w:szCs w:val="26"/>
        </w:rPr>
        <w:t xml:space="preserve"> </w:t>
      </w:r>
      <w:r w:rsidRPr="006751CD">
        <w:rPr>
          <w:rFonts w:eastAsia="Palatino Linotype" w:cs="Palatino Linotype"/>
          <w:szCs w:val="26"/>
        </w:rPr>
        <w:t>Provide CPUC with official notice (ideally including a copy of a resolutio</w:t>
      </w:r>
      <w:r>
        <w:rPr>
          <w:rFonts w:eastAsia="Palatino Linotype" w:cs="Palatino Linotype"/>
          <w:szCs w:val="26"/>
        </w:rPr>
        <w:t>n o</w:t>
      </w:r>
      <w:r w:rsidRPr="006751CD">
        <w:rPr>
          <w:rFonts w:eastAsia="Palatino Linotype" w:cs="Palatino Linotype"/>
          <w:szCs w:val="26"/>
        </w:rPr>
        <w:t>f the adopted plan action.</w:t>
      </w:r>
    </w:p>
    <w:p w14:paraId="7D539F8D" w14:textId="77777777" w:rsidR="0097193B" w:rsidRPr="006751CD" w:rsidRDefault="0097193B" w:rsidP="00581C0C">
      <w:pPr>
        <w:pStyle w:val="ListParagraph"/>
        <w:pBdr>
          <w:top w:val="nil"/>
          <w:left w:val="nil"/>
          <w:bottom w:val="nil"/>
          <w:right w:val="nil"/>
          <w:between w:val="nil"/>
          <w:bar w:val="nil"/>
        </w:pBdr>
        <w:tabs>
          <w:tab w:val="num" w:pos="755"/>
        </w:tabs>
        <w:spacing w:after="160" w:line="256" w:lineRule="auto"/>
        <w:ind w:left="755" w:right="1440"/>
        <w:contextualSpacing w:val="0"/>
        <w:rPr>
          <w:rFonts w:eastAsia="Times" w:cs="Times"/>
        </w:rPr>
      </w:pPr>
      <w:r w:rsidRPr="006751CD">
        <w:rPr>
          <w:rFonts w:eastAsia="Palatino Linotype" w:cs="Palatino Linotype"/>
          <w:szCs w:val="26"/>
          <w:u w:val="single"/>
        </w:rPr>
        <w:t>Step 5. Maintenance</w:t>
      </w:r>
      <w:r w:rsidRPr="00581C0C">
        <w:rPr>
          <w:rFonts w:eastAsia="Palatino Linotype" w:cs="Palatino Linotype"/>
          <w:szCs w:val="26"/>
        </w:rPr>
        <w:t>.</w:t>
      </w:r>
      <w:r w:rsidR="00581C0C" w:rsidRPr="00581C0C">
        <w:rPr>
          <w:rFonts w:eastAsia="Palatino Linotype" w:cs="Palatino Linotype"/>
          <w:szCs w:val="26"/>
        </w:rPr>
        <w:t xml:space="preserve"> </w:t>
      </w:r>
      <w:r w:rsidRPr="006751CD">
        <w:rPr>
          <w:rFonts w:eastAsia="Palatino Linotype" w:cs="Palatino Linotype"/>
          <w:szCs w:val="26"/>
        </w:rPr>
        <w:t xml:space="preserve"> Ongoing adopted plan refinement and updates as appropriate and as necessary to preserve plan integrity. All security plans should be concurrent with and integrated into utility resiliency plans and activities.</w:t>
      </w:r>
    </w:p>
    <w:p w14:paraId="0C1CDDC3" w14:textId="7CFD0D67" w:rsidR="0097193B" w:rsidRDefault="0097193B" w:rsidP="0097193B">
      <w:pPr>
        <w:pStyle w:val="ListParagraph"/>
        <w:pBdr>
          <w:top w:val="nil"/>
          <w:left w:val="nil"/>
          <w:bottom w:val="nil"/>
          <w:right w:val="nil"/>
          <w:between w:val="nil"/>
          <w:bar w:val="nil"/>
        </w:pBdr>
        <w:tabs>
          <w:tab w:val="num" w:pos="755"/>
        </w:tabs>
        <w:spacing w:after="160" w:line="256" w:lineRule="auto"/>
        <w:ind w:left="755"/>
        <w:contextualSpacing w:val="0"/>
        <w:rPr>
          <w:rFonts w:eastAsia="Palatino Linotype" w:cs="Palatino Linotype"/>
          <w:szCs w:val="26"/>
        </w:rPr>
      </w:pPr>
      <w:r w:rsidRPr="006751CD">
        <w:rPr>
          <w:rFonts w:eastAsia="Palatino Linotype" w:cs="Palatino Linotype"/>
          <w:szCs w:val="26"/>
          <w:u w:val="single"/>
        </w:rPr>
        <w:t>Step 6. Repeat Process</w:t>
      </w:r>
      <w:r w:rsidRPr="00581C0C">
        <w:rPr>
          <w:rFonts w:eastAsia="Palatino Linotype" w:cs="Palatino Linotype"/>
          <w:szCs w:val="26"/>
        </w:rPr>
        <w:t xml:space="preserve">. </w:t>
      </w:r>
      <w:r w:rsidR="00581C0C">
        <w:rPr>
          <w:rFonts w:eastAsia="Palatino Linotype" w:cs="Palatino Linotype"/>
          <w:szCs w:val="26"/>
        </w:rPr>
        <w:t xml:space="preserve"> </w:t>
      </w:r>
      <w:r w:rsidRPr="006751CD">
        <w:rPr>
          <w:rFonts w:eastAsia="Palatino Linotype" w:cs="Palatino Linotype"/>
          <w:szCs w:val="26"/>
        </w:rPr>
        <w:t xml:space="preserve">Plan overhaul and </w:t>
      </w:r>
      <w:r w:rsidR="00142FA1">
        <w:rPr>
          <w:rFonts w:eastAsia="Palatino Linotype" w:cs="Palatino Linotype"/>
          <w:szCs w:val="26"/>
        </w:rPr>
        <w:t>review</w:t>
      </w:r>
      <w:r w:rsidRPr="006751CD">
        <w:rPr>
          <w:rFonts w:eastAsia="Palatino Linotype" w:cs="Palatino Linotype"/>
          <w:szCs w:val="26"/>
        </w:rPr>
        <w:t xml:space="preserve"> </w:t>
      </w:r>
      <w:r>
        <w:rPr>
          <w:rFonts w:eastAsia="Palatino Linotype" w:cs="Palatino Linotype"/>
          <w:szCs w:val="26"/>
        </w:rPr>
        <w:t>every</w:t>
      </w:r>
      <w:r w:rsidRPr="006751CD">
        <w:rPr>
          <w:rFonts w:eastAsia="Palatino Linotype" w:cs="Palatino Linotype"/>
          <w:szCs w:val="26"/>
        </w:rPr>
        <w:t xml:space="preserve"> five years.</w:t>
      </w:r>
    </w:p>
    <w:p w14:paraId="3A03A963" w14:textId="38293ACE" w:rsidR="00FB15B8" w:rsidRPr="00FB15B8" w:rsidRDefault="0088758F" w:rsidP="00A8594E">
      <w:pPr>
        <w:pBdr>
          <w:top w:val="nil"/>
          <w:left w:val="nil"/>
          <w:bottom w:val="nil"/>
          <w:right w:val="nil"/>
          <w:between w:val="nil"/>
          <w:bar w:val="nil"/>
        </w:pBdr>
        <w:tabs>
          <w:tab w:val="num" w:pos="755"/>
        </w:tabs>
        <w:spacing w:after="160" w:line="360" w:lineRule="auto"/>
        <w:rPr>
          <w:rFonts w:eastAsia="Palatino Linotype" w:cs="Palatino Linotype"/>
          <w:szCs w:val="26"/>
        </w:rPr>
      </w:pPr>
      <w:r>
        <w:rPr>
          <w:rFonts w:eastAsia="Palatino Linotype" w:cs="Palatino Linotype"/>
          <w:szCs w:val="26"/>
        </w:rPr>
        <w:tab/>
      </w:r>
      <w:r w:rsidR="00FB15B8">
        <w:rPr>
          <w:rFonts w:eastAsia="Palatino Linotype" w:cs="Palatino Linotype"/>
          <w:szCs w:val="26"/>
        </w:rPr>
        <w:t>For now, the Commission  finds the process described above, adequate.</w:t>
      </w:r>
      <w:r>
        <w:rPr>
          <w:rFonts w:eastAsia="Palatino Linotype" w:cs="Palatino Linotype"/>
          <w:szCs w:val="26"/>
        </w:rPr>
        <w:t xml:space="preserve"> Should the Commission subsequently find that a more structured and formal process of Security Plan approval is desirable</w:t>
      </w:r>
      <w:r w:rsidR="005D1AB0">
        <w:rPr>
          <w:rFonts w:eastAsia="Palatino Linotype" w:cs="Palatino Linotype"/>
          <w:szCs w:val="26"/>
        </w:rPr>
        <w:t xml:space="preserve"> or changes to the Security Plans themselves</w:t>
      </w:r>
      <w:r>
        <w:rPr>
          <w:rFonts w:eastAsia="Palatino Linotype" w:cs="Palatino Linotype"/>
          <w:szCs w:val="26"/>
        </w:rPr>
        <w:t xml:space="preserve">, the Commission could make such determination  via resolution or a decision based upon a developed record.  </w:t>
      </w:r>
      <w:r w:rsidR="005D1AB0">
        <w:rPr>
          <w:rFonts w:eastAsia="Palatino Linotype" w:cs="Palatino Linotype"/>
          <w:szCs w:val="26"/>
        </w:rPr>
        <w:t>Changes to Security Plan requirements may also be done by SED (or successor entity) director letter.</w:t>
      </w:r>
    </w:p>
    <w:p w14:paraId="66BB3B45" w14:textId="619F9090" w:rsidR="0097193B" w:rsidRPr="00EF1D30" w:rsidRDefault="0097193B" w:rsidP="00A57E44">
      <w:pPr>
        <w:pStyle w:val="ListParagraph"/>
        <w:pBdr>
          <w:top w:val="nil"/>
          <w:left w:val="nil"/>
          <w:bottom w:val="nil"/>
          <w:right w:val="nil"/>
          <w:between w:val="nil"/>
          <w:bar w:val="nil"/>
        </w:pBdr>
        <w:tabs>
          <w:tab w:val="num" w:pos="755"/>
        </w:tabs>
        <w:spacing w:after="160" w:line="256" w:lineRule="auto"/>
        <w:ind w:left="755"/>
        <w:contextualSpacing w:val="0"/>
        <w:rPr>
          <w:rFonts w:cs="Helvetica"/>
        </w:rPr>
      </w:pPr>
      <w:bookmarkStart w:id="25" w:name="_Toc529357795"/>
      <w:r w:rsidRPr="00A57E44">
        <w:rPr>
          <w:rFonts w:ascii="Helvetica" w:hAnsi="Helvetica" w:cs="Helvetica"/>
          <w:b/>
        </w:rPr>
        <w:t>6.2</w:t>
      </w:r>
      <w:r w:rsidR="00FD2B81" w:rsidRPr="00A57E44">
        <w:rPr>
          <w:rFonts w:ascii="Helvetica" w:hAnsi="Helvetica" w:cs="Helvetica"/>
          <w:b/>
        </w:rPr>
        <w:t>.</w:t>
      </w:r>
      <w:r w:rsidRPr="00A57E44">
        <w:rPr>
          <w:rFonts w:ascii="Helvetica" w:hAnsi="Helvetica" w:cs="Helvetica"/>
          <w:b/>
        </w:rPr>
        <w:t xml:space="preserve"> </w:t>
      </w:r>
      <w:r w:rsidR="00581C0C" w:rsidRPr="00A57E44">
        <w:rPr>
          <w:rFonts w:ascii="Helvetica" w:hAnsi="Helvetica" w:cs="Helvetica"/>
          <w:b/>
        </w:rPr>
        <w:t xml:space="preserve"> </w:t>
      </w:r>
      <w:r w:rsidRPr="00A57E44">
        <w:rPr>
          <w:rFonts w:ascii="Helvetica" w:hAnsi="Helvetica" w:cs="Helvetica"/>
          <w:b/>
        </w:rPr>
        <w:t>Additional Requirements for Mitigation Plans</w:t>
      </w:r>
      <w:bookmarkEnd w:id="25"/>
    </w:p>
    <w:p w14:paraId="37DDAAD9" w14:textId="77777777" w:rsidR="0097193B" w:rsidRPr="006751CD" w:rsidRDefault="0097193B" w:rsidP="00581C0C">
      <w:pPr>
        <w:pStyle w:val="standard"/>
      </w:pPr>
      <w:r w:rsidRPr="006751CD">
        <w:t>These additional requirements are:</w:t>
      </w:r>
    </w:p>
    <w:p w14:paraId="4DF00612" w14:textId="77777777" w:rsidR="0097193B" w:rsidRPr="009C47B9" w:rsidRDefault="0097193B" w:rsidP="00205FD0">
      <w:pPr>
        <w:pStyle w:val="ListParagraph"/>
        <w:numPr>
          <w:ilvl w:val="0"/>
          <w:numId w:val="26"/>
        </w:numPr>
        <w:pBdr>
          <w:top w:val="nil"/>
          <w:left w:val="nil"/>
          <w:bottom w:val="nil"/>
          <w:right w:val="nil"/>
          <w:between w:val="nil"/>
          <w:bar w:val="nil"/>
        </w:pBdr>
        <w:spacing w:after="120"/>
        <w:ind w:left="1080" w:right="1440"/>
        <w:contextualSpacing w:val="0"/>
        <w:rPr>
          <w:rFonts w:eastAsia="Times" w:cs="Times"/>
        </w:rPr>
      </w:pPr>
      <w:r w:rsidRPr="009C47B9">
        <w:rPr>
          <w:rFonts w:eastAsia="Palatino Linotype" w:cs="Palatino Linotype"/>
          <w:szCs w:val="26"/>
        </w:rPr>
        <w:lastRenderedPageBreak/>
        <w:t>California electric utilities shall</w:t>
      </w:r>
      <w:r>
        <w:rPr>
          <w:rFonts w:eastAsia="Palatino Linotype" w:cs="Palatino Linotype"/>
          <w:szCs w:val="26"/>
        </w:rPr>
        <w:t>,</w:t>
      </w:r>
      <w:r w:rsidRPr="009C47B9">
        <w:rPr>
          <w:rFonts w:eastAsia="Palatino Linotype" w:cs="Palatino Linotype"/>
          <w:szCs w:val="26"/>
        </w:rPr>
        <w:t xml:space="preserve"> within any new or renovated distribution substation, incorporate and design their facilities to incorporate reasonable security features. </w:t>
      </w:r>
    </w:p>
    <w:p w14:paraId="0C25C612" w14:textId="77777777" w:rsidR="0097193B" w:rsidRPr="009C47B9" w:rsidRDefault="0097193B" w:rsidP="00205FD0">
      <w:pPr>
        <w:pStyle w:val="ListParagraph"/>
        <w:numPr>
          <w:ilvl w:val="0"/>
          <w:numId w:val="26"/>
        </w:numPr>
        <w:pBdr>
          <w:top w:val="nil"/>
          <w:left w:val="nil"/>
          <w:bottom w:val="nil"/>
          <w:right w:val="nil"/>
          <w:between w:val="nil"/>
          <w:bar w:val="nil"/>
        </w:pBdr>
        <w:spacing w:after="120"/>
        <w:ind w:left="1080" w:right="1440"/>
        <w:contextualSpacing w:val="0"/>
        <w:rPr>
          <w:rFonts w:eastAsia="Times" w:cs="Times"/>
        </w:rPr>
      </w:pPr>
      <w:r w:rsidRPr="009C47B9">
        <w:rPr>
          <w:rFonts w:eastAsia="Palatino Linotype" w:cs="Palatino Linotype"/>
          <w:szCs w:val="26"/>
        </w:rPr>
        <w:t>Utilities’ security plans shall include a detailed narrative explaining how the utility is taking steps to implement:</w:t>
      </w:r>
    </w:p>
    <w:p w14:paraId="202C58BD" w14:textId="77777777" w:rsidR="0097193B" w:rsidRPr="009C47B9" w:rsidRDefault="0097193B" w:rsidP="002E5A0F">
      <w:pPr>
        <w:pStyle w:val="ListParagraph"/>
        <w:numPr>
          <w:ilvl w:val="0"/>
          <w:numId w:val="31"/>
        </w:numPr>
        <w:pBdr>
          <w:top w:val="nil"/>
          <w:left w:val="nil"/>
          <w:bottom w:val="nil"/>
          <w:right w:val="nil"/>
          <w:between w:val="nil"/>
          <w:bar w:val="nil"/>
        </w:pBdr>
        <w:spacing w:after="120"/>
        <w:ind w:left="1440" w:right="1440"/>
        <w:contextualSpacing w:val="0"/>
        <w:rPr>
          <w:rFonts w:eastAsia="Times" w:cs="Times"/>
        </w:rPr>
      </w:pPr>
      <w:r w:rsidRPr="009C47B9">
        <w:rPr>
          <w:rFonts w:eastAsia="Palatino Linotype" w:cs="Palatino Linotype"/>
          <w:szCs w:val="26"/>
        </w:rPr>
        <w:t>An asset management program to promote optimization and quality assurance for tracking and locating spare parts stock, ensuring availability and the rapid dispatch of available spare parts;</w:t>
      </w:r>
    </w:p>
    <w:p w14:paraId="605506FA" w14:textId="77777777" w:rsidR="0097193B" w:rsidRPr="006751CD" w:rsidRDefault="0097193B" w:rsidP="002E5A0F">
      <w:pPr>
        <w:pStyle w:val="ListParagraph"/>
        <w:numPr>
          <w:ilvl w:val="0"/>
          <w:numId w:val="31"/>
        </w:numPr>
        <w:pBdr>
          <w:top w:val="nil"/>
          <w:left w:val="nil"/>
          <w:bottom w:val="nil"/>
          <w:right w:val="nil"/>
          <w:between w:val="nil"/>
          <w:bar w:val="nil"/>
        </w:pBdr>
        <w:spacing w:after="120"/>
        <w:ind w:left="1440" w:right="1440"/>
        <w:contextualSpacing w:val="0"/>
        <w:rPr>
          <w:rFonts w:eastAsia="Times" w:cs="Times"/>
        </w:rPr>
      </w:pPr>
      <w:r w:rsidRPr="006751CD">
        <w:rPr>
          <w:rFonts w:eastAsia="Palatino Linotype" w:cs="Palatino Linotype"/>
          <w:szCs w:val="26"/>
        </w:rPr>
        <w:t>A robust workforce training and retention program to employ a full roster of highly-qualified service technicians able to respond to make repairs in short order throughout a utility’s service territory using spare parts stockpiles and inventory;</w:t>
      </w:r>
    </w:p>
    <w:p w14:paraId="38F98721" w14:textId="77777777" w:rsidR="0097193B" w:rsidRPr="006751CD" w:rsidRDefault="0097193B" w:rsidP="002E5A0F">
      <w:pPr>
        <w:pStyle w:val="ListParagraph"/>
        <w:numPr>
          <w:ilvl w:val="0"/>
          <w:numId w:val="31"/>
        </w:numPr>
        <w:pBdr>
          <w:top w:val="nil"/>
          <w:left w:val="nil"/>
          <w:bottom w:val="nil"/>
          <w:right w:val="nil"/>
          <w:between w:val="nil"/>
          <w:bar w:val="nil"/>
        </w:pBdr>
        <w:spacing w:after="120"/>
        <w:ind w:left="1440" w:right="1440"/>
        <w:contextualSpacing w:val="0"/>
        <w:rPr>
          <w:rFonts w:eastAsia="Times" w:cs="Times"/>
        </w:rPr>
      </w:pPr>
      <w:r w:rsidRPr="006751CD">
        <w:rPr>
          <w:rFonts w:eastAsia="Palatino Linotype" w:cs="Palatino Linotype"/>
          <w:szCs w:val="26"/>
        </w:rPr>
        <w:t>A preventative maintenance plan for security equipment to ensure that mitigation measures are functional and performing adequately; and,</w:t>
      </w:r>
    </w:p>
    <w:p w14:paraId="57C1BC74" w14:textId="77777777" w:rsidR="0097193B" w:rsidRPr="006751CD" w:rsidRDefault="0097193B" w:rsidP="002E5A0F">
      <w:pPr>
        <w:pStyle w:val="ListParagraph"/>
        <w:numPr>
          <w:ilvl w:val="0"/>
          <w:numId w:val="31"/>
        </w:numPr>
        <w:pBdr>
          <w:top w:val="nil"/>
          <w:left w:val="nil"/>
          <w:bottom w:val="nil"/>
          <w:right w:val="nil"/>
          <w:between w:val="nil"/>
          <w:bar w:val="nil"/>
        </w:pBdr>
        <w:spacing w:after="120"/>
        <w:ind w:left="1440" w:right="1440"/>
        <w:contextualSpacing w:val="0"/>
        <w:rPr>
          <w:rFonts w:eastAsia="Times" w:cs="Times"/>
        </w:rPr>
      </w:pPr>
      <w:r w:rsidRPr="006751CD">
        <w:rPr>
          <w:rFonts w:eastAsia="Palatino Linotype" w:cs="Palatino Linotype"/>
          <w:szCs w:val="26"/>
        </w:rPr>
        <w:t>A description of Distribution Control Center and Security Control Center roles and actions related to distribution system physical security (this item would be for IOUs only).</w:t>
      </w:r>
    </w:p>
    <w:p w14:paraId="3E678236" w14:textId="157EB446" w:rsidR="0097193B" w:rsidRPr="00B412F3" w:rsidRDefault="0097193B" w:rsidP="00B412F3">
      <w:pPr>
        <w:pStyle w:val="Heading3"/>
      </w:pPr>
      <w:bookmarkStart w:id="26" w:name="_Toc529357796"/>
      <w:r w:rsidRPr="00B412F3">
        <w:t>6.2.1</w:t>
      </w:r>
      <w:r w:rsidR="00FD2B81">
        <w:t>.</w:t>
      </w:r>
      <w:r w:rsidRPr="00B412F3">
        <w:t xml:space="preserve"> Additional Optional Requirements</w:t>
      </w:r>
      <w:r w:rsidR="00A57E44">
        <w:t xml:space="preserve"> </w:t>
      </w:r>
      <w:r w:rsidRPr="00B412F3">
        <w:t>for</w:t>
      </w:r>
      <w:r w:rsidR="00A57E44">
        <w:t xml:space="preserve"> </w:t>
      </w:r>
      <w:r w:rsidRPr="00B412F3">
        <w:t>Mitigation Plans</w:t>
      </w:r>
      <w:bookmarkEnd w:id="26"/>
    </w:p>
    <w:p w14:paraId="23FB23D1" w14:textId="77777777" w:rsidR="0097193B" w:rsidRPr="006751CD" w:rsidRDefault="0097193B" w:rsidP="0084433D">
      <w:pPr>
        <w:pStyle w:val="standard"/>
        <w:rPr>
          <w:rFonts w:eastAsia="Palatino Linotype"/>
        </w:rPr>
      </w:pPr>
      <w:r w:rsidRPr="006751CD">
        <w:rPr>
          <w:rFonts w:eastAsia="Palatino Linotype"/>
        </w:rPr>
        <w:t>The Commission highly encourages and recommends the following</w:t>
      </w:r>
      <w:r w:rsidRPr="00513EED">
        <w:rPr>
          <w:rFonts w:eastAsia="Palatino Linotype"/>
        </w:rPr>
        <w:t xml:space="preserve"> </w:t>
      </w:r>
      <w:r w:rsidRPr="00A57E44">
        <w:rPr>
          <w:rFonts w:eastAsia="Palatino Linotype"/>
        </w:rPr>
        <w:t>optional</w:t>
      </w:r>
      <w:r w:rsidRPr="006751CD">
        <w:rPr>
          <w:rFonts w:eastAsia="Palatino Linotype"/>
        </w:rPr>
        <w:t xml:space="preserve"> security measures and best practices:</w:t>
      </w:r>
    </w:p>
    <w:p w14:paraId="7499C65D" w14:textId="77777777" w:rsidR="0097193B" w:rsidRPr="006751CD" w:rsidRDefault="0097193B" w:rsidP="0084433D">
      <w:pPr>
        <w:pStyle w:val="ListParagraph"/>
        <w:numPr>
          <w:ilvl w:val="0"/>
          <w:numId w:val="27"/>
        </w:numPr>
        <w:pBdr>
          <w:top w:val="nil"/>
          <w:left w:val="nil"/>
          <w:bottom w:val="nil"/>
          <w:right w:val="nil"/>
          <w:between w:val="nil"/>
          <w:bar w:val="nil"/>
        </w:pBdr>
        <w:spacing w:after="120"/>
        <w:ind w:left="1080" w:right="1440"/>
        <w:contextualSpacing w:val="0"/>
        <w:rPr>
          <w:rFonts w:eastAsia="Times" w:cs="Times"/>
        </w:rPr>
      </w:pPr>
      <w:r w:rsidRPr="006751CD">
        <w:rPr>
          <w:rFonts w:eastAsia="Palatino Linotype" w:cs="Palatino Linotype"/>
          <w:szCs w:val="26"/>
        </w:rPr>
        <w:t>A training program for appropriate local law enforcement and utility security staff to optimize communication during a physical security event.</w:t>
      </w:r>
      <w:r w:rsidR="005F3674">
        <w:rPr>
          <w:rFonts w:eastAsia="Palatino Linotype" w:cs="Palatino Linotype"/>
          <w:szCs w:val="26"/>
        </w:rPr>
        <w:t xml:space="preserve"> </w:t>
      </w:r>
      <w:r w:rsidRPr="006751CD">
        <w:rPr>
          <w:rFonts w:eastAsia="Palatino Linotype" w:cs="Palatino Linotype"/>
          <w:szCs w:val="26"/>
        </w:rPr>
        <w:t xml:space="preserve"> Training for law enforcement should include information on physical infrastructure and relevant utility operations;</w:t>
      </w:r>
    </w:p>
    <w:p w14:paraId="4A5BDBE4" w14:textId="77777777" w:rsidR="0097193B" w:rsidRPr="006751CD" w:rsidRDefault="0097193B" w:rsidP="0084433D">
      <w:pPr>
        <w:pStyle w:val="ListParagraph"/>
        <w:numPr>
          <w:ilvl w:val="0"/>
          <w:numId w:val="27"/>
        </w:numPr>
        <w:pBdr>
          <w:top w:val="nil"/>
          <w:left w:val="nil"/>
          <w:bottom w:val="nil"/>
          <w:right w:val="nil"/>
          <w:between w:val="nil"/>
          <w:bar w:val="nil"/>
        </w:pBdr>
        <w:spacing w:after="120"/>
        <w:ind w:left="1080" w:right="1440"/>
        <w:contextualSpacing w:val="0"/>
        <w:rPr>
          <w:rFonts w:eastAsia="Times" w:cs="Times"/>
          <w:bCs/>
        </w:rPr>
      </w:pPr>
      <w:r w:rsidRPr="006751CD">
        <w:rPr>
          <w:rFonts w:eastAsia="Palatino Linotype" w:cs="Palatino Linotype"/>
          <w:szCs w:val="26"/>
        </w:rPr>
        <w:t>A determination of the vulnerability of any associated communication utility infrastructure that supports priority distribution assets, which if deemed to be vulnerable, should have appropriate mitigation measures prescribed; and</w:t>
      </w:r>
    </w:p>
    <w:p w14:paraId="410F8847" w14:textId="77777777" w:rsidR="0097193B" w:rsidRDefault="0097193B" w:rsidP="0084433D">
      <w:pPr>
        <w:pStyle w:val="ListParagraph"/>
        <w:numPr>
          <w:ilvl w:val="0"/>
          <w:numId w:val="27"/>
        </w:numPr>
        <w:pBdr>
          <w:top w:val="nil"/>
          <w:left w:val="nil"/>
          <w:bottom w:val="nil"/>
          <w:right w:val="nil"/>
          <w:between w:val="nil"/>
          <w:bar w:val="nil"/>
        </w:pBdr>
        <w:spacing w:after="120"/>
        <w:ind w:left="1080" w:right="1440"/>
        <w:contextualSpacing w:val="0"/>
        <w:rPr>
          <w:rFonts w:eastAsia="Palatino Linotype" w:cs="Palatino Linotype"/>
          <w:szCs w:val="26"/>
        </w:rPr>
      </w:pPr>
      <w:r w:rsidRPr="006751CD">
        <w:rPr>
          <w:rFonts w:eastAsia="Palatino Linotype" w:cs="Palatino Linotype"/>
          <w:szCs w:val="26"/>
        </w:rPr>
        <w:lastRenderedPageBreak/>
        <w:t xml:space="preserve">Incorporating into applicable new and renovated or upgraded utility facilities design features that promote a sense of order and ownership, increase surrounding visibility and sightlines, capture opportunities for defensibility, and confound intrusion attempts by delaying and frustrating attackers via strategic placement of assets. These concepts, well-established within and embraced by the power industry and other applications, are encouraged and called out by NERC within CIP-014 guidelines as </w:t>
      </w:r>
      <w:r w:rsidRPr="006751CD">
        <w:rPr>
          <w:rFonts w:eastAsia="Palatino Linotype" w:cs="Palatino Linotype"/>
          <w:iCs/>
          <w:szCs w:val="26"/>
        </w:rPr>
        <w:t xml:space="preserve">Defense in Depth </w:t>
      </w:r>
      <w:r w:rsidRPr="006751CD">
        <w:rPr>
          <w:rFonts w:eastAsia="Palatino Linotype" w:cs="Palatino Linotype"/>
          <w:szCs w:val="26"/>
        </w:rPr>
        <w:t>and</w:t>
      </w:r>
      <w:r w:rsidRPr="006751CD">
        <w:rPr>
          <w:rFonts w:eastAsia="Palatino Linotype" w:cs="Palatino Linotype"/>
          <w:iCs/>
          <w:szCs w:val="26"/>
        </w:rPr>
        <w:t xml:space="preserve"> Community Protection through Environmental Design</w:t>
      </w:r>
      <w:r w:rsidRPr="006751CD">
        <w:rPr>
          <w:rFonts w:eastAsia="Palatino Linotype" w:cs="Palatino Linotype"/>
          <w:szCs w:val="26"/>
        </w:rPr>
        <w:t>.</w:t>
      </w:r>
    </w:p>
    <w:p w14:paraId="65D5CA37" w14:textId="5422DA6A" w:rsidR="0097193B" w:rsidRPr="009E077D" w:rsidRDefault="00B83592" w:rsidP="006377A7">
      <w:pPr>
        <w:pStyle w:val="Heading2"/>
        <w:keepNext/>
        <w:keepLines/>
        <w:ind w:left="1267" w:hanging="547"/>
      </w:pPr>
      <w:r>
        <w:rPr>
          <w:rFonts w:eastAsia="Palatino Linotype" w:cs="Palatino Linotype"/>
          <w:szCs w:val="26"/>
        </w:rPr>
        <w:t xml:space="preserve">       </w:t>
      </w:r>
      <w:r w:rsidR="000C6EDA" w:rsidRPr="00166981">
        <w:rPr>
          <w:rFonts w:eastAsia="Palatino Linotype" w:cs="Palatino Linotype"/>
          <w:szCs w:val="26"/>
        </w:rPr>
        <w:t>The Commission finds that these additional measures hold potential for increasing grid resilience and reliability, but declines at this</w:t>
      </w:r>
      <w:r w:rsidRPr="00166981">
        <w:rPr>
          <w:rFonts w:eastAsia="Palatino Linotype" w:cs="Palatino Linotype"/>
          <w:szCs w:val="26"/>
        </w:rPr>
        <w:t xml:space="preserve"> time </w:t>
      </w:r>
      <w:r w:rsidR="000C6EDA" w:rsidRPr="00166981">
        <w:rPr>
          <w:rFonts w:eastAsia="Palatino Linotype" w:cs="Palatino Linotype"/>
          <w:szCs w:val="26"/>
        </w:rPr>
        <w:t xml:space="preserve">to make the measures obligatory, recognizing the utilities’ work ahead </w:t>
      </w:r>
      <w:r w:rsidRPr="00166981">
        <w:rPr>
          <w:rFonts w:eastAsia="Palatino Linotype" w:cs="Palatino Linotype"/>
          <w:szCs w:val="26"/>
        </w:rPr>
        <w:t xml:space="preserve">to </w:t>
      </w:r>
      <w:r w:rsidR="000C6EDA" w:rsidRPr="00166981">
        <w:rPr>
          <w:rFonts w:eastAsia="Palatino Linotype" w:cs="Palatino Linotype"/>
          <w:szCs w:val="26"/>
        </w:rPr>
        <w:t>master new physical security regulations and comple</w:t>
      </w:r>
      <w:r w:rsidR="002919D8" w:rsidRPr="00166981">
        <w:rPr>
          <w:rFonts w:eastAsia="Palatino Linotype" w:cs="Palatino Linotype"/>
          <w:szCs w:val="26"/>
        </w:rPr>
        <w:t>te</w:t>
      </w:r>
      <w:r w:rsidR="000C6EDA" w:rsidRPr="00166981">
        <w:rPr>
          <w:rFonts w:eastAsia="Palatino Linotype" w:cs="Palatino Linotype"/>
          <w:szCs w:val="26"/>
        </w:rPr>
        <w:t xml:space="preserve"> their first iteration of</w:t>
      </w:r>
      <w:r w:rsidRPr="00166981">
        <w:rPr>
          <w:rFonts w:eastAsia="Palatino Linotype" w:cs="Palatino Linotype"/>
          <w:szCs w:val="26"/>
        </w:rPr>
        <w:t xml:space="preserve"> </w:t>
      </w:r>
      <w:r w:rsidR="000C6EDA" w:rsidRPr="00166981">
        <w:rPr>
          <w:rFonts w:eastAsia="Palatino Linotype" w:cs="Palatino Linotype"/>
          <w:szCs w:val="26"/>
        </w:rPr>
        <w:t xml:space="preserve">mitigation </w:t>
      </w:r>
      <w:r w:rsidRPr="00166981">
        <w:rPr>
          <w:rFonts w:eastAsia="Palatino Linotype" w:cs="Palatino Linotype"/>
          <w:szCs w:val="26"/>
        </w:rPr>
        <w:t>plans and annual reports.</w:t>
      </w:r>
      <w:r w:rsidR="002919D8" w:rsidRPr="00166981">
        <w:rPr>
          <w:rFonts w:eastAsia="Palatino Linotype" w:cs="Palatino Linotype"/>
          <w:szCs w:val="26"/>
        </w:rPr>
        <w:t xml:space="preserve"> </w:t>
      </w:r>
      <w:bookmarkStart w:id="27" w:name="_Toc529357797"/>
      <w:r w:rsidR="0097193B">
        <w:t>6.3</w:t>
      </w:r>
      <w:r w:rsidR="00FD2B81">
        <w:t xml:space="preserve">. </w:t>
      </w:r>
      <w:r w:rsidR="0097193B">
        <w:t xml:space="preserve"> </w:t>
      </w:r>
      <w:r w:rsidR="0097193B" w:rsidRPr="009E077D">
        <w:t>Third-Party Verification</w:t>
      </w:r>
      <w:bookmarkEnd w:id="27"/>
    </w:p>
    <w:p w14:paraId="55BB8489" w14:textId="77777777" w:rsidR="0097193B" w:rsidRPr="006751CD" w:rsidRDefault="0097193B" w:rsidP="00392DFB">
      <w:pPr>
        <w:pStyle w:val="standard"/>
        <w:rPr>
          <w:rFonts w:eastAsia="Palatino Linotype"/>
        </w:rPr>
      </w:pPr>
      <w:r w:rsidRPr="006751CD">
        <w:rPr>
          <w:rFonts w:eastAsia="Palatino Linotype"/>
        </w:rPr>
        <w:t>A</w:t>
      </w:r>
      <w:r>
        <w:rPr>
          <w:rFonts w:eastAsia="Palatino Linotype"/>
        </w:rPr>
        <w:t>s noted in Section 6.1 above (“</w:t>
      </w:r>
      <w:r w:rsidRPr="00ED7307">
        <w:rPr>
          <w:rFonts w:eastAsia="Palatino Linotype"/>
        </w:rPr>
        <w:t xml:space="preserve">Step 2. </w:t>
      </w:r>
      <w:r w:rsidR="00F74847">
        <w:rPr>
          <w:rFonts w:eastAsia="Palatino Linotype"/>
        </w:rPr>
        <w:t xml:space="preserve"> </w:t>
      </w:r>
      <w:r w:rsidRPr="00ED7307">
        <w:rPr>
          <w:rFonts w:eastAsia="Palatino Linotype"/>
        </w:rPr>
        <w:t>Independent Review and Utility Response to Recommendations</w:t>
      </w:r>
      <w:r>
        <w:rPr>
          <w:rFonts w:eastAsia="Palatino Linotype"/>
        </w:rPr>
        <w:t xml:space="preserve">”), a </w:t>
      </w:r>
      <w:r w:rsidRPr="006751CD">
        <w:rPr>
          <w:rFonts w:eastAsia="Palatino Linotype"/>
        </w:rPr>
        <w:t>required third-party review</w:t>
      </w:r>
      <w:r>
        <w:rPr>
          <w:rFonts w:eastAsia="Palatino Linotype"/>
        </w:rPr>
        <w:t xml:space="preserve"> shall o</w:t>
      </w:r>
      <w:r w:rsidRPr="006751CD">
        <w:rPr>
          <w:rFonts w:eastAsia="Palatino Linotype"/>
        </w:rPr>
        <w:t>ccur in tandem with completion of a list of recommended mitigation measures.</w:t>
      </w:r>
      <w:r w:rsidRPr="006751CD">
        <w:rPr>
          <w:rFonts w:eastAsia="Palatino Linotype"/>
          <w:vertAlign w:val="superscript"/>
        </w:rPr>
        <w:footnoteReference w:id="55"/>
      </w:r>
      <w:r w:rsidR="00392DFB">
        <w:rPr>
          <w:rFonts w:eastAsia="Palatino Linotype"/>
        </w:rPr>
        <w:t xml:space="preserve"> </w:t>
      </w:r>
      <w:r w:rsidRPr="006751CD">
        <w:rPr>
          <w:rFonts w:eastAsia="Palatino Linotype"/>
        </w:rPr>
        <w:t xml:space="preserve"> </w:t>
      </w:r>
      <w:r w:rsidRPr="005C404A">
        <w:rPr>
          <w:rFonts w:eastAsia="Palatino Linotype"/>
        </w:rPr>
        <w:t xml:space="preserve">The third-party reviewer </w:t>
      </w:r>
      <w:r>
        <w:rPr>
          <w:rFonts w:eastAsia="Palatino Linotype"/>
        </w:rPr>
        <w:t>shall</w:t>
      </w:r>
      <w:r w:rsidRPr="005C404A">
        <w:rPr>
          <w:rFonts w:eastAsia="Palatino Linotype"/>
        </w:rPr>
        <w:t xml:space="preserve"> prepare recommendation</w:t>
      </w:r>
      <w:r>
        <w:rPr>
          <w:rFonts w:eastAsia="Palatino Linotype"/>
        </w:rPr>
        <w:t>s</w:t>
      </w:r>
      <w:r w:rsidRPr="005C404A">
        <w:rPr>
          <w:rFonts w:eastAsia="Palatino Linotype"/>
        </w:rPr>
        <w:t xml:space="preserve"> on appropriate mitigation measures and/or a statement supporting or </w:t>
      </w:r>
      <w:r>
        <w:rPr>
          <w:rFonts w:eastAsia="Palatino Linotype"/>
        </w:rPr>
        <w:t xml:space="preserve">rejecting </w:t>
      </w:r>
      <w:r w:rsidRPr="005C404A">
        <w:rPr>
          <w:rFonts w:eastAsia="Palatino Linotype"/>
        </w:rPr>
        <w:t>proposed mitigation measures</w:t>
      </w:r>
      <w:r>
        <w:rPr>
          <w:rFonts w:eastAsia="Palatino Linotype"/>
        </w:rPr>
        <w:t>.  This statement shall contain justification for the acceptance or rejection of each proposed mitigation measure.</w:t>
      </w:r>
    </w:p>
    <w:p w14:paraId="15D84C78" w14:textId="77777777" w:rsidR="0097193B" w:rsidRPr="006751CD" w:rsidRDefault="0097193B" w:rsidP="00392DFB">
      <w:pPr>
        <w:pStyle w:val="standard"/>
        <w:rPr>
          <w:rFonts w:eastAsia="Palatino Linotype"/>
        </w:rPr>
      </w:pPr>
      <w:r>
        <w:rPr>
          <w:rFonts w:eastAsia="Palatino Linotype"/>
        </w:rPr>
        <w:t xml:space="preserve">Each utility shall </w:t>
      </w:r>
      <w:r w:rsidRPr="005C404A">
        <w:rPr>
          <w:rFonts w:eastAsia="Palatino Linotype"/>
        </w:rPr>
        <w:t xml:space="preserve">produce a response to </w:t>
      </w:r>
      <w:r>
        <w:rPr>
          <w:rFonts w:eastAsia="Palatino Linotype"/>
        </w:rPr>
        <w:t xml:space="preserve">these </w:t>
      </w:r>
      <w:r w:rsidRPr="005C404A">
        <w:rPr>
          <w:rFonts w:eastAsia="Palatino Linotype"/>
        </w:rPr>
        <w:t>proposed mitigation measures and</w:t>
      </w:r>
      <w:r w:rsidRPr="006751CD">
        <w:rPr>
          <w:rFonts w:eastAsia="Palatino Linotype"/>
        </w:rPr>
        <w:t xml:space="preserve"> the third-party expert’s opinion and recommendation</w:t>
      </w:r>
      <w:r>
        <w:rPr>
          <w:rFonts w:eastAsia="Palatino Linotype"/>
        </w:rPr>
        <w:t>s</w:t>
      </w:r>
      <w:r w:rsidRPr="006751CD">
        <w:rPr>
          <w:rFonts w:eastAsia="Palatino Linotype"/>
        </w:rPr>
        <w:t xml:space="preserve">, indicating whether </w:t>
      </w:r>
      <w:r>
        <w:rPr>
          <w:rFonts w:eastAsia="Palatino Linotype"/>
        </w:rPr>
        <w:t xml:space="preserve">it </w:t>
      </w:r>
      <w:r w:rsidRPr="006751CD">
        <w:rPr>
          <w:rFonts w:eastAsia="Palatino Linotype"/>
        </w:rPr>
        <w:t xml:space="preserve">concurs or disagrees, and whether a given mitigation measure </w:t>
      </w:r>
      <w:r>
        <w:rPr>
          <w:rFonts w:eastAsia="Palatino Linotype"/>
        </w:rPr>
        <w:t xml:space="preserve">will </w:t>
      </w:r>
      <w:r w:rsidRPr="006751CD">
        <w:rPr>
          <w:rFonts w:eastAsia="Palatino Linotype"/>
        </w:rPr>
        <w:t xml:space="preserve">be implemented, or is declined. </w:t>
      </w:r>
      <w:r w:rsidR="002C4D8A">
        <w:rPr>
          <w:rFonts w:eastAsia="Palatino Linotype"/>
        </w:rPr>
        <w:t xml:space="preserve"> </w:t>
      </w:r>
      <w:r w:rsidRPr="006751CD">
        <w:rPr>
          <w:rFonts w:eastAsia="Palatino Linotype"/>
        </w:rPr>
        <w:t>Utilities should provide a justification for declining any proposed mitigation measures.</w:t>
      </w:r>
    </w:p>
    <w:p w14:paraId="25FA6320" w14:textId="77777777" w:rsidR="0097193B" w:rsidRPr="006751CD" w:rsidRDefault="0097193B" w:rsidP="00BB3649">
      <w:pPr>
        <w:pStyle w:val="standard"/>
        <w:rPr>
          <w:rFonts w:eastAsia="Palatino Linotype"/>
        </w:rPr>
      </w:pPr>
      <w:r>
        <w:rPr>
          <w:rFonts w:eastAsia="Palatino Linotype"/>
        </w:rPr>
        <w:lastRenderedPageBreak/>
        <w:t xml:space="preserve">A utility’s </w:t>
      </w:r>
      <w:r w:rsidRPr="006751CD">
        <w:rPr>
          <w:rFonts w:eastAsia="Palatino Linotype"/>
        </w:rPr>
        <w:t xml:space="preserve">risk-threat assessment, mitigation plan, consultant appraisal and statement, and utility response, would together comprise </w:t>
      </w:r>
      <w:r>
        <w:rPr>
          <w:rFonts w:eastAsia="Palatino Linotype"/>
        </w:rPr>
        <w:t xml:space="preserve">its </w:t>
      </w:r>
      <w:r w:rsidRPr="006751CD">
        <w:rPr>
          <w:rFonts w:eastAsia="Palatino Linotype"/>
          <w:iCs/>
        </w:rPr>
        <w:t>Security Plan</w:t>
      </w:r>
      <w:r>
        <w:rPr>
          <w:rFonts w:eastAsia="Palatino Linotype"/>
          <w:iCs/>
        </w:rPr>
        <w:t xml:space="preserve"> Report</w:t>
      </w:r>
      <w:r w:rsidRPr="006751CD">
        <w:rPr>
          <w:rFonts w:eastAsia="Palatino Linotype"/>
        </w:rPr>
        <w:t xml:space="preserve">. The Security Plan should include an estimated timeframe for </w:t>
      </w:r>
      <w:r>
        <w:rPr>
          <w:rFonts w:eastAsia="Palatino Linotype"/>
        </w:rPr>
        <w:t xml:space="preserve">how long it will take to implement the Mitigation Plan </w:t>
      </w:r>
      <w:r w:rsidRPr="006751CD">
        <w:rPr>
          <w:rFonts w:eastAsia="Palatino Linotype"/>
        </w:rPr>
        <w:t>and a cost estimate for incremental expenses associated with</w:t>
      </w:r>
      <w:r>
        <w:rPr>
          <w:rFonts w:eastAsia="Palatino Linotype"/>
        </w:rPr>
        <w:t xml:space="preserve"> implementing</w:t>
      </w:r>
      <w:r w:rsidRPr="006751CD">
        <w:rPr>
          <w:rFonts w:eastAsia="Palatino Linotype"/>
        </w:rPr>
        <w:t xml:space="preserve"> the </w:t>
      </w:r>
      <w:r>
        <w:rPr>
          <w:rFonts w:eastAsia="Palatino Linotype"/>
        </w:rPr>
        <w:t>Mitigation Plan</w:t>
      </w:r>
      <w:r w:rsidRPr="006751CD">
        <w:rPr>
          <w:rFonts w:eastAsia="Palatino Linotype"/>
        </w:rPr>
        <w:t>.</w:t>
      </w:r>
    </w:p>
    <w:p w14:paraId="11B979B3" w14:textId="77777777" w:rsidR="0097193B" w:rsidRPr="009E077D" w:rsidRDefault="0097193B" w:rsidP="005F3204">
      <w:pPr>
        <w:pStyle w:val="Heading2"/>
        <w:keepNext/>
        <w:keepLines/>
      </w:pPr>
      <w:bookmarkStart w:id="28" w:name="_Toc529357798"/>
      <w:r>
        <w:t>6.4</w:t>
      </w:r>
      <w:r w:rsidR="00FD2B81">
        <w:t xml:space="preserve">. </w:t>
      </w:r>
      <w:r>
        <w:t xml:space="preserve"> </w:t>
      </w:r>
      <w:r w:rsidRPr="009E077D">
        <w:t>Third-Party Expert Qualifications</w:t>
      </w:r>
      <w:bookmarkEnd w:id="28"/>
    </w:p>
    <w:p w14:paraId="137E8EEA" w14:textId="77777777" w:rsidR="0097193B" w:rsidRPr="00726B9C" w:rsidRDefault="0097193B" w:rsidP="005F3204">
      <w:pPr>
        <w:pStyle w:val="standard"/>
        <w:keepNext/>
        <w:keepLines/>
        <w:rPr>
          <w:rFonts w:eastAsia="Palatino Linotype"/>
        </w:rPr>
      </w:pPr>
      <w:r>
        <w:rPr>
          <w:rFonts w:eastAsia="Palatino Linotype"/>
        </w:rPr>
        <w:t xml:space="preserve">Each utility </w:t>
      </w:r>
      <w:r w:rsidRPr="006751CD">
        <w:rPr>
          <w:rFonts w:eastAsia="Palatino Linotype"/>
        </w:rPr>
        <w:t>shall employ a qualified third-party expert to provide independent verification of any Distribution Security Program and Mitigation Plans</w:t>
      </w:r>
      <w:r>
        <w:rPr>
          <w:rFonts w:eastAsia="Palatino Linotype"/>
        </w:rPr>
        <w:t xml:space="preserve">, taking the following requirements into account:  </w:t>
      </w:r>
    </w:p>
    <w:p w14:paraId="793D5409" w14:textId="77777777" w:rsidR="0097193B" w:rsidRPr="00384430" w:rsidRDefault="0097193B" w:rsidP="00726B9C">
      <w:pPr>
        <w:pStyle w:val="Quote1"/>
        <w:spacing w:before="0" w:after="120"/>
        <w:ind w:right="1440"/>
        <w:rPr>
          <w:rFonts w:eastAsia="Times" w:cs="Times"/>
        </w:rPr>
      </w:pPr>
      <w:r w:rsidRPr="00384430">
        <w:rPr>
          <w:rFonts w:eastAsia="Palatino Linotype"/>
        </w:rPr>
        <w:t>Unaffiliated Third-Party Reviewer:</w:t>
      </w:r>
      <w:r w:rsidR="00CC200A">
        <w:rPr>
          <w:rFonts w:eastAsia="Palatino Linotype"/>
        </w:rPr>
        <w:t xml:space="preserve"> </w:t>
      </w:r>
      <w:r w:rsidRPr="00384430">
        <w:rPr>
          <w:rFonts w:eastAsia="Palatino Linotype"/>
        </w:rPr>
        <w:t xml:space="preserve"> </w:t>
      </w:r>
      <w:r>
        <w:rPr>
          <w:rFonts w:eastAsia="Palatino Linotype"/>
        </w:rPr>
        <w:t xml:space="preserve">The </w:t>
      </w:r>
      <w:bookmarkStart w:id="29" w:name="_Hlk520463572"/>
      <w:r>
        <w:rPr>
          <w:rFonts w:eastAsia="Palatino Linotype"/>
        </w:rPr>
        <w:t>Unaffiliated Third</w:t>
      </w:r>
      <w:r w:rsidR="00CC200A">
        <w:rPr>
          <w:rFonts w:eastAsia="Palatino Linotype"/>
        </w:rPr>
        <w:noBreakHyphen/>
      </w:r>
      <w:r>
        <w:rPr>
          <w:rFonts w:eastAsia="Palatino Linotype"/>
        </w:rPr>
        <w:t xml:space="preserve">Party Reviewer </w:t>
      </w:r>
      <w:bookmarkEnd w:id="29"/>
      <w:r>
        <w:rPr>
          <w:rFonts w:eastAsia="Palatino Linotype"/>
        </w:rPr>
        <w:t xml:space="preserve">shall be an </w:t>
      </w:r>
      <w:r w:rsidRPr="00384430">
        <w:rPr>
          <w:rFonts w:eastAsia="Palatino Linotype"/>
        </w:rPr>
        <w:t xml:space="preserve">entity other than the Operator with appropriate expertise, as described below. </w:t>
      </w:r>
      <w:r w:rsidR="00CC200A">
        <w:rPr>
          <w:rFonts w:eastAsia="Palatino Linotype"/>
        </w:rPr>
        <w:t xml:space="preserve"> </w:t>
      </w:r>
      <w:r w:rsidRPr="00384430">
        <w:rPr>
          <w:rFonts w:eastAsia="Palatino Linotype"/>
        </w:rPr>
        <w:t xml:space="preserve">The selected third-party reviewer cannot be a corporate affiliate </w:t>
      </w:r>
      <w:r>
        <w:rPr>
          <w:rFonts w:eastAsia="Palatino Linotype"/>
        </w:rPr>
        <w:t xml:space="preserve">of the Operator </w:t>
      </w:r>
      <w:r w:rsidRPr="00384430">
        <w:rPr>
          <w:rFonts w:eastAsia="Palatino Linotype"/>
        </w:rPr>
        <w:t>(</w:t>
      </w:r>
      <w:r w:rsidRPr="00CC200A">
        <w:rPr>
          <w:rFonts w:eastAsia="Palatino Linotype"/>
          <w:i/>
        </w:rPr>
        <w:t>i.e.,</w:t>
      </w:r>
      <w:r w:rsidRPr="00384430">
        <w:rPr>
          <w:rFonts w:eastAsia="Palatino Linotype"/>
        </w:rPr>
        <w:t xml:space="preserve"> the third-party reviewer cannot be an entity that</w:t>
      </w:r>
      <w:r>
        <w:rPr>
          <w:rFonts w:eastAsia="Palatino Linotype"/>
        </w:rPr>
        <w:t xml:space="preserve"> is</w:t>
      </w:r>
      <w:r w:rsidRPr="00384430">
        <w:rPr>
          <w:rFonts w:eastAsia="Palatino Linotype"/>
        </w:rPr>
        <w:t xml:space="preserve"> c</w:t>
      </w:r>
      <w:r>
        <w:rPr>
          <w:rFonts w:eastAsia="Palatino Linotype"/>
        </w:rPr>
        <w:t>ontrolled by the utility or</w:t>
      </w:r>
      <w:r w:rsidR="00CC200A">
        <w:rPr>
          <w:rFonts w:eastAsia="Palatino Linotype"/>
        </w:rPr>
        <w:t xml:space="preserve"> </w:t>
      </w:r>
      <w:r w:rsidRPr="00384430">
        <w:rPr>
          <w:rFonts w:eastAsia="Palatino Linotype"/>
        </w:rPr>
        <w:t xml:space="preserve">controlled by or is under common control with, the Operator).  A third-party reviewer also cannot be a division of the Operator that operates as a functional unit. </w:t>
      </w:r>
      <w:r w:rsidR="00CC200A">
        <w:rPr>
          <w:rFonts w:eastAsia="Palatino Linotype"/>
        </w:rPr>
        <w:t xml:space="preserve"> </w:t>
      </w:r>
      <w:r w:rsidRPr="00384430">
        <w:rPr>
          <w:rFonts w:eastAsia="Palatino Linotype"/>
        </w:rPr>
        <w:t>A governmental entity can select as the third</w:t>
      </w:r>
      <w:r w:rsidR="00CC200A">
        <w:rPr>
          <w:rFonts w:eastAsia="Palatino Linotype"/>
        </w:rPr>
        <w:noBreakHyphen/>
      </w:r>
      <w:r w:rsidRPr="00384430">
        <w:rPr>
          <w:rFonts w:eastAsia="Palatino Linotype"/>
        </w:rPr>
        <w:t xml:space="preserve">party reviewer another governmental entity within the same political subdivision, so long as the entity has the appropriate expertise, and is not a division of the Operator that operates as a functional unit, </w:t>
      </w:r>
      <w:r w:rsidRPr="00CC200A">
        <w:rPr>
          <w:rFonts w:eastAsia="Palatino Linotype"/>
          <w:i/>
        </w:rPr>
        <w:t>i.e.,</w:t>
      </w:r>
      <w:r w:rsidRPr="00384430">
        <w:rPr>
          <w:rFonts w:eastAsia="Palatino Linotype"/>
        </w:rPr>
        <w:t xml:space="preserve"> a municipality could use its police department</w:t>
      </w:r>
      <w:r>
        <w:rPr>
          <w:rFonts w:eastAsia="Palatino Linotype"/>
        </w:rPr>
        <w:t xml:space="preserve"> as its third-party reviewer</w:t>
      </w:r>
      <w:r w:rsidRPr="00384430">
        <w:rPr>
          <w:rFonts w:eastAsia="Palatino Linotype"/>
        </w:rPr>
        <w:t xml:space="preserve"> if it has the appropriate expertise.</w:t>
      </w:r>
    </w:p>
    <w:p w14:paraId="40CDE3D7" w14:textId="1FC799D0" w:rsidR="00513EED" w:rsidRDefault="0097193B" w:rsidP="00166981">
      <w:pPr>
        <w:pStyle w:val="standard"/>
        <w:spacing w:line="240" w:lineRule="auto"/>
        <w:ind w:left="720" w:firstLine="0"/>
        <w:rPr>
          <w:rFonts w:eastAsia="Palatino Linotype"/>
        </w:rPr>
      </w:pPr>
      <w:r w:rsidRPr="00384430">
        <w:rPr>
          <w:rFonts w:eastAsia="Palatino Linotype"/>
        </w:rPr>
        <w:t>Unaffiliated Third Party Reviewer Appropriate Expertise</w:t>
      </w:r>
      <w:r w:rsidR="00E64F7E">
        <w:rPr>
          <w:rFonts w:eastAsia="Palatino Linotype"/>
        </w:rPr>
        <w:t>:</w:t>
      </w:r>
      <w:r>
        <w:rPr>
          <w:rStyle w:val="FootnoteReference"/>
          <w:rFonts w:eastAsia="Palatino Linotype" w:cs="Palatino Linotype"/>
          <w:szCs w:val="26"/>
        </w:rPr>
        <w:footnoteReference w:id="56"/>
      </w:r>
      <w:r w:rsidRPr="00384430">
        <w:rPr>
          <w:rFonts w:eastAsia="Palatino Linotype"/>
        </w:rPr>
        <w:t xml:space="preserve"> </w:t>
      </w:r>
      <w:r w:rsidR="00CC200A">
        <w:rPr>
          <w:rFonts w:eastAsia="Palatino Linotype"/>
        </w:rPr>
        <w:t xml:space="preserve"> </w:t>
      </w:r>
      <w:r>
        <w:rPr>
          <w:rFonts w:eastAsia="Palatino Linotype"/>
        </w:rPr>
        <w:t xml:space="preserve">The Unaffiliated Third-Party Reviewer shall be an </w:t>
      </w:r>
      <w:r w:rsidRPr="00384430">
        <w:rPr>
          <w:rFonts w:eastAsia="Palatino Linotype"/>
        </w:rPr>
        <w:t xml:space="preserve">entity or organization with electric industry physical security experience and whose review staff has appropriate physical security expertise, </w:t>
      </w:r>
      <w:r w:rsidRPr="00CC200A">
        <w:rPr>
          <w:rFonts w:eastAsia="Palatino Linotype"/>
          <w:i/>
        </w:rPr>
        <w:t>i.e.,</w:t>
      </w:r>
      <w:r w:rsidRPr="00384430">
        <w:rPr>
          <w:rFonts w:eastAsia="Palatino Linotype"/>
        </w:rPr>
        <w:t xml:space="preserve"> have at least one member who holds either an ASIS</w:t>
      </w:r>
      <w:r>
        <w:rPr>
          <w:rFonts w:eastAsia="Palatino Linotype"/>
        </w:rPr>
        <w:t xml:space="preserve"> International</w:t>
      </w:r>
      <w:r w:rsidRPr="00384430">
        <w:rPr>
          <w:rFonts w:eastAsia="Palatino Linotype"/>
        </w:rPr>
        <w:t xml:space="preserve"> Certified Protection Professional (CPP) </w:t>
      </w:r>
      <w:r w:rsidRPr="00384430">
        <w:rPr>
          <w:rFonts w:eastAsia="Palatino Linotype"/>
        </w:rPr>
        <w:lastRenderedPageBreak/>
        <w:t>or Physical Security Professional (PSP) certification; an entity or organization with demonstrated law enforcement, government, or military physical security expertise; or an entity or organization approved to do physical security assessments by the CPUC, Electric Reliability Organization or similar electrical industry regulatory body.</w:t>
      </w:r>
    </w:p>
    <w:p w14:paraId="1C792D2C" w14:textId="77777777" w:rsidR="00166981" w:rsidRDefault="00166981" w:rsidP="007375A7">
      <w:pPr>
        <w:pStyle w:val="standard"/>
        <w:spacing w:line="240" w:lineRule="auto"/>
        <w:ind w:left="720" w:firstLine="0"/>
        <w:rPr>
          <w:rFonts w:eastAsia="Palatino Linotype"/>
        </w:rPr>
      </w:pPr>
    </w:p>
    <w:p w14:paraId="35AA91A3" w14:textId="422343BA" w:rsidR="0097193B" w:rsidRPr="009E077D" w:rsidRDefault="0097193B" w:rsidP="00480D29">
      <w:pPr>
        <w:pStyle w:val="Heading2"/>
        <w:keepNext/>
        <w:keepLines/>
        <w:ind w:left="0" w:firstLine="0"/>
      </w:pPr>
      <w:bookmarkStart w:id="30" w:name="_Toc529357799"/>
      <w:r>
        <w:t>6.5</w:t>
      </w:r>
      <w:r w:rsidR="007D3ED0">
        <w:t xml:space="preserve">. </w:t>
      </w:r>
      <w:r>
        <w:t xml:space="preserve"> </w:t>
      </w:r>
      <w:r w:rsidRPr="009E077D">
        <w:t>Access to Information</w:t>
      </w:r>
      <w:bookmarkEnd w:id="30"/>
    </w:p>
    <w:p w14:paraId="6799CF15" w14:textId="1AB7BD1C" w:rsidR="00DE6536" w:rsidRPr="00041235" w:rsidRDefault="0097193B" w:rsidP="00480D29">
      <w:pPr>
        <w:pStyle w:val="standard"/>
        <w:keepNext/>
        <w:keepLines/>
        <w:rPr>
          <w:rFonts w:eastAsia="Palatino Linotype"/>
        </w:rPr>
      </w:pPr>
      <w:r w:rsidRPr="00246737">
        <w:rPr>
          <w:rFonts w:eastAsia="Palatino Linotype"/>
        </w:rPr>
        <w:t>The Commission is currently engaged in an effort to update its policies regarding the protection of confidential information in a rulemaking related to Public Records Act requests</w:t>
      </w:r>
      <w:r w:rsidRPr="006751CD">
        <w:rPr>
          <w:rFonts w:eastAsia="Palatino Linotype"/>
        </w:rPr>
        <w:t>.</w:t>
      </w:r>
      <w:r w:rsidR="00AB1A43">
        <w:rPr>
          <w:rStyle w:val="FootnoteReference"/>
          <w:rFonts w:eastAsia="Palatino Linotype"/>
        </w:rPr>
        <w:footnoteReference w:id="57"/>
      </w:r>
      <w:r w:rsidRPr="006751CD">
        <w:rPr>
          <w:rFonts w:eastAsia="Palatino Linotype"/>
        </w:rPr>
        <w:t xml:space="preserve"> </w:t>
      </w:r>
      <w:r w:rsidR="00AB1A43">
        <w:rPr>
          <w:rFonts w:eastAsia="Palatino Linotype"/>
        </w:rPr>
        <w:t xml:space="preserve"> </w:t>
      </w:r>
      <w:r w:rsidRPr="006751CD">
        <w:rPr>
          <w:rFonts w:eastAsia="Palatino Linotype"/>
        </w:rPr>
        <w:t xml:space="preserve">Additionally, a recent decision approved an update to General Order 66-D, which took effect in January 2018.  </w:t>
      </w:r>
      <w:r w:rsidR="00DE6536" w:rsidRPr="00041235">
        <w:rPr>
          <w:rFonts w:eastAsia="Palatino Linotype"/>
        </w:rPr>
        <w:t xml:space="preserve">The utilities in their Joint Proposal </w:t>
      </w:r>
      <w:r w:rsidR="00C55C1B" w:rsidRPr="00041235">
        <w:rPr>
          <w:rFonts w:eastAsia="Palatino Linotype"/>
        </w:rPr>
        <w:t xml:space="preserve">and </w:t>
      </w:r>
      <w:r w:rsidR="00DE6536" w:rsidRPr="00041235">
        <w:rPr>
          <w:rFonts w:eastAsia="Palatino Linotype"/>
        </w:rPr>
        <w:t xml:space="preserve">in comments have advocated for the use of a Reading Room approach that would require that Commission staff visit IOU property to view </w:t>
      </w:r>
      <w:r w:rsidR="00BD6B83" w:rsidRPr="00A57E44">
        <w:rPr>
          <w:rFonts w:eastAsia="Palatino Linotype"/>
        </w:rPr>
        <w:t>p</w:t>
      </w:r>
      <w:r w:rsidR="00DE6536" w:rsidRPr="00041235">
        <w:rPr>
          <w:rFonts w:eastAsia="Palatino Linotype"/>
        </w:rPr>
        <w:t xml:space="preserve">hysical </w:t>
      </w:r>
      <w:r w:rsidR="00BD6B83" w:rsidRPr="00A57E44">
        <w:rPr>
          <w:rFonts w:eastAsia="Palatino Linotype"/>
        </w:rPr>
        <w:t>s</w:t>
      </w:r>
      <w:r w:rsidR="00DE6536" w:rsidRPr="00041235">
        <w:rPr>
          <w:rFonts w:eastAsia="Palatino Linotype"/>
        </w:rPr>
        <w:t xml:space="preserve">ecurity-related information </w:t>
      </w:r>
      <w:r w:rsidR="00C55C1B" w:rsidRPr="00041235">
        <w:rPr>
          <w:rFonts w:eastAsia="Palatino Linotype"/>
        </w:rPr>
        <w:t xml:space="preserve">that </w:t>
      </w:r>
      <w:r w:rsidR="00BD6B83" w:rsidRPr="00A57E44">
        <w:rPr>
          <w:rFonts w:eastAsia="Palatino Linotype"/>
        </w:rPr>
        <w:t xml:space="preserve">they </w:t>
      </w:r>
      <w:r w:rsidR="00DE6536" w:rsidRPr="00041235">
        <w:rPr>
          <w:rFonts w:eastAsia="Palatino Linotype"/>
        </w:rPr>
        <w:t xml:space="preserve">consider </w:t>
      </w:r>
      <w:r w:rsidR="00BD6B83" w:rsidRPr="00A57E44">
        <w:rPr>
          <w:rFonts w:eastAsia="Palatino Linotype"/>
        </w:rPr>
        <w:t xml:space="preserve">to be </w:t>
      </w:r>
      <w:r w:rsidR="00DE6536" w:rsidRPr="00041235">
        <w:rPr>
          <w:rFonts w:eastAsia="Palatino Linotype"/>
        </w:rPr>
        <w:t>highly</w:t>
      </w:r>
      <w:r w:rsidR="00BD6B83" w:rsidRPr="00A57E44">
        <w:rPr>
          <w:rFonts w:eastAsia="Palatino Linotype"/>
        </w:rPr>
        <w:t xml:space="preserve"> </w:t>
      </w:r>
      <w:r w:rsidR="00DE6536" w:rsidRPr="00041235">
        <w:rPr>
          <w:rFonts w:eastAsia="Palatino Linotype"/>
        </w:rPr>
        <w:t>confidential</w:t>
      </w:r>
      <w:r w:rsidR="00C55C1B" w:rsidRPr="00041235">
        <w:rPr>
          <w:rFonts w:eastAsia="Palatino Linotype"/>
        </w:rPr>
        <w:t xml:space="preserve">, or at a level of sensitivity which utilities </w:t>
      </w:r>
      <w:r w:rsidR="00296E6D" w:rsidRPr="00041235">
        <w:rPr>
          <w:rFonts w:eastAsia="Palatino Linotype"/>
        </w:rPr>
        <w:t xml:space="preserve">believe </w:t>
      </w:r>
      <w:r w:rsidR="00DE6536" w:rsidRPr="00041235">
        <w:rPr>
          <w:rFonts w:eastAsia="Palatino Linotype"/>
        </w:rPr>
        <w:t xml:space="preserve">Commission confidentiality rules and provisions are </w:t>
      </w:r>
      <w:r w:rsidR="00296E6D" w:rsidRPr="00041235">
        <w:rPr>
          <w:rFonts w:eastAsia="Palatino Linotype"/>
        </w:rPr>
        <w:t>unequipped</w:t>
      </w:r>
      <w:r w:rsidR="00DE6536" w:rsidRPr="00041235">
        <w:rPr>
          <w:rFonts w:eastAsia="Palatino Linotype"/>
        </w:rPr>
        <w:t xml:space="preserve"> to address.</w:t>
      </w:r>
    </w:p>
    <w:p w14:paraId="3DA63A5C" w14:textId="39C582E4" w:rsidR="00C55C1B" w:rsidRPr="00041235" w:rsidRDefault="00DE6536" w:rsidP="00A57E44">
      <w:pPr>
        <w:pStyle w:val="num1"/>
        <w:tabs>
          <w:tab w:val="left" w:pos="720"/>
        </w:tabs>
      </w:pPr>
      <w:r w:rsidRPr="00041235">
        <w:rPr>
          <w:rFonts w:eastAsia="Palatino Linotype"/>
        </w:rPr>
        <w:tab/>
      </w:r>
      <w:r w:rsidR="004544F9" w:rsidRPr="00041235">
        <w:t>Commission</w:t>
      </w:r>
      <w:r w:rsidR="004544F9" w:rsidRPr="00041235">
        <w:rPr>
          <w:rFonts w:eastAsia="Palatino Linotype"/>
        </w:rPr>
        <w:t xml:space="preserve"> </w:t>
      </w:r>
      <w:r w:rsidRPr="00041235">
        <w:rPr>
          <w:rFonts w:eastAsia="Palatino Linotype"/>
        </w:rPr>
        <w:t>staff</w:t>
      </w:r>
      <w:r w:rsidR="00BD6B83" w:rsidRPr="00A57E44">
        <w:rPr>
          <w:rFonts w:eastAsia="Palatino Linotype"/>
        </w:rPr>
        <w:t>,</w:t>
      </w:r>
      <w:r w:rsidRPr="00041235">
        <w:rPr>
          <w:rFonts w:eastAsia="Palatino Linotype"/>
        </w:rPr>
        <w:t xml:space="preserve"> in the course of carrying out Phase I of this proceeding</w:t>
      </w:r>
      <w:r w:rsidR="00120CDB" w:rsidRPr="00A57E44">
        <w:rPr>
          <w:rFonts w:eastAsia="Palatino Linotype"/>
        </w:rPr>
        <w:t>,</w:t>
      </w:r>
      <w:r w:rsidRPr="00041235">
        <w:rPr>
          <w:rFonts w:eastAsia="Palatino Linotype"/>
        </w:rPr>
        <w:t xml:space="preserve"> report having tested the </w:t>
      </w:r>
      <w:r w:rsidRPr="00A57E44">
        <w:t>Reading Room approach</w:t>
      </w:r>
      <w:r w:rsidR="00DE1082" w:rsidRPr="00041235">
        <w:t xml:space="preserve"> with mixed results. Commission</w:t>
      </w:r>
      <w:r w:rsidR="00DE1082" w:rsidRPr="00041235">
        <w:rPr>
          <w:rFonts w:eastAsia="Palatino Linotype"/>
        </w:rPr>
        <w:t xml:space="preserve"> staff report</w:t>
      </w:r>
      <w:r w:rsidRPr="00A57E44">
        <w:t xml:space="preserve"> </w:t>
      </w:r>
      <w:r w:rsidRPr="00041235">
        <w:t xml:space="preserve">having </w:t>
      </w:r>
      <w:r w:rsidR="00DE1082" w:rsidRPr="00041235">
        <w:t>visit</w:t>
      </w:r>
      <w:r w:rsidR="00120CDB" w:rsidRPr="00A57E44">
        <w:t>ed</w:t>
      </w:r>
      <w:r w:rsidR="00DE1082" w:rsidRPr="00041235">
        <w:t xml:space="preserve"> utility offices to </w:t>
      </w:r>
      <w:r w:rsidR="004544F9" w:rsidRPr="00041235">
        <w:t>obtain data and view documentation</w:t>
      </w:r>
      <w:r w:rsidR="00DE1082" w:rsidRPr="00041235">
        <w:t xml:space="preserve"> previously denied by </w:t>
      </w:r>
      <w:r w:rsidR="004544F9" w:rsidRPr="00041235">
        <w:t xml:space="preserve">investor owed </w:t>
      </w:r>
      <w:r w:rsidR="00DE1082" w:rsidRPr="00041235">
        <w:t xml:space="preserve">utilities </w:t>
      </w:r>
      <w:r w:rsidR="00120CDB" w:rsidRPr="00A57E44">
        <w:t xml:space="preserve">in response to </w:t>
      </w:r>
      <w:r w:rsidR="004544F9" w:rsidRPr="00041235">
        <w:t>data request</w:t>
      </w:r>
      <w:r w:rsidR="00120CDB" w:rsidRPr="00A57E44">
        <w:t>s</w:t>
      </w:r>
      <w:r w:rsidR="004544F9" w:rsidRPr="00041235">
        <w:t xml:space="preserve">. </w:t>
      </w:r>
      <w:r w:rsidRPr="00A57E44">
        <w:t>Commission staff</w:t>
      </w:r>
      <w:r w:rsidR="00120CDB" w:rsidRPr="00A57E44">
        <w:t>’s</w:t>
      </w:r>
      <w:r w:rsidRPr="00A57E44">
        <w:t xml:space="preserve"> </w:t>
      </w:r>
      <w:r w:rsidR="00DE1082" w:rsidRPr="00041235">
        <w:t xml:space="preserve">complaint with the </w:t>
      </w:r>
      <w:r w:rsidR="004544F9" w:rsidRPr="00041235">
        <w:t xml:space="preserve">Reading Room </w:t>
      </w:r>
      <w:r w:rsidR="00DE1082" w:rsidRPr="00041235">
        <w:t xml:space="preserve">approach </w:t>
      </w:r>
      <w:r w:rsidR="00120CDB" w:rsidRPr="00A57E44">
        <w:t xml:space="preserve">is they were not allowed by the utilities to </w:t>
      </w:r>
      <w:r w:rsidR="00C55C1B" w:rsidRPr="00041235">
        <w:t xml:space="preserve">engage in notetaking or </w:t>
      </w:r>
      <w:r w:rsidR="00120CDB" w:rsidRPr="00A57E44">
        <w:t xml:space="preserve">any other means of keeping </w:t>
      </w:r>
      <w:r w:rsidR="00C55C1B" w:rsidRPr="00041235">
        <w:t>records</w:t>
      </w:r>
      <w:r w:rsidR="00120CDB" w:rsidRPr="00A57E44">
        <w:t xml:space="preserve"> of documents made available in the Reading Room</w:t>
      </w:r>
      <w:r w:rsidR="00296E6D" w:rsidRPr="00041235">
        <w:t>.</w:t>
      </w:r>
      <w:r w:rsidR="00C55C1B" w:rsidRPr="00041235">
        <w:t xml:space="preserve"> </w:t>
      </w:r>
    </w:p>
    <w:p w14:paraId="59FFA070" w14:textId="4AF6435A" w:rsidR="00DE6536" w:rsidRPr="00041235" w:rsidRDefault="00DE6536" w:rsidP="00A57E44">
      <w:pPr>
        <w:pStyle w:val="num1"/>
        <w:tabs>
          <w:tab w:val="left" w:pos="720"/>
        </w:tabs>
      </w:pPr>
      <w:r w:rsidRPr="00041235">
        <w:t>The Commission recognizes that the Reading Room approach by nature entails certain limitations on Commission staff’s ability to</w:t>
      </w:r>
      <w:r w:rsidR="00655A27" w:rsidRPr="00041235">
        <w:t xml:space="preserve"> freely and </w:t>
      </w:r>
      <w:r w:rsidR="00296E6D" w:rsidRPr="00041235">
        <w:lastRenderedPageBreak/>
        <w:t>independently</w:t>
      </w:r>
      <w:r w:rsidRPr="00041235">
        <w:t xml:space="preserve"> </w:t>
      </w:r>
      <w:r w:rsidR="00296E6D" w:rsidRPr="00041235">
        <w:t xml:space="preserve">review </w:t>
      </w:r>
      <w:r w:rsidR="0051008B" w:rsidRPr="00A57E44">
        <w:t>and assess utility</w:t>
      </w:r>
      <w:r w:rsidR="00296E6D" w:rsidRPr="00041235">
        <w:t xml:space="preserve"> documents</w:t>
      </w:r>
      <w:r w:rsidR="0051008B" w:rsidRPr="00A57E44">
        <w:t xml:space="preserve"> </w:t>
      </w:r>
      <w:r w:rsidR="00296E6D" w:rsidRPr="00041235">
        <w:t xml:space="preserve">utility reports and submittals. </w:t>
      </w:r>
    </w:p>
    <w:p w14:paraId="6219A463" w14:textId="026F57B5" w:rsidR="004544F9" w:rsidRPr="00041235" w:rsidRDefault="004544F9" w:rsidP="00A57E44">
      <w:pPr>
        <w:pStyle w:val="num1"/>
      </w:pPr>
      <w:r w:rsidRPr="00041235">
        <w:rPr>
          <w:rFonts w:eastAsia="Palatino Linotype"/>
        </w:rPr>
        <w:t xml:space="preserve">For these reasons, we have concerns about relying on the </w:t>
      </w:r>
      <w:r w:rsidRPr="00041235">
        <w:t xml:space="preserve">Reading Room approach as the sole means for accessing </w:t>
      </w:r>
      <w:r w:rsidR="00655A27" w:rsidRPr="00041235">
        <w:t xml:space="preserve">utility </w:t>
      </w:r>
      <w:r w:rsidRPr="00041235">
        <w:t xml:space="preserve">information necessary </w:t>
      </w:r>
      <w:r w:rsidR="00655A27" w:rsidRPr="00041235">
        <w:t>to gauge whether utilities</w:t>
      </w:r>
      <w:r w:rsidRPr="00041235">
        <w:t xml:space="preserve"> are in compliance with this </w:t>
      </w:r>
      <w:r w:rsidR="00A74C47" w:rsidRPr="00A57E44">
        <w:t>d</w:t>
      </w:r>
      <w:r w:rsidRPr="00041235">
        <w:t xml:space="preserve">ecision’s provisions for producing and furnishing the Commission with recurring regulatory compliance reports and ongoing updates. </w:t>
      </w:r>
    </w:p>
    <w:p w14:paraId="51E7D860" w14:textId="2FF59080" w:rsidR="00AB48EC" w:rsidRPr="00041235" w:rsidRDefault="004544F9" w:rsidP="007375A7">
      <w:pPr>
        <w:pStyle w:val="standard"/>
      </w:pPr>
      <w:r w:rsidRPr="00041235">
        <w:t>Parties including SED Advoca</w:t>
      </w:r>
      <w:r w:rsidR="00AB48EC" w:rsidRPr="00041235">
        <w:t>c</w:t>
      </w:r>
      <w:r w:rsidRPr="00041235">
        <w:t xml:space="preserve">y and ORA </w:t>
      </w:r>
      <w:r w:rsidR="00AB48EC" w:rsidRPr="00041235">
        <w:t>recommend</w:t>
      </w:r>
      <w:r w:rsidRPr="00041235">
        <w:t xml:space="preserve"> </w:t>
      </w:r>
      <w:r w:rsidR="00AB48EC" w:rsidRPr="00041235">
        <w:t xml:space="preserve">making the Reading Room approach temporary, while the utilities </w:t>
      </w:r>
      <w:r w:rsidR="007C75A4" w:rsidRPr="00A57E44">
        <w:t xml:space="preserve">recommend </w:t>
      </w:r>
      <w:r w:rsidR="00AB48EC" w:rsidRPr="00041235">
        <w:t>that it be desig</w:t>
      </w:r>
      <w:r w:rsidR="00655A27" w:rsidRPr="00041235">
        <w:t>n</w:t>
      </w:r>
      <w:r w:rsidR="00AB48EC" w:rsidRPr="00041235">
        <w:t>ated permanent status.</w:t>
      </w:r>
    </w:p>
    <w:p w14:paraId="68D22129" w14:textId="3D9ED520" w:rsidR="00DE6536" w:rsidRPr="00041235" w:rsidRDefault="00655A27" w:rsidP="007375A7">
      <w:pPr>
        <w:pStyle w:val="standard"/>
      </w:pPr>
      <w:r w:rsidRPr="00041235">
        <w:t xml:space="preserve">We conclude that neither recommendation </w:t>
      </w:r>
      <w:r w:rsidR="000661A6" w:rsidRPr="00041235">
        <w:t xml:space="preserve">fully satisfies </w:t>
      </w:r>
      <w:r w:rsidRPr="00041235">
        <w:t xml:space="preserve">the need </w:t>
      </w:r>
      <w:r w:rsidR="00296E6D" w:rsidRPr="00041235">
        <w:t xml:space="preserve">to </w:t>
      </w:r>
      <w:r w:rsidR="000661A6" w:rsidRPr="00041235">
        <w:t xml:space="preserve">conveniently access regular regulatory filings. At the same time, we are mindful </w:t>
      </w:r>
      <w:r w:rsidR="007C75A4" w:rsidRPr="00A57E44">
        <w:t xml:space="preserve">of the concerns raised by the utilities regarding sensitive </w:t>
      </w:r>
      <w:r w:rsidR="000661A6" w:rsidRPr="00041235">
        <w:t xml:space="preserve">physical security-related information. </w:t>
      </w:r>
    </w:p>
    <w:p w14:paraId="09D411F9" w14:textId="5F71893F" w:rsidR="00C834C5" w:rsidRPr="00041235" w:rsidRDefault="000661A6" w:rsidP="007375A7">
      <w:pPr>
        <w:pStyle w:val="standard"/>
      </w:pPr>
      <w:r w:rsidRPr="00041235">
        <w:t xml:space="preserve">We therefore bifurcate </w:t>
      </w:r>
      <w:r w:rsidR="00296E6D" w:rsidRPr="00041235">
        <w:t>utility</w:t>
      </w:r>
      <w:r w:rsidRPr="00041235">
        <w:t xml:space="preserve"> physical security-related information into two categories</w:t>
      </w:r>
      <w:r w:rsidR="00296E6D" w:rsidRPr="00041235">
        <w:t xml:space="preserve"> for the purposes of Commission staff access and the transfer of data: </w:t>
      </w:r>
    </w:p>
    <w:p w14:paraId="5BC87955" w14:textId="4F6A6091" w:rsidR="00C834C5" w:rsidRPr="00041235" w:rsidRDefault="00296E6D" w:rsidP="007375A7">
      <w:pPr>
        <w:pStyle w:val="num1"/>
        <w:numPr>
          <w:ilvl w:val="0"/>
          <w:numId w:val="43"/>
        </w:numPr>
        <w:spacing w:after="120" w:line="240" w:lineRule="auto"/>
        <w:ind w:right="1440"/>
      </w:pPr>
      <w:r w:rsidRPr="00041235">
        <w:t xml:space="preserve">Category </w:t>
      </w:r>
      <w:r w:rsidR="000661A6" w:rsidRPr="00041235">
        <w:t>1</w:t>
      </w:r>
      <w:r w:rsidR="007C75A4" w:rsidRPr="00041235">
        <w:t xml:space="preserve"> - information </w:t>
      </w:r>
      <w:r w:rsidR="000661A6" w:rsidRPr="00041235">
        <w:t xml:space="preserve">that </w:t>
      </w:r>
      <w:r w:rsidR="007C75A4" w:rsidRPr="00A57E44">
        <w:t xml:space="preserve">is </w:t>
      </w:r>
      <w:r w:rsidR="000661A6" w:rsidRPr="00041235">
        <w:t xml:space="preserve">specifically required to reviewed by the Commission in this </w:t>
      </w:r>
      <w:r w:rsidR="00A74C47" w:rsidRPr="00A57E44">
        <w:t>d</w:t>
      </w:r>
      <w:r w:rsidR="000661A6" w:rsidRPr="00041235">
        <w:t>ecision (“routine regulatory compliance filings</w:t>
      </w:r>
      <w:r w:rsidR="007C75A4" w:rsidRPr="00A57E44">
        <w:t>)</w:t>
      </w:r>
      <w:r w:rsidR="000661A6" w:rsidRPr="00041235">
        <w:t xml:space="preserve">;” and </w:t>
      </w:r>
    </w:p>
    <w:p w14:paraId="118E50F2" w14:textId="1A309318" w:rsidR="000661A6" w:rsidRPr="00A57E44" w:rsidRDefault="00296E6D" w:rsidP="007375A7">
      <w:pPr>
        <w:pStyle w:val="num1"/>
        <w:numPr>
          <w:ilvl w:val="0"/>
          <w:numId w:val="43"/>
        </w:numPr>
        <w:spacing w:after="120" w:line="240" w:lineRule="auto"/>
        <w:ind w:right="1440"/>
      </w:pPr>
      <w:r w:rsidRPr="00041235">
        <w:t xml:space="preserve">Category </w:t>
      </w:r>
      <w:r w:rsidR="00C834C5" w:rsidRPr="00041235">
        <w:t>2</w:t>
      </w:r>
      <w:r w:rsidR="007C75A4" w:rsidRPr="00A57E44">
        <w:t xml:space="preserve"> - </w:t>
      </w:r>
      <w:r w:rsidR="000661A6" w:rsidRPr="00041235">
        <w:t>other information which Commission staff may request of utilities from time to time (“ad hoc</w:t>
      </w:r>
      <w:r w:rsidR="00DE1082" w:rsidRPr="00041235">
        <w:t xml:space="preserve"> information</w:t>
      </w:r>
      <w:r w:rsidR="000661A6" w:rsidRPr="00041235">
        <w:t>”)</w:t>
      </w:r>
      <w:r w:rsidR="00DE1082" w:rsidRPr="00041235">
        <w:t>.</w:t>
      </w:r>
    </w:p>
    <w:p w14:paraId="0376BCC7" w14:textId="743C60D0" w:rsidR="00DE1082" w:rsidRPr="00363A58" w:rsidRDefault="00DE1082" w:rsidP="007375A7">
      <w:pPr>
        <w:pStyle w:val="standard"/>
      </w:pPr>
      <w:r w:rsidRPr="00041235">
        <w:t>Categor</w:t>
      </w:r>
      <w:r w:rsidR="00296E6D" w:rsidRPr="00041235">
        <w:t>y</w:t>
      </w:r>
      <w:r w:rsidRPr="00041235">
        <w:t xml:space="preserve"> 1 routine regulatory compliance filings</w:t>
      </w:r>
      <w:r w:rsidR="00C834C5" w:rsidRPr="00041235">
        <w:t xml:space="preserve"> will not be subject to t</w:t>
      </w:r>
      <w:r w:rsidRPr="00041235">
        <w:t xml:space="preserve">he Reading Room approach </w:t>
      </w:r>
      <w:r w:rsidR="007C75A4" w:rsidRPr="00A57E44">
        <w:t xml:space="preserve">and </w:t>
      </w:r>
      <w:r w:rsidRPr="00041235">
        <w:t>shall be provided to SED staff by means of transmittal to</w:t>
      </w:r>
      <w:r w:rsidR="00C834C5" w:rsidRPr="00041235">
        <w:t xml:space="preserve"> the</w:t>
      </w:r>
      <w:r w:rsidRPr="00041235">
        <w:t xml:space="preserve"> Commission. Category 2</w:t>
      </w:r>
      <w:r w:rsidR="00604F13" w:rsidRPr="00A57E44">
        <w:t xml:space="preserve"> </w:t>
      </w:r>
      <w:r w:rsidRPr="00041235">
        <w:t xml:space="preserve">ad hoc information shall be subject to </w:t>
      </w:r>
      <w:r w:rsidR="00C834C5" w:rsidRPr="00041235">
        <w:t>t</w:t>
      </w:r>
      <w:r w:rsidRPr="00041235">
        <w:t>he Reading Room approach.</w:t>
      </w:r>
    </w:p>
    <w:p w14:paraId="3E4AB833" w14:textId="36CE06B1" w:rsidR="0097193B" w:rsidRPr="00B534B7" w:rsidRDefault="00DE1082">
      <w:pPr>
        <w:pStyle w:val="standard"/>
        <w:rPr>
          <w:rFonts w:eastAsia="Palatino Linotype" w:cs="Palatino Linotype"/>
          <w:szCs w:val="26"/>
        </w:rPr>
      </w:pPr>
      <w:r>
        <w:rPr>
          <w:rFonts w:eastAsia="Palatino Linotype"/>
        </w:rPr>
        <w:lastRenderedPageBreak/>
        <w:t>T</w:t>
      </w:r>
      <w:r w:rsidR="0097193B" w:rsidRPr="006751CD">
        <w:rPr>
          <w:rFonts w:eastAsia="Palatino Linotype"/>
        </w:rPr>
        <w:t>he Commission adopt</w:t>
      </w:r>
      <w:r w:rsidR="007C75A4">
        <w:rPr>
          <w:rFonts w:eastAsia="Palatino Linotype"/>
        </w:rPr>
        <w:t>s</w:t>
      </w:r>
      <w:r w:rsidR="0097193B" w:rsidRPr="006751CD">
        <w:rPr>
          <w:rFonts w:eastAsia="Palatino Linotype"/>
        </w:rPr>
        <w:t xml:space="preserve"> </w:t>
      </w:r>
      <w:r>
        <w:t xml:space="preserve">the </w:t>
      </w:r>
      <w:r w:rsidRPr="006751CD">
        <w:t>Reading Room approach</w:t>
      </w:r>
      <w:r w:rsidRPr="006751CD">
        <w:rPr>
          <w:rFonts w:eastAsia="Palatino Linotype"/>
        </w:rPr>
        <w:t xml:space="preserve"> </w:t>
      </w:r>
      <w:r w:rsidR="00C834C5">
        <w:rPr>
          <w:rFonts w:eastAsia="Palatino Linotype"/>
        </w:rPr>
        <w:t xml:space="preserve">as </w:t>
      </w:r>
      <w:r w:rsidR="0097193B" w:rsidRPr="006751CD">
        <w:rPr>
          <w:rFonts w:eastAsia="Palatino Linotype"/>
        </w:rPr>
        <w:t xml:space="preserve">an interim </w:t>
      </w:r>
      <w:r>
        <w:rPr>
          <w:rFonts w:eastAsia="Palatino Linotype"/>
        </w:rPr>
        <w:t xml:space="preserve">solution pending </w:t>
      </w:r>
      <w:r w:rsidR="00EF1D30">
        <w:rPr>
          <w:rFonts w:eastAsia="Palatino Linotype" w:cs="Palatino Linotype"/>
          <w:szCs w:val="26"/>
        </w:rPr>
        <w:t xml:space="preserve">the ongoing </w:t>
      </w:r>
      <w:r w:rsidR="00B534B7" w:rsidRPr="006751CD">
        <w:t>R.14-11-001</w:t>
      </w:r>
      <w:r w:rsidR="00B534B7">
        <w:t xml:space="preserve"> rulemaking establishing new </w:t>
      </w:r>
      <w:r w:rsidR="0097193B" w:rsidRPr="00B534B7">
        <w:rPr>
          <w:rFonts w:eastAsia="Palatino Linotype" w:cs="Palatino Linotype"/>
          <w:szCs w:val="26"/>
        </w:rPr>
        <w:t xml:space="preserve">rules for the safekeeping, sharing, transmittal, and inspection of confidential information. </w:t>
      </w:r>
      <w:r w:rsidR="006B0564" w:rsidRPr="00B534B7">
        <w:rPr>
          <w:rFonts w:eastAsia="Palatino Linotype" w:cs="Palatino Linotype"/>
          <w:szCs w:val="26"/>
        </w:rPr>
        <w:t xml:space="preserve"> </w:t>
      </w:r>
      <w:r w:rsidR="00582C08" w:rsidRPr="007375A7">
        <w:rPr>
          <w:rFonts w:eastAsia="Palatino Linotype" w:cs="Palatino Linotype"/>
          <w:szCs w:val="26"/>
        </w:rPr>
        <w:t>T</w:t>
      </w:r>
      <w:r w:rsidR="00FD299B" w:rsidRPr="00903704">
        <w:rPr>
          <w:rFonts w:eastAsia="Palatino Linotype" w:cs="Palatino Linotype"/>
          <w:szCs w:val="26"/>
        </w:rPr>
        <w:t xml:space="preserve">he </w:t>
      </w:r>
      <w:r w:rsidR="00582C08" w:rsidRPr="007375A7">
        <w:rPr>
          <w:rFonts w:eastAsia="Palatino Linotype" w:cs="Palatino Linotype"/>
          <w:szCs w:val="26"/>
        </w:rPr>
        <w:t xml:space="preserve">Commission intends to monitor the effectiveness of the </w:t>
      </w:r>
      <w:r w:rsidR="00FD299B" w:rsidRPr="00903704">
        <w:rPr>
          <w:rFonts w:eastAsia="Palatino Linotype" w:cs="Palatino Linotype"/>
          <w:szCs w:val="26"/>
        </w:rPr>
        <w:t xml:space="preserve">Reading Room </w:t>
      </w:r>
      <w:r w:rsidR="0097193B" w:rsidRPr="00903704">
        <w:rPr>
          <w:rFonts w:eastAsia="Palatino Linotype" w:cs="Palatino Linotype"/>
          <w:szCs w:val="26"/>
        </w:rPr>
        <w:t>approach</w:t>
      </w:r>
      <w:r w:rsidR="00582C08" w:rsidRPr="007375A7">
        <w:rPr>
          <w:rFonts w:eastAsia="Palatino Linotype" w:cs="Palatino Linotype"/>
          <w:szCs w:val="26"/>
        </w:rPr>
        <w:t xml:space="preserve">, and </w:t>
      </w:r>
      <w:r w:rsidR="0097193B" w:rsidRPr="00903704">
        <w:rPr>
          <w:rFonts w:eastAsia="Palatino Linotype" w:cs="Palatino Linotype"/>
          <w:szCs w:val="26"/>
        </w:rPr>
        <w:t xml:space="preserve">review and </w:t>
      </w:r>
      <w:r w:rsidR="00582C08" w:rsidRPr="007375A7">
        <w:rPr>
          <w:rFonts w:eastAsia="Palatino Linotype" w:cs="Palatino Linotype"/>
          <w:szCs w:val="26"/>
        </w:rPr>
        <w:t xml:space="preserve">revise the approach as needed.  </w:t>
      </w:r>
    </w:p>
    <w:p w14:paraId="53894FEC" w14:textId="77777777" w:rsidR="0097193B" w:rsidRPr="006751CD" w:rsidRDefault="0097193B" w:rsidP="00246737">
      <w:pPr>
        <w:pStyle w:val="standard"/>
        <w:rPr>
          <w:rFonts w:eastAsia="Palatino Linotype" w:cs="Palatino Linotype"/>
          <w:szCs w:val="26"/>
        </w:rPr>
      </w:pPr>
      <w:r w:rsidRPr="006751CD">
        <w:rPr>
          <w:rFonts w:eastAsia="Palatino Linotype" w:cs="Palatino Linotype"/>
          <w:szCs w:val="26"/>
        </w:rPr>
        <w:t xml:space="preserve">The Reading Room approach shall entail utility information being made available to Commission staff on utility property at a location convenient and agreed to </w:t>
      </w:r>
      <w:r>
        <w:rPr>
          <w:rFonts w:eastAsia="Palatino Linotype" w:cs="Palatino Linotype"/>
          <w:szCs w:val="26"/>
        </w:rPr>
        <w:t xml:space="preserve">by </w:t>
      </w:r>
      <w:r w:rsidRPr="006751CD">
        <w:rPr>
          <w:rFonts w:eastAsia="Palatino Linotype" w:cs="Palatino Linotype"/>
          <w:szCs w:val="26"/>
        </w:rPr>
        <w:t>CPUC staff.</w:t>
      </w:r>
    </w:p>
    <w:p w14:paraId="55CBF0F1" w14:textId="227FD142" w:rsidR="0097193B" w:rsidRDefault="0097193B" w:rsidP="00246737">
      <w:pPr>
        <w:pStyle w:val="standard"/>
        <w:rPr>
          <w:rFonts w:eastAsia="Palatino Linotype" w:cs="Palatino Linotype"/>
          <w:szCs w:val="26"/>
        </w:rPr>
      </w:pPr>
      <w:r w:rsidRPr="006751CD">
        <w:rPr>
          <w:rFonts w:eastAsia="Palatino Linotype" w:cs="Palatino Linotype"/>
          <w:szCs w:val="26"/>
        </w:rPr>
        <w:t>It remains without question that the Commission and its staff require and are fully entitled to access to such information, as long as protections against public release are maintained.  Especially in cases where the Commission is investigating an incident</w:t>
      </w:r>
      <w:r>
        <w:rPr>
          <w:rFonts w:eastAsia="Palatino Linotype" w:cs="Palatino Linotype"/>
          <w:szCs w:val="26"/>
        </w:rPr>
        <w:t xml:space="preserve"> (</w:t>
      </w:r>
      <w:r w:rsidRPr="006751CD">
        <w:rPr>
          <w:rFonts w:eastAsia="Palatino Linotype" w:cs="Palatino Linotype"/>
          <w:szCs w:val="26"/>
        </w:rPr>
        <w:t>whether it is already defined in our regulations or a new aspect, such as physical or cyber-attack</w:t>
      </w:r>
      <w:r>
        <w:rPr>
          <w:rFonts w:eastAsia="Palatino Linotype" w:cs="Palatino Linotype"/>
          <w:szCs w:val="26"/>
        </w:rPr>
        <w:t>),</w:t>
      </w:r>
      <w:r w:rsidRPr="006751CD">
        <w:rPr>
          <w:rFonts w:eastAsia="Palatino Linotype" w:cs="Palatino Linotype"/>
          <w:szCs w:val="26"/>
        </w:rPr>
        <w:t xml:space="preserve"> access to records shall be prov</w:t>
      </w:r>
      <w:r>
        <w:rPr>
          <w:rFonts w:eastAsia="Palatino Linotype" w:cs="Palatino Linotype"/>
          <w:szCs w:val="26"/>
        </w:rPr>
        <w:t>id</w:t>
      </w:r>
      <w:r w:rsidRPr="006751CD">
        <w:rPr>
          <w:rFonts w:eastAsia="Palatino Linotype" w:cs="Palatino Linotype"/>
          <w:szCs w:val="26"/>
        </w:rPr>
        <w:t xml:space="preserve">ed </w:t>
      </w:r>
      <w:r w:rsidR="005D5868">
        <w:rPr>
          <w:rFonts w:eastAsia="Palatino Linotype" w:cs="Palatino Linotype"/>
          <w:szCs w:val="26"/>
        </w:rPr>
        <w:t xml:space="preserve">promptly </w:t>
      </w:r>
      <w:r>
        <w:rPr>
          <w:rFonts w:eastAsia="Palatino Linotype" w:cs="Palatino Linotype"/>
          <w:szCs w:val="26"/>
        </w:rPr>
        <w:t>upon</w:t>
      </w:r>
      <w:r w:rsidRPr="006751CD">
        <w:rPr>
          <w:rFonts w:eastAsia="Palatino Linotype" w:cs="Palatino Linotype"/>
          <w:szCs w:val="26"/>
        </w:rPr>
        <w:t xml:space="preserve"> the Commission</w:t>
      </w:r>
      <w:r>
        <w:rPr>
          <w:rFonts w:eastAsia="Palatino Linotype" w:cs="Palatino Linotype"/>
          <w:szCs w:val="26"/>
        </w:rPr>
        <w:t xml:space="preserve"> request.</w:t>
      </w:r>
    </w:p>
    <w:p w14:paraId="1C8BA6C6" w14:textId="79643D6C" w:rsidR="006433AA" w:rsidRDefault="006433AA" w:rsidP="007E7FBB">
      <w:pPr>
        <w:pStyle w:val="standard"/>
        <w:rPr>
          <w:rFonts w:eastAsia="Palatino Linotype" w:cs="Palatino Linotype"/>
          <w:szCs w:val="26"/>
        </w:rPr>
      </w:pPr>
      <w:r w:rsidRPr="007375A7">
        <w:rPr>
          <w:rFonts w:eastAsia="Palatino Linotype" w:cs="Palatino Linotype"/>
          <w:szCs w:val="26"/>
        </w:rPr>
        <w:t xml:space="preserve">It should be noted that the Reading Room approach </w:t>
      </w:r>
      <w:r w:rsidR="00067A9D" w:rsidRPr="007375A7">
        <w:rPr>
          <w:rFonts w:eastAsia="Palatino Linotype" w:cs="Palatino Linotype"/>
          <w:szCs w:val="26"/>
        </w:rPr>
        <w:t xml:space="preserve">only </w:t>
      </w:r>
      <w:r w:rsidRPr="007375A7">
        <w:rPr>
          <w:rFonts w:eastAsia="Palatino Linotype" w:cs="Palatino Linotype"/>
          <w:szCs w:val="26"/>
        </w:rPr>
        <w:t>relates to how the Commission may access confidential utility information relating to physical security</w:t>
      </w:r>
      <w:r w:rsidR="00067A9D" w:rsidRPr="007375A7">
        <w:rPr>
          <w:rFonts w:eastAsia="Palatino Linotype" w:cs="Palatino Linotype"/>
          <w:szCs w:val="26"/>
        </w:rPr>
        <w:t>, and that</w:t>
      </w:r>
      <w:r w:rsidRPr="007375A7">
        <w:rPr>
          <w:rFonts w:eastAsia="Palatino Linotype" w:cs="Palatino Linotype"/>
          <w:szCs w:val="26"/>
        </w:rPr>
        <w:t xml:space="preserve"> </w:t>
      </w:r>
      <w:r w:rsidR="00067A9D" w:rsidRPr="007375A7">
        <w:rPr>
          <w:rFonts w:eastAsia="Palatino Linotype" w:cs="Palatino Linotype"/>
          <w:szCs w:val="26"/>
        </w:rPr>
        <w:t>u</w:t>
      </w:r>
      <w:r w:rsidRPr="007375A7">
        <w:rPr>
          <w:rFonts w:eastAsia="Palatino Linotype" w:cs="Palatino Linotype"/>
          <w:szCs w:val="26"/>
        </w:rPr>
        <w:t xml:space="preserve">tilities </w:t>
      </w:r>
      <w:r w:rsidR="00067A9D" w:rsidRPr="007375A7">
        <w:rPr>
          <w:rFonts w:eastAsia="Palatino Linotype" w:cs="Palatino Linotype"/>
          <w:szCs w:val="26"/>
        </w:rPr>
        <w:t xml:space="preserve">still are </w:t>
      </w:r>
      <w:r w:rsidRPr="007375A7">
        <w:rPr>
          <w:rFonts w:eastAsia="Palatino Linotype" w:cs="Palatino Linotype"/>
          <w:szCs w:val="26"/>
        </w:rPr>
        <w:t xml:space="preserve">required to </w:t>
      </w:r>
      <w:r w:rsidR="00E07187" w:rsidRPr="007375A7">
        <w:rPr>
          <w:rFonts w:eastAsia="Palatino Linotype" w:cs="Palatino Linotype"/>
          <w:szCs w:val="26"/>
        </w:rPr>
        <w:t xml:space="preserve">first </w:t>
      </w:r>
      <w:r w:rsidRPr="007375A7">
        <w:rPr>
          <w:rFonts w:eastAsia="Palatino Linotype" w:cs="Palatino Linotype"/>
          <w:szCs w:val="26"/>
        </w:rPr>
        <w:t>justify confidentiality claims relating to all information being made applicable to the Reading Room approach as per generally applicable Commission requirements.</w:t>
      </w:r>
      <w:r>
        <w:rPr>
          <w:rFonts w:eastAsia="Palatino Linotype" w:cs="Palatino Linotype"/>
          <w:szCs w:val="26"/>
        </w:rPr>
        <w:t xml:space="preserve">  </w:t>
      </w:r>
    </w:p>
    <w:p w14:paraId="16ED793E" w14:textId="0F4A7BC8" w:rsidR="00816FB1" w:rsidRDefault="00D06DE0" w:rsidP="00246737">
      <w:pPr>
        <w:pStyle w:val="standard"/>
        <w:rPr>
          <w:rFonts w:eastAsia="Palatino Linotype" w:cs="Palatino Linotype"/>
          <w:szCs w:val="26"/>
        </w:rPr>
      </w:pPr>
      <w:bookmarkStart w:id="31" w:name="_Hlk532804021"/>
      <w:r w:rsidRPr="000B0B88">
        <w:rPr>
          <w:rFonts w:eastAsia="Palatino Linotype" w:cs="Palatino Linotype"/>
          <w:szCs w:val="26"/>
        </w:rPr>
        <w:t xml:space="preserve">Additionally, </w:t>
      </w:r>
      <w:r w:rsidR="006433AA" w:rsidRPr="007375A7">
        <w:rPr>
          <w:rFonts w:eastAsia="Palatino Linotype" w:cs="Palatino Linotype"/>
          <w:szCs w:val="26"/>
        </w:rPr>
        <w:t>n</w:t>
      </w:r>
      <w:r w:rsidRPr="000B0B88">
        <w:rPr>
          <w:rFonts w:eastAsia="Palatino Linotype" w:cs="Palatino Linotype"/>
          <w:szCs w:val="26"/>
        </w:rPr>
        <w:t xml:space="preserve">othing in the present decision establishes a basis for utilities to </w:t>
      </w:r>
      <w:r w:rsidR="00705F81" w:rsidRPr="007375A7">
        <w:rPr>
          <w:rFonts w:eastAsia="Palatino Linotype" w:cs="Palatino Linotype"/>
          <w:szCs w:val="26"/>
        </w:rPr>
        <w:t xml:space="preserve">restrict </w:t>
      </w:r>
      <w:r w:rsidRPr="000B0B88">
        <w:rPr>
          <w:rFonts w:eastAsia="Palatino Linotype" w:cs="Palatino Linotype"/>
          <w:szCs w:val="26"/>
        </w:rPr>
        <w:t xml:space="preserve">access to any information that is publicly accessible pursuant to Commission rulings, orders, or other actions. To the extent that utilities believe that restricting </w:t>
      </w:r>
      <w:r w:rsidRPr="00C70D9C">
        <w:rPr>
          <w:rFonts w:eastAsia="Palatino Linotype" w:cs="Palatino Linotype"/>
          <w:szCs w:val="26"/>
        </w:rPr>
        <w:t>public access to</w:t>
      </w:r>
      <w:r w:rsidRPr="00D95610">
        <w:rPr>
          <w:rFonts w:eastAsia="Palatino Linotype" w:cs="Palatino Linotype"/>
          <w:szCs w:val="26"/>
        </w:rPr>
        <w:t xml:space="preserve"> any category of </w:t>
      </w:r>
      <w:r w:rsidRPr="006463F0">
        <w:rPr>
          <w:rFonts w:eastAsia="Palatino Linotype" w:cs="Palatino Linotype"/>
          <w:szCs w:val="26"/>
        </w:rPr>
        <w:t xml:space="preserve">information that is publicly available is </w:t>
      </w:r>
      <w:r w:rsidR="00705F81" w:rsidRPr="007375A7">
        <w:rPr>
          <w:rFonts w:eastAsia="Palatino Linotype" w:cs="Palatino Linotype"/>
          <w:szCs w:val="26"/>
        </w:rPr>
        <w:t xml:space="preserve">necessary </w:t>
      </w:r>
      <w:r w:rsidRPr="000B0B88">
        <w:rPr>
          <w:rFonts w:eastAsia="Palatino Linotype" w:cs="Palatino Linotype"/>
          <w:szCs w:val="26"/>
        </w:rPr>
        <w:t xml:space="preserve">for mitigating physical security risks to </w:t>
      </w:r>
      <w:r w:rsidR="00CF36F0" w:rsidRPr="000B0B88">
        <w:rPr>
          <w:rFonts w:eastAsia="Palatino Linotype" w:cs="Palatino Linotype"/>
          <w:szCs w:val="26"/>
        </w:rPr>
        <w:t>a Covered Distribution Facility</w:t>
      </w:r>
      <w:r w:rsidRPr="00C70D9C">
        <w:rPr>
          <w:rFonts w:eastAsia="Palatino Linotype" w:cs="Palatino Linotype"/>
          <w:szCs w:val="26"/>
        </w:rPr>
        <w:t xml:space="preserve">, they should describe and justify </w:t>
      </w:r>
      <w:r w:rsidR="00CF36F0" w:rsidRPr="00D95610">
        <w:rPr>
          <w:rFonts w:eastAsia="Palatino Linotype" w:cs="Palatino Linotype"/>
          <w:szCs w:val="26"/>
        </w:rPr>
        <w:t xml:space="preserve">any restrictions on </w:t>
      </w:r>
      <w:r w:rsidR="00CF36F0" w:rsidRPr="00D95610">
        <w:rPr>
          <w:rFonts w:eastAsia="Palatino Linotype" w:cs="Palatino Linotype"/>
          <w:szCs w:val="26"/>
        </w:rPr>
        <w:lastRenderedPageBreak/>
        <w:t xml:space="preserve">information access </w:t>
      </w:r>
      <w:r w:rsidRPr="00D95610">
        <w:rPr>
          <w:rFonts w:eastAsia="Palatino Linotype" w:cs="Palatino Linotype"/>
          <w:szCs w:val="26"/>
        </w:rPr>
        <w:t>they propose within their Mitigation Plan</w:t>
      </w:r>
      <w:r w:rsidR="00CB7FB8" w:rsidRPr="006463F0">
        <w:rPr>
          <w:rFonts w:eastAsia="Palatino Linotype" w:cs="Palatino Linotype"/>
          <w:szCs w:val="26"/>
        </w:rPr>
        <w:t>s</w:t>
      </w:r>
      <w:r w:rsidR="00CF36F0" w:rsidRPr="000B0B88">
        <w:rPr>
          <w:rFonts w:eastAsia="Palatino Linotype" w:cs="Palatino Linotype"/>
          <w:szCs w:val="26"/>
        </w:rPr>
        <w:t xml:space="preserve"> for any affected Covered Distribution Facilities.</w:t>
      </w:r>
      <w:r w:rsidR="00CF36F0">
        <w:rPr>
          <w:rFonts w:eastAsia="Palatino Linotype" w:cs="Palatino Linotype"/>
          <w:szCs w:val="26"/>
        </w:rPr>
        <w:t xml:space="preserve"> </w:t>
      </w:r>
    </w:p>
    <w:p w14:paraId="0BE73016" w14:textId="77777777" w:rsidR="0097193B" w:rsidRPr="006751CD" w:rsidRDefault="0097193B" w:rsidP="0051633C">
      <w:pPr>
        <w:pStyle w:val="Heading2"/>
      </w:pPr>
      <w:bookmarkStart w:id="32" w:name="_Toc529357800"/>
      <w:bookmarkEnd w:id="31"/>
      <w:r>
        <w:t>6.6</w:t>
      </w:r>
      <w:r w:rsidR="007F50A8">
        <w:t xml:space="preserve">. </w:t>
      </w:r>
      <w:r>
        <w:t xml:space="preserve"> </w:t>
      </w:r>
      <w:r w:rsidRPr="006751CD">
        <w:t>Timeline for Implementation</w:t>
      </w:r>
      <w:bookmarkEnd w:id="32"/>
    </w:p>
    <w:p w14:paraId="3F2C6A00" w14:textId="77777777" w:rsidR="0097193B" w:rsidRPr="006751CD" w:rsidRDefault="0097193B" w:rsidP="0051633C">
      <w:pPr>
        <w:pStyle w:val="standard"/>
        <w:rPr>
          <w:rFonts w:eastAsia="Palatino Linotype"/>
        </w:rPr>
      </w:pPr>
      <w:r w:rsidRPr="006751CD">
        <w:rPr>
          <w:rFonts w:eastAsia="Palatino Linotype"/>
        </w:rPr>
        <w:t>Security Plans shall be completed in accord</w:t>
      </w:r>
      <w:r>
        <w:rPr>
          <w:rFonts w:eastAsia="Palatino Linotype"/>
        </w:rPr>
        <w:t>ance</w:t>
      </w:r>
      <w:r w:rsidRPr="006751CD">
        <w:rPr>
          <w:rFonts w:eastAsia="Palatino Linotype"/>
        </w:rPr>
        <w:t xml:space="preserve"> with the following criteria: </w:t>
      </w:r>
    </w:p>
    <w:p w14:paraId="25EB49B5" w14:textId="34324590" w:rsidR="0097193B" w:rsidRPr="002568C6" w:rsidRDefault="0097193B" w:rsidP="00DC056C">
      <w:pPr>
        <w:pStyle w:val="ListParagraph"/>
        <w:numPr>
          <w:ilvl w:val="0"/>
          <w:numId w:val="40"/>
        </w:numPr>
        <w:pBdr>
          <w:top w:val="nil"/>
          <w:left w:val="nil"/>
          <w:bottom w:val="nil"/>
          <w:right w:val="nil"/>
          <w:between w:val="nil"/>
          <w:bar w:val="nil"/>
        </w:pBdr>
        <w:spacing w:after="120"/>
        <w:ind w:left="1080" w:right="1440"/>
        <w:contextualSpacing w:val="0"/>
        <w:rPr>
          <w:rFonts w:eastAsia="Palatino Linotype" w:cs="Palatino Linotype"/>
          <w:szCs w:val="26"/>
        </w:rPr>
      </w:pPr>
      <w:r w:rsidRPr="002568C6">
        <w:rPr>
          <w:rFonts w:eastAsia="Palatino Linotype" w:cs="Palatino Linotype"/>
          <w:szCs w:val="26"/>
        </w:rPr>
        <w:t xml:space="preserve">Each utility’s Security Plan Report is due to the CPUC within </w:t>
      </w:r>
      <w:r w:rsidR="00F205B3">
        <w:rPr>
          <w:rFonts w:eastAsia="Palatino Linotype" w:cs="Palatino Linotype"/>
          <w:szCs w:val="26"/>
        </w:rPr>
        <w:t>30</w:t>
      </w:r>
      <w:r w:rsidRPr="002568C6">
        <w:rPr>
          <w:rFonts w:eastAsia="Palatino Linotype" w:cs="Palatino Linotype"/>
          <w:szCs w:val="26"/>
        </w:rPr>
        <w:t xml:space="preserve"> months of the approval of this decision;</w:t>
      </w:r>
      <w:r w:rsidR="00DC056C">
        <w:rPr>
          <w:rFonts w:eastAsia="Palatino Linotype" w:cs="Palatino Linotype"/>
          <w:szCs w:val="26"/>
        </w:rPr>
        <w:t xml:space="preserve"> and</w:t>
      </w:r>
    </w:p>
    <w:p w14:paraId="4E777813" w14:textId="273202C1" w:rsidR="0097193B" w:rsidRPr="002568C6" w:rsidRDefault="0097193B" w:rsidP="00DC056C">
      <w:pPr>
        <w:pStyle w:val="ListParagraph"/>
        <w:numPr>
          <w:ilvl w:val="0"/>
          <w:numId w:val="40"/>
        </w:numPr>
        <w:pBdr>
          <w:top w:val="nil"/>
          <w:left w:val="nil"/>
          <w:bottom w:val="nil"/>
          <w:right w:val="nil"/>
          <w:between w:val="nil"/>
          <w:bar w:val="nil"/>
        </w:pBdr>
        <w:spacing w:after="120"/>
        <w:ind w:left="1080" w:right="1440"/>
        <w:contextualSpacing w:val="0"/>
        <w:rPr>
          <w:rFonts w:eastAsia="Palatino Linotype" w:cs="Palatino Linotype"/>
          <w:szCs w:val="26"/>
        </w:rPr>
      </w:pPr>
      <w:r w:rsidRPr="002568C6">
        <w:rPr>
          <w:rFonts w:eastAsia="Palatino Linotype" w:cs="Palatino Linotype"/>
          <w:szCs w:val="26"/>
        </w:rPr>
        <w:t xml:space="preserve">POUs only — Within 30 months of the approval of this decision, the POUs shall provide the </w:t>
      </w:r>
      <w:r w:rsidR="00A8594E">
        <w:rPr>
          <w:rFonts w:eastAsia="Palatino Linotype" w:cs="Palatino Linotype"/>
          <w:szCs w:val="26"/>
        </w:rPr>
        <w:t>D</w:t>
      </w:r>
      <w:r w:rsidR="00CD23D5">
        <w:rPr>
          <w:rFonts w:eastAsia="Palatino Linotype" w:cs="Palatino Linotype"/>
          <w:szCs w:val="26"/>
        </w:rPr>
        <w:t>irector of Safety and Enforcement Division and the Director of the Energy Division</w:t>
      </w:r>
      <w:r w:rsidRPr="002568C6">
        <w:rPr>
          <w:rFonts w:eastAsia="Palatino Linotype" w:cs="Palatino Linotype"/>
          <w:szCs w:val="26"/>
        </w:rPr>
        <w:t xml:space="preserve"> with notice of the plan adoption by way of copy of </w:t>
      </w:r>
      <w:r>
        <w:rPr>
          <w:rFonts w:eastAsia="Palatino Linotype" w:cs="Palatino Linotype"/>
          <w:szCs w:val="26"/>
        </w:rPr>
        <w:t xml:space="preserve">a </w:t>
      </w:r>
      <w:r w:rsidRPr="002568C6">
        <w:rPr>
          <w:rFonts w:eastAsia="Palatino Linotype" w:cs="Palatino Linotype"/>
          <w:szCs w:val="26"/>
        </w:rPr>
        <w:t>signed resolution, ordinance or letter by a responsible elected- or appointed official, or utility director.</w:t>
      </w:r>
      <w:r w:rsidR="00CD23D5">
        <w:rPr>
          <w:rFonts w:eastAsia="Palatino Linotype" w:cs="Palatino Linotype"/>
          <w:szCs w:val="26"/>
        </w:rPr>
        <w:t xml:space="preserve">  If a POU has an existing security plan that has been adopted by its Board of Directors or City Council within three years prior to the date of this decision, the requirement to have a plan adopted may be waived by the Commission.</w:t>
      </w:r>
    </w:p>
    <w:p w14:paraId="58464A24" w14:textId="77777777" w:rsidR="0097193B" w:rsidRPr="006751CD" w:rsidRDefault="0097193B" w:rsidP="007375A7">
      <w:pPr>
        <w:pStyle w:val="Heading2"/>
        <w:keepNext/>
        <w:keepLines/>
      </w:pPr>
      <w:bookmarkStart w:id="33" w:name="_Toc529357801"/>
      <w:r>
        <w:t>6.7</w:t>
      </w:r>
      <w:r w:rsidR="007F50A8">
        <w:t xml:space="preserve">. </w:t>
      </w:r>
      <w:r>
        <w:t xml:space="preserve"> </w:t>
      </w:r>
      <w:r w:rsidRPr="006751CD">
        <w:t>Reporting</w:t>
      </w:r>
      <w:bookmarkEnd w:id="33"/>
    </w:p>
    <w:p w14:paraId="1B972DBC" w14:textId="77777777" w:rsidR="0097193B" w:rsidRPr="00D87310" w:rsidRDefault="0097193B" w:rsidP="007375A7">
      <w:pPr>
        <w:pStyle w:val="standard"/>
        <w:keepNext/>
        <w:keepLines/>
        <w:rPr>
          <w:rFonts w:eastAsia="Palatino Linotype"/>
        </w:rPr>
      </w:pPr>
      <w:r w:rsidRPr="00D87310">
        <w:rPr>
          <w:rFonts w:eastAsia="Palatino Linotype"/>
        </w:rPr>
        <w:t xml:space="preserve">Utilities shall provide to the Director of the Safety and Enforcement Division and the Director of the Energy Division copies of </w:t>
      </w:r>
      <w:r w:rsidR="00E4778C">
        <w:rPr>
          <w:rFonts w:eastAsia="Palatino Linotype"/>
        </w:rPr>
        <w:t xml:space="preserve">all </w:t>
      </w:r>
      <w:r w:rsidRPr="00D87310">
        <w:rPr>
          <w:rFonts w:eastAsia="Palatino Linotype"/>
        </w:rPr>
        <w:t xml:space="preserve">OE-417 reports submitted to the U.S. DOE within two weeks of filing with U.S. DOE.  </w:t>
      </w:r>
    </w:p>
    <w:p w14:paraId="11C232EE" w14:textId="77777777" w:rsidR="0097193B" w:rsidRPr="00D87310" w:rsidRDefault="0097193B" w:rsidP="00D87310">
      <w:pPr>
        <w:pStyle w:val="standard"/>
        <w:rPr>
          <w:rFonts w:eastAsia="Palatino Linotype"/>
        </w:rPr>
      </w:pPr>
      <w:r w:rsidRPr="00D87310">
        <w:rPr>
          <w:rFonts w:eastAsia="Palatino Linotype"/>
        </w:rPr>
        <w:t xml:space="preserve">All utilities except SDG&amp;E objected to SED RASA’s recommendation of annual reporting, citing a preference for data requests as the appropriate vehicle.  We disagree that the responsibility to be made aware of any incidents should fall on the Commission.  Additionally, such an annual reporting requirement is enshrined into law per </w:t>
      </w:r>
      <w:r w:rsidR="004C2F94">
        <w:rPr>
          <w:rFonts w:eastAsia="Palatino Linotype"/>
        </w:rPr>
        <w:t>§</w:t>
      </w:r>
      <w:r w:rsidRPr="00D87310">
        <w:rPr>
          <w:rFonts w:eastAsia="Palatino Linotype"/>
        </w:rPr>
        <w:t xml:space="preserve"> 590 of the </w:t>
      </w:r>
      <w:r w:rsidR="004C2F94">
        <w:rPr>
          <w:rFonts w:eastAsia="Palatino Linotype"/>
        </w:rPr>
        <w:t xml:space="preserve">Pub. Util. </w:t>
      </w:r>
      <w:r w:rsidRPr="00D87310">
        <w:rPr>
          <w:rFonts w:eastAsia="Palatino Linotype"/>
        </w:rPr>
        <w:t xml:space="preserve">Code. </w:t>
      </w:r>
      <w:r w:rsidR="004C2F94">
        <w:rPr>
          <w:rFonts w:eastAsia="Palatino Linotype"/>
        </w:rPr>
        <w:t xml:space="preserve"> </w:t>
      </w:r>
      <w:r w:rsidRPr="00D87310">
        <w:rPr>
          <w:rFonts w:eastAsia="Palatino Linotype"/>
        </w:rPr>
        <w:t xml:space="preserve">Therefore, and in order to ensure statewide consistency, we require the utilities to submit an annual report.  </w:t>
      </w:r>
    </w:p>
    <w:p w14:paraId="62289FB0" w14:textId="5BB714F0" w:rsidR="0097193B" w:rsidRPr="00D87310" w:rsidRDefault="0097193B" w:rsidP="007375A7">
      <w:pPr>
        <w:pStyle w:val="standard"/>
        <w:rPr>
          <w:rFonts w:eastAsia="Palatino Linotype"/>
        </w:rPr>
      </w:pPr>
      <w:r w:rsidRPr="00D87310">
        <w:rPr>
          <w:rFonts w:eastAsia="Palatino Linotype"/>
        </w:rPr>
        <w:t>These annual reports shall be submitted to the Director of the Safety and Enforcement Division and the Director of the Energy Division</w:t>
      </w:r>
      <w:r w:rsidRPr="00D87310" w:rsidDel="003F60B2">
        <w:rPr>
          <w:rFonts w:eastAsia="Palatino Linotype"/>
        </w:rPr>
        <w:t xml:space="preserve"> </w:t>
      </w:r>
      <w:r w:rsidRPr="00D87310">
        <w:rPr>
          <w:rFonts w:eastAsia="Palatino Linotype"/>
        </w:rPr>
        <w:t xml:space="preserve">by March 31 </w:t>
      </w:r>
      <w:r w:rsidR="00E4778C">
        <w:rPr>
          <w:rFonts w:eastAsia="Palatino Linotype"/>
        </w:rPr>
        <w:t xml:space="preserve">each </w:t>
      </w:r>
      <w:r w:rsidRPr="00D87310">
        <w:rPr>
          <w:rFonts w:eastAsia="Palatino Linotype"/>
        </w:rPr>
        <w:t>year</w:t>
      </w:r>
      <w:r w:rsidR="00E4778C">
        <w:rPr>
          <w:rFonts w:eastAsia="Palatino Linotype"/>
        </w:rPr>
        <w:t>, commencing in 2020</w:t>
      </w:r>
      <w:r w:rsidRPr="00D87310">
        <w:rPr>
          <w:rFonts w:eastAsia="Palatino Linotype"/>
        </w:rPr>
        <w:t xml:space="preserve">.  </w:t>
      </w:r>
      <w:r w:rsidR="005E2FC6">
        <w:rPr>
          <w:rFonts w:eastAsia="Palatino Linotype"/>
        </w:rPr>
        <w:t xml:space="preserve">Each </w:t>
      </w:r>
      <w:r w:rsidRPr="00D87310">
        <w:rPr>
          <w:rFonts w:eastAsia="Palatino Linotype"/>
        </w:rPr>
        <w:t>report</w:t>
      </w:r>
      <w:r w:rsidR="005E2FC6">
        <w:rPr>
          <w:rFonts w:eastAsia="Palatino Linotype"/>
        </w:rPr>
        <w:t xml:space="preserve"> shall include</w:t>
      </w:r>
      <w:r w:rsidRPr="00D87310">
        <w:rPr>
          <w:rFonts w:eastAsia="Palatino Linotype"/>
        </w:rPr>
        <w:t xml:space="preserve"> </w:t>
      </w:r>
      <w:r w:rsidR="005E2FC6">
        <w:rPr>
          <w:rFonts w:eastAsia="Palatino Linotype"/>
        </w:rPr>
        <w:t xml:space="preserve">a section that describes </w:t>
      </w:r>
      <w:r w:rsidRPr="00D87310">
        <w:rPr>
          <w:rFonts w:eastAsia="Palatino Linotype"/>
        </w:rPr>
        <w:t>any physical security incident resulting in a utility insurance claim</w:t>
      </w:r>
      <w:r w:rsidR="005E2FC6">
        <w:rPr>
          <w:rFonts w:eastAsia="Palatino Linotype"/>
        </w:rPr>
        <w:t xml:space="preserve">. </w:t>
      </w:r>
      <w:r w:rsidR="009E1442">
        <w:rPr>
          <w:rFonts w:eastAsia="Palatino Linotype"/>
        </w:rPr>
        <w:t xml:space="preserve"> </w:t>
      </w:r>
      <w:r w:rsidR="005E2FC6">
        <w:t xml:space="preserve">The Commission </w:t>
      </w:r>
      <w:r w:rsidR="005E2FC6">
        <w:lastRenderedPageBreak/>
        <w:t xml:space="preserve">does not require copies of filed insurance claims or specifics of asset vulnerability that allowed for a physical security breach. Rather, the submittal should be a high-level report. </w:t>
      </w:r>
      <w:r w:rsidR="009E1442">
        <w:t xml:space="preserve"> </w:t>
      </w:r>
      <w:r w:rsidR="00EF1D30">
        <w:t>U</w:t>
      </w:r>
      <w:r w:rsidR="005E2FC6">
        <w:t>tilities should make mention of any incidents reported for insurance claims within the annual reporting period</w:t>
      </w:r>
      <w:r w:rsidR="00A8594E">
        <w:t xml:space="preserve"> of April 1 to March 31</w:t>
      </w:r>
      <w:r w:rsidR="005E2FC6">
        <w:t xml:space="preserve"> and include such general information as location, </w:t>
      </w:r>
      <w:r w:rsidR="00EF1D30">
        <w:t xml:space="preserve">and </w:t>
      </w:r>
      <w:r w:rsidR="005E2FC6">
        <w:t>impact</w:t>
      </w:r>
      <w:r w:rsidR="00EF1D30">
        <w:t xml:space="preserve"> of the incident</w:t>
      </w:r>
      <w:r w:rsidR="005E2FC6">
        <w:t xml:space="preserve">, and monetary value of claim. Filing should include </w:t>
      </w:r>
      <w:r w:rsidR="00EF1D30">
        <w:t xml:space="preserve">a </w:t>
      </w:r>
      <w:r w:rsidR="005E2FC6">
        <w:t xml:space="preserve">data file </w:t>
      </w:r>
      <w:r w:rsidR="00EF1D30">
        <w:t>(in Microsoft Excel format)</w:t>
      </w:r>
      <w:r w:rsidR="005E2FC6">
        <w:t xml:space="preserve">. </w:t>
      </w:r>
      <w:r w:rsidR="009E1442">
        <w:t xml:space="preserve"> </w:t>
      </w:r>
      <w:r w:rsidR="005E2FC6">
        <w:t xml:space="preserve">As with all Commission filings, should utilities believe that certain information is sensitive, </w:t>
      </w:r>
      <w:r w:rsidR="0097033D">
        <w:t>they must follow G</w:t>
      </w:r>
      <w:r w:rsidR="00D96D82">
        <w:t>O</w:t>
      </w:r>
      <w:r w:rsidR="0097033D">
        <w:t xml:space="preserve"> 66</w:t>
      </w:r>
      <w:r w:rsidR="00D96D82">
        <w:t>-</w:t>
      </w:r>
      <w:r w:rsidR="0097033D">
        <w:t xml:space="preserve">D </w:t>
      </w:r>
      <w:r w:rsidR="00D96D82">
        <w:t xml:space="preserve">requirements </w:t>
      </w:r>
      <w:r w:rsidR="0097033D">
        <w:t>for identifying</w:t>
      </w:r>
      <w:r w:rsidR="005E2FC6">
        <w:t xml:space="preserve"> confidential </w:t>
      </w:r>
      <w:r w:rsidR="0097033D">
        <w:t xml:space="preserve">information. </w:t>
      </w:r>
    </w:p>
    <w:p w14:paraId="4B830ADD" w14:textId="77777777" w:rsidR="0097193B" w:rsidRPr="006751CD" w:rsidRDefault="0097193B" w:rsidP="00D43F0D">
      <w:pPr>
        <w:pStyle w:val="standard"/>
        <w:rPr>
          <w:rFonts w:eastAsia="Palatino Linotype"/>
        </w:rPr>
      </w:pPr>
      <w:r w:rsidRPr="006751CD">
        <w:rPr>
          <w:rFonts w:eastAsia="Palatino Linotype"/>
        </w:rPr>
        <w:t>To meet the reporting requirement introduced in SB 699 in P</w:t>
      </w:r>
      <w:r w:rsidR="0005613D">
        <w:rPr>
          <w:rFonts w:eastAsia="Palatino Linotype"/>
        </w:rPr>
        <w:t xml:space="preserve">ub. </w:t>
      </w:r>
      <w:r w:rsidRPr="006751CD">
        <w:rPr>
          <w:rFonts w:eastAsia="Palatino Linotype"/>
        </w:rPr>
        <w:t>U</w:t>
      </w:r>
      <w:r w:rsidR="0005613D">
        <w:rPr>
          <w:rFonts w:eastAsia="Palatino Linotype"/>
        </w:rPr>
        <w:t xml:space="preserve">til. </w:t>
      </w:r>
      <w:r w:rsidRPr="006751CD">
        <w:rPr>
          <w:rFonts w:eastAsia="Palatino Linotype"/>
        </w:rPr>
        <w:t>C</w:t>
      </w:r>
      <w:r w:rsidR="0005613D">
        <w:rPr>
          <w:rFonts w:eastAsia="Palatino Linotype"/>
        </w:rPr>
        <w:t>ode</w:t>
      </w:r>
      <w:r w:rsidRPr="006751CD">
        <w:rPr>
          <w:rFonts w:eastAsia="Palatino Linotype"/>
        </w:rPr>
        <w:t xml:space="preserve"> §</w:t>
      </w:r>
      <w:r w:rsidR="0005613D">
        <w:rPr>
          <w:rFonts w:eastAsia="Palatino Linotype"/>
        </w:rPr>
        <w:t> </w:t>
      </w:r>
      <w:r w:rsidRPr="006751CD">
        <w:rPr>
          <w:rFonts w:eastAsia="Palatino Linotype"/>
        </w:rPr>
        <w:t>364 (b) now located in §</w:t>
      </w:r>
      <w:r w:rsidR="0005613D">
        <w:rPr>
          <w:rFonts w:eastAsia="Palatino Linotype"/>
        </w:rPr>
        <w:t xml:space="preserve"> </w:t>
      </w:r>
      <w:r w:rsidRPr="006751CD">
        <w:rPr>
          <w:rFonts w:eastAsia="Palatino Linotype"/>
        </w:rPr>
        <w:t xml:space="preserve">590, these annual reports should also include any significant </w:t>
      </w:r>
      <w:r>
        <w:rPr>
          <w:rFonts w:eastAsia="Palatino Linotype"/>
        </w:rPr>
        <w:t>changes</w:t>
      </w:r>
      <w:r w:rsidRPr="006751CD">
        <w:rPr>
          <w:rFonts w:eastAsia="Palatino Linotype"/>
        </w:rPr>
        <w:t xml:space="preserve"> to the </w:t>
      </w:r>
      <w:r>
        <w:rPr>
          <w:rFonts w:eastAsia="Palatino Linotype"/>
        </w:rPr>
        <w:t xml:space="preserve">Security </w:t>
      </w:r>
      <w:r w:rsidRPr="006751CD">
        <w:rPr>
          <w:rFonts w:eastAsia="Palatino Linotype"/>
        </w:rPr>
        <w:t>Plan</w:t>
      </w:r>
      <w:r>
        <w:rPr>
          <w:rFonts w:eastAsia="Palatino Linotype"/>
        </w:rPr>
        <w:t xml:space="preserve"> Report</w:t>
      </w:r>
      <w:r w:rsidRPr="006751CD">
        <w:rPr>
          <w:rFonts w:eastAsia="Palatino Linotype"/>
        </w:rPr>
        <w:t>s (including new facilities covered by the Plan or major mitigation upgrades at previously identified facilities).  Because the statutory language provided that these be publicly available, the utility may provide both a complete report for the Commission and an appropriately redacted version for the public</w:t>
      </w:r>
      <w:r>
        <w:rPr>
          <w:rFonts w:eastAsia="Palatino Linotype"/>
        </w:rPr>
        <w:t xml:space="preserve"> to be posted on the Commission’s web site</w:t>
      </w:r>
      <w:r w:rsidRPr="006751CD">
        <w:rPr>
          <w:rFonts w:eastAsia="Palatino Linotype"/>
        </w:rPr>
        <w:t>.</w:t>
      </w:r>
    </w:p>
    <w:p w14:paraId="7D4497A6" w14:textId="77777777" w:rsidR="0097193B" w:rsidRPr="009E077D" w:rsidRDefault="0097193B" w:rsidP="007375A7">
      <w:pPr>
        <w:pStyle w:val="Heading2"/>
        <w:spacing w:after="0" w:line="360" w:lineRule="auto"/>
        <w:ind w:left="1267" w:hanging="547"/>
      </w:pPr>
      <w:bookmarkStart w:id="34" w:name="_Toc529357802"/>
      <w:r>
        <w:t>6.8</w:t>
      </w:r>
      <w:r w:rsidR="007F50A8">
        <w:t xml:space="preserve">. </w:t>
      </w:r>
      <w:r>
        <w:t xml:space="preserve"> </w:t>
      </w:r>
      <w:r w:rsidRPr="009E077D">
        <w:t>Cost Recovery</w:t>
      </w:r>
      <w:bookmarkEnd w:id="34"/>
    </w:p>
    <w:p w14:paraId="4B7AB390" w14:textId="77777777" w:rsidR="0097193B" w:rsidRPr="006751CD" w:rsidRDefault="0097193B" w:rsidP="00D43F0D">
      <w:pPr>
        <w:pStyle w:val="standard"/>
      </w:pPr>
      <w:r>
        <w:t xml:space="preserve">The Joint Utilities propose that they should be authorized to file separate applications to request recovery of the costs associated with their Distribution Security Programs.  </w:t>
      </w:r>
      <w:r w:rsidRPr="006751CD">
        <w:t xml:space="preserve">We disagree that the </w:t>
      </w:r>
      <w:r>
        <w:t xml:space="preserve">electric utilities </w:t>
      </w:r>
      <w:r w:rsidRPr="006751CD">
        <w:t xml:space="preserve">should be authorized to file separate applications to request recovery of costs associated with their respective Distribution Security Programs.  Utilities may establish a memorandum account to track associated costs.  However, cost recovery requests shall be made in each </w:t>
      </w:r>
      <w:r>
        <w:t xml:space="preserve">utility’s </w:t>
      </w:r>
      <w:r w:rsidRPr="006751CD">
        <w:t>general rate case (GRC).</w:t>
      </w:r>
    </w:p>
    <w:p w14:paraId="3D4789AF" w14:textId="77777777" w:rsidR="0097193B" w:rsidRDefault="0097193B" w:rsidP="00307975">
      <w:pPr>
        <w:pStyle w:val="standard"/>
      </w:pPr>
      <w:r w:rsidRPr="006751CD">
        <w:lastRenderedPageBreak/>
        <w:t xml:space="preserve">Electrical Cooperatives and </w:t>
      </w:r>
      <w:r>
        <w:t xml:space="preserve">POUs </w:t>
      </w:r>
      <w:r w:rsidRPr="006751CD">
        <w:t>should act in accordance with processes established by a governing or other type of board with the authority to approve such processes, if any.</w:t>
      </w:r>
    </w:p>
    <w:p w14:paraId="7C79C767" w14:textId="77777777" w:rsidR="0097193B" w:rsidRPr="000A5B06" w:rsidRDefault="0097193B" w:rsidP="00307975">
      <w:pPr>
        <w:pStyle w:val="Heading1"/>
      </w:pPr>
      <w:bookmarkStart w:id="35" w:name="_Toc529357803"/>
      <w:r>
        <w:t>7.</w:t>
      </w:r>
      <w:r w:rsidR="00307975">
        <w:t xml:space="preserve"> </w:t>
      </w:r>
      <w:r>
        <w:t xml:space="preserve"> </w:t>
      </w:r>
      <w:r w:rsidRPr="000A5B06">
        <w:t>C</w:t>
      </w:r>
      <w:r>
        <w:t>ommission Position on Joint Utility Proposal</w:t>
      </w:r>
      <w:r w:rsidR="00307975">
        <w:br/>
      </w:r>
      <w:r>
        <w:t>and SED RASA Recommendations</w:t>
      </w:r>
      <w:bookmarkEnd w:id="35"/>
      <w:r>
        <w:t xml:space="preserve"> </w:t>
      </w:r>
    </w:p>
    <w:p w14:paraId="66E3A989" w14:textId="10E34483" w:rsidR="00F205B3" w:rsidRPr="00A57E44" w:rsidRDefault="0097193B">
      <w:pPr>
        <w:pStyle w:val="standard"/>
      </w:pPr>
      <w:r w:rsidRPr="00A57E44">
        <w:t xml:space="preserve">The Commission finds that the elements of the Joint Utility Proposal set forth in the mitigation plans represent a first-of-its kind effort at the state level, and yet they do not go far enough to prescribe reasonable physical security measures.  Additionally, the Commission finds that the SED RASA recommendation to include additional requirements is sound and advisable. </w:t>
      </w:r>
      <w:r w:rsidR="003C58F6" w:rsidRPr="00A57E44">
        <w:t xml:space="preserve"> </w:t>
      </w:r>
      <w:r w:rsidRPr="00A57E44">
        <w:t>We find that the Joint Utility Proposal, augmented by all of the above additional measures and clarifications as recommended by SED RASA</w:t>
      </w:r>
      <w:r w:rsidRPr="00A57E44">
        <w:rPr>
          <w:rStyle w:val="FootnoteReference"/>
          <w:rFonts w:ascii="Palatino Linotype" w:hAnsi="Palatino Linotype"/>
        </w:rPr>
        <w:footnoteReference w:id="58"/>
      </w:r>
      <w:r w:rsidRPr="00A57E44">
        <w:t xml:space="preserve"> strike the right balance between achieving grid protection and keeping electricity service affordable. </w:t>
      </w:r>
      <w:r w:rsidR="00E84EB9" w:rsidRPr="00A57E44">
        <w:t xml:space="preserve"> </w:t>
      </w:r>
      <w:r w:rsidRPr="00A57E44">
        <w:t>As such, the Commission finds adoption of the combined provisions of Sections 4 and 6 outlined above, will provide an appropriate level of physical security and ensure California grid resilience should another Metcalf-type sabotage event target the state’s electric utilities’ distribution infrastructure.</w:t>
      </w:r>
      <w:r w:rsidRPr="00A57E44">
        <w:rPr>
          <w:rStyle w:val="FootnoteReference"/>
          <w:rFonts w:ascii="Palatino Linotype" w:hAnsi="Palatino Linotype"/>
        </w:rPr>
        <w:footnoteReference w:id="59"/>
      </w:r>
      <w:r w:rsidRPr="00A57E44">
        <w:t xml:space="preserve"> </w:t>
      </w:r>
    </w:p>
    <w:p w14:paraId="60570783" w14:textId="0AE55948" w:rsidR="0097193B" w:rsidRPr="00A57E44" w:rsidRDefault="008B5C4B" w:rsidP="007375A7">
      <w:pPr>
        <w:pStyle w:val="standard"/>
      </w:pPr>
      <w:r>
        <w:lastRenderedPageBreak/>
        <w:t>In closing</w:t>
      </w:r>
      <w:r w:rsidRPr="00A57E44">
        <w:t xml:space="preserve">, the Commission notes that it is desirable that California’s </w:t>
      </w:r>
      <w:r>
        <w:t xml:space="preserve">electric </w:t>
      </w:r>
      <w:r w:rsidRPr="00A57E44">
        <w:t xml:space="preserve">utilities </w:t>
      </w:r>
      <w:r w:rsidR="00D96D82">
        <w:t xml:space="preserve">coordinate </w:t>
      </w:r>
      <w:r w:rsidRPr="00A57E44">
        <w:t xml:space="preserve">to the fullest extent practicable to exchange information and best practices that advance the State’s safety, security, and </w:t>
      </w:r>
      <w:r w:rsidRPr="008240E1">
        <w:t>resilience</w:t>
      </w:r>
      <w:r w:rsidRPr="00A57E44">
        <w:t xml:space="preserve"> goals. To this end, </w:t>
      </w:r>
      <w:r w:rsidRPr="00A57E44">
        <w:rPr>
          <w:rFonts w:cs="TimesNewRomanPSMT"/>
        </w:rPr>
        <w:t>all utilities will be expected to relay information about critical loads within a service territory to any other utility in California whose distribution facilities also are used to supply electricity for those critical loads</w:t>
      </w:r>
      <w:r w:rsidR="0097033D" w:rsidRPr="00A57E44">
        <w:rPr>
          <w:rFonts w:cs="TimesNewRomanPSMT"/>
        </w:rPr>
        <w:t>.</w:t>
      </w:r>
    </w:p>
    <w:p w14:paraId="05C8145F" w14:textId="77777777" w:rsidR="002459CB" w:rsidRDefault="0097193B" w:rsidP="00B94B9A">
      <w:pPr>
        <w:pStyle w:val="Heading1"/>
      </w:pPr>
      <w:bookmarkStart w:id="36" w:name="_Toc529357804"/>
      <w:bookmarkStart w:id="37" w:name="_Toc509480326"/>
      <w:r>
        <w:t xml:space="preserve">8. </w:t>
      </w:r>
      <w:r w:rsidR="000F1F33">
        <w:t xml:space="preserve"> </w:t>
      </w:r>
      <w:r w:rsidR="002459CB" w:rsidRPr="006751CD">
        <w:t>Safety Considerations</w:t>
      </w:r>
      <w:bookmarkEnd w:id="36"/>
    </w:p>
    <w:p w14:paraId="09A19BAC" w14:textId="03AD9BB6" w:rsidR="00A57E44" w:rsidRPr="00A57E44" w:rsidRDefault="002459CB">
      <w:pPr>
        <w:pStyle w:val="standard"/>
      </w:pPr>
      <w:r w:rsidRPr="00A57E44">
        <w:t xml:space="preserve">Safety is a major concern for the Commission.  The Commission’s safety goals are furthered by ensuring all California electric </w:t>
      </w:r>
      <w:r w:rsidRPr="007375A7">
        <w:t>utilities</w:t>
      </w:r>
      <w:r w:rsidRPr="00A57E44">
        <w:t xml:space="preserve"> have identified priority distribution assets that merit special protection, and prescribing measures to reduce ri</w:t>
      </w:r>
      <w:r w:rsidRPr="00A57E44">
        <w:rPr>
          <w:i/>
        </w:rPr>
        <w:t>s</w:t>
      </w:r>
      <w:r w:rsidRPr="00A57E44">
        <w:t>ks and threats to these assets.</w:t>
      </w:r>
    </w:p>
    <w:p w14:paraId="1DDBBEE8" w14:textId="77777777" w:rsidR="00B62890" w:rsidRDefault="00B62890" w:rsidP="00B94B9A">
      <w:pPr>
        <w:pStyle w:val="Heading1"/>
      </w:pPr>
      <w:bookmarkStart w:id="38" w:name="_Toc529357805"/>
      <w:r>
        <w:t>9.  Conclusion</w:t>
      </w:r>
      <w:bookmarkEnd w:id="38"/>
    </w:p>
    <w:p w14:paraId="12379177" w14:textId="77777777" w:rsidR="00B62890" w:rsidRPr="00A57E44" w:rsidRDefault="00B62890">
      <w:pPr>
        <w:pStyle w:val="standard"/>
      </w:pPr>
      <w:r w:rsidRPr="00A57E44">
        <w:t xml:space="preserve">Phase I of this proceeding requires </w:t>
      </w:r>
      <w:r w:rsidRPr="007375A7">
        <w:t>electric</w:t>
      </w:r>
      <w:r w:rsidRPr="00A57E44">
        <w:t xml:space="preserve"> utilities to identify electric supply facilities which may require special protection and measures to identify risks and threats.  Each Operator will develop and implement a six-step Mitigation Plan modeled on the security plan requirements set forth by NERC CIP-014.  The safety and security benefits promoted by these Mitigation Plans mandate that the POUs also comply with these requirements as set forth in this decision.</w:t>
      </w:r>
    </w:p>
    <w:p w14:paraId="78D44B22" w14:textId="734E98FD" w:rsidR="0097193B" w:rsidRPr="006751CD" w:rsidRDefault="0050766E" w:rsidP="00B94B9A">
      <w:pPr>
        <w:pStyle w:val="Heading1"/>
      </w:pPr>
      <w:bookmarkStart w:id="39" w:name="_Toc529357806"/>
      <w:r>
        <w:t xml:space="preserve">10.  </w:t>
      </w:r>
      <w:r w:rsidR="0097193B" w:rsidRPr="006751CD">
        <w:t>Comment Period</w:t>
      </w:r>
      <w:bookmarkEnd w:id="37"/>
      <w:bookmarkEnd w:id="39"/>
    </w:p>
    <w:p w14:paraId="03534D71" w14:textId="44C0862A" w:rsidR="0097193B" w:rsidRPr="00A57E44" w:rsidRDefault="00A03BDD">
      <w:pPr>
        <w:pStyle w:val="standard"/>
      </w:pPr>
      <w:r w:rsidRPr="00A57E44">
        <w:t xml:space="preserve">The proposed decision in this matter was </w:t>
      </w:r>
      <w:r w:rsidRPr="007375A7">
        <w:t>mailed</w:t>
      </w:r>
      <w:r w:rsidRPr="00A57E44">
        <w:t xml:space="preserve"> in accordance with </w:t>
      </w:r>
      <w:bookmarkStart w:id="40" w:name="_Hlk528074090"/>
      <w:r w:rsidRPr="00A57E44">
        <w:t>§</w:t>
      </w:r>
      <w:bookmarkEnd w:id="40"/>
      <w:r w:rsidRPr="00A57E44">
        <w:t xml:space="preserve"> 311 of the Pub. Util. Code and comments were allowed under Rule 14.3 of the Commission’s Rules of Practice and Procedure.  Comments were filed on </w:t>
      </w:r>
      <w:r w:rsidR="00EB7219" w:rsidRPr="00A57E44">
        <w:t>November 29, 2018, by PG&amp;E, SCE, SDG&amp;E, CMUA/LADWP/SMUD and SED Advocacy</w:t>
      </w:r>
      <w:r w:rsidRPr="00A57E44">
        <w:t xml:space="preserve">, and reply comments were filed on </w:t>
      </w:r>
      <w:r w:rsidR="00EB7219" w:rsidRPr="00A57E44">
        <w:t xml:space="preserve">December 4, 2018 </w:t>
      </w:r>
      <w:r w:rsidRPr="00A57E44">
        <w:t xml:space="preserve">by </w:t>
      </w:r>
      <w:r w:rsidR="00EB7219" w:rsidRPr="00A57E44">
        <w:t xml:space="preserve">PG&amp;E, SCE, </w:t>
      </w:r>
      <w:r w:rsidR="00EB7219" w:rsidRPr="00A57E44">
        <w:lastRenderedPageBreak/>
        <w:t>SDG&amp;E, CMUA/LADWP/SMUD, SED Advocacy and ORA, filing as the Public Advocates Office</w:t>
      </w:r>
      <w:r w:rsidRPr="00A57E44">
        <w:t xml:space="preserve">.  </w:t>
      </w:r>
    </w:p>
    <w:p w14:paraId="2DCEA5B8" w14:textId="123AC2FE" w:rsidR="00EB7219" w:rsidRPr="00AC2BF3" w:rsidRDefault="00EB7219">
      <w:pPr>
        <w:pStyle w:val="standard"/>
      </w:pPr>
      <w:r w:rsidRPr="00A57E44">
        <w:t xml:space="preserve">In their comments the utilities sought </w:t>
      </w:r>
      <w:r w:rsidR="00D96D82">
        <w:t xml:space="preserve">greater </w:t>
      </w:r>
      <w:r w:rsidRPr="00A57E44">
        <w:t xml:space="preserve">conformity with the original Joint Utility Proposal, </w:t>
      </w:r>
      <w:r w:rsidR="00B918A8" w:rsidRPr="00A57E44">
        <w:t xml:space="preserve">particularly in the proposed </w:t>
      </w:r>
      <w:r w:rsidR="00B918A8" w:rsidRPr="007375A7">
        <w:t>timeline</w:t>
      </w:r>
      <w:r w:rsidR="00B918A8" w:rsidRPr="00A57E44">
        <w:t xml:space="preserve"> for compliance</w:t>
      </w:r>
      <w:r w:rsidR="00D96D82">
        <w:t>,</w:t>
      </w:r>
      <w:r w:rsidR="00B918A8" w:rsidRPr="00A57E44">
        <w:t xml:space="preserve"> and </w:t>
      </w:r>
      <w:r w:rsidR="00D96D82">
        <w:t>argued</w:t>
      </w:r>
      <w:r w:rsidRPr="00A57E44">
        <w:t xml:space="preserve"> against </w:t>
      </w:r>
      <w:r w:rsidR="00D96D82">
        <w:t xml:space="preserve">the </w:t>
      </w:r>
      <w:r w:rsidRPr="00A57E44">
        <w:t>re</w:t>
      </w:r>
      <w:r w:rsidR="00B918A8" w:rsidRPr="00A57E44">
        <w:t xml:space="preserve">quirements in the Plans </w:t>
      </w:r>
      <w:r w:rsidR="00D96D82">
        <w:t xml:space="preserve">regarding </w:t>
      </w:r>
      <w:r w:rsidR="00B918A8" w:rsidRPr="00A57E44">
        <w:t>asset management, workforce training, and preventative maintenance planning going beyond federal CIP-014 requirements</w:t>
      </w:r>
      <w:r w:rsidR="00D96D82">
        <w:t>, recommended by SED RASA</w:t>
      </w:r>
      <w:r w:rsidR="00B918A8" w:rsidRPr="00A57E44">
        <w:t xml:space="preserve">.  SED Advocacy sought to make mandatory certain optional aspects of the RASA recommended changes to the Joint Utility Proposal.  SCE sought to eliminate certain requirements for submitting confidential information in their plans to the CPUC for staff validation and to make the Reading Room approach to access to sensitive data a permanent feature.  POUs </w:t>
      </w:r>
      <w:r w:rsidR="00B918A8" w:rsidRPr="00AC2BF3">
        <w:t xml:space="preserve">expressed concerns about sharing information about critical loads among adjacent utilities, and </w:t>
      </w:r>
      <w:r w:rsidR="007E3B70" w:rsidRPr="00AC2BF3">
        <w:t>sought</w:t>
      </w:r>
      <w:r w:rsidR="00B918A8" w:rsidRPr="00AC2BF3">
        <w:t xml:space="preserve"> clarification of definitions of physical security incidents reported in the federal OE-417 reports.</w:t>
      </w:r>
    </w:p>
    <w:p w14:paraId="26084610" w14:textId="72521C59" w:rsidR="00E07187" w:rsidRPr="007E7FBB" w:rsidRDefault="007E7FBB">
      <w:pPr>
        <w:pStyle w:val="standard"/>
      </w:pPr>
      <w:r w:rsidRPr="007375A7">
        <w:t>The Commission finds it reasonable to adopt</w:t>
      </w:r>
      <w:r>
        <w:t xml:space="preserve"> the compliance timelines initially expressed in the Joint Utility </w:t>
      </w:r>
      <w:r w:rsidRPr="007375A7">
        <w:t>Proposal</w:t>
      </w:r>
      <w:r>
        <w:t xml:space="preserve"> and has clarified some of the requirements for providing the Commission with plans and reports in the body of this decision.  Additionally, the proposed decision that was initially mailed for comment included an Appendix.  Upon further review, we have decided to remove the Appendix from the final decision.  Other proposed changes are not adopted.</w:t>
      </w:r>
    </w:p>
    <w:p w14:paraId="6772CEA8" w14:textId="77777777" w:rsidR="0097193B" w:rsidRPr="006751CD" w:rsidRDefault="0050766E" w:rsidP="009F30D1">
      <w:pPr>
        <w:pStyle w:val="Heading1"/>
        <w:keepNext/>
        <w:keepLines/>
      </w:pPr>
      <w:bookmarkStart w:id="41" w:name="_Toc529357807"/>
      <w:bookmarkStart w:id="42" w:name="_Toc509480327"/>
      <w:r>
        <w:t>11</w:t>
      </w:r>
      <w:r w:rsidR="00E3243A">
        <w:t xml:space="preserve">.  </w:t>
      </w:r>
      <w:r w:rsidR="0097193B" w:rsidRPr="006751CD">
        <w:t>Assignment of Proceeding</w:t>
      </w:r>
      <w:bookmarkEnd w:id="41"/>
    </w:p>
    <w:p w14:paraId="3A6F0376" w14:textId="77777777" w:rsidR="0097193B" w:rsidRPr="00A57E44" w:rsidRDefault="0097193B" w:rsidP="007375A7">
      <w:pPr>
        <w:pStyle w:val="standard"/>
      </w:pPr>
      <w:r w:rsidRPr="00A57E44">
        <w:t xml:space="preserve">Clifford Rechtschaffen is the assigned </w:t>
      </w:r>
      <w:r w:rsidRPr="007375A7">
        <w:t>Commissioner</w:t>
      </w:r>
      <w:r w:rsidRPr="00A57E44">
        <w:t xml:space="preserve"> and Gerald F. Kelly is the assigned Administrative Law Judge to the proceeding.</w:t>
      </w:r>
    </w:p>
    <w:p w14:paraId="4FE48615" w14:textId="11EBE80D" w:rsidR="0097193B" w:rsidRPr="006751CD" w:rsidRDefault="0097193B" w:rsidP="00B94B9A">
      <w:pPr>
        <w:pStyle w:val="Heading1"/>
      </w:pPr>
      <w:bookmarkStart w:id="43" w:name="_Toc450990219"/>
      <w:bookmarkStart w:id="44" w:name="_Toc451151266"/>
      <w:bookmarkStart w:id="45" w:name="_Toc529357808"/>
      <w:bookmarkEnd w:id="42"/>
      <w:r w:rsidRPr="006751CD">
        <w:t>Findings of Fact</w:t>
      </w:r>
      <w:bookmarkEnd w:id="43"/>
      <w:bookmarkEnd w:id="44"/>
      <w:bookmarkEnd w:id="45"/>
    </w:p>
    <w:p w14:paraId="0CF8A0A9" w14:textId="77777777" w:rsidR="0097193B" w:rsidRPr="007375A7" w:rsidRDefault="0097193B" w:rsidP="00CF0F2A">
      <w:pPr>
        <w:pStyle w:val="num1"/>
        <w:numPr>
          <w:ilvl w:val="0"/>
          <w:numId w:val="2"/>
        </w:numPr>
      </w:pPr>
      <w:r w:rsidRPr="007375A7">
        <w:lastRenderedPageBreak/>
        <w:t>SB 699 directs the Commission to develop rules for addressing physical security risks to the distribution systems of electrical corporations.</w:t>
      </w:r>
    </w:p>
    <w:p w14:paraId="39381C62" w14:textId="77777777" w:rsidR="0097193B" w:rsidRPr="007375A7" w:rsidRDefault="0097193B" w:rsidP="00CF0F2A">
      <w:pPr>
        <w:pStyle w:val="num1"/>
        <w:numPr>
          <w:ilvl w:val="0"/>
          <w:numId w:val="2"/>
        </w:numPr>
      </w:pPr>
      <w:r w:rsidRPr="00A57E44">
        <w:rPr>
          <w:rFonts w:ascii="Palatino Linotype" w:hAnsi="Palatino Linotype"/>
        </w:rPr>
        <w:t xml:space="preserve"> </w:t>
      </w:r>
      <w:r w:rsidRPr="007375A7">
        <w:t>AB 1650 directs the Commission to develop emergency preparedness plans applicable to electrical corporations and water companies regulated by the Commission.</w:t>
      </w:r>
    </w:p>
    <w:p w14:paraId="38A59CCA" w14:textId="77777777" w:rsidR="0097193B" w:rsidRPr="007375A7" w:rsidRDefault="0097193B" w:rsidP="00CF0F2A">
      <w:pPr>
        <w:pStyle w:val="num1"/>
        <w:numPr>
          <w:ilvl w:val="0"/>
          <w:numId w:val="2"/>
        </w:numPr>
      </w:pPr>
      <w:r w:rsidRPr="007375A7">
        <w:t>This proceeding will be conducted in two phases.</w:t>
      </w:r>
    </w:p>
    <w:p w14:paraId="447CCC45" w14:textId="77777777" w:rsidR="0097193B" w:rsidRPr="007375A7" w:rsidRDefault="0097193B" w:rsidP="00CF0F2A">
      <w:pPr>
        <w:pStyle w:val="num1"/>
        <w:numPr>
          <w:ilvl w:val="0"/>
          <w:numId w:val="2"/>
        </w:numPr>
      </w:pPr>
      <w:r w:rsidRPr="00A57E44">
        <w:rPr>
          <w:rFonts w:ascii="Palatino Linotype" w:hAnsi="Palatino Linotype"/>
        </w:rPr>
        <w:t xml:space="preserve"> </w:t>
      </w:r>
      <w:r w:rsidRPr="007375A7">
        <w:t>Phase I of this proceeding pertains to the requirements set forth in SB 699.</w:t>
      </w:r>
    </w:p>
    <w:p w14:paraId="02B55993" w14:textId="77777777" w:rsidR="0097193B" w:rsidRPr="007375A7" w:rsidRDefault="0097193B" w:rsidP="00CF0F2A">
      <w:pPr>
        <w:pStyle w:val="num1"/>
        <w:numPr>
          <w:ilvl w:val="0"/>
          <w:numId w:val="2"/>
        </w:numPr>
      </w:pPr>
      <w:r w:rsidRPr="00A57E44">
        <w:rPr>
          <w:rFonts w:ascii="Palatino Linotype" w:hAnsi="Palatino Linotype"/>
        </w:rPr>
        <w:t xml:space="preserve"> </w:t>
      </w:r>
      <w:r w:rsidRPr="007375A7">
        <w:t>Phase II of this proceeding pertains to the requirements set forth in AB</w:t>
      </w:r>
      <w:r w:rsidR="00FA6344" w:rsidRPr="007375A7">
        <w:t> </w:t>
      </w:r>
      <w:r w:rsidRPr="007375A7">
        <w:t>1650.</w:t>
      </w:r>
    </w:p>
    <w:p w14:paraId="0239FC1A" w14:textId="77777777" w:rsidR="0097193B" w:rsidRPr="007375A7" w:rsidRDefault="0097193B" w:rsidP="00CF0F2A">
      <w:pPr>
        <w:pStyle w:val="num1"/>
        <w:numPr>
          <w:ilvl w:val="0"/>
          <w:numId w:val="2"/>
        </w:numPr>
      </w:pPr>
      <w:r w:rsidRPr="007375A7">
        <w:t>Ensuring the physical security of all electrical supply systems is of great importance to the Commission.</w:t>
      </w:r>
    </w:p>
    <w:p w14:paraId="05891E8F" w14:textId="77777777" w:rsidR="0097193B" w:rsidRPr="007375A7" w:rsidRDefault="0097193B" w:rsidP="00CF0F2A">
      <w:pPr>
        <w:pStyle w:val="num1"/>
        <w:numPr>
          <w:ilvl w:val="0"/>
          <w:numId w:val="2"/>
        </w:numPr>
      </w:pPr>
      <w:r w:rsidRPr="007375A7">
        <w:t>Ensuring the physical security of all electrical supply systems within the state will help maintain high quality, safe and reliable service.</w:t>
      </w:r>
    </w:p>
    <w:p w14:paraId="78660565" w14:textId="6732FBF0" w:rsidR="0097193B" w:rsidRPr="007375A7" w:rsidRDefault="00062A6E" w:rsidP="00CF0F2A">
      <w:pPr>
        <w:pStyle w:val="num1"/>
        <w:numPr>
          <w:ilvl w:val="0"/>
          <w:numId w:val="2"/>
        </w:numPr>
      </w:pPr>
      <w:r w:rsidRPr="007375A7">
        <w:t>Four</w:t>
      </w:r>
      <w:r w:rsidR="008240E1" w:rsidRPr="007375A7">
        <w:t xml:space="preserve"> </w:t>
      </w:r>
      <w:r w:rsidRPr="007375A7">
        <w:t xml:space="preserve">Phase </w:t>
      </w:r>
      <w:r w:rsidR="00CE3651" w:rsidRPr="007375A7">
        <w:t>I</w:t>
      </w:r>
      <w:r w:rsidRPr="007375A7">
        <w:t xml:space="preserve"> physical security</w:t>
      </w:r>
      <w:r w:rsidR="0097193B" w:rsidRPr="007375A7">
        <w:t xml:space="preserve"> workshops were conducted </w:t>
      </w:r>
      <w:r w:rsidR="00CE3651" w:rsidRPr="007375A7">
        <w:t>by SED RASA</w:t>
      </w:r>
      <w:r w:rsidRPr="007375A7">
        <w:t xml:space="preserve"> </w:t>
      </w:r>
      <w:r w:rsidR="0097193B" w:rsidRPr="007375A7">
        <w:t xml:space="preserve">from May to September 2017. </w:t>
      </w:r>
    </w:p>
    <w:p w14:paraId="7CE9E7C4" w14:textId="29F818C1" w:rsidR="0097193B" w:rsidRPr="007375A7" w:rsidRDefault="0097193B" w:rsidP="00CF0F2A">
      <w:pPr>
        <w:pStyle w:val="num1"/>
        <w:numPr>
          <w:ilvl w:val="0"/>
          <w:numId w:val="2"/>
        </w:numPr>
      </w:pPr>
      <w:r w:rsidRPr="007375A7">
        <w:t xml:space="preserve">During these workshops, a technical </w:t>
      </w:r>
      <w:r w:rsidR="00F06679" w:rsidRPr="007375A7">
        <w:t>working</w:t>
      </w:r>
      <w:r w:rsidRPr="007375A7">
        <w:t xml:space="preserve"> group was formed by the utilities.</w:t>
      </w:r>
    </w:p>
    <w:p w14:paraId="346D48E8" w14:textId="2DDA738A" w:rsidR="0097193B" w:rsidRPr="007375A7" w:rsidRDefault="0097193B" w:rsidP="00CF0F2A">
      <w:pPr>
        <w:pStyle w:val="num1"/>
        <w:numPr>
          <w:ilvl w:val="0"/>
          <w:numId w:val="2"/>
        </w:numPr>
      </w:pPr>
      <w:r w:rsidRPr="007375A7">
        <w:t xml:space="preserve">As a result of technical </w:t>
      </w:r>
      <w:r w:rsidR="00F06679" w:rsidRPr="007375A7">
        <w:t>working</w:t>
      </w:r>
      <w:r w:rsidRPr="007375A7">
        <w:t xml:space="preserve"> group discussions, the utilities submitted a Joint Utility Proposal. </w:t>
      </w:r>
    </w:p>
    <w:p w14:paraId="5F92CC1D" w14:textId="057382E8" w:rsidR="0097193B" w:rsidRPr="007375A7" w:rsidRDefault="0097193B" w:rsidP="00CF0F2A">
      <w:pPr>
        <w:pStyle w:val="num1"/>
        <w:numPr>
          <w:ilvl w:val="0"/>
          <w:numId w:val="2"/>
        </w:numPr>
      </w:pPr>
      <w:r w:rsidRPr="007375A7">
        <w:t xml:space="preserve">The Joint Utility Proposal </w:t>
      </w:r>
      <w:r w:rsidR="000457CE" w:rsidRPr="007375A7">
        <w:t xml:space="preserve">offered </w:t>
      </w:r>
      <w:r w:rsidRPr="007375A7">
        <w:t>guidance for compliance with SB 699</w:t>
      </w:r>
      <w:r w:rsidR="000457CE" w:rsidRPr="007375A7">
        <w:t>, and represented a first-of-its-kind effort to establish new critical asset protections at the distribution level</w:t>
      </w:r>
      <w:r w:rsidRPr="007375A7">
        <w:t>.</w:t>
      </w:r>
    </w:p>
    <w:p w14:paraId="1DAD5A97" w14:textId="3B71B80D" w:rsidR="000457CE" w:rsidRPr="007375A7" w:rsidRDefault="000457CE" w:rsidP="000457CE">
      <w:pPr>
        <w:pStyle w:val="num1"/>
        <w:numPr>
          <w:ilvl w:val="0"/>
          <w:numId w:val="2"/>
        </w:numPr>
      </w:pPr>
      <w:r w:rsidRPr="007375A7">
        <w:t>The Joint Utility Proposal (at 4.1.6 and 4.3.3 above) provided assurance that IOUs and POUs would partner with law enforcement agencies broadly to plan, coordinate, and share information to ensure safety, resilience, and security.</w:t>
      </w:r>
    </w:p>
    <w:p w14:paraId="1E791578" w14:textId="14AEA64A" w:rsidR="000457CE" w:rsidRPr="007375A7" w:rsidRDefault="000457CE" w:rsidP="000457CE">
      <w:pPr>
        <w:pStyle w:val="num1"/>
        <w:numPr>
          <w:ilvl w:val="0"/>
          <w:numId w:val="2"/>
        </w:numPr>
      </w:pPr>
      <w:r w:rsidRPr="007375A7">
        <w:lastRenderedPageBreak/>
        <w:t>The Commission expects that all California utilities will communicate, coordinate</w:t>
      </w:r>
      <w:r w:rsidR="00D4753A" w:rsidRPr="007375A7">
        <w:t xml:space="preserve">, and share best practices </w:t>
      </w:r>
      <w:r w:rsidR="002340E5" w:rsidRPr="007375A7">
        <w:t xml:space="preserve">with law enforcement </w:t>
      </w:r>
      <w:r w:rsidR="00D837BD" w:rsidRPr="007375A7">
        <w:t xml:space="preserve">and each other, </w:t>
      </w:r>
      <w:r w:rsidR="00D4753A" w:rsidRPr="007375A7">
        <w:t>as appropriate to advance, local, State, and Federal safety and security goals.</w:t>
      </w:r>
    </w:p>
    <w:p w14:paraId="0281D488" w14:textId="0235956D" w:rsidR="0097193B" w:rsidRPr="007375A7" w:rsidRDefault="0097193B" w:rsidP="00CF0F2A">
      <w:pPr>
        <w:pStyle w:val="num1"/>
        <w:numPr>
          <w:ilvl w:val="0"/>
          <w:numId w:val="2"/>
        </w:numPr>
      </w:pPr>
      <w:r w:rsidRPr="007375A7">
        <w:t>SED RASA evaluated the Joint Utilit</w:t>
      </w:r>
      <w:r w:rsidR="00D43F0D" w:rsidRPr="007375A7">
        <w:t>y</w:t>
      </w:r>
      <w:r w:rsidRPr="007375A7">
        <w:t xml:space="preserve"> Proposal and identified areas where the proposed security plans could be improved. </w:t>
      </w:r>
    </w:p>
    <w:p w14:paraId="49C30C38" w14:textId="3991F1C0" w:rsidR="0097193B" w:rsidRPr="007375A7" w:rsidRDefault="000457CE" w:rsidP="00CF0F2A">
      <w:pPr>
        <w:pStyle w:val="num1"/>
        <w:numPr>
          <w:ilvl w:val="0"/>
          <w:numId w:val="2"/>
        </w:numPr>
      </w:pPr>
      <w:r w:rsidRPr="007375A7">
        <w:t xml:space="preserve">Review of </w:t>
      </w:r>
      <w:r w:rsidR="0097193B" w:rsidRPr="007375A7">
        <w:t xml:space="preserve"> the Distribution Security Plans (Security Plans and its components are the process of drafting the Mitigation Plan) and Mitigation Plans (Mitigation Plans are the plan</w:t>
      </w:r>
      <w:r w:rsidR="00F82C3B" w:rsidRPr="007375A7">
        <w:t>s</w:t>
      </w:r>
      <w:r w:rsidR="0097193B" w:rsidRPr="007375A7">
        <w:t xml:space="preserve"> that </w:t>
      </w:r>
      <w:r w:rsidR="00F82C3B" w:rsidRPr="007375A7">
        <w:t>are</w:t>
      </w:r>
      <w:r w:rsidR="0097193B" w:rsidRPr="007375A7">
        <w:t xml:space="preserve"> ultimately adopted) by independent third parties will help to strengthen these plans. </w:t>
      </w:r>
    </w:p>
    <w:p w14:paraId="5AB89DA1" w14:textId="77777777" w:rsidR="0097193B" w:rsidRPr="007375A7" w:rsidRDefault="0097193B" w:rsidP="00CF0F2A">
      <w:pPr>
        <w:pStyle w:val="num1"/>
        <w:numPr>
          <w:ilvl w:val="0"/>
          <w:numId w:val="2"/>
        </w:numPr>
      </w:pPr>
      <w:r w:rsidRPr="007375A7">
        <w:t>Ensuring that confidential security information is not released to the public is of great importance to the Commission.</w:t>
      </w:r>
    </w:p>
    <w:p w14:paraId="77841FCC" w14:textId="77777777" w:rsidR="0097193B" w:rsidRPr="007375A7" w:rsidRDefault="0097193B" w:rsidP="00CF0F2A">
      <w:pPr>
        <w:pStyle w:val="num1"/>
        <w:numPr>
          <w:ilvl w:val="0"/>
          <w:numId w:val="2"/>
        </w:numPr>
      </w:pPr>
      <w:r w:rsidRPr="007375A7">
        <w:t>The Commission is currently engaged in an effort to update its policies regarding the protection of confidential information in a rulemaking related to Public Record Acts Requests in R.14-11-001.</w:t>
      </w:r>
    </w:p>
    <w:p w14:paraId="22C4CE0C" w14:textId="77777777" w:rsidR="0097193B" w:rsidRPr="007375A7" w:rsidRDefault="0097193B" w:rsidP="00CF0F2A">
      <w:pPr>
        <w:pStyle w:val="num1"/>
        <w:numPr>
          <w:ilvl w:val="0"/>
          <w:numId w:val="2"/>
        </w:numPr>
      </w:pPr>
      <w:r w:rsidRPr="007375A7">
        <w:t xml:space="preserve">D.17-09-023, which became effective on January 1, 2018, updated GO 66 </w:t>
      </w:r>
      <w:r w:rsidR="00EE5D9C" w:rsidRPr="007375A7">
        <w:t xml:space="preserve">D </w:t>
      </w:r>
      <w:r w:rsidRPr="007375A7">
        <w:t>as it relates to submission of confidential information to the Commission.</w:t>
      </w:r>
    </w:p>
    <w:p w14:paraId="73215C6D" w14:textId="77777777" w:rsidR="0097193B" w:rsidRPr="007375A7" w:rsidRDefault="0097193B" w:rsidP="00CF0F2A">
      <w:pPr>
        <w:pStyle w:val="num1"/>
        <w:numPr>
          <w:ilvl w:val="0"/>
          <w:numId w:val="2"/>
        </w:numPr>
      </w:pPr>
      <w:r w:rsidRPr="007375A7">
        <w:t>The Commission and its staff are fully entitled to access confidential information, as long as protections against public release are maintained.</w:t>
      </w:r>
    </w:p>
    <w:p w14:paraId="783E566C" w14:textId="0312C4AF" w:rsidR="00C3586D" w:rsidRPr="007375A7" w:rsidRDefault="00CA5F70" w:rsidP="00CA5F70">
      <w:pPr>
        <w:pStyle w:val="num1"/>
        <w:numPr>
          <w:ilvl w:val="0"/>
          <w:numId w:val="2"/>
        </w:numPr>
      </w:pPr>
      <w:r w:rsidRPr="007375A7">
        <w:t>The Commission recognizes th</w:t>
      </w:r>
      <w:r w:rsidR="00C3586D" w:rsidRPr="007375A7">
        <w:t>at the Reading Room approach advanced in th</w:t>
      </w:r>
      <w:r w:rsidRPr="007375A7">
        <w:t>e Joint Utility Proposal is imp</w:t>
      </w:r>
      <w:r w:rsidR="00C3586D" w:rsidRPr="007375A7">
        <w:t xml:space="preserve">erfect, with SED staff reporting </w:t>
      </w:r>
      <w:r w:rsidR="00494CBA" w:rsidRPr="007375A7">
        <w:t>inconsistency</w:t>
      </w:r>
      <w:r w:rsidR="008240E1" w:rsidRPr="007375A7">
        <w:t xml:space="preserve"> statewide</w:t>
      </w:r>
      <w:r w:rsidR="00494CBA" w:rsidRPr="007375A7">
        <w:t xml:space="preserve">, and </w:t>
      </w:r>
      <w:r w:rsidR="00C3586D" w:rsidRPr="007375A7">
        <w:t>issues</w:t>
      </w:r>
      <w:r w:rsidR="00494CBA" w:rsidRPr="007375A7">
        <w:t xml:space="preserve"> and concerns with its ease, practicality, usefulness, and timeliness in their experience with testing it in the course of carrying out this proceeding.</w:t>
      </w:r>
    </w:p>
    <w:p w14:paraId="0A866A5E" w14:textId="5BAC7288" w:rsidR="00494CBA" w:rsidRPr="007375A7" w:rsidRDefault="00494CBA" w:rsidP="00494CBA">
      <w:pPr>
        <w:pStyle w:val="num1"/>
        <w:numPr>
          <w:ilvl w:val="0"/>
          <w:numId w:val="2"/>
        </w:numPr>
      </w:pPr>
      <w:r w:rsidRPr="007375A7">
        <w:t>The Commission recognizes that the Reading Room approach by nature entails certain limitations on Commission staff’s ability to review IOU documents, which may not afford notetaking</w:t>
      </w:r>
      <w:r w:rsidR="007E3B70" w:rsidRPr="007375A7">
        <w:t xml:space="preserve"> or</w:t>
      </w:r>
      <w:r w:rsidRPr="007375A7">
        <w:t xml:space="preserve"> records retention all and any of </w:t>
      </w:r>
      <w:r w:rsidRPr="007375A7">
        <w:lastRenderedPageBreak/>
        <w:t xml:space="preserve">which may render arduous and impractical its usage for the purposes of reviewing recurring and routine required submittals described within this </w:t>
      </w:r>
      <w:r w:rsidR="00A74C47" w:rsidRPr="007375A7">
        <w:t>d</w:t>
      </w:r>
      <w:r w:rsidRPr="007375A7">
        <w:t>ecision.</w:t>
      </w:r>
    </w:p>
    <w:p w14:paraId="61AB58CF" w14:textId="2C13EA8B" w:rsidR="00CA5F70" w:rsidRPr="007375A7" w:rsidRDefault="00494CBA" w:rsidP="00F205B3">
      <w:pPr>
        <w:pStyle w:val="num1"/>
        <w:numPr>
          <w:ilvl w:val="0"/>
          <w:numId w:val="2"/>
        </w:numPr>
      </w:pPr>
      <w:r w:rsidRPr="007375A7">
        <w:t xml:space="preserve">The Commission </w:t>
      </w:r>
      <w:r w:rsidR="007E3B70" w:rsidRPr="007375A7">
        <w:t>therefore</w:t>
      </w:r>
      <w:r w:rsidR="00D4753A" w:rsidRPr="007375A7">
        <w:t xml:space="preserve"> determines that it is not desirable to apply </w:t>
      </w:r>
      <w:r w:rsidR="007E3B70" w:rsidRPr="007375A7">
        <w:t xml:space="preserve">the Reading Room approach </w:t>
      </w:r>
      <w:r w:rsidR="00D4753A" w:rsidRPr="007375A7">
        <w:t>to recurring and routine required</w:t>
      </w:r>
      <w:r w:rsidR="00F205B3" w:rsidRPr="007375A7">
        <w:t xml:space="preserve"> IOU</w:t>
      </w:r>
      <w:r w:rsidR="00D4753A" w:rsidRPr="007375A7">
        <w:t xml:space="preserve"> submittals </w:t>
      </w:r>
      <w:r w:rsidR="00010478" w:rsidRPr="007375A7">
        <w:t xml:space="preserve">and updates </w:t>
      </w:r>
      <w:r w:rsidR="00D4753A" w:rsidRPr="007375A7">
        <w:t xml:space="preserve">described within this </w:t>
      </w:r>
      <w:r w:rsidR="00A74C47" w:rsidRPr="007375A7">
        <w:t>d</w:t>
      </w:r>
      <w:r w:rsidR="00D4753A" w:rsidRPr="007375A7">
        <w:t>ecision (i.e., Physical Security Plan Reports and Drafts, Mitigation Measures and Consultant-prepared documents, Annual Reporting, and OE-417 Reports</w:t>
      </w:r>
      <w:r w:rsidR="007E3B70" w:rsidRPr="007375A7">
        <w:t>)</w:t>
      </w:r>
      <w:r w:rsidR="00D4753A" w:rsidRPr="007375A7">
        <w:t xml:space="preserve">. </w:t>
      </w:r>
    </w:p>
    <w:p w14:paraId="437E0FEB" w14:textId="1FDD5B9D" w:rsidR="007E3B70" w:rsidRPr="007375A7" w:rsidRDefault="00DE363E" w:rsidP="007E3B70">
      <w:pPr>
        <w:pStyle w:val="num1"/>
        <w:numPr>
          <w:ilvl w:val="0"/>
          <w:numId w:val="2"/>
        </w:numPr>
      </w:pPr>
      <w:r w:rsidRPr="007375A7">
        <w:t xml:space="preserve">The Commission </w:t>
      </w:r>
      <w:r w:rsidR="007E3B70" w:rsidRPr="007375A7">
        <w:t xml:space="preserve">adopts </w:t>
      </w:r>
      <w:r w:rsidRPr="007375A7">
        <w:t>the Reading Room approach a</w:t>
      </w:r>
      <w:r w:rsidR="007E3B70" w:rsidRPr="007375A7">
        <w:t>s</w:t>
      </w:r>
      <w:r w:rsidRPr="007375A7">
        <w:t xml:space="preserve"> </w:t>
      </w:r>
      <w:r w:rsidR="007E3B70" w:rsidRPr="007375A7">
        <w:t xml:space="preserve">an </w:t>
      </w:r>
      <w:r w:rsidRPr="007375A7">
        <w:t xml:space="preserve">interim solution to </w:t>
      </w:r>
      <w:r w:rsidR="007E3B70" w:rsidRPr="007375A7">
        <w:t xml:space="preserve">the </w:t>
      </w:r>
      <w:r w:rsidRPr="007375A7">
        <w:t>handling and sharing</w:t>
      </w:r>
      <w:r w:rsidR="007E3B70" w:rsidRPr="007375A7">
        <w:t xml:space="preserve"> of </w:t>
      </w:r>
      <w:r w:rsidR="00010478" w:rsidRPr="007375A7">
        <w:t xml:space="preserve">other </w:t>
      </w:r>
      <w:r w:rsidR="007E3B70" w:rsidRPr="007375A7">
        <w:t>physical security data requested by Commission staff on an ad hoc basis, allowing Commission staff to review documents at</w:t>
      </w:r>
      <w:r w:rsidR="00582C08" w:rsidRPr="007375A7">
        <w:t xml:space="preserve"> a</w:t>
      </w:r>
      <w:r w:rsidR="007E3B70" w:rsidRPr="007375A7">
        <w:t xml:space="preserve"> utility property location convenient to </w:t>
      </w:r>
      <w:r w:rsidR="006433AA" w:rsidRPr="007375A7">
        <w:t xml:space="preserve">and agreed to by </w:t>
      </w:r>
      <w:r w:rsidR="007E3B70" w:rsidRPr="007375A7">
        <w:t xml:space="preserve">CPUC staff such as </w:t>
      </w:r>
      <w:r w:rsidR="00305952" w:rsidRPr="007375A7">
        <w:t xml:space="preserve">the utility’s </w:t>
      </w:r>
      <w:r w:rsidR="007E3B70" w:rsidRPr="007375A7">
        <w:t xml:space="preserve">San Francisco </w:t>
      </w:r>
      <w:r w:rsidR="00305952" w:rsidRPr="007375A7">
        <w:t>o</w:t>
      </w:r>
      <w:r w:rsidR="007E3B70" w:rsidRPr="007375A7">
        <w:t>ffice address.</w:t>
      </w:r>
      <w:r w:rsidR="00010478" w:rsidRPr="007375A7">
        <w:t xml:space="preserve"> </w:t>
      </w:r>
    </w:p>
    <w:p w14:paraId="58F0DA41" w14:textId="3EF35C2F" w:rsidR="00062A6E" w:rsidRPr="007375A7" w:rsidRDefault="007E3B70" w:rsidP="00010478">
      <w:pPr>
        <w:pStyle w:val="num1"/>
        <w:numPr>
          <w:ilvl w:val="0"/>
          <w:numId w:val="2"/>
        </w:numPr>
      </w:pPr>
      <w:r w:rsidRPr="007375A7">
        <w:t>The Reading Room approach</w:t>
      </w:r>
      <w:r w:rsidR="00E07187" w:rsidRPr="007375A7">
        <w:t xml:space="preserve"> shall</w:t>
      </w:r>
      <w:r w:rsidR="00DE363E" w:rsidRPr="007375A7">
        <w:t xml:space="preserve"> be </w:t>
      </w:r>
      <w:r w:rsidR="00EE5D9C" w:rsidRPr="007375A7">
        <w:t>superseded by</w:t>
      </w:r>
      <w:r w:rsidRPr="007375A7">
        <w:t xml:space="preserve"> </w:t>
      </w:r>
      <w:r w:rsidR="00A55602" w:rsidRPr="007375A7">
        <w:t>outcome</w:t>
      </w:r>
      <w:r w:rsidR="00F86C3B" w:rsidRPr="007375A7">
        <w:t>s</w:t>
      </w:r>
      <w:r w:rsidR="00A55602" w:rsidRPr="007375A7">
        <w:t xml:space="preserve"> </w:t>
      </w:r>
      <w:r w:rsidR="00F86C3B" w:rsidRPr="007375A7">
        <w:t xml:space="preserve">in </w:t>
      </w:r>
      <w:r w:rsidR="00DE363E" w:rsidRPr="007375A7">
        <w:t>the</w:t>
      </w:r>
      <w:r w:rsidRPr="007375A7">
        <w:t xml:space="preserve"> ongoing</w:t>
      </w:r>
      <w:r w:rsidR="00062A6E" w:rsidRPr="007375A7">
        <w:t xml:space="preserve"> R.14-11-001 </w:t>
      </w:r>
      <w:r w:rsidR="00DE363E" w:rsidRPr="007375A7">
        <w:t>rulemaking</w:t>
      </w:r>
      <w:r w:rsidR="00062A6E" w:rsidRPr="007375A7">
        <w:t>.</w:t>
      </w:r>
    </w:p>
    <w:p w14:paraId="2AF1D96A" w14:textId="77777777" w:rsidR="0097193B" w:rsidRPr="007375A7" w:rsidRDefault="0097193B" w:rsidP="00CF0F2A">
      <w:pPr>
        <w:pStyle w:val="num1"/>
        <w:numPr>
          <w:ilvl w:val="0"/>
          <w:numId w:val="2"/>
        </w:numPr>
      </w:pPr>
      <w:r w:rsidRPr="007375A7">
        <w:t>It is important to maintain uniformity at a statewide level as it relates to ensuring the physical security of the electrical distribution system.</w:t>
      </w:r>
    </w:p>
    <w:p w14:paraId="1B2E7D45" w14:textId="78C2DE9F" w:rsidR="00695834" w:rsidRPr="007375A7" w:rsidRDefault="00A62B53" w:rsidP="00781C55">
      <w:pPr>
        <w:pStyle w:val="num1"/>
        <w:numPr>
          <w:ilvl w:val="0"/>
          <w:numId w:val="2"/>
        </w:numPr>
      </w:pPr>
      <w:r w:rsidRPr="007375A7">
        <w:t>It is reasonable that</w:t>
      </w:r>
      <w:r w:rsidR="00695834" w:rsidRPr="007375A7">
        <w:t xml:space="preserve"> Step 2 </w:t>
      </w:r>
      <w:r w:rsidRPr="007375A7">
        <w:t xml:space="preserve">of the Six-step Plan Process </w:t>
      </w:r>
      <w:r w:rsidR="00695834" w:rsidRPr="007375A7">
        <w:t>require that an independent third</w:t>
      </w:r>
      <w:r w:rsidR="00EE5D9C" w:rsidRPr="007375A7">
        <w:t>-</w:t>
      </w:r>
      <w:r w:rsidR="00695834" w:rsidRPr="007375A7">
        <w:t xml:space="preserve">party review a utility’s physical security plan </w:t>
      </w:r>
      <w:r w:rsidR="00010478" w:rsidRPr="007375A7">
        <w:t xml:space="preserve">to assess and appraise the </w:t>
      </w:r>
      <w:r w:rsidR="00DB01F8" w:rsidRPr="007375A7">
        <w:t>sufficiency</w:t>
      </w:r>
      <w:r w:rsidR="00010478" w:rsidRPr="007375A7">
        <w:t xml:space="preserve"> of the risk assessment, proposed mitigation measures, and other plan elements  </w:t>
      </w:r>
      <w:r w:rsidR="00695834" w:rsidRPr="007375A7">
        <w:t>and make recommendations regarding the plan elements.</w:t>
      </w:r>
    </w:p>
    <w:p w14:paraId="618877A9" w14:textId="66E37E15" w:rsidR="000C6EDA" w:rsidRPr="007375A7" w:rsidRDefault="00A62B53" w:rsidP="00D837BD">
      <w:pPr>
        <w:pStyle w:val="num1"/>
        <w:numPr>
          <w:ilvl w:val="0"/>
          <w:numId w:val="2"/>
        </w:numPr>
      </w:pPr>
      <w:r w:rsidRPr="007375A7">
        <w:t>It is reasonable that</w:t>
      </w:r>
      <w:r w:rsidR="00695834" w:rsidRPr="007375A7">
        <w:t xml:space="preserve"> Step 3</w:t>
      </w:r>
      <w:r w:rsidR="00DE363E" w:rsidRPr="007375A7">
        <w:t>a</w:t>
      </w:r>
      <w:r w:rsidR="00695834" w:rsidRPr="007375A7">
        <w:t xml:space="preserve"> of the Six-step Plan Process</w:t>
      </w:r>
      <w:r w:rsidRPr="007375A7">
        <w:t xml:space="preserve"> </w:t>
      </w:r>
      <w:r w:rsidR="00695834" w:rsidRPr="007375A7">
        <w:t xml:space="preserve">require that the </w:t>
      </w:r>
      <w:r w:rsidR="00DE363E" w:rsidRPr="007375A7">
        <w:t xml:space="preserve">POUs provide the </w:t>
      </w:r>
      <w:r w:rsidR="00695834" w:rsidRPr="007375A7">
        <w:t>Commission</w:t>
      </w:r>
      <w:r w:rsidR="00DE363E" w:rsidRPr="007375A7">
        <w:t xml:space="preserve"> with notice of successful completion of </w:t>
      </w:r>
      <w:r w:rsidR="004605DB" w:rsidRPr="007375A7">
        <w:t>their</w:t>
      </w:r>
      <w:r w:rsidR="00DE363E" w:rsidRPr="007375A7">
        <w:t xml:space="preserve"> Security Plan review and adoption.</w:t>
      </w:r>
    </w:p>
    <w:p w14:paraId="4B63860E" w14:textId="12EA2A8A" w:rsidR="00DE363E" w:rsidRPr="007375A7" w:rsidRDefault="00DE363E" w:rsidP="00D837BD">
      <w:pPr>
        <w:pStyle w:val="num1"/>
        <w:numPr>
          <w:ilvl w:val="0"/>
          <w:numId w:val="2"/>
        </w:numPr>
      </w:pPr>
      <w:r w:rsidRPr="007375A7">
        <w:lastRenderedPageBreak/>
        <w:t xml:space="preserve">It is reasonable </w:t>
      </w:r>
      <w:r w:rsidR="000C6EDA" w:rsidRPr="007375A7">
        <w:t xml:space="preserve">that all California electric utilities be </w:t>
      </w:r>
      <w:r w:rsidR="004605DB" w:rsidRPr="007375A7">
        <w:t xml:space="preserve">required, </w:t>
      </w:r>
      <w:r w:rsidRPr="007375A7">
        <w:t xml:space="preserve">within any new or renovated distribution substation, </w:t>
      </w:r>
      <w:r w:rsidR="000C6EDA" w:rsidRPr="007375A7">
        <w:t xml:space="preserve">to </w:t>
      </w:r>
      <w:r w:rsidRPr="007375A7">
        <w:t xml:space="preserve">design their facilities to incorporate reasonable security features. </w:t>
      </w:r>
    </w:p>
    <w:p w14:paraId="441AA3FF" w14:textId="3C6EA45C" w:rsidR="00DE363E" w:rsidRPr="007375A7" w:rsidRDefault="000C6EDA" w:rsidP="00D837BD">
      <w:pPr>
        <w:pStyle w:val="num1"/>
        <w:numPr>
          <w:ilvl w:val="0"/>
          <w:numId w:val="2"/>
        </w:numPr>
      </w:pPr>
      <w:r w:rsidRPr="007375A7">
        <w:t xml:space="preserve">It is reasonable that all California electric utilities be </w:t>
      </w:r>
      <w:r w:rsidR="004605DB" w:rsidRPr="007375A7">
        <w:t>required</w:t>
      </w:r>
      <w:r w:rsidRPr="007375A7">
        <w:t xml:space="preserve"> to include within </w:t>
      </w:r>
      <w:r w:rsidR="004605DB" w:rsidRPr="007375A7">
        <w:t xml:space="preserve">their </w:t>
      </w:r>
      <w:r w:rsidR="00DE363E" w:rsidRPr="007375A7">
        <w:t>security plans a detailed narrative explaining how the utility is taking steps to implement:</w:t>
      </w:r>
    </w:p>
    <w:p w14:paraId="4D125077" w14:textId="04972378" w:rsidR="00DE363E" w:rsidRPr="007375A7" w:rsidRDefault="000C6EDA" w:rsidP="007375A7">
      <w:pPr>
        <w:pBdr>
          <w:top w:val="nil"/>
          <w:left w:val="nil"/>
          <w:bottom w:val="nil"/>
          <w:right w:val="nil"/>
          <w:between w:val="nil"/>
          <w:bar w:val="nil"/>
        </w:pBdr>
        <w:spacing w:after="120"/>
        <w:ind w:left="1260" w:right="1440" w:hanging="360"/>
      </w:pPr>
      <w:r w:rsidRPr="00D837BD">
        <w:rPr>
          <w:rFonts w:ascii="Palatino Linotype" w:eastAsia="Palatino Linotype" w:hAnsi="Palatino Linotype" w:cs="Palatino Linotype"/>
          <w:szCs w:val="26"/>
        </w:rPr>
        <w:t>a)</w:t>
      </w:r>
      <w:r w:rsidR="00AC2BF3">
        <w:rPr>
          <w:rFonts w:ascii="Palatino Linotype" w:eastAsia="Palatino Linotype" w:hAnsi="Palatino Linotype" w:cs="Palatino Linotype"/>
          <w:szCs w:val="26"/>
        </w:rPr>
        <w:t xml:space="preserve"> </w:t>
      </w:r>
      <w:r w:rsidRPr="00D837BD">
        <w:rPr>
          <w:rFonts w:ascii="Palatino Linotype" w:eastAsia="Palatino Linotype" w:hAnsi="Palatino Linotype" w:cs="Palatino Linotype"/>
          <w:szCs w:val="26"/>
        </w:rPr>
        <w:t xml:space="preserve"> </w:t>
      </w:r>
      <w:r w:rsidR="00DE363E" w:rsidRPr="007375A7">
        <w:t>An asset management program to promote optimization and quality assurance for tracking and locating spare parts stock, ensuring availability and the rapid dispatch of available spare parts;</w:t>
      </w:r>
    </w:p>
    <w:p w14:paraId="52A5D579" w14:textId="6D723D49" w:rsidR="00DE363E" w:rsidRPr="007375A7" w:rsidRDefault="000C6EDA" w:rsidP="007375A7">
      <w:pPr>
        <w:pBdr>
          <w:top w:val="nil"/>
          <w:left w:val="nil"/>
          <w:bottom w:val="nil"/>
          <w:right w:val="nil"/>
          <w:between w:val="nil"/>
          <w:bar w:val="nil"/>
        </w:pBdr>
        <w:spacing w:after="120"/>
        <w:ind w:left="1260" w:right="1440" w:hanging="360"/>
      </w:pPr>
      <w:r w:rsidRPr="00D837BD">
        <w:rPr>
          <w:rFonts w:ascii="Palatino Linotype" w:eastAsia="Palatino Linotype" w:hAnsi="Palatino Linotype" w:cs="Palatino Linotype"/>
          <w:szCs w:val="26"/>
        </w:rPr>
        <w:t>b</w:t>
      </w:r>
      <w:r w:rsidRPr="007375A7">
        <w:t xml:space="preserve">) </w:t>
      </w:r>
      <w:r w:rsidR="00AC2BF3" w:rsidRPr="007375A7">
        <w:t xml:space="preserve"> </w:t>
      </w:r>
      <w:r w:rsidR="00DE363E" w:rsidRPr="007375A7">
        <w:t>A robust workforce training and retention program to employ a full roster of highly-qualified service technicians able to respond to make repairs in short order throughout a utility’s service territory using spare parts stockpiles and inventory;</w:t>
      </w:r>
    </w:p>
    <w:p w14:paraId="72E2FE5A" w14:textId="7BA4280C" w:rsidR="00A47242" w:rsidRDefault="000C6EDA" w:rsidP="00A47242">
      <w:pPr>
        <w:pBdr>
          <w:top w:val="nil"/>
          <w:left w:val="nil"/>
          <w:bottom w:val="nil"/>
          <w:right w:val="nil"/>
          <w:between w:val="nil"/>
          <w:bar w:val="nil"/>
        </w:pBdr>
        <w:spacing w:after="120"/>
        <w:ind w:left="1260" w:right="1440" w:hanging="360"/>
      </w:pPr>
      <w:r w:rsidRPr="00D837BD">
        <w:rPr>
          <w:rFonts w:ascii="Palatino Linotype" w:eastAsia="Palatino Linotype" w:hAnsi="Palatino Linotype" w:cs="Palatino Linotype"/>
          <w:szCs w:val="26"/>
        </w:rPr>
        <w:t xml:space="preserve">c) </w:t>
      </w:r>
      <w:r w:rsidR="00AC2BF3">
        <w:rPr>
          <w:rFonts w:ascii="Palatino Linotype" w:eastAsia="Palatino Linotype" w:hAnsi="Palatino Linotype" w:cs="Palatino Linotype"/>
          <w:szCs w:val="26"/>
        </w:rPr>
        <w:t xml:space="preserve"> </w:t>
      </w:r>
      <w:r w:rsidR="00DE363E" w:rsidRPr="007375A7">
        <w:t>A preventative maintenance plan for security equipment to ensure that mitigation measures are functional and performing adequately; and</w:t>
      </w:r>
      <w:r w:rsidR="00DE363E" w:rsidRPr="00D837BD">
        <w:rPr>
          <w:rFonts w:ascii="Palatino Linotype" w:eastAsia="Palatino Linotype" w:hAnsi="Palatino Linotype" w:cs="Palatino Linotype"/>
          <w:szCs w:val="26"/>
        </w:rPr>
        <w:t>,</w:t>
      </w:r>
    </w:p>
    <w:p w14:paraId="4CB38951" w14:textId="74D38D5C" w:rsidR="00DE363E" w:rsidRPr="007375A7" w:rsidRDefault="000C6EDA" w:rsidP="007375A7">
      <w:pPr>
        <w:pBdr>
          <w:top w:val="nil"/>
          <w:left w:val="nil"/>
          <w:bottom w:val="nil"/>
          <w:right w:val="nil"/>
          <w:between w:val="nil"/>
          <w:bar w:val="nil"/>
        </w:pBdr>
        <w:spacing w:after="120"/>
        <w:ind w:left="1260" w:right="1440" w:hanging="360"/>
      </w:pPr>
      <w:r w:rsidRPr="007375A7">
        <w:t xml:space="preserve">d) </w:t>
      </w:r>
      <w:r w:rsidR="00AC2BF3" w:rsidRPr="007375A7">
        <w:t xml:space="preserve"> </w:t>
      </w:r>
      <w:r w:rsidR="00DE363E" w:rsidRPr="007375A7">
        <w:t xml:space="preserve">A description of Distribution Control Center and Security Control Center roles and actions related to distribution system physical security (this item </w:t>
      </w:r>
      <w:r w:rsidRPr="007375A7">
        <w:t xml:space="preserve">(d) </w:t>
      </w:r>
      <w:r w:rsidR="00DE363E" w:rsidRPr="007375A7">
        <w:t xml:space="preserve">would be </w:t>
      </w:r>
      <w:r w:rsidRPr="007375A7">
        <w:t xml:space="preserve">required </w:t>
      </w:r>
      <w:r w:rsidR="00DE363E" w:rsidRPr="007375A7">
        <w:t>for IOUs only).</w:t>
      </w:r>
    </w:p>
    <w:p w14:paraId="18CB35B2" w14:textId="2702A0CF" w:rsidR="00695834" w:rsidRPr="007375A7" w:rsidRDefault="008B5C4B">
      <w:pPr>
        <w:pStyle w:val="num1"/>
        <w:numPr>
          <w:ilvl w:val="0"/>
          <w:numId w:val="2"/>
        </w:numPr>
      </w:pPr>
      <w:r w:rsidRPr="007375A7">
        <w:t xml:space="preserve">It is reasonable to expect California’s electric utilities to coordinate with one another to the fullest extent practicable, and </w:t>
      </w:r>
      <w:r w:rsidR="004605DB" w:rsidRPr="007375A7">
        <w:t>to</w:t>
      </w:r>
      <w:r w:rsidR="004530AC" w:rsidRPr="007375A7">
        <w:t xml:space="preserve"> relay information about critical loads within a service territory to any other utility in the state whose distribution facilities also are used to supply electricity for those critical loads.  </w:t>
      </w:r>
    </w:p>
    <w:p w14:paraId="46D7BF30" w14:textId="2CDEF551" w:rsidR="0097193B" w:rsidRPr="007375A7" w:rsidRDefault="0097193B" w:rsidP="00CF0F2A">
      <w:pPr>
        <w:pStyle w:val="Heading1"/>
        <w:rPr>
          <w:rFonts w:ascii="Palatino" w:hAnsi="Palatino"/>
          <w:kern w:val="0"/>
        </w:rPr>
      </w:pPr>
      <w:bookmarkStart w:id="46" w:name="_Toc450990220"/>
      <w:bookmarkStart w:id="47" w:name="_Toc451151267"/>
      <w:bookmarkStart w:id="48" w:name="_Toc529357809"/>
      <w:r w:rsidRPr="007375A7">
        <w:rPr>
          <w:rFonts w:ascii="Palatino" w:hAnsi="Palatino"/>
          <w:kern w:val="0"/>
        </w:rPr>
        <w:t>Conclusions of Law</w:t>
      </w:r>
      <w:bookmarkEnd w:id="46"/>
      <w:bookmarkEnd w:id="47"/>
      <w:bookmarkEnd w:id="48"/>
    </w:p>
    <w:p w14:paraId="5DCE5FE4" w14:textId="77777777" w:rsidR="0097193B" w:rsidRPr="007375A7" w:rsidRDefault="00CF0F2A" w:rsidP="00CF0F2A">
      <w:pPr>
        <w:pStyle w:val="num1"/>
      </w:pPr>
      <w:r w:rsidRPr="00D837BD">
        <w:rPr>
          <w:rFonts w:ascii="Palatino Linotype" w:hAnsi="Palatino Linotype"/>
        </w:rPr>
        <w:t xml:space="preserve">1.  </w:t>
      </w:r>
      <w:r w:rsidR="0097193B" w:rsidRPr="007375A7">
        <w:t>SB 699 confers on the Commission authority to develop rules for addressing the physical security risks to the distribution systems of electric corporations.</w:t>
      </w:r>
    </w:p>
    <w:p w14:paraId="5141844B" w14:textId="77777777" w:rsidR="00CF0F2A" w:rsidRPr="007375A7" w:rsidRDefault="00CF0F2A" w:rsidP="00CF0F2A">
      <w:pPr>
        <w:pStyle w:val="num1"/>
      </w:pPr>
      <w:r w:rsidRPr="00D837BD">
        <w:rPr>
          <w:rFonts w:ascii="Palatino Linotype" w:hAnsi="Palatino Linotype"/>
        </w:rPr>
        <w:lastRenderedPageBreak/>
        <w:t xml:space="preserve">2.  </w:t>
      </w:r>
      <w:r w:rsidR="0097193B" w:rsidRPr="007375A7">
        <w:t xml:space="preserve">AB 1650 confers on the Commission authority to develop rules </w:t>
      </w:r>
      <w:r w:rsidR="007A2FFA" w:rsidRPr="007375A7">
        <w:t xml:space="preserve">for </w:t>
      </w:r>
      <w:r w:rsidR="0097193B" w:rsidRPr="007375A7">
        <w:t>emergency preparedness plans applicable to electrical corporations and water companies regulated by the Commission.</w:t>
      </w:r>
    </w:p>
    <w:p w14:paraId="597D229D" w14:textId="77777777" w:rsidR="0097193B" w:rsidRPr="007375A7" w:rsidRDefault="00CF0F2A" w:rsidP="00CF0F2A">
      <w:pPr>
        <w:pStyle w:val="num1"/>
      </w:pPr>
      <w:r w:rsidRPr="00D837BD">
        <w:rPr>
          <w:rFonts w:ascii="Palatino Linotype" w:hAnsi="Palatino Linotype"/>
        </w:rPr>
        <w:t xml:space="preserve">3.  </w:t>
      </w:r>
      <w:r w:rsidR="0097193B" w:rsidRPr="007375A7">
        <w:t>This decision fulfills the mandates of SB 699.</w:t>
      </w:r>
    </w:p>
    <w:p w14:paraId="30A5B40F" w14:textId="77777777" w:rsidR="0097193B" w:rsidRPr="007375A7" w:rsidRDefault="00CF0F2A" w:rsidP="00CF0F2A">
      <w:pPr>
        <w:pStyle w:val="num1"/>
      </w:pPr>
      <w:r w:rsidRPr="00D837BD">
        <w:rPr>
          <w:rFonts w:ascii="Palatino Linotype" w:hAnsi="Palatino Linotype"/>
        </w:rPr>
        <w:t xml:space="preserve">4.  </w:t>
      </w:r>
      <w:r w:rsidR="0097193B" w:rsidRPr="007375A7">
        <w:t>The decision in Phase II of this proceeding will fulfill the mandates of AB</w:t>
      </w:r>
      <w:r w:rsidR="009E50B3" w:rsidRPr="007375A7">
        <w:t> </w:t>
      </w:r>
      <w:r w:rsidR="0097193B" w:rsidRPr="007375A7">
        <w:t>1650.</w:t>
      </w:r>
    </w:p>
    <w:p w14:paraId="5FF960D0" w14:textId="77777777" w:rsidR="0097193B" w:rsidRPr="007375A7" w:rsidRDefault="00CF0F2A" w:rsidP="00CF0F2A">
      <w:pPr>
        <w:pStyle w:val="num1"/>
      </w:pPr>
      <w:r w:rsidRPr="00D837BD">
        <w:rPr>
          <w:rFonts w:ascii="Palatino Linotype" w:hAnsi="Palatino Linotype"/>
        </w:rPr>
        <w:t xml:space="preserve">5.  </w:t>
      </w:r>
      <w:r w:rsidR="0097193B" w:rsidRPr="007375A7">
        <w:t>Pursuant to §§ 8001 to 8057 of the Pub. Util. Code, the Commission has the authority and duty to regulate and enforce safety aspects of POUs.</w:t>
      </w:r>
    </w:p>
    <w:p w14:paraId="7D0402B2" w14:textId="77777777" w:rsidR="0097193B" w:rsidRPr="007375A7" w:rsidRDefault="00CF0F2A" w:rsidP="00CF0F2A">
      <w:pPr>
        <w:pStyle w:val="num1"/>
      </w:pPr>
      <w:r w:rsidRPr="00D837BD">
        <w:rPr>
          <w:rFonts w:ascii="Palatino Linotype" w:hAnsi="Palatino Linotype"/>
        </w:rPr>
        <w:t xml:space="preserve">6.  </w:t>
      </w:r>
      <w:r w:rsidR="0097193B" w:rsidRPr="007375A7">
        <w:t>Sections 8001-8057 of the Pub. Util. Code provide that the Commission has jurisdiction over the public safety aspects of POUs.</w:t>
      </w:r>
    </w:p>
    <w:p w14:paraId="1DE85F87" w14:textId="77777777" w:rsidR="0097193B" w:rsidRPr="007375A7" w:rsidRDefault="00CF0F2A" w:rsidP="00CF0F2A">
      <w:pPr>
        <w:pStyle w:val="num1"/>
      </w:pPr>
      <w:r w:rsidRPr="00D837BD">
        <w:rPr>
          <w:rFonts w:ascii="Palatino Linotype" w:hAnsi="Palatino Linotype"/>
        </w:rPr>
        <w:t xml:space="preserve">7.  </w:t>
      </w:r>
      <w:r w:rsidR="0097193B" w:rsidRPr="007375A7">
        <w:t>The need to ensure the safety and security of the electrical distribution system mandates that Phase I of this proceeding be applied to both IOUs and POUs.</w:t>
      </w:r>
    </w:p>
    <w:p w14:paraId="76A57111" w14:textId="77777777" w:rsidR="0097193B" w:rsidRPr="007375A7" w:rsidRDefault="00F11036" w:rsidP="00CF0F2A">
      <w:pPr>
        <w:pStyle w:val="num1"/>
      </w:pPr>
      <w:r w:rsidRPr="00D837BD">
        <w:rPr>
          <w:rFonts w:ascii="Palatino Linotype" w:hAnsi="Palatino Linotype"/>
        </w:rPr>
        <w:t xml:space="preserve">8.  </w:t>
      </w:r>
      <w:r w:rsidR="0097193B" w:rsidRPr="007375A7">
        <w:t>This decision should be effective today.</w:t>
      </w:r>
    </w:p>
    <w:p w14:paraId="43EF8DC4" w14:textId="77777777" w:rsidR="0097193B" w:rsidRPr="00D837BD" w:rsidRDefault="0097193B" w:rsidP="00D51E45">
      <w:pPr>
        <w:pStyle w:val="mainex"/>
        <w:spacing w:before="120" w:after="120"/>
      </w:pPr>
      <w:bookmarkStart w:id="49" w:name="_Toc450990221"/>
      <w:bookmarkStart w:id="50" w:name="_Toc451151268"/>
      <w:bookmarkStart w:id="51" w:name="_Toc529357810"/>
      <w:bookmarkStart w:id="52" w:name="OLE_LINK1"/>
      <w:bookmarkStart w:id="53" w:name="OLE_LINK2"/>
      <w:bookmarkStart w:id="54" w:name="_Hlk532365344"/>
      <w:r w:rsidRPr="00D837BD">
        <w:t>ORDER</w:t>
      </w:r>
      <w:bookmarkEnd w:id="49"/>
      <w:bookmarkEnd w:id="50"/>
      <w:bookmarkEnd w:id="51"/>
    </w:p>
    <w:bookmarkEnd w:id="52"/>
    <w:bookmarkEnd w:id="53"/>
    <w:p w14:paraId="581E63F4" w14:textId="77777777" w:rsidR="0097193B" w:rsidRPr="007375A7" w:rsidRDefault="0097193B" w:rsidP="0097193B">
      <w:pPr>
        <w:pStyle w:val="standard"/>
        <w:keepNext/>
        <w:keepLines/>
      </w:pPr>
      <w:r w:rsidRPr="00D837BD">
        <w:rPr>
          <w:rFonts w:ascii="Palatino Linotype" w:hAnsi="Palatino Linotype"/>
          <w:b/>
        </w:rPr>
        <w:t>IT IS ORDERED</w:t>
      </w:r>
      <w:r w:rsidRPr="00D837BD">
        <w:rPr>
          <w:rFonts w:ascii="Palatino Linotype" w:hAnsi="Palatino Linotype"/>
        </w:rPr>
        <w:t xml:space="preserve"> that:</w:t>
      </w:r>
    </w:p>
    <w:p w14:paraId="20ED79FC" w14:textId="799797E7" w:rsidR="0097193B" w:rsidRPr="007375A7" w:rsidRDefault="0097193B" w:rsidP="007E58F0">
      <w:pPr>
        <w:pStyle w:val="num1"/>
        <w:numPr>
          <w:ilvl w:val="0"/>
          <w:numId w:val="3"/>
        </w:numPr>
      </w:pPr>
      <w:r w:rsidRPr="007375A7">
        <w:t>Within 1</w:t>
      </w:r>
      <w:r w:rsidR="00E471D0" w:rsidRPr="007375A7">
        <w:t>8</w:t>
      </w:r>
      <w:r w:rsidRPr="007375A7">
        <w:t xml:space="preserve"> months of this decision being adopted, Pacific Gas and Electric Company, San Diego Gas &amp; Electric Company, Southern California Edison, PacifiCorp, Bear Valley Electric Service, and Liberty</w:t>
      </w:r>
      <w:r w:rsidR="0011761E" w:rsidRPr="007375A7">
        <w:t xml:space="preserve"> CalPeco</w:t>
      </w:r>
      <w:r w:rsidRPr="007375A7">
        <w:t xml:space="preserve"> shall prepare and submit to the Commission a preliminary assessment of priority facilities for their distribution assets and control centers. </w:t>
      </w:r>
    </w:p>
    <w:p w14:paraId="516D7311" w14:textId="16B49590" w:rsidR="0097193B" w:rsidRPr="007375A7" w:rsidRDefault="0097193B" w:rsidP="007E58F0">
      <w:pPr>
        <w:pStyle w:val="num1"/>
        <w:numPr>
          <w:ilvl w:val="0"/>
          <w:numId w:val="3"/>
        </w:numPr>
      </w:pPr>
      <w:r w:rsidRPr="007375A7">
        <w:t xml:space="preserve">Within </w:t>
      </w:r>
      <w:r w:rsidR="00F205B3" w:rsidRPr="007375A7">
        <w:t>30</w:t>
      </w:r>
      <w:r w:rsidRPr="007375A7">
        <w:t xml:space="preserve"> months of this decision being adopted, Pacific Gas and Electric Company, San Diego Gas &amp; Electric Company, Southern California Edison, PacifiCorp, Bear Valley Electric Service, and Liberty</w:t>
      </w:r>
      <w:r w:rsidR="0011761E" w:rsidRPr="007375A7">
        <w:t xml:space="preserve"> CalPeco</w:t>
      </w:r>
      <w:r w:rsidRPr="007375A7">
        <w:t xml:space="preserve"> shall submit each utility’s Final Security Plan Report.  </w:t>
      </w:r>
    </w:p>
    <w:p w14:paraId="6EE427B1" w14:textId="28DA7142" w:rsidR="0097193B" w:rsidRPr="007375A7" w:rsidRDefault="007E58F0" w:rsidP="007E58F0">
      <w:pPr>
        <w:pStyle w:val="num1"/>
        <w:numPr>
          <w:ilvl w:val="0"/>
          <w:numId w:val="3"/>
        </w:numPr>
      </w:pPr>
      <w:r w:rsidRPr="00D837BD">
        <w:rPr>
          <w:rFonts w:ascii="Palatino Linotype" w:hAnsi="Palatino Linotype"/>
        </w:rPr>
        <w:lastRenderedPageBreak/>
        <w:t xml:space="preserve"> </w:t>
      </w:r>
      <w:r w:rsidR="00132945" w:rsidRPr="007375A7">
        <w:t>W</w:t>
      </w:r>
      <w:r w:rsidR="0097193B" w:rsidRPr="007375A7">
        <w:t>ithin 30 months of this decision being adopted, the Publicly Owned Utilities shall provide the Commission with notice of</w:t>
      </w:r>
      <w:r w:rsidR="00CE3651" w:rsidRPr="007375A7">
        <w:t xml:space="preserve"> final</w:t>
      </w:r>
      <w:r w:rsidR="0097193B" w:rsidRPr="007375A7">
        <w:t xml:space="preserve"> plan adoption.</w:t>
      </w:r>
    </w:p>
    <w:p w14:paraId="70AC7ADA" w14:textId="13AD61FD" w:rsidR="0097193B" w:rsidRPr="007375A7" w:rsidRDefault="0097193B">
      <w:pPr>
        <w:pStyle w:val="num1"/>
        <w:numPr>
          <w:ilvl w:val="0"/>
          <w:numId w:val="3"/>
        </w:numPr>
      </w:pPr>
      <w:r w:rsidRPr="007375A7">
        <w:t xml:space="preserve">The </w:t>
      </w:r>
      <w:r w:rsidR="00DA13C4" w:rsidRPr="007375A7">
        <w:t>Publicly</w:t>
      </w:r>
      <w:r w:rsidR="00A8594E" w:rsidRPr="007375A7">
        <w:t xml:space="preserve"> Owned Utilities</w:t>
      </w:r>
      <w:r w:rsidR="00224ADC" w:rsidRPr="007375A7">
        <w:t>’</w:t>
      </w:r>
      <w:r w:rsidR="00E471D0" w:rsidRPr="007375A7">
        <w:t xml:space="preserve"> </w:t>
      </w:r>
      <w:r w:rsidRPr="007375A7">
        <w:t xml:space="preserve">notice of </w:t>
      </w:r>
      <w:r w:rsidR="00CE3651" w:rsidRPr="007375A7">
        <w:t xml:space="preserve">final </w:t>
      </w:r>
      <w:r w:rsidRPr="007375A7">
        <w:t xml:space="preserve">plan </w:t>
      </w:r>
      <w:r w:rsidR="00CE3651" w:rsidRPr="007375A7">
        <w:t xml:space="preserve">adoption </w:t>
      </w:r>
      <w:r w:rsidRPr="007375A7">
        <w:t>may consist of a copy of a signed resolution, ordinance or letter by a responsible elected- or appointed official, or utility director.</w:t>
      </w:r>
    </w:p>
    <w:p w14:paraId="23F1DE28" w14:textId="05DD9237" w:rsidR="0097193B" w:rsidRPr="007375A7" w:rsidRDefault="0097193B" w:rsidP="0041235E">
      <w:pPr>
        <w:pStyle w:val="num1"/>
        <w:numPr>
          <w:ilvl w:val="0"/>
          <w:numId w:val="3"/>
        </w:numPr>
      </w:pPr>
      <w:r w:rsidRPr="007375A7">
        <w:t>All California Electric Utility Distribution Asset Physical Security Plans shall conform to the requirements outlined within the Joint Utilit</w:t>
      </w:r>
      <w:r w:rsidR="00D43F0D" w:rsidRPr="007375A7">
        <w:t>y</w:t>
      </w:r>
      <w:r w:rsidRPr="007375A7">
        <w:t xml:space="preserve"> Proposal, as modified by this </w:t>
      </w:r>
      <w:r w:rsidR="00A74C47" w:rsidRPr="007375A7">
        <w:t>d</w:t>
      </w:r>
      <w:r w:rsidRPr="007375A7">
        <w:t xml:space="preserve">ecision (rules and requirements collectively known as “security plan requirements”). </w:t>
      </w:r>
    </w:p>
    <w:p w14:paraId="10E459CF" w14:textId="7E10F8A3" w:rsidR="0097193B" w:rsidRPr="007375A7" w:rsidRDefault="0097193B" w:rsidP="0041235E">
      <w:pPr>
        <w:pStyle w:val="num1"/>
        <w:numPr>
          <w:ilvl w:val="0"/>
          <w:numId w:val="3"/>
        </w:numPr>
      </w:pPr>
      <w:r w:rsidRPr="007375A7">
        <w:t>The Investor Owned Utilities and Publicly Owned Utilities shall adhere to the Safety</w:t>
      </w:r>
      <w:r w:rsidR="00010478" w:rsidRPr="007375A7">
        <w:t xml:space="preserve"> and</w:t>
      </w:r>
      <w:r w:rsidRPr="007375A7">
        <w:t xml:space="preserve"> Enforcement Division’s Six-step Security Plan Process.</w:t>
      </w:r>
    </w:p>
    <w:p w14:paraId="4573F5B7" w14:textId="009BE99C" w:rsidR="003B5592" w:rsidRPr="007375A7" w:rsidRDefault="0097193B" w:rsidP="003B5592">
      <w:pPr>
        <w:pStyle w:val="num1"/>
        <w:numPr>
          <w:ilvl w:val="0"/>
          <w:numId w:val="3"/>
        </w:numPr>
      </w:pPr>
      <w:r w:rsidRPr="007375A7">
        <w:t xml:space="preserve">The Six-step Plan Process consists of the following: Assessment; Independent Review and Utility Response to Recommendations; </w:t>
      </w:r>
      <w:r w:rsidR="00CE3651" w:rsidRPr="007375A7">
        <w:t>S</w:t>
      </w:r>
      <w:r w:rsidR="00A8594E" w:rsidRPr="007375A7">
        <w:t>afety and Enforcement Division</w:t>
      </w:r>
      <w:r w:rsidR="00CE3651" w:rsidRPr="007375A7">
        <w:t xml:space="preserve"> Review (for I</w:t>
      </w:r>
      <w:r w:rsidR="00A8594E" w:rsidRPr="007375A7">
        <w:t>nv</w:t>
      </w:r>
      <w:r w:rsidR="00E9037B" w:rsidRPr="007375A7">
        <w:t>e</w:t>
      </w:r>
      <w:r w:rsidR="00A8594E" w:rsidRPr="007375A7">
        <w:t xml:space="preserve">stor Owned Utilities </w:t>
      </w:r>
      <w:r w:rsidR="00CE3651" w:rsidRPr="007375A7">
        <w:t>s)</w:t>
      </w:r>
      <w:r w:rsidRPr="007375A7">
        <w:t xml:space="preserve">; </w:t>
      </w:r>
      <w:r w:rsidR="009F1BCD" w:rsidRPr="007375A7">
        <w:t xml:space="preserve">Local </w:t>
      </w:r>
      <w:r w:rsidR="00781C55" w:rsidRPr="007375A7">
        <w:t>Plan</w:t>
      </w:r>
      <w:r w:rsidR="00CE3651" w:rsidRPr="007375A7">
        <w:t xml:space="preserve"> Review</w:t>
      </w:r>
      <w:r w:rsidR="009F1BCD" w:rsidRPr="007375A7">
        <w:t xml:space="preserve"> (for </w:t>
      </w:r>
      <w:r w:rsidR="00E9037B" w:rsidRPr="007375A7">
        <w:t>Publicly</w:t>
      </w:r>
      <w:r w:rsidR="00A8594E" w:rsidRPr="007375A7">
        <w:t xml:space="preserve"> Owned Utilities</w:t>
      </w:r>
      <w:r w:rsidR="009F1BCD" w:rsidRPr="007375A7">
        <w:t>)</w:t>
      </w:r>
      <w:r w:rsidRPr="007375A7">
        <w:t xml:space="preserve">; Maintenance and Plan overhaul/new </w:t>
      </w:r>
      <w:r w:rsidR="00CE3651" w:rsidRPr="007375A7">
        <w:t>review</w:t>
      </w:r>
      <w:r w:rsidRPr="007375A7">
        <w:t>.</w:t>
      </w:r>
    </w:p>
    <w:p w14:paraId="1E627CDB" w14:textId="3F63AF2B" w:rsidR="00AD1F1B" w:rsidRPr="007375A7" w:rsidRDefault="0097193B" w:rsidP="003B5592">
      <w:pPr>
        <w:pStyle w:val="num1"/>
        <w:numPr>
          <w:ilvl w:val="0"/>
          <w:numId w:val="3"/>
        </w:numPr>
      </w:pPr>
      <w:r w:rsidRPr="007375A7">
        <w:t>Subsequent changes to the security plan requirements deemed beneficial and necessary, shall be enabled by one of the following: 1) Commission Resolution o</w:t>
      </w:r>
      <w:r w:rsidR="00A74C47" w:rsidRPr="007375A7">
        <w:t>r</w:t>
      </w:r>
      <w:r w:rsidRPr="007375A7">
        <w:t xml:space="preserve"> Decision; 2) Ministerially, by </w:t>
      </w:r>
      <w:r w:rsidR="00A8594E" w:rsidRPr="007375A7">
        <w:t>Safety and Enforcement Division</w:t>
      </w:r>
      <w:r w:rsidRPr="007375A7">
        <w:t xml:space="preserve"> (or successor entity) director letter.</w:t>
      </w:r>
    </w:p>
    <w:p w14:paraId="21834AFB" w14:textId="3A2AC407" w:rsidR="003B5592" w:rsidRPr="007375A7" w:rsidRDefault="003B5592" w:rsidP="003B5592">
      <w:pPr>
        <w:pStyle w:val="num1"/>
        <w:numPr>
          <w:ilvl w:val="0"/>
          <w:numId w:val="3"/>
        </w:numPr>
      </w:pPr>
      <w:r w:rsidRPr="007375A7">
        <w:t>In carrying out any future changes to the security plan requirements, Safety and Enforcement Division shall confer with utilities about any recommended modifications to the plan requirements.</w:t>
      </w:r>
    </w:p>
    <w:p w14:paraId="4E552C9D" w14:textId="15AF069B" w:rsidR="0097193B" w:rsidRPr="007375A7" w:rsidRDefault="0097193B" w:rsidP="003B5592">
      <w:pPr>
        <w:pStyle w:val="num1"/>
        <w:numPr>
          <w:ilvl w:val="0"/>
          <w:numId w:val="3"/>
        </w:numPr>
      </w:pPr>
      <w:r w:rsidRPr="007375A7">
        <w:t xml:space="preserve">Prior to the submittal of the Security Plan, Pacific Gas and Electric Company, San Diego Gas &amp; Electric Company, Southern California Edison, PacifiCorp, Bear Valley Electric Service, and Liberty CalPeco shall each have </w:t>
      </w:r>
      <w:r w:rsidR="006316EB" w:rsidRPr="007375A7">
        <w:t xml:space="preserve">their </w:t>
      </w:r>
      <w:r w:rsidRPr="007375A7">
        <w:t>respective plan reviewed by a</w:t>
      </w:r>
      <w:r w:rsidR="006316EB" w:rsidRPr="007375A7">
        <w:t>n unaffiliated</w:t>
      </w:r>
      <w:r w:rsidRPr="007375A7">
        <w:t xml:space="preserve"> third-party entity.</w:t>
      </w:r>
    </w:p>
    <w:p w14:paraId="349D5284" w14:textId="769D156A" w:rsidR="0097193B" w:rsidRPr="007375A7" w:rsidRDefault="0097193B" w:rsidP="0041235E">
      <w:pPr>
        <w:pStyle w:val="num1"/>
        <w:numPr>
          <w:ilvl w:val="0"/>
          <w:numId w:val="3"/>
        </w:numPr>
      </w:pPr>
      <w:r w:rsidRPr="007375A7">
        <w:lastRenderedPageBreak/>
        <w:t xml:space="preserve">The </w:t>
      </w:r>
      <w:r w:rsidR="00E9037B" w:rsidRPr="007375A7">
        <w:t xml:space="preserve">unaffiliated </w:t>
      </w:r>
      <w:r w:rsidRPr="007375A7">
        <w:t xml:space="preserve">third-party </w:t>
      </w:r>
      <w:r w:rsidR="00E9037B" w:rsidRPr="007375A7">
        <w:t xml:space="preserve">reviewer </w:t>
      </w:r>
      <w:r w:rsidRPr="007375A7">
        <w:t xml:space="preserve">shall have demonstrated appropriate physical security expertise. </w:t>
      </w:r>
    </w:p>
    <w:p w14:paraId="127368F3" w14:textId="034B6AB0" w:rsidR="0097193B" w:rsidRPr="007375A7" w:rsidRDefault="0097193B" w:rsidP="0041235E">
      <w:pPr>
        <w:pStyle w:val="num1"/>
        <w:numPr>
          <w:ilvl w:val="0"/>
          <w:numId w:val="3"/>
        </w:numPr>
      </w:pPr>
      <w:r w:rsidRPr="007375A7">
        <w:t>California electric utilities shall, within any new or renovated distribution substation, design their facilities to incorporate reasonable security features.</w:t>
      </w:r>
    </w:p>
    <w:p w14:paraId="708DE154" w14:textId="77777777" w:rsidR="0097193B" w:rsidRPr="007375A7" w:rsidRDefault="0097193B" w:rsidP="0041235E">
      <w:pPr>
        <w:pStyle w:val="num1"/>
        <w:numPr>
          <w:ilvl w:val="0"/>
          <w:numId w:val="3"/>
        </w:numPr>
      </w:pPr>
      <w:r w:rsidRPr="007375A7">
        <w:t>Utility security plans shall include a detailed narrative explaining how the utility is taking steps to implement an asset management program to promote optimization, and quality assurance for tracking and locating spare parts stock, ensuring availability, and the rapid dispatch of available spare parts.</w:t>
      </w:r>
    </w:p>
    <w:p w14:paraId="0E0A566B" w14:textId="77777777" w:rsidR="0097193B" w:rsidRPr="007375A7" w:rsidRDefault="0097193B" w:rsidP="0041235E">
      <w:pPr>
        <w:pStyle w:val="num1"/>
        <w:numPr>
          <w:ilvl w:val="0"/>
          <w:numId w:val="3"/>
        </w:numPr>
      </w:pPr>
      <w:r w:rsidRPr="007375A7">
        <w:t>Utility security plans shall include a detailed narrative explaining how the utility is taking steps to implement a robust workforce training and retention program to employ a full roster of highly-qualified service technicians able to respond to make repairs in short order throughout a utility’s service territory using spare parts stockpiles and inventory.</w:t>
      </w:r>
    </w:p>
    <w:p w14:paraId="3DA206EF" w14:textId="77777777" w:rsidR="0097193B" w:rsidRPr="007375A7" w:rsidRDefault="0097193B" w:rsidP="0041235E">
      <w:pPr>
        <w:pStyle w:val="num1"/>
        <w:numPr>
          <w:ilvl w:val="0"/>
          <w:numId w:val="3"/>
        </w:numPr>
      </w:pPr>
      <w:r w:rsidRPr="007375A7">
        <w:t>Utility security plans shall include a detailed narrative explaining how the utility is taking steps to implement a preventative maintenance plan for security equipment to ensure that mitigation measures are functional and performing adequately.</w:t>
      </w:r>
    </w:p>
    <w:p w14:paraId="0BF0E448" w14:textId="7F489A0E" w:rsidR="0097193B" w:rsidRPr="007375A7" w:rsidRDefault="0097193B" w:rsidP="0041235E">
      <w:pPr>
        <w:pStyle w:val="num1"/>
        <w:numPr>
          <w:ilvl w:val="0"/>
          <w:numId w:val="3"/>
        </w:numPr>
      </w:pPr>
      <w:r w:rsidRPr="007375A7">
        <w:t>Utility security plans shall include a detailed narrative explaining how the utility is taking steps to implement a description of Distribution Control Center and Security Control Center roles and actions related to distribution system physical security.</w:t>
      </w:r>
    </w:p>
    <w:p w14:paraId="33724F63" w14:textId="1D44DB67" w:rsidR="0097193B" w:rsidRPr="007375A7" w:rsidRDefault="0097193B" w:rsidP="0041235E">
      <w:pPr>
        <w:pStyle w:val="num1"/>
        <w:numPr>
          <w:ilvl w:val="0"/>
          <w:numId w:val="3"/>
        </w:numPr>
      </w:pPr>
      <w:r w:rsidRPr="007375A7">
        <w:t xml:space="preserve">Pacific Gas and Electric Company, San Diego Gas &amp; Electric Company, Southern California Edison, PacifiCorp, Bear Valley Electric Service, and Liberty CalPeco shall </w:t>
      </w:r>
      <w:r w:rsidR="007A2FFA" w:rsidRPr="007375A7">
        <w:t xml:space="preserve">each </w:t>
      </w:r>
      <w:r w:rsidRPr="007375A7">
        <w:t xml:space="preserve">document </w:t>
      </w:r>
      <w:r w:rsidR="00E471D0" w:rsidRPr="007375A7">
        <w:t xml:space="preserve">all </w:t>
      </w:r>
      <w:r w:rsidRPr="007375A7">
        <w:t xml:space="preserve">third-party </w:t>
      </w:r>
      <w:r w:rsidR="00E471D0" w:rsidRPr="007375A7">
        <w:t xml:space="preserve">reviewer </w:t>
      </w:r>
      <w:r w:rsidRPr="007375A7">
        <w:t>recommendations</w:t>
      </w:r>
      <w:r w:rsidR="00E471D0" w:rsidRPr="007375A7">
        <w:t>, and specify recommendations</w:t>
      </w:r>
      <w:r w:rsidRPr="007375A7">
        <w:t xml:space="preserve"> that were accepted </w:t>
      </w:r>
      <w:r w:rsidR="00E471D0" w:rsidRPr="007375A7">
        <w:t xml:space="preserve">or </w:t>
      </w:r>
      <w:r w:rsidRPr="007375A7">
        <w:t>declined</w:t>
      </w:r>
      <w:r w:rsidR="00E471D0" w:rsidRPr="007375A7">
        <w:t xml:space="preserve"> by the utility</w:t>
      </w:r>
      <w:r w:rsidRPr="007375A7">
        <w:t xml:space="preserve">.  </w:t>
      </w:r>
    </w:p>
    <w:p w14:paraId="62034B22" w14:textId="2802A3D5" w:rsidR="003B5592" w:rsidRPr="007375A7" w:rsidRDefault="0097193B" w:rsidP="003B5592">
      <w:pPr>
        <w:pStyle w:val="num1"/>
        <w:numPr>
          <w:ilvl w:val="0"/>
          <w:numId w:val="3"/>
        </w:numPr>
      </w:pPr>
      <w:r w:rsidRPr="007375A7">
        <w:lastRenderedPageBreak/>
        <w:t xml:space="preserve">Pacific Gas and Electric Company, San Diego Gas &amp; Electric Company, Southern California Edison, PacifiCorp, Bear Valley Electric Service, and Liberty CalPeco shall </w:t>
      </w:r>
      <w:r w:rsidR="007A2FFA" w:rsidRPr="007375A7">
        <w:t xml:space="preserve">each </w:t>
      </w:r>
      <w:r w:rsidRPr="007375A7">
        <w:t>provide justification supporting its decision to accept or decline any third-party recommendations.</w:t>
      </w:r>
    </w:p>
    <w:p w14:paraId="154E0C91" w14:textId="3EFB879E" w:rsidR="003B5592" w:rsidRPr="007375A7" w:rsidRDefault="003B5592" w:rsidP="003B5592">
      <w:pPr>
        <w:pStyle w:val="num1"/>
        <w:numPr>
          <w:ilvl w:val="0"/>
          <w:numId w:val="3"/>
        </w:numPr>
      </w:pPr>
      <w:r w:rsidRPr="007375A7">
        <w:t>Physical Security-related information is bifurcated into two categories. Recurring and routine utility compliance work products and ongoing utility updates required by this decision are not subject to the Reading Room approach but shall be transmitted to the Commission.</w:t>
      </w:r>
      <w:r w:rsidR="007A43C6">
        <w:t xml:space="preserve"> </w:t>
      </w:r>
      <w:r w:rsidRPr="007375A7">
        <w:t xml:space="preserve"> All other physical security data requested by Commission staff on an ad hoc basis shall be made available to the Commission on utility property in a manner agreed to by the Safety and Enforcement Division, or its successor, until such time that the Commission finalizes its rules for the handling, sharing, and inspection of confidential information.</w:t>
      </w:r>
    </w:p>
    <w:p w14:paraId="24C3FDAF" w14:textId="589F7F70" w:rsidR="0097193B" w:rsidRPr="007375A7" w:rsidRDefault="0097193B" w:rsidP="003B5592">
      <w:pPr>
        <w:pStyle w:val="num1"/>
        <w:numPr>
          <w:ilvl w:val="0"/>
          <w:numId w:val="3"/>
        </w:numPr>
      </w:pPr>
      <w:r w:rsidRPr="007375A7">
        <w:t xml:space="preserve">If a Publicly Owned Utility has an existing blanket Security Plan that has been adopted by its Board of Directors or City Council within three years prior to the date of this </w:t>
      </w:r>
      <w:r w:rsidR="00A74C47" w:rsidRPr="007375A7">
        <w:t>d</w:t>
      </w:r>
      <w:r w:rsidRPr="007375A7">
        <w:t xml:space="preserve">ecision, the requirement to have a plan adopted may be waived by the Commission. </w:t>
      </w:r>
    </w:p>
    <w:p w14:paraId="2E0ED5A8" w14:textId="2590F218" w:rsidR="00224ADC" w:rsidRPr="007375A7" w:rsidRDefault="0097193B" w:rsidP="00E9037B">
      <w:pPr>
        <w:pStyle w:val="num1"/>
        <w:numPr>
          <w:ilvl w:val="0"/>
          <w:numId w:val="3"/>
        </w:numPr>
      </w:pPr>
      <w:bookmarkStart w:id="55" w:name="_Hlk533675085"/>
      <w:r w:rsidRPr="007375A7">
        <w:t xml:space="preserve">In the event that a Publicly Owned Utility’s (POU) Security Plan  has not been </w:t>
      </w:r>
      <w:r w:rsidR="00224ADC" w:rsidRPr="007375A7">
        <w:t xml:space="preserve">adopted in time </w:t>
      </w:r>
      <w:r w:rsidRPr="007375A7">
        <w:t xml:space="preserve">as </w:t>
      </w:r>
      <w:r w:rsidR="004605DB" w:rsidRPr="007375A7">
        <w:t xml:space="preserve">required by this </w:t>
      </w:r>
      <w:r w:rsidR="00A74C47" w:rsidRPr="007375A7">
        <w:t>d</w:t>
      </w:r>
      <w:r w:rsidR="004605DB" w:rsidRPr="007375A7">
        <w:t>ecision</w:t>
      </w:r>
      <w:r w:rsidRPr="007375A7">
        <w:t xml:space="preserve">, </w:t>
      </w:r>
      <w:r w:rsidR="004605DB" w:rsidRPr="007375A7">
        <w:t xml:space="preserve">the </w:t>
      </w:r>
      <w:r w:rsidRPr="007375A7">
        <w:t xml:space="preserve">POU shall provide the </w:t>
      </w:r>
      <w:r w:rsidR="00224ADC" w:rsidRPr="007375A7">
        <w:t xml:space="preserve">Director of the </w:t>
      </w:r>
      <w:r w:rsidRPr="007375A7">
        <w:t>Commission</w:t>
      </w:r>
      <w:r w:rsidR="00224ADC" w:rsidRPr="007375A7">
        <w:t>’s Safety and Enforcement Division</w:t>
      </w:r>
      <w:r w:rsidRPr="007375A7">
        <w:t xml:space="preserve"> with a notice </w:t>
      </w:r>
      <w:r w:rsidR="00815462" w:rsidRPr="007375A7">
        <w:t>[30]</w:t>
      </w:r>
      <w:r w:rsidR="005D4C43">
        <w:t> </w:t>
      </w:r>
      <w:r w:rsidR="00815462" w:rsidRPr="007375A7">
        <w:t xml:space="preserve">days prior to the deadline with information on </w:t>
      </w:r>
      <w:r w:rsidRPr="007375A7">
        <w:t>the nature of the delay and an estimated date for adoption.</w:t>
      </w:r>
    </w:p>
    <w:bookmarkEnd w:id="55"/>
    <w:p w14:paraId="1444A8CA" w14:textId="44A45178" w:rsidR="0097193B" w:rsidRPr="007375A7" w:rsidRDefault="0097193B" w:rsidP="0041235E">
      <w:pPr>
        <w:pStyle w:val="num1"/>
        <w:numPr>
          <w:ilvl w:val="0"/>
          <w:numId w:val="3"/>
        </w:numPr>
      </w:pPr>
      <w:r w:rsidRPr="007375A7">
        <w:t xml:space="preserve">Prior to Security Plan adoption, Publicly Owned Utilities in California shall have their plan reviewed by a third party. </w:t>
      </w:r>
    </w:p>
    <w:p w14:paraId="290C1C6F" w14:textId="77777777" w:rsidR="0097193B" w:rsidRPr="007375A7" w:rsidRDefault="0097193B" w:rsidP="0041235E">
      <w:pPr>
        <w:pStyle w:val="num1"/>
        <w:numPr>
          <w:ilvl w:val="0"/>
          <w:numId w:val="3"/>
        </w:numPr>
      </w:pPr>
      <w:r w:rsidRPr="007375A7">
        <w:t xml:space="preserve">Such third-party reviewer may be another governmental entity within the same political subdivision, so long as the entity can demonstrate appropriate </w:t>
      </w:r>
      <w:r w:rsidRPr="007375A7">
        <w:lastRenderedPageBreak/>
        <w:t>expertise, and is not a division of the publicly owned utility that operates as a functional unit (</w:t>
      </w:r>
      <w:r w:rsidRPr="007375A7">
        <w:rPr>
          <w:i/>
        </w:rPr>
        <w:t>i.e.,</w:t>
      </w:r>
      <w:r w:rsidRPr="007375A7">
        <w:t xml:space="preserve"> a municipality could use its police department if it has the appropriate expertise). </w:t>
      </w:r>
    </w:p>
    <w:p w14:paraId="50AB9A00" w14:textId="6ED63EC2" w:rsidR="0097193B" w:rsidRPr="007375A7" w:rsidRDefault="0097193B" w:rsidP="0041235E">
      <w:pPr>
        <w:pStyle w:val="num1"/>
        <w:numPr>
          <w:ilvl w:val="0"/>
          <w:numId w:val="3"/>
        </w:numPr>
      </w:pPr>
      <w:r w:rsidRPr="007375A7">
        <w:t xml:space="preserve">Publicly Owned Utilities shall conduct a program review of their Security Plan and associated physical security program every five years after initial approval of the Security Plan by their Board of Directors or City Council. Notice of such approval action shall be provided to </w:t>
      </w:r>
      <w:r w:rsidR="004605DB" w:rsidRPr="007375A7">
        <w:t xml:space="preserve">the Commission’s </w:t>
      </w:r>
      <w:r w:rsidR="008A1E47" w:rsidRPr="007375A7">
        <w:t>Safety and Enforcement Division</w:t>
      </w:r>
      <w:r w:rsidRPr="007375A7">
        <w:t xml:space="preserve"> within 30 days of Plan adoption by way of copy of signed</w:t>
      </w:r>
      <w:r w:rsidRPr="00D837BD">
        <w:rPr>
          <w:rFonts w:ascii="Palatino Linotype" w:hAnsi="Palatino Linotype"/>
        </w:rPr>
        <w:t xml:space="preserve"> </w:t>
      </w:r>
      <w:r w:rsidRPr="007375A7">
        <w:t xml:space="preserve">resolution or letter by a responsible elected- or appointed official, or utility director. </w:t>
      </w:r>
    </w:p>
    <w:p w14:paraId="623FDD5F" w14:textId="2B716476" w:rsidR="0097193B" w:rsidRPr="007375A7" w:rsidRDefault="0097193B" w:rsidP="0041235E">
      <w:pPr>
        <w:pStyle w:val="num1"/>
        <w:numPr>
          <w:ilvl w:val="0"/>
          <w:numId w:val="3"/>
        </w:numPr>
      </w:pPr>
      <w:r w:rsidRPr="007375A7">
        <w:t xml:space="preserve">Pacific Gas and Electric Company, San Diego Gas &amp; Electric Company, Southern California Edison, PacifiCorp, Bear Valley Electric Service, and Liberty CalPeco shall conduct a program review of their Security Plan and associated physical security program every five years after </w:t>
      </w:r>
      <w:r w:rsidR="00570C1E" w:rsidRPr="007375A7">
        <w:t xml:space="preserve">Commission review of the first iteration of the </w:t>
      </w:r>
      <w:r w:rsidRPr="007375A7">
        <w:t xml:space="preserve">Security Plan. </w:t>
      </w:r>
    </w:p>
    <w:p w14:paraId="471C6A84" w14:textId="3827C5B4" w:rsidR="0097193B" w:rsidRPr="007375A7" w:rsidRDefault="0097193B" w:rsidP="0041235E">
      <w:pPr>
        <w:pStyle w:val="num1"/>
        <w:numPr>
          <w:ilvl w:val="0"/>
          <w:numId w:val="3"/>
        </w:numPr>
      </w:pPr>
      <w:r w:rsidRPr="007375A7">
        <w:t xml:space="preserve">A summary of the program review shall be submitted to the Safety and Enforcement Division within 30 days of </w:t>
      </w:r>
      <w:r w:rsidR="006316EB" w:rsidRPr="007375A7">
        <w:t>r</w:t>
      </w:r>
      <w:r w:rsidRPr="007375A7">
        <w:t xml:space="preserve">eview completion. </w:t>
      </w:r>
    </w:p>
    <w:p w14:paraId="5CCEF58B" w14:textId="20BE9298" w:rsidR="00E41943" w:rsidRPr="007375A7" w:rsidRDefault="0097193B" w:rsidP="00E41943">
      <w:pPr>
        <w:pStyle w:val="num1"/>
        <w:numPr>
          <w:ilvl w:val="0"/>
          <w:numId w:val="3"/>
        </w:numPr>
      </w:pPr>
      <w:r w:rsidRPr="007375A7">
        <w:t>In the event of a major physical security event that impacts public safety or results in major sustained outages, all utilities shall preserve records and evidence associated with such event and shall provide the Commission full unfettered access to information associated with its physical security program and the circumstances surrounding such event.</w:t>
      </w:r>
    </w:p>
    <w:p w14:paraId="6BB91B25" w14:textId="77777777" w:rsidR="00FC1465" w:rsidRPr="007375A7" w:rsidRDefault="0097193B" w:rsidP="00FC1465">
      <w:pPr>
        <w:pStyle w:val="num1"/>
        <w:numPr>
          <w:ilvl w:val="0"/>
          <w:numId w:val="3"/>
        </w:numPr>
      </w:pPr>
      <w:r w:rsidRPr="007375A7">
        <w:t>An Exemption Request Process shall be available to utilities whose compliance would be clearly inappropriate or inapplicable or whose participation would result in an undue burden and hardship.</w:t>
      </w:r>
    </w:p>
    <w:p w14:paraId="11BB3548" w14:textId="33E03DDF" w:rsidR="00FC1465" w:rsidRPr="007375A7" w:rsidRDefault="00FC1465" w:rsidP="00FC1465">
      <w:pPr>
        <w:pStyle w:val="num1"/>
        <w:numPr>
          <w:ilvl w:val="0"/>
          <w:numId w:val="3"/>
        </w:numPr>
      </w:pPr>
      <w:r w:rsidRPr="007375A7">
        <w:lastRenderedPageBreak/>
        <w:t>Utilities shall provide to the Director of the Safety and Enforcement Division and Energy Division copies of OE-417 reports submitted to the United States Department of Energy (U.S. DOE) within two weeks of filing with U.S. DOE</w:t>
      </w:r>
      <w:r w:rsidR="00207484" w:rsidRPr="007375A7">
        <w:t xml:space="preserve">. </w:t>
      </w:r>
    </w:p>
    <w:p w14:paraId="5E18DF73" w14:textId="6747386B" w:rsidR="007D0926" w:rsidRPr="007375A7" w:rsidRDefault="00FC1465" w:rsidP="007D0926">
      <w:pPr>
        <w:pStyle w:val="num1"/>
        <w:numPr>
          <w:ilvl w:val="0"/>
          <w:numId w:val="3"/>
        </w:numPr>
      </w:pPr>
      <w:r w:rsidRPr="007375A7">
        <w:t>Pacific Gas and Electric Company, San Diego Gas &amp; Electric Company, Southern California Edison, PacifiCorp, Bear Valley Electric Service, and Liberty CalPeco (collectively, IOUs) shall seek recovery of costs associated with their respective Distribution Security Programs in each IOU’s general rate case.</w:t>
      </w:r>
    </w:p>
    <w:p w14:paraId="50ED8381" w14:textId="0A2BAC49" w:rsidR="00FA19F3" w:rsidRPr="007375A7" w:rsidRDefault="00FA19F3" w:rsidP="00FA19F3">
      <w:pPr>
        <w:pStyle w:val="num1"/>
        <w:numPr>
          <w:ilvl w:val="0"/>
          <w:numId w:val="3"/>
        </w:numPr>
      </w:pPr>
      <w:r w:rsidRPr="007375A7">
        <w:t xml:space="preserve">The utilities shall submit an annual report by March 31 each year beginning 2020, reporting physical incidents that result in any utility insurance claims, providing information on incident, location, impact on infrastructure and amount of claim. </w:t>
      </w:r>
      <w:r w:rsidR="005D4C43">
        <w:t xml:space="preserve"> </w:t>
      </w:r>
      <w:r w:rsidRPr="007375A7">
        <w:t>The insurance claim disclosure reporting, as described in this decision, should be included within a utility’s broader annual Physical Security Report to the Commission due every March 31, beginning in 2020.</w:t>
      </w:r>
    </w:p>
    <w:p w14:paraId="3FF8D5CB" w14:textId="1607A3BC" w:rsidR="0097193B" w:rsidRPr="007375A7" w:rsidRDefault="0097193B" w:rsidP="00FA19F3">
      <w:pPr>
        <w:pStyle w:val="num1"/>
        <w:numPr>
          <w:ilvl w:val="0"/>
          <w:numId w:val="3"/>
        </w:numPr>
      </w:pPr>
      <w:r w:rsidRPr="007375A7">
        <w:t xml:space="preserve">As appropriate, the requirements set forth in Phase I of this proceeding shall apply to </w:t>
      </w:r>
      <w:r w:rsidR="00546594" w:rsidRPr="007375A7">
        <w:t>Alameda Muni</w:t>
      </w:r>
      <w:r w:rsidR="00DC09C1" w:rsidRPr="007375A7">
        <w:t xml:space="preserve">cipal Power, City of Anaheim Public Utilities Department, Azusa Light and Water, City of Banning Electric Department, Biggs Municipal Utilities, Burbank Water and Power, Cerritos Electric Utility, City and County of San Francisco, City of Industry, Colton Public Utilities, City of Corona, Eastside Power Authority, Glendale Water and Power, Gridley Electric Utility, City of Healdsburg Electric Department, Imperial Irrigation District, Kirkwood Meadows Public Utility District, Lathrop Irrigation District, Lassen Municipal Utility District, Lodi Electric Utility, City of Lompoc, Los Angeles Department of Water &amp; Power, Merced Irrigation District, Modesto Irrigation District, Moreno Valley Electric Utility, City of Needles, City of Palo Alto, Pasadena Water and Power, City of Pittsburg, Port of Oakland, Port of Stockton, Power and Water </w:t>
      </w:r>
      <w:r w:rsidR="00DC09C1" w:rsidRPr="007375A7">
        <w:lastRenderedPageBreak/>
        <w:t>Resources Pooling Authority, Rancho Cucamonga Municipal Utility, Redding Electric Utility, City of Riverside, Roseville</w:t>
      </w:r>
      <w:r w:rsidR="0004343F" w:rsidRPr="007375A7">
        <w:t xml:space="preserve"> Electric, Sacramento Municipal Utility District, City of Shasta Lake, Shelter Cove Resort Improvement District, Silicon Valley Power, Trinity Public Utility District, Truckee D</w:t>
      </w:r>
      <w:r w:rsidR="00A32C2F" w:rsidRPr="007375A7">
        <w:t>o</w:t>
      </w:r>
      <w:r w:rsidR="0004343F" w:rsidRPr="007375A7">
        <w:t xml:space="preserve">nner Public Utilities District, Turlock Irrigation District, City </w:t>
      </w:r>
      <w:r w:rsidR="00570C1E" w:rsidRPr="007375A7">
        <w:t>o</w:t>
      </w:r>
      <w:r w:rsidR="0004343F" w:rsidRPr="007375A7">
        <w:t xml:space="preserve">f Ukiah, City of Vernon, Victorville Municipal Utilities Services, </w:t>
      </w:r>
      <w:r w:rsidR="00F82C3B" w:rsidRPr="007375A7">
        <w:t xml:space="preserve">Anza Electric Cooperative, </w:t>
      </w:r>
      <w:r w:rsidR="0004343F" w:rsidRPr="007375A7">
        <w:t>Plumas-Sierra</w:t>
      </w:r>
      <w:r w:rsidR="0004343F" w:rsidRPr="00FA19F3">
        <w:rPr>
          <w:rFonts w:ascii="Palatino Linotype" w:hAnsi="Palatino Linotype"/>
        </w:rPr>
        <w:t xml:space="preserve"> </w:t>
      </w:r>
      <w:r w:rsidR="0004343F" w:rsidRPr="007375A7">
        <w:t xml:space="preserve">Rural Electric Cooperative, </w:t>
      </w:r>
      <w:r w:rsidR="00F82C3B" w:rsidRPr="007375A7">
        <w:t xml:space="preserve">Surprise Valley Electrification Corporation, </w:t>
      </w:r>
      <w:r w:rsidR="0004343F" w:rsidRPr="007375A7">
        <w:t xml:space="preserve">and </w:t>
      </w:r>
      <w:r w:rsidR="00F82C3B" w:rsidRPr="007375A7">
        <w:t>Valley Electric Association</w:t>
      </w:r>
      <w:r w:rsidRPr="007375A7">
        <w:t xml:space="preserve">.  </w:t>
      </w:r>
    </w:p>
    <w:p w14:paraId="482EA6A9" w14:textId="77777777" w:rsidR="0097193B" w:rsidRPr="007375A7" w:rsidRDefault="0097193B" w:rsidP="0041235E">
      <w:pPr>
        <w:pStyle w:val="num1"/>
        <w:numPr>
          <w:ilvl w:val="0"/>
          <w:numId w:val="3"/>
        </w:numPr>
      </w:pPr>
      <w:r w:rsidRPr="007375A7">
        <w:t>This proceeding shall remain open so that the Commission may address the issues presented in Phase II of this proceeding.</w:t>
      </w:r>
    </w:p>
    <w:p w14:paraId="40BC7A09" w14:textId="77777777" w:rsidR="0097193B" w:rsidRPr="007375A7" w:rsidRDefault="0097193B" w:rsidP="0097193B">
      <w:pPr>
        <w:pStyle w:val="standard"/>
      </w:pPr>
      <w:r w:rsidRPr="007375A7">
        <w:t>This order is effective today.</w:t>
      </w:r>
    </w:p>
    <w:p w14:paraId="429C8865" w14:textId="002D1D86" w:rsidR="0097193B" w:rsidRDefault="0097193B" w:rsidP="00C02C73">
      <w:pPr>
        <w:pStyle w:val="standard"/>
        <w:tabs>
          <w:tab w:val="left" w:pos="5040"/>
        </w:tabs>
      </w:pPr>
      <w:r w:rsidRPr="007375A7">
        <w:t>Dated</w:t>
      </w:r>
      <w:r w:rsidR="00403A39">
        <w:t xml:space="preserve"> January 10, 2019</w:t>
      </w:r>
      <w:r w:rsidRPr="007375A7">
        <w:t>, at San Francisco, California</w:t>
      </w:r>
      <w:bookmarkEnd w:id="54"/>
      <w:r w:rsidR="00403A39">
        <w:t>.</w:t>
      </w:r>
    </w:p>
    <w:p w14:paraId="5DD25859" w14:textId="699430C9" w:rsidR="00403A39" w:rsidRDefault="00403A39" w:rsidP="00C02C73">
      <w:pPr>
        <w:pStyle w:val="standard"/>
        <w:tabs>
          <w:tab w:val="left" w:pos="5040"/>
        </w:tabs>
      </w:pPr>
    </w:p>
    <w:p w14:paraId="6DE1707C" w14:textId="77777777" w:rsidR="00403A39" w:rsidRDefault="00403A39" w:rsidP="00403A39">
      <w:pPr>
        <w:autoSpaceDE w:val="0"/>
        <w:autoSpaceDN w:val="0"/>
        <w:adjustRightInd w:val="0"/>
        <w:ind w:left="4320"/>
        <w:jc w:val="both"/>
        <w:rPr>
          <w:rFonts w:cs="Palatino"/>
          <w:szCs w:val="26"/>
        </w:rPr>
      </w:pPr>
      <w:r w:rsidRPr="008B63F2">
        <w:rPr>
          <w:rFonts w:cs="Courier New"/>
          <w:szCs w:val="26"/>
        </w:rPr>
        <w:t>MICHAEL PICKER</w:t>
      </w:r>
    </w:p>
    <w:p w14:paraId="7CA527CD" w14:textId="77777777" w:rsidR="00403A39" w:rsidRDefault="00403A39" w:rsidP="00403A39">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66F4E3D3" w14:textId="77777777" w:rsidR="00403A39" w:rsidRDefault="00403A39" w:rsidP="00403A39">
      <w:pPr>
        <w:autoSpaceDE w:val="0"/>
        <w:autoSpaceDN w:val="0"/>
        <w:adjustRightInd w:val="0"/>
        <w:ind w:left="4320"/>
        <w:jc w:val="both"/>
        <w:rPr>
          <w:rFonts w:cs="Courier New"/>
          <w:szCs w:val="26"/>
        </w:rPr>
      </w:pPr>
      <w:r>
        <w:rPr>
          <w:rFonts w:cs="Courier New"/>
          <w:szCs w:val="26"/>
        </w:rPr>
        <w:t>LIANE M. RANDOLPH</w:t>
      </w:r>
    </w:p>
    <w:p w14:paraId="5BD4F556" w14:textId="77777777" w:rsidR="00403A39" w:rsidRDefault="00403A39" w:rsidP="00403A39">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14:paraId="13D4BC5C" w14:textId="77777777" w:rsidR="00403A39" w:rsidRPr="00793B6D" w:rsidRDefault="00403A39" w:rsidP="00403A39">
      <w:pPr>
        <w:autoSpaceDE w:val="0"/>
        <w:autoSpaceDN w:val="0"/>
        <w:adjustRightInd w:val="0"/>
        <w:ind w:left="4320"/>
        <w:jc w:val="both"/>
        <w:rPr>
          <w:rFonts w:cs="Courier New"/>
          <w:szCs w:val="26"/>
        </w:rPr>
      </w:pPr>
      <w:r>
        <w:rPr>
          <w:sz w:val="28"/>
          <w:szCs w:val="28"/>
        </w:rPr>
        <w:t>CLIFFORD RECHTSCHAFFEN</w:t>
      </w:r>
    </w:p>
    <w:p w14:paraId="634AE046" w14:textId="77777777" w:rsidR="00403A39" w:rsidRDefault="00403A39" w:rsidP="00403A39">
      <w:pPr>
        <w:autoSpaceDE w:val="0"/>
        <w:autoSpaceDN w:val="0"/>
        <w:adjustRightInd w:val="0"/>
        <w:ind w:left="4320" w:firstLine="720"/>
        <w:jc w:val="both"/>
        <w:rPr>
          <w:rFonts w:cs="Palatino"/>
          <w:szCs w:val="26"/>
        </w:rPr>
      </w:pPr>
      <w:r>
        <w:rPr>
          <w:rFonts w:cs="Palatino"/>
          <w:szCs w:val="26"/>
        </w:rPr>
        <w:t xml:space="preserve">                 Commissioners</w:t>
      </w:r>
    </w:p>
    <w:p w14:paraId="7520912B" w14:textId="77777777" w:rsidR="00403A39" w:rsidRDefault="00403A39" w:rsidP="00C02C73">
      <w:pPr>
        <w:pStyle w:val="standard"/>
        <w:tabs>
          <w:tab w:val="left" w:pos="5040"/>
        </w:tabs>
      </w:pPr>
    </w:p>
    <w:p w14:paraId="0FB75059" w14:textId="06922CEB" w:rsidR="00403A39" w:rsidRDefault="00403A39" w:rsidP="00C02C73">
      <w:pPr>
        <w:pStyle w:val="standard"/>
        <w:tabs>
          <w:tab w:val="left" w:pos="5040"/>
        </w:tabs>
        <w:rPr>
          <w:b/>
          <w:sz w:val="2"/>
          <w:szCs w:val="2"/>
        </w:rPr>
      </w:pPr>
    </w:p>
    <w:p w14:paraId="30D1EAE5" w14:textId="77777777" w:rsidR="00403A39" w:rsidRPr="00C12878" w:rsidRDefault="00403A39" w:rsidP="00C02C73">
      <w:pPr>
        <w:pStyle w:val="standard"/>
        <w:tabs>
          <w:tab w:val="left" w:pos="5040"/>
        </w:tabs>
        <w:rPr>
          <w:b/>
          <w:sz w:val="2"/>
          <w:szCs w:val="2"/>
        </w:rPr>
      </w:pPr>
    </w:p>
    <w:sectPr w:rsidR="00403A39" w:rsidRPr="00C12878" w:rsidSect="002F4B64">
      <w:headerReference w:type="default" r:id="rId19"/>
      <w:footerReference w:type="default" r:id="rId20"/>
      <w:headerReference w:type="first" r:id="rId21"/>
      <w:footerReference w:type="first" r:id="rId22"/>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57906" w14:textId="77777777" w:rsidR="006C48A9" w:rsidRDefault="006C48A9">
      <w:r>
        <w:separator/>
      </w:r>
    </w:p>
  </w:endnote>
  <w:endnote w:type="continuationSeparator" w:id="0">
    <w:p w14:paraId="100AE499" w14:textId="77777777" w:rsidR="006C48A9" w:rsidRDefault="006C48A9">
      <w:r>
        <w:continuationSeparator/>
      </w:r>
    </w:p>
  </w:endnote>
  <w:endnote w:type="continuationNotice" w:id="1">
    <w:p w14:paraId="7FEFD04F" w14:textId="77777777" w:rsidR="006C48A9" w:rsidRDefault="006C4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variable"/>
    <w:sig w:usb0="00000003"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2534" w14:textId="77777777" w:rsidR="0002283C" w:rsidRDefault="0002283C">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2256" w14:textId="1F3D5BE4" w:rsidR="0002283C" w:rsidRDefault="0002283C">
    <w:pPr>
      <w:pStyle w:val="Footer"/>
      <w:jc w:val="left"/>
      <w:rPr>
        <w:rStyle w:val="PageNumber"/>
        <w:sz w:val="24"/>
        <w:szCs w:val="24"/>
      </w:rPr>
    </w:pPr>
    <w:r>
      <w:rPr>
        <w:rFonts w:ascii="Tahoma" w:hAnsi="Tahoma" w:cs="Tahoma"/>
        <w:sz w:val="17"/>
        <w:szCs w:val="17"/>
      </w:rPr>
      <w:t>260335905</w:t>
    </w: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96C93">
      <w:rPr>
        <w:rStyle w:val="PageNumber"/>
        <w:noProof/>
        <w:sz w:val="24"/>
        <w:szCs w:val="24"/>
      </w:rPr>
      <w:t>1</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FC02" w14:textId="3F77D800" w:rsidR="0002283C" w:rsidRDefault="0002283C">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96C93">
      <w:rPr>
        <w:rStyle w:val="PageNumber"/>
        <w:noProof/>
        <w:sz w:val="24"/>
        <w:szCs w:val="24"/>
      </w:rPr>
      <w:t>ii</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1CC7" w14:textId="7DF9DB8D" w:rsidR="0002283C" w:rsidRDefault="0002283C">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96C93">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65D0" w14:textId="77777777" w:rsidR="00C02C73" w:rsidRDefault="00C02C73">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96C93">
      <w:rPr>
        <w:rStyle w:val="PageNumber"/>
        <w:noProof/>
        <w:sz w:val="24"/>
        <w:szCs w:val="24"/>
      </w:rPr>
      <w:t>56</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69D3" w14:textId="77777777" w:rsidR="0002283C" w:rsidRDefault="0002283C">
    <w:pPr>
      <w:pStyle w:val="Footer"/>
      <w:jc w:val="left"/>
      <w:rPr>
        <w:rStyle w:val="PageNumber"/>
        <w:sz w:val="24"/>
        <w:szCs w:val="24"/>
      </w:rPr>
    </w:pPr>
    <w:r>
      <w:rPr>
        <w:rStyle w:val="PageNumbe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20A4C" w14:textId="77777777" w:rsidR="006C48A9" w:rsidRDefault="006C48A9">
      <w:r>
        <w:separator/>
      </w:r>
    </w:p>
  </w:footnote>
  <w:footnote w:type="continuationSeparator" w:id="0">
    <w:p w14:paraId="21B13F11" w14:textId="77777777" w:rsidR="006C48A9" w:rsidRDefault="006C48A9">
      <w:r>
        <w:continuationSeparator/>
      </w:r>
    </w:p>
  </w:footnote>
  <w:footnote w:type="continuationNotice" w:id="1">
    <w:p w14:paraId="047209F0" w14:textId="77777777" w:rsidR="006C48A9" w:rsidRDefault="006C48A9">
      <w:pPr>
        <w:rPr>
          <w:sz w:val="22"/>
        </w:rPr>
      </w:pPr>
    </w:p>
    <w:p w14:paraId="25F3EFE4" w14:textId="77777777" w:rsidR="006C48A9" w:rsidRDefault="006C48A9">
      <w:pPr>
        <w:jc w:val="right"/>
        <w:rPr>
          <w:sz w:val="22"/>
        </w:rPr>
      </w:pPr>
      <w:r>
        <w:rPr>
          <w:i/>
          <w:sz w:val="22"/>
        </w:rPr>
        <w:t>Footnote continued on next page</w:t>
      </w:r>
    </w:p>
  </w:footnote>
  <w:footnote w:id="2">
    <w:p w14:paraId="0A29595F" w14:textId="77777777" w:rsidR="0002283C" w:rsidRPr="00FF48AA" w:rsidRDefault="0002283C" w:rsidP="00FF48AA">
      <w:pPr>
        <w:pStyle w:val="FootnoteText"/>
        <w:spacing w:after="120"/>
        <w:rPr>
          <w:sz w:val="22"/>
          <w:szCs w:val="22"/>
        </w:rPr>
      </w:pPr>
      <w:r w:rsidRPr="003653C5">
        <w:rPr>
          <w:rStyle w:val="FootnoteReference"/>
        </w:rPr>
        <w:footnoteRef/>
      </w:r>
      <w:r>
        <w:t xml:space="preserve">  </w:t>
      </w:r>
      <w:r w:rsidRPr="00FF48AA">
        <w:rPr>
          <w:sz w:val="22"/>
          <w:szCs w:val="22"/>
        </w:rPr>
        <w:t>PG&amp;E Metcalf Root Cause Analysis Summary Report.  November 21, 2014, at 2.</w:t>
      </w:r>
    </w:p>
  </w:footnote>
  <w:footnote w:id="3">
    <w:p w14:paraId="6F563A58" w14:textId="77777777" w:rsidR="0002283C" w:rsidRPr="009824E7" w:rsidRDefault="0002283C" w:rsidP="009824E7">
      <w:pPr>
        <w:pStyle w:val="FootnoteText"/>
        <w:spacing w:after="120"/>
        <w:rPr>
          <w:sz w:val="22"/>
          <w:szCs w:val="22"/>
        </w:rPr>
      </w:pPr>
      <w:r>
        <w:rPr>
          <w:rStyle w:val="FootnoteReference"/>
        </w:rPr>
        <w:footnoteRef/>
      </w:r>
      <w:r>
        <w:t xml:space="preserve">  </w:t>
      </w:r>
      <w:r w:rsidRPr="009824E7">
        <w:rPr>
          <w:sz w:val="22"/>
          <w:szCs w:val="22"/>
        </w:rPr>
        <w:t>This decision addresses only Phase I issues.  A decision addressing Phase II issues will be issued once Phase II of this proceeding has concluded.</w:t>
      </w:r>
    </w:p>
  </w:footnote>
  <w:footnote w:id="4">
    <w:p w14:paraId="5A0941F2" w14:textId="77777777" w:rsidR="0002283C" w:rsidRPr="00C03E75" w:rsidRDefault="0002283C" w:rsidP="009824E7">
      <w:pPr>
        <w:spacing w:after="120"/>
        <w:rPr>
          <w:sz w:val="22"/>
        </w:rPr>
      </w:pPr>
      <w:r w:rsidRPr="009824E7">
        <w:rPr>
          <w:rStyle w:val="FootnoteReference"/>
        </w:rPr>
        <w:footnoteRef/>
      </w:r>
      <w:r>
        <w:rPr>
          <w:sz w:val="22"/>
        </w:rPr>
        <w:t xml:space="preserve"> </w:t>
      </w:r>
      <w:r w:rsidRPr="00C03E75">
        <w:rPr>
          <w:sz w:val="22"/>
        </w:rPr>
        <w:t xml:space="preserve"> Section 364 was subsequently amended by SB 697, effective January 1, 2016.  The subsequent changes to §</w:t>
      </w:r>
      <w:r>
        <w:rPr>
          <w:sz w:val="22"/>
        </w:rPr>
        <w:t xml:space="preserve"> </w:t>
      </w:r>
      <w:r w:rsidRPr="00C03E75">
        <w:rPr>
          <w:sz w:val="22"/>
        </w:rPr>
        <w:t xml:space="preserve">364 after the passage of SB 699 can be found at the following link: </w:t>
      </w:r>
      <w:hyperlink r:id="rId1" w:history="1">
        <w:r w:rsidRPr="00C03E75">
          <w:rPr>
            <w:sz w:val="22"/>
          </w:rPr>
          <w:t>http://leginfo.legislature.ca.gov/faces/billCompareClient.xhtml?bill_id=201520160SB697</w:t>
        </w:r>
      </w:hyperlink>
      <w:r>
        <w:rPr>
          <w:sz w:val="22"/>
        </w:rPr>
        <w:t xml:space="preserve">. </w:t>
      </w:r>
      <w:r w:rsidRPr="00C03E75">
        <w:rPr>
          <w:sz w:val="22"/>
        </w:rPr>
        <w:t xml:space="preserve"> </w:t>
      </w:r>
      <w:r>
        <w:rPr>
          <w:sz w:val="22"/>
        </w:rPr>
        <w:t xml:space="preserve"> Although it might appear that the annual reporting requirement has been deleted from § 364, as a result of SB 697, this language has simply been relocated to § 590.</w:t>
      </w:r>
    </w:p>
    <w:p w14:paraId="3033C40C" w14:textId="77777777" w:rsidR="0002283C" w:rsidRDefault="0002283C" w:rsidP="0097193B">
      <w:pPr>
        <w:pStyle w:val="FootnoteText"/>
      </w:pPr>
    </w:p>
  </w:footnote>
  <w:footnote w:id="5">
    <w:p w14:paraId="4CF4BFC0" w14:textId="22485602" w:rsidR="0002283C" w:rsidRPr="00F52D8C" w:rsidRDefault="0002283C" w:rsidP="000158EE">
      <w:pPr>
        <w:pStyle w:val="FootnoteText"/>
        <w:spacing w:after="120"/>
        <w:rPr>
          <w:sz w:val="22"/>
          <w:szCs w:val="22"/>
        </w:rPr>
      </w:pPr>
      <w:r w:rsidRPr="00F52D8C">
        <w:rPr>
          <w:rStyle w:val="FootnoteReference"/>
          <w:sz w:val="22"/>
          <w:szCs w:val="22"/>
        </w:rPr>
        <w:footnoteRef/>
      </w:r>
      <w:r>
        <w:rPr>
          <w:sz w:val="22"/>
          <w:szCs w:val="22"/>
        </w:rPr>
        <w:t xml:space="preserve"> </w:t>
      </w:r>
      <w:r w:rsidRPr="00F52D8C">
        <w:rPr>
          <w:sz w:val="22"/>
          <w:szCs w:val="22"/>
        </w:rPr>
        <w:t xml:space="preserve"> </w:t>
      </w:r>
      <w:r>
        <w:rPr>
          <w:sz w:val="22"/>
          <w:szCs w:val="22"/>
        </w:rPr>
        <w:t xml:space="preserve">Despite the sensitive nature of the documents involved, we remind the utilities that even without the compulsion of a subpoena, the Commission may under Pub. Util. Code Sections 313, 314, 314.5, 315, 582, 584, 591, 701, 702, 1794 and 1795, compel information from a public utility, and that Commission staff has the general investigatory authority of the Commission.  Specifically, we remind the utilities that pursuant to these provisions the Commission may direct the utilities to provide the requested information in a place and form of the Commission’s choosing.  Any confidential or sensitive information should be marked as confidential pursuant to Section 583, which mandates the non-disclosure of such information. and in accordance with the process for declaring exemptions from public disclosure per General Order 66 D adopted by D.17-09-023 in R.14-11-001, and revised by Assigned Commissioner’s Ruling of September 28, 2018. </w:t>
      </w:r>
    </w:p>
  </w:footnote>
  <w:footnote w:id="6">
    <w:p w14:paraId="646CF5D9" w14:textId="77777777" w:rsidR="0002283C" w:rsidRPr="00E5373D" w:rsidRDefault="0002283C" w:rsidP="00E5373D">
      <w:pPr>
        <w:pStyle w:val="FootnoteText"/>
        <w:spacing w:after="120"/>
        <w:rPr>
          <w:sz w:val="22"/>
          <w:szCs w:val="22"/>
        </w:rPr>
      </w:pPr>
      <w:r>
        <w:rPr>
          <w:rStyle w:val="FootnoteReference"/>
        </w:rPr>
        <w:footnoteRef/>
      </w:r>
      <w:r>
        <w:t xml:space="preserve">  </w:t>
      </w:r>
      <w:r w:rsidRPr="00E5373D">
        <w:rPr>
          <w:sz w:val="22"/>
          <w:szCs w:val="22"/>
        </w:rPr>
        <w:t>The parties to the Joint Utility Proposal are:  Bear Valley Electric Service, California Municipal Utilities Association (CMUA), Los Angeles Department of Water &amp; Power (LADWP), Liberty CalPeco, National Rural Electric Cooperative Association (NRECA), PacifiCorp, Pacific Gas &amp; Electric Company (PG&amp;E) Sacramento Municipal Utility District (SMUD), San Diego Gas &amp; Electric Company (SDG&amp;E) and Southern California Edison Company (SCE).</w:t>
      </w:r>
    </w:p>
  </w:footnote>
  <w:footnote w:id="7">
    <w:p w14:paraId="43208283" w14:textId="77777777" w:rsidR="0002283C" w:rsidRPr="00E5373D" w:rsidRDefault="0002283C" w:rsidP="00A9524B">
      <w:pPr>
        <w:pStyle w:val="FootnoteText"/>
        <w:spacing w:after="120"/>
        <w:rPr>
          <w:sz w:val="22"/>
          <w:szCs w:val="22"/>
        </w:rPr>
      </w:pPr>
      <w:r>
        <w:rPr>
          <w:rStyle w:val="FootnoteReference"/>
        </w:rPr>
        <w:footnoteRef/>
      </w:r>
      <w:r>
        <w:t xml:space="preserve">   </w:t>
      </w:r>
      <w:r w:rsidRPr="00E5373D">
        <w:rPr>
          <w:sz w:val="22"/>
          <w:szCs w:val="22"/>
        </w:rPr>
        <w:t>Senate Bill</w:t>
      </w:r>
      <w:r>
        <w:rPr>
          <w:sz w:val="22"/>
          <w:szCs w:val="22"/>
        </w:rPr>
        <w:t xml:space="preserve"> (SB) </w:t>
      </w:r>
      <w:r w:rsidRPr="00E5373D">
        <w:rPr>
          <w:sz w:val="22"/>
          <w:szCs w:val="22"/>
        </w:rPr>
        <w:t>854 (Stats. 2018, ch. 51) amended Pub. Util. Code Section 309.5(a) so that the Office of Ratepayer Advocates is now named the Public Advocate’s Office of the Public Utilities Commission. Because the pleadings in this case were primarily filed under the name Office of Ratepayer Advocates, we will refer to this party as ORA in this decision.</w:t>
      </w:r>
    </w:p>
  </w:footnote>
  <w:footnote w:id="8">
    <w:p w14:paraId="513BBF05" w14:textId="77777777" w:rsidR="0002283C" w:rsidRDefault="0002283C">
      <w:pPr>
        <w:pStyle w:val="FootnoteText"/>
      </w:pPr>
      <w:r>
        <w:rPr>
          <w:rStyle w:val="FootnoteReference"/>
        </w:rPr>
        <w:footnoteRef/>
      </w:r>
      <w:r>
        <w:t xml:space="preserve"> In this proceeding, SED Advocacy is represented by the Electric Safety and Reliability Branch (ESRB).</w:t>
      </w:r>
    </w:p>
  </w:footnote>
  <w:footnote w:id="9">
    <w:p w14:paraId="7C1BFE13" w14:textId="77777777" w:rsidR="0002283C" w:rsidRPr="0069239C" w:rsidRDefault="0002283C" w:rsidP="0069239C">
      <w:pPr>
        <w:pStyle w:val="FootnoteText"/>
        <w:spacing w:after="120"/>
        <w:rPr>
          <w:sz w:val="22"/>
          <w:szCs w:val="22"/>
        </w:rPr>
      </w:pPr>
      <w:r>
        <w:rPr>
          <w:rStyle w:val="FootnoteReference"/>
        </w:rPr>
        <w:footnoteRef/>
      </w:r>
      <w:r>
        <w:t xml:space="preserve">  </w:t>
      </w:r>
      <w:r w:rsidRPr="0069239C">
        <w:rPr>
          <w:sz w:val="22"/>
          <w:szCs w:val="22"/>
        </w:rPr>
        <w:t xml:space="preserve">SED RASA is not a party in this proceeding but provides advisory support to the ALJ and Assigned Commissioner. </w:t>
      </w:r>
    </w:p>
  </w:footnote>
  <w:footnote w:id="10">
    <w:p w14:paraId="58EF283F" w14:textId="77777777" w:rsidR="0002283C" w:rsidRPr="0069239C" w:rsidRDefault="0002283C" w:rsidP="0069239C">
      <w:pPr>
        <w:pStyle w:val="FootnoteText"/>
        <w:spacing w:after="120"/>
        <w:rPr>
          <w:sz w:val="22"/>
          <w:szCs w:val="22"/>
        </w:rPr>
      </w:pPr>
      <w:r>
        <w:rPr>
          <w:rStyle w:val="FootnoteReference"/>
        </w:rPr>
        <w:footnoteRef/>
      </w:r>
      <w:r>
        <w:t xml:space="preserve">  </w:t>
      </w:r>
      <w:r w:rsidRPr="0069239C">
        <w:rPr>
          <w:i/>
          <w:sz w:val="22"/>
          <w:szCs w:val="22"/>
        </w:rPr>
        <w:t>Safety &amp; Enforcement Division’s Risk Assessment &amp; Safety Advisory (RASA) section evaluation of the Joint Utility Proposal and Recommendations for Consideration</w:t>
      </w:r>
      <w:r w:rsidRPr="0069239C">
        <w:rPr>
          <w:sz w:val="22"/>
          <w:szCs w:val="22"/>
        </w:rPr>
        <w:t xml:space="preserve"> available at  http://docs.cpuc.ca.gov/PublishedDocs/Efile/G000/M204/K457/204457381.PDF</w:t>
      </w:r>
    </w:p>
  </w:footnote>
  <w:footnote w:id="11">
    <w:p w14:paraId="69E7D0C6" w14:textId="77777777" w:rsidR="0002283C" w:rsidRPr="0069239C" w:rsidRDefault="0002283C" w:rsidP="0069239C">
      <w:pPr>
        <w:pStyle w:val="FootnoteText"/>
        <w:spacing w:after="120"/>
        <w:rPr>
          <w:sz w:val="22"/>
          <w:szCs w:val="22"/>
        </w:rPr>
      </w:pPr>
      <w:r>
        <w:rPr>
          <w:rStyle w:val="FootnoteReference"/>
        </w:rPr>
        <w:footnoteRef/>
      </w:r>
      <w:r>
        <w:t xml:space="preserve">  </w:t>
      </w:r>
      <w:hyperlink r:id="rId2" w:history="1">
        <w:r w:rsidRPr="00E57D91">
          <w:rPr>
            <w:rStyle w:val="Hyperlink"/>
            <w:sz w:val="22"/>
            <w:szCs w:val="22"/>
          </w:rPr>
          <w:t>https://standards.ieee.org/standard/1402-2000.html</w:t>
        </w:r>
      </w:hyperlink>
      <w:r w:rsidRPr="0069239C">
        <w:rPr>
          <w:sz w:val="22"/>
          <w:szCs w:val="22"/>
        </w:rPr>
        <w:t xml:space="preserve">. </w:t>
      </w:r>
    </w:p>
  </w:footnote>
  <w:footnote w:id="12">
    <w:p w14:paraId="7D413E9A" w14:textId="77777777" w:rsidR="0002283C" w:rsidRPr="00887A7E" w:rsidRDefault="0002283C" w:rsidP="00887A7E">
      <w:pPr>
        <w:pStyle w:val="FootnoteText"/>
        <w:spacing w:after="120"/>
        <w:rPr>
          <w:sz w:val="22"/>
          <w:szCs w:val="22"/>
        </w:rPr>
      </w:pPr>
      <w:r>
        <w:rPr>
          <w:rStyle w:val="FootnoteReference"/>
        </w:rPr>
        <w:footnoteRef/>
      </w:r>
      <w:r>
        <w:t xml:space="preserve">  </w:t>
      </w:r>
      <w:hyperlink r:id="rId3" w:history="1">
        <w:r w:rsidRPr="00887A7E">
          <w:rPr>
            <w:rStyle w:val="Hyperlink"/>
            <w:sz w:val="22"/>
            <w:szCs w:val="22"/>
          </w:rPr>
          <w:t>https://www.dhs.gov/publication/niac-framework-establishing-resilience-goals-final-report</w:t>
        </w:r>
      </w:hyperlink>
      <w:r w:rsidRPr="00887A7E">
        <w:rPr>
          <w:sz w:val="22"/>
          <w:szCs w:val="22"/>
        </w:rPr>
        <w:t xml:space="preserve">. </w:t>
      </w:r>
    </w:p>
  </w:footnote>
  <w:footnote w:id="13">
    <w:p w14:paraId="4B0B91C1" w14:textId="77777777" w:rsidR="0002283C" w:rsidRPr="00887A7E" w:rsidRDefault="0002283C" w:rsidP="00887A7E">
      <w:pPr>
        <w:pStyle w:val="FootnoteText"/>
        <w:spacing w:after="120"/>
        <w:rPr>
          <w:sz w:val="22"/>
          <w:szCs w:val="22"/>
        </w:rPr>
      </w:pPr>
      <w:r w:rsidRPr="00887A7E">
        <w:rPr>
          <w:rStyle w:val="FootnoteReference"/>
          <w:sz w:val="22"/>
          <w:szCs w:val="22"/>
        </w:rPr>
        <w:footnoteRef/>
      </w:r>
      <w:r w:rsidRPr="00887A7E">
        <w:rPr>
          <w:sz w:val="22"/>
          <w:szCs w:val="22"/>
        </w:rPr>
        <w:t xml:space="preserve">  </w:t>
      </w:r>
      <w:hyperlink r:id="rId4" w:history="1">
        <w:r w:rsidRPr="00887A7E">
          <w:rPr>
            <w:rStyle w:val="Hyperlink"/>
            <w:sz w:val="22"/>
            <w:szCs w:val="22"/>
          </w:rPr>
          <w:t>https://obamawhitehouse.archives.gov/the-press-office/2013/02/12/presidential-policy-directive-critical-infrastructure-security-and-resil</w:t>
        </w:r>
      </w:hyperlink>
      <w:r w:rsidRPr="00887A7E">
        <w:rPr>
          <w:sz w:val="22"/>
          <w:szCs w:val="22"/>
        </w:rPr>
        <w:t xml:space="preserve">.  </w:t>
      </w:r>
    </w:p>
  </w:footnote>
  <w:footnote w:id="14">
    <w:p w14:paraId="15E3840A" w14:textId="77777777" w:rsidR="0002283C" w:rsidRPr="00066B10" w:rsidRDefault="0002283C" w:rsidP="00066B10">
      <w:pPr>
        <w:pStyle w:val="FootnoteText"/>
        <w:spacing w:after="120"/>
        <w:rPr>
          <w:sz w:val="22"/>
          <w:szCs w:val="22"/>
        </w:rPr>
      </w:pPr>
      <w:r>
        <w:rPr>
          <w:rStyle w:val="FootnoteReference"/>
        </w:rPr>
        <w:footnoteRef/>
      </w:r>
      <w:r>
        <w:t xml:space="preserve">  </w:t>
      </w:r>
      <w:r w:rsidRPr="00066B10">
        <w:rPr>
          <w:i/>
          <w:sz w:val="22"/>
          <w:szCs w:val="22"/>
        </w:rPr>
        <w:t>Id.</w:t>
      </w:r>
      <w:r w:rsidRPr="00066B10">
        <w:rPr>
          <w:sz w:val="22"/>
          <w:szCs w:val="22"/>
        </w:rPr>
        <w:t xml:space="preserve"> At 8.</w:t>
      </w:r>
    </w:p>
  </w:footnote>
  <w:footnote w:id="15">
    <w:p w14:paraId="544D2ED3" w14:textId="77777777" w:rsidR="0002283C" w:rsidRPr="00066B10" w:rsidRDefault="0002283C" w:rsidP="00066B10">
      <w:pPr>
        <w:pStyle w:val="FootnoteText"/>
        <w:spacing w:after="120"/>
        <w:rPr>
          <w:rFonts w:cs="Arial"/>
          <w:sz w:val="22"/>
          <w:szCs w:val="22"/>
        </w:rPr>
      </w:pPr>
      <w:r w:rsidRPr="00393752">
        <w:rPr>
          <w:rStyle w:val="FootnoteReference"/>
          <w:rFonts w:cs="Arial"/>
          <w:sz w:val="22"/>
          <w:szCs w:val="22"/>
        </w:rPr>
        <w:footnoteRef/>
      </w:r>
      <w:r w:rsidRPr="00C03E75">
        <w:rPr>
          <w:rFonts w:cs="Arial"/>
          <w:szCs w:val="22"/>
        </w:rPr>
        <w:t xml:space="preserve"> </w:t>
      </w:r>
      <w:r>
        <w:rPr>
          <w:rFonts w:cs="Arial"/>
          <w:szCs w:val="22"/>
        </w:rPr>
        <w:t xml:space="preserve"> </w:t>
      </w:r>
      <w:r w:rsidRPr="00066B10">
        <w:rPr>
          <w:rFonts w:cs="Arial"/>
          <w:sz w:val="22"/>
          <w:szCs w:val="22"/>
        </w:rPr>
        <w:t xml:space="preserve">Opening Brief of CMUA, LADWP, NRECA and SMUD at 10. </w:t>
      </w:r>
    </w:p>
  </w:footnote>
  <w:footnote w:id="16">
    <w:p w14:paraId="300A4186" w14:textId="77777777" w:rsidR="0002283C" w:rsidRPr="00A233A6" w:rsidRDefault="0002283C" w:rsidP="00A233A6">
      <w:pPr>
        <w:pStyle w:val="FootnoteText"/>
        <w:spacing w:after="120"/>
        <w:rPr>
          <w:sz w:val="22"/>
          <w:szCs w:val="22"/>
        </w:rPr>
      </w:pPr>
      <w:r>
        <w:rPr>
          <w:rStyle w:val="FootnoteReference"/>
        </w:rPr>
        <w:footnoteRef/>
      </w:r>
      <w:r>
        <w:t xml:space="preserve">  </w:t>
      </w:r>
      <w:r w:rsidRPr="00A233A6">
        <w:rPr>
          <w:i/>
          <w:sz w:val="22"/>
          <w:szCs w:val="22"/>
        </w:rPr>
        <w:t>Id.</w:t>
      </w:r>
      <w:r w:rsidRPr="00A233A6">
        <w:rPr>
          <w:sz w:val="22"/>
          <w:szCs w:val="22"/>
        </w:rPr>
        <w:t xml:space="preserve"> At 13.</w:t>
      </w:r>
    </w:p>
  </w:footnote>
  <w:footnote w:id="17">
    <w:p w14:paraId="14808899" w14:textId="77777777" w:rsidR="0002283C" w:rsidRPr="00A233A6" w:rsidRDefault="0002283C" w:rsidP="00A233A6">
      <w:pPr>
        <w:pStyle w:val="FootnoteText"/>
        <w:spacing w:after="120"/>
        <w:rPr>
          <w:rFonts w:cs="Arial"/>
          <w:sz w:val="22"/>
          <w:szCs w:val="22"/>
        </w:rPr>
      </w:pPr>
      <w:r w:rsidRPr="003653C5">
        <w:rPr>
          <w:rStyle w:val="FootnoteReference"/>
          <w:rFonts w:cs="Arial"/>
        </w:rPr>
        <w:footnoteRef/>
      </w:r>
      <w:r>
        <w:rPr>
          <w:rFonts w:cs="Arial"/>
          <w:sz w:val="22"/>
          <w:szCs w:val="22"/>
        </w:rPr>
        <w:t xml:space="preserve">  </w:t>
      </w:r>
      <w:r w:rsidRPr="00A233A6">
        <w:rPr>
          <w:rFonts w:cs="Arial"/>
          <w:sz w:val="22"/>
          <w:szCs w:val="22"/>
        </w:rPr>
        <w:t xml:space="preserve">LADWP Opening Comments, July 22, 2015 at 3-5. </w:t>
      </w:r>
    </w:p>
  </w:footnote>
  <w:footnote w:id="18">
    <w:p w14:paraId="22052409" w14:textId="77777777" w:rsidR="0002283C" w:rsidRPr="00A233A6" w:rsidRDefault="0002283C" w:rsidP="00A233A6">
      <w:pPr>
        <w:pStyle w:val="FootnoteText"/>
        <w:spacing w:after="120"/>
        <w:rPr>
          <w:sz w:val="22"/>
          <w:szCs w:val="22"/>
        </w:rPr>
      </w:pPr>
      <w:r>
        <w:rPr>
          <w:rStyle w:val="FootnoteReference"/>
        </w:rPr>
        <w:footnoteRef/>
      </w:r>
      <w:r>
        <w:t xml:space="preserve">  </w:t>
      </w:r>
      <w:r w:rsidRPr="00A233A6">
        <w:rPr>
          <w:sz w:val="22"/>
          <w:szCs w:val="22"/>
        </w:rPr>
        <w:t>Joint Parties Opening Brief at 26-27.</w:t>
      </w:r>
    </w:p>
  </w:footnote>
  <w:footnote w:id="19">
    <w:p w14:paraId="3A442790" w14:textId="77777777" w:rsidR="0002283C" w:rsidRPr="00A233A6" w:rsidRDefault="0002283C" w:rsidP="00A233A6">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A233A6">
        <w:rPr>
          <w:rFonts w:cs="Arial"/>
          <w:sz w:val="22"/>
          <w:szCs w:val="22"/>
        </w:rPr>
        <w:t>County of Inyo v. Pub. Util. Comm’n, 26 Cal. 3d 154 (1980) (Tobriner, J.).</w:t>
      </w:r>
    </w:p>
  </w:footnote>
  <w:footnote w:id="20">
    <w:p w14:paraId="63AEA54A" w14:textId="77777777" w:rsidR="0002283C" w:rsidRPr="00421914" w:rsidRDefault="0002283C" w:rsidP="00421914">
      <w:pPr>
        <w:pStyle w:val="FootnoteText"/>
        <w:spacing w:after="120"/>
        <w:rPr>
          <w:rFonts w:cs="Arial"/>
          <w:sz w:val="22"/>
          <w:szCs w:val="22"/>
        </w:rPr>
      </w:pPr>
      <w:r w:rsidRPr="00393752">
        <w:rPr>
          <w:rStyle w:val="FootnoteReference"/>
          <w:rFonts w:cs="Arial"/>
          <w:sz w:val="22"/>
          <w:szCs w:val="22"/>
        </w:rPr>
        <w:footnoteRef/>
      </w:r>
      <w:r w:rsidRPr="00C03E75">
        <w:rPr>
          <w:rFonts w:cs="Arial"/>
          <w:szCs w:val="22"/>
        </w:rPr>
        <w:t xml:space="preserve"> </w:t>
      </w:r>
      <w:r>
        <w:rPr>
          <w:rFonts w:cs="Arial"/>
          <w:szCs w:val="22"/>
        </w:rPr>
        <w:t xml:space="preserve"> </w:t>
      </w:r>
      <w:r w:rsidRPr="00421914">
        <w:rPr>
          <w:rFonts w:cs="Arial"/>
          <w:sz w:val="22"/>
          <w:szCs w:val="22"/>
        </w:rPr>
        <w:t xml:space="preserve">D.98-03-036 at 13. </w:t>
      </w:r>
    </w:p>
  </w:footnote>
  <w:footnote w:id="21">
    <w:p w14:paraId="769A3151" w14:textId="77777777" w:rsidR="0002283C" w:rsidRDefault="0002283C" w:rsidP="00CF202A">
      <w:pPr>
        <w:pStyle w:val="FootnoteText"/>
        <w:spacing w:after="120"/>
      </w:pPr>
      <w:r>
        <w:rPr>
          <w:rStyle w:val="FootnoteReference"/>
        </w:rPr>
        <w:footnoteRef/>
      </w:r>
      <w:r>
        <w:t xml:space="preserve"> </w:t>
      </w:r>
      <w:r w:rsidRPr="00421914">
        <w:rPr>
          <w:rFonts w:cs="Arial"/>
          <w:sz w:val="22"/>
          <w:szCs w:val="22"/>
        </w:rPr>
        <w:t xml:space="preserve">D.98-03-036 at </w:t>
      </w:r>
      <w:r>
        <w:rPr>
          <w:rFonts w:cs="Arial"/>
          <w:sz w:val="22"/>
          <w:szCs w:val="22"/>
        </w:rPr>
        <w:t>8</w:t>
      </w:r>
      <w:r w:rsidRPr="00421914">
        <w:rPr>
          <w:rFonts w:cs="Arial"/>
          <w:sz w:val="22"/>
          <w:szCs w:val="22"/>
        </w:rPr>
        <w:t xml:space="preserve">. </w:t>
      </w:r>
    </w:p>
  </w:footnote>
  <w:footnote w:id="22">
    <w:p w14:paraId="3E07E9E4" w14:textId="77777777" w:rsidR="0002283C" w:rsidRPr="00421914" w:rsidRDefault="0002283C" w:rsidP="00421914">
      <w:pPr>
        <w:pStyle w:val="FootnoteText"/>
        <w:spacing w:after="120"/>
        <w:rPr>
          <w:rFonts w:cs="Arial"/>
          <w:sz w:val="22"/>
          <w:szCs w:val="22"/>
        </w:rPr>
      </w:pPr>
      <w:r w:rsidRPr="00393752">
        <w:rPr>
          <w:rStyle w:val="FootnoteReference"/>
          <w:rFonts w:cs="Arial"/>
          <w:sz w:val="22"/>
          <w:szCs w:val="22"/>
        </w:rPr>
        <w:footnoteRef/>
      </w:r>
      <w:r w:rsidRPr="00C03E75">
        <w:rPr>
          <w:rFonts w:cs="Arial"/>
          <w:szCs w:val="22"/>
        </w:rPr>
        <w:t xml:space="preserve"> </w:t>
      </w:r>
      <w:r>
        <w:rPr>
          <w:rFonts w:cs="Arial"/>
          <w:szCs w:val="22"/>
        </w:rPr>
        <w:t xml:space="preserve"> </w:t>
      </w:r>
      <w:r w:rsidRPr="00421914">
        <w:rPr>
          <w:rFonts w:cs="Arial"/>
          <w:sz w:val="22"/>
          <w:szCs w:val="22"/>
        </w:rPr>
        <w:t>Polk v. City of Los Angeles, 26 Cal. 3d 519 (1945).</w:t>
      </w:r>
    </w:p>
  </w:footnote>
  <w:footnote w:id="23">
    <w:p w14:paraId="50A499C8" w14:textId="77777777" w:rsidR="0002283C" w:rsidRPr="00421914" w:rsidRDefault="0002283C" w:rsidP="00421914">
      <w:pPr>
        <w:pStyle w:val="FootnoteText"/>
        <w:spacing w:after="120"/>
        <w:rPr>
          <w:rFonts w:cs="Arial"/>
          <w:sz w:val="22"/>
          <w:szCs w:val="22"/>
        </w:rPr>
      </w:pPr>
      <w:r w:rsidRPr="00393752">
        <w:rPr>
          <w:rStyle w:val="FootnoteReference"/>
          <w:rFonts w:cs="Arial"/>
          <w:sz w:val="22"/>
          <w:szCs w:val="22"/>
        </w:rPr>
        <w:footnoteRef/>
      </w:r>
      <w:r w:rsidRPr="00C03E75">
        <w:rPr>
          <w:rFonts w:cs="Arial"/>
          <w:szCs w:val="22"/>
        </w:rPr>
        <w:t xml:space="preserve"> </w:t>
      </w:r>
      <w:r>
        <w:rPr>
          <w:rFonts w:cs="Arial"/>
          <w:szCs w:val="22"/>
        </w:rPr>
        <w:t xml:space="preserve"> </w:t>
      </w:r>
      <w:r w:rsidRPr="00421914">
        <w:rPr>
          <w:rFonts w:cs="Arial"/>
          <w:sz w:val="22"/>
          <w:szCs w:val="22"/>
        </w:rPr>
        <w:t>The jurisdictional analysis in D.98-03-036 was written confusingly.</w:t>
      </w:r>
      <w:r>
        <w:rPr>
          <w:rFonts w:cs="Arial"/>
          <w:sz w:val="22"/>
          <w:szCs w:val="22"/>
        </w:rPr>
        <w:t xml:space="preserve"> </w:t>
      </w:r>
      <w:r w:rsidRPr="00421914">
        <w:rPr>
          <w:rFonts w:cs="Arial"/>
          <w:sz w:val="22"/>
          <w:szCs w:val="22"/>
        </w:rPr>
        <w:t xml:space="preserve"> In D.98-07-097, the Commission clarified that the emergency response standards did not apply to POUs but did not explain further. </w:t>
      </w:r>
    </w:p>
  </w:footnote>
  <w:footnote w:id="24">
    <w:p w14:paraId="55AC7236" w14:textId="77777777" w:rsidR="0002283C" w:rsidRPr="00421914" w:rsidRDefault="0002283C" w:rsidP="00421914">
      <w:pPr>
        <w:pStyle w:val="FootnoteText"/>
        <w:spacing w:after="120"/>
        <w:rPr>
          <w:rFonts w:cs="Arial"/>
          <w:sz w:val="22"/>
          <w:szCs w:val="22"/>
        </w:rPr>
      </w:pPr>
      <w:r w:rsidRPr="00393752">
        <w:rPr>
          <w:rStyle w:val="FootnoteReference"/>
          <w:rFonts w:cs="Arial"/>
          <w:sz w:val="22"/>
          <w:szCs w:val="22"/>
        </w:rPr>
        <w:footnoteRef/>
      </w:r>
      <w:r>
        <w:rPr>
          <w:rFonts w:cs="Arial"/>
          <w:szCs w:val="22"/>
        </w:rPr>
        <w:t xml:space="preserve"> </w:t>
      </w:r>
      <w:r w:rsidRPr="00C03E75">
        <w:rPr>
          <w:rFonts w:cs="Arial"/>
          <w:szCs w:val="22"/>
        </w:rPr>
        <w:t xml:space="preserve"> </w:t>
      </w:r>
      <w:r w:rsidRPr="00421914">
        <w:rPr>
          <w:rFonts w:cs="Arial"/>
          <w:sz w:val="22"/>
          <w:szCs w:val="22"/>
        </w:rPr>
        <w:t xml:space="preserve">D.09-08-029 at 8. </w:t>
      </w:r>
    </w:p>
  </w:footnote>
  <w:footnote w:id="25">
    <w:p w14:paraId="53A65250" w14:textId="77777777" w:rsidR="0002283C" w:rsidRPr="00BF381A" w:rsidRDefault="0002283C" w:rsidP="00BF381A">
      <w:pPr>
        <w:pStyle w:val="FootnoteText"/>
        <w:spacing w:after="120"/>
        <w:rPr>
          <w:sz w:val="22"/>
          <w:szCs w:val="22"/>
        </w:rPr>
      </w:pPr>
      <w:r>
        <w:rPr>
          <w:rStyle w:val="FootnoteReference"/>
        </w:rPr>
        <w:footnoteRef/>
      </w:r>
      <w:r>
        <w:t xml:space="preserve">  </w:t>
      </w:r>
      <w:r w:rsidRPr="00BF381A">
        <w:rPr>
          <w:sz w:val="22"/>
          <w:szCs w:val="22"/>
        </w:rPr>
        <w:t>County of Inyo v. Pub. Util. Comm’n, 26 Cal. 3d 154 (1980) (Tobriner, J.).</w:t>
      </w:r>
    </w:p>
  </w:footnote>
  <w:footnote w:id="26">
    <w:p w14:paraId="2EB0B8F4" w14:textId="77777777" w:rsidR="0002283C" w:rsidRPr="00BF381A" w:rsidRDefault="0002283C" w:rsidP="00BF381A">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BF381A">
        <w:rPr>
          <w:rFonts w:cs="Arial"/>
          <w:i/>
          <w:sz w:val="22"/>
          <w:szCs w:val="22"/>
        </w:rPr>
        <w:t>Id.</w:t>
      </w:r>
      <w:r w:rsidRPr="00BF381A">
        <w:rPr>
          <w:rFonts w:cs="Arial"/>
          <w:sz w:val="22"/>
          <w:szCs w:val="22"/>
        </w:rPr>
        <w:t xml:space="preserve"> at 156.</w:t>
      </w:r>
    </w:p>
  </w:footnote>
  <w:footnote w:id="27">
    <w:p w14:paraId="4CB44613" w14:textId="77777777" w:rsidR="0002283C" w:rsidRPr="00BF381A" w:rsidRDefault="0002283C" w:rsidP="00BF381A">
      <w:pPr>
        <w:pStyle w:val="FootnoteText"/>
        <w:spacing w:after="120"/>
        <w:rPr>
          <w:rFonts w:cs="Arial"/>
          <w:sz w:val="22"/>
          <w:szCs w:val="22"/>
        </w:rPr>
      </w:pPr>
      <w:r w:rsidRPr="003653C5">
        <w:rPr>
          <w:rStyle w:val="FootnoteReference"/>
          <w:rFonts w:cs="Arial"/>
        </w:rPr>
        <w:footnoteRef/>
      </w:r>
      <w:r>
        <w:rPr>
          <w:rFonts w:cs="Arial"/>
        </w:rPr>
        <w:t xml:space="preserve"> </w:t>
      </w:r>
      <w:r w:rsidRPr="003653C5">
        <w:rPr>
          <w:rFonts w:cs="Arial"/>
        </w:rPr>
        <w:t xml:space="preserve"> </w:t>
      </w:r>
      <w:r w:rsidRPr="00BF381A">
        <w:rPr>
          <w:rFonts w:cs="Arial"/>
          <w:i/>
          <w:sz w:val="22"/>
          <w:szCs w:val="22"/>
        </w:rPr>
        <w:t>Id.</w:t>
      </w:r>
      <w:r w:rsidRPr="00BF381A">
        <w:rPr>
          <w:rFonts w:cs="Arial"/>
          <w:sz w:val="22"/>
          <w:szCs w:val="22"/>
        </w:rPr>
        <w:t xml:space="preserve"> at 156, 158-59. </w:t>
      </w:r>
    </w:p>
  </w:footnote>
  <w:footnote w:id="28">
    <w:p w14:paraId="3AF13426" w14:textId="77777777" w:rsidR="0002283C" w:rsidRPr="00BF381A" w:rsidRDefault="0002283C" w:rsidP="00BF381A">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BF381A">
        <w:rPr>
          <w:rFonts w:cs="Arial"/>
          <w:i/>
          <w:sz w:val="22"/>
          <w:szCs w:val="22"/>
        </w:rPr>
        <w:t>Id</w:t>
      </w:r>
      <w:r w:rsidRPr="00BF381A">
        <w:rPr>
          <w:rFonts w:cs="Arial"/>
          <w:sz w:val="22"/>
          <w:szCs w:val="22"/>
        </w:rPr>
        <w:t xml:space="preserve">. at 164. </w:t>
      </w:r>
    </w:p>
  </w:footnote>
  <w:footnote w:id="29">
    <w:p w14:paraId="526A6933" w14:textId="287C92C4" w:rsidR="0002283C" w:rsidRPr="005843FC" w:rsidRDefault="0002283C" w:rsidP="005843FC">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5843FC">
        <w:rPr>
          <w:rFonts w:cs="Arial"/>
          <w:sz w:val="22"/>
          <w:szCs w:val="22"/>
        </w:rPr>
        <w:t>LADW</w:t>
      </w:r>
      <w:r>
        <w:rPr>
          <w:rFonts w:cs="Arial"/>
          <w:sz w:val="22"/>
          <w:szCs w:val="22"/>
        </w:rPr>
        <w:t>P</w:t>
      </w:r>
      <w:r w:rsidRPr="005843FC">
        <w:rPr>
          <w:rFonts w:cs="Arial"/>
          <w:sz w:val="22"/>
          <w:szCs w:val="22"/>
        </w:rPr>
        <w:t xml:space="preserve">LADWT Opening Cmt. at 5. </w:t>
      </w:r>
    </w:p>
  </w:footnote>
  <w:footnote w:id="30">
    <w:p w14:paraId="5752A9BC" w14:textId="77777777" w:rsidR="0002283C" w:rsidRPr="005843FC" w:rsidRDefault="0002283C" w:rsidP="005843FC">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5843FC">
        <w:rPr>
          <w:rFonts w:cs="Arial"/>
          <w:sz w:val="22"/>
          <w:szCs w:val="22"/>
        </w:rPr>
        <w:t xml:space="preserve">D.98-10-059 at 3. </w:t>
      </w:r>
    </w:p>
  </w:footnote>
  <w:footnote w:id="31">
    <w:p w14:paraId="194673D5" w14:textId="77777777" w:rsidR="0002283C" w:rsidRPr="005843FC" w:rsidRDefault="0002283C" w:rsidP="005843FC">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5843FC">
        <w:rPr>
          <w:rFonts w:cs="Arial"/>
          <w:sz w:val="22"/>
          <w:szCs w:val="22"/>
        </w:rPr>
        <w:t>Consumers Lobby Against Monopolies v. Pub. Util. Comm’n, 25 Cal. 3d 891, 905 (1975).</w:t>
      </w:r>
    </w:p>
  </w:footnote>
  <w:footnote w:id="32">
    <w:p w14:paraId="3ED66063" w14:textId="77777777" w:rsidR="0002283C" w:rsidRPr="005843FC" w:rsidRDefault="0002283C" w:rsidP="005843FC">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5843FC">
        <w:rPr>
          <w:rFonts w:cs="Arial"/>
          <w:sz w:val="22"/>
          <w:szCs w:val="22"/>
        </w:rPr>
        <w:t xml:space="preserve">D.98-10-059 at 4. </w:t>
      </w:r>
    </w:p>
  </w:footnote>
  <w:footnote w:id="33">
    <w:p w14:paraId="413C7DAC" w14:textId="77777777" w:rsidR="0002283C" w:rsidRPr="005843FC" w:rsidRDefault="0002283C" w:rsidP="00E03B51">
      <w:pPr>
        <w:pStyle w:val="FootnoteText"/>
        <w:spacing w:after="120"/>
        <w:rPr>
          <w:sz w:val="22"/>
          <w:szCs w:val="22"/>
        </w:rPr>
      </w:pPr>
      <w:r w:rsidRPr="003653C5">
        <w:rPr>
          <w:rStyle w:val="FootnoteReference"/>
        </w:rPr>
        <w:footnoteRef/>
      </w:r>
      <w:r w:rsidRPr="003653C5">
        <w:t xml:space="preserve"> </w:t>
      </w:r>
      <w:r>
        <w:t xml:space="preserve"> </w:t>
      </w:r>
      <w:r w:rsidRPr="005843FC">
        <w:rPr>
          <w:sz w:val="22"/>
          <w:szCs w:val="22"/>
        </w:rPr>
        <w:t>ORA Opening Brief at 5.</w:t>
      </w:r>
    </w:p>
  </w:footnote>
  <w:footnote w:id="34">
    <w:p w14:paraId="48AE02CE" w14:textId="77777777" w:rsidR="0002283C" w:rsidRPr="00F552BA" w:rsidRDefault="0002283C" w:rsidP="00D55250">
      <w:pPr>
        <w:pStyle w:val="FootnoteText"/>
        <w:spacing w:after="120"/>
        <w:rPr>
          <w:i/>
          <w:sz w:val="22"/>
          <w:szCs w:val="22"/>
        </w:rPr>
      </w:pPr>
      <w:r w:rsidRPr="003653C5">
        <w:rPr>
          <w:rStyle w:val="FootnoteReference"/>
        </w:rPr>
        <w:footnoteRef/>
      </w:r>
      <w:r w:rsidRPr="003653C5">
        <w:t xml:space="preserve"> </w:t>
      </w:r>
      <w:r>
        <w:t xml:space="preserve"> </w:t>
      </w:r>
      <w:r w:rsidRPr="00F552BA">
        <w:rPr>
          <w:i/>
          <w:sz w:val="22"/>
          <w:szCs w:val="22"/>
        </w:rPr>
        <w:t xml:space="preserve">See </w:t>
      </w:r>
      <w:r>
        <w:rPr>
          <w:i/>
          <w:sz w:val="22"/>
          <w:szCs w:val="22"/>
        </w:rPr>
        <w:t>I</w:t>
      </w:r>
      <w:r w:rsidRPr="00F552BA">
        <w:rPr>
          <w:i/>
          <w:sz w:val="22"/>
          <w:szCs w:val="22"/>
        </w:rPr>
        <w:t>d.</w:t>
      </w:r>
    </w:p>
  </w:footnote>
  <w:footnote w:id="35">
    <w:p w14:paraId="56AE7213" w14:textId="77777777" w:rsidR="0002283C" w:rsidRPr="00D55250" w:rsidRDefault="0002283C" w:rsidP="00D55250">
      <w:pPr>
        <w:pStyle w:val="FootnoteText"/>
        <w:spacing w:after="120"/>
        <w:rPr>
          <w:sz w:val="22"/>
          <w:szCs w:val="22"/>
        </w:rPr>
      </w:pPr>
      <w:r w:rsidRPr="003653C5">
        <w:rPr>
          <w:rStyle w:val="FootnoteReference"/>
        </w:rPr>
        <w:footnoteRef/>
      </w:r>
      <w:r>
        <w:t xml:space="preserve"> </w:t>
      </w:r>
      <w:r w:rsidRPr="003653C5">
        <w:t xml:space="preserve"> </w:t>
      </w:r>
      <w:r w:rsidRPr="00D55250">
        <w:rPr>
          <w:sz w:val="22"/>
          <w:szCs w:val="22"/>
        </w:rPr>
        <w:t>D.09-08-029, Conclusion of Law Number (No.) 3.</w:t>
      </w:r>
    </w:p>
  </w:footnote>
  <w:footnote w:id="36">
    <w:p w14:paraId="7D5B298D" w14:textId="77777777" w:rsidR="0002283C" w:rsidRPr="00D55250" w:rsidRDefault="0002283C" w:rsidP="00D55250">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D55250">
        <w:rPr>
          <w:rFonts w:cs="Arial"/>
          <w:sz w:val="22"/>
          <w:szCs w:val="22"/>
        </w:rPr>
        <w:t xml:space="preserve">Polk v. City of Los Angeles, 26 Cal. 3d 519 (1945). </w:t>
      </w:r>
    </w:p>
  </w:footnote>
  <w:footnote w:id="37">
    <w:p w14:paraId="2D560095" w14:textId="77777777" w:rsidR="0002283C" w:rsidRPr="00D55250" w:rsidRDefault="0002283C" w:rsidP="00D55250">
      <w:pPr>
        <w:pStyle w:val="FootnoteText"/>
        <w:spacing w:after="120"/>
        <w:rPr>
          <w:rFonts w:cs="Arial"/>
          <w:sz w:val="22"/>
          <w:szCs w:val="22"/>
        </w:rPr>
      </w:pPr>
      <w:r w:rsidRPr="003653C5">
        <w:rPr>
          <w:rStyle w:val="FootnoteReference"/>
          <w:rFonts w:cs="Arial"/>
        </w:rPr>
        <w:footnoteRef/>
      </w:r>
      <w:r>
        <w:rPr>
          <w:rFonts w:cs="Arial"/>
        </w:rPr>
        <w:t xml:space="preserve"> </w:t>
      </w:r>
      <w:r w:rsidRPr="003653C5">
        <w:rPr>
          <w:rFonts w:cs="Arial"/>
        </w:rPr>
        <w:t xml:space="preserve"> </w:t>
      </w:r>
      <w:r w:rsidRPr="00D55250">
        <w:rPr>
          <w:rFonts w:cs="Arial"/>
          <w:i/>
          <w:sz w:val="22"/>
          <w:szCs w:val="22"/>
        </w:rPr>
        <w:t>Id.</w:t>
      </w:r>
      <w:r w:rsidRPr="00D55250">
        <w:rPr>
          <w:rFonts w:cs="Arial"/>
          <w:sz w:val="22"/>
          <w:szCs w:val="22"/>
        </w:rPr>
        <w:t xml:space="preserve"> at 523-24. </w:t>
      </w:r>
    </w:p>
  </w:footnote>
  <w:footnote w:id="38">
    <w:p w14:paraId="57611F6E" w14:textId="77777777" w:rsidR="0002283C" w:rsidRPr="00D55250" w:rsidRDefault="0002283C" w:rsidP="00D55250">
      <w:pPr>
        <w:pStyle w:val="FootnoteText"/>
        <w:spacing w:after="120"/>
        <w:rPr>
          <w:rFonts w:cs="Arial"/>
          <w:sz w:val="22"/>
          <w:szCs w:val="22"/>
        </w:rPr>
      </w:pPr>
      <w:r w:rsidRPr="003653C5">
        <w:rPr>
          <w:rStyle w:val="FootnoteReference"/>
          <w:rFonts w:cs="Arial"/>
        </w:rPr>
        <w:footnoteRef/>
      </w:r>
      <w:r>
        <w:rPr>
          <w:rFonts w:cs="Arial"/>
        </w:rPr>
        <w:t xml:space="preserve"> </w:t>
      </w:r>
      <w:r w:rsidRPr="003653C5">
        <w:rPr>
          <w:rFonts w:cs="Arial"/>
        </w:rPr>
        <w:t xml:space="preserve"> </w:t>
      </w:r>
      <w:r w:rsidRPr="00D55250">
        <w:rPr>
          <w:rFonts w:cs="Arial"/>
          <w:i/>
          <w:sz w:val="22"/>
          <w:szCs w:val="22"/>
        </w:rPr>
        <w:t>Id.</w:t>
      </w:r>
      <w:r w:rsidRPr="00D55250">
        <w:rPr>
          <w:rFonts w:cs="Arial"/>
          <w:sz w:val="22"/>
          <w:szCs w:val="22"/>
        </w:rPr>
        <w:t xml:space="preserve"> at 538-39. </w:t>
      </w:r>
    </w:p>
  </w:footnote>
  <w:footnote w:id="39">
    <w:p w14:paraId="43FFADDB" w14:textId="77777777" w:rsidR="0002283C" w:rsidRPr="00D55250" w:rsidRDefault="0002283C" w:rsidP="00D55250">
      <w:pPr>
        <w:pStyle w:val="FootnoteText"/>
        <w:spacing w:after="120"/>
        <w:rPr>
          <w:rFonts w:cs="Arial"/>
          <w:sz w:val="22"/>
          <w:szCs w:val="22"/>
        </w:rPr>
      </w:pPr>
      <w:r>
        <w:rPr>
          <w:rFonts w:cs="Arial"/>
        </w:rPr>
        <w:t xml:space="preserve"> </w:t>
      </w:r>
      <w:r w:rsidRPr="003653C5">
        <w:rPr>
          <w:rStyle w:val="FootnoteReference"/>
          <w:rFonts w:cs="Arial"/>
        </w:rPr>
        <w:footnoteRef/>
      </w:r>
      <w:r w:rsidRPr="003653C5">
        <w:rPr>
          <w:rFonts w:cs="Arial"/>
        </w:rPr>
        <w:t xml:space="preserve"> </w:t>
      </w:r>
      <w:r>
        <w:rPr>
          <w:rFonts w:cs="Arial"/>
        </w:rPr>
        <w:t xml:space="preserve"> </w:t>
      </w:r>
      <w:r w:rsidRPr="00D55250">
        <w:rPr>
          <w:rFonts w:cs="Arial"/>
          <w:i/>
          <w:sz w:val="22"/>
          <w:szCs w:val="22"/>
        </w:rPr>
        <w:t>Id.</w:t>
      </w:r>
      <w:r w:rsidRPr="00D55250">
        <w:rPr>
          <w:rFonts w:cs="Arial"/>
          <w:sz w:val="22"/>
          <w:szCs w:val="22"/>
        </w:rPr>
        <w:t xml:space="preserve"> at 542 (Commission has “duty of making safety rules and regulations applicable to privately owned public utilities, and it is clear that such rules and regulations establish the standard of care . . . We can perceive of no reason why the same standard of care should not be applicable to all utilities whether publicly or privately owned.”). </w:t>
      </w:r>
    </w:p>
  </w:footnote>
  <w:footnote w:id="40">
    <w:p w14:paraId="42BD7DCE" w14:textId="77777777" w:rsidR="0002283C" w:rsidRPr="00AD7AB6" w:rsidRDefault="0002283C" w:rsidP="00AD7AB6">
      <w:pPr>
        <w:pStyle w:val="FootnoteText"/>
        <w:spacing w:after="120"/>
        <w:rPr>
          <w:rFonts w:cs="Arial"/>
          <w:sz w:val="22"/>
          <w:szCs w:val="22"/>
        </w:rPr>
      </w:pPr>
      <w:r w:rsidRPr="003653C5">
        <w:rPr>
          <w:rStyle w:val="FootnoteReference"/>
          <w:rFonts w:cs="Arial"/>
        </w:rPr>
        <w:footnoteRef/>
      </w:r>
      <w:r>
        <w:rPr>
          <w:rFonts w:cs="Arial"/>
        </w:rPr>
        <w:t xml:space="preserve"> </w:t>
      </w:r>
      <w:r w:rsidRPr="003653C5">
        <w:rPr>
          <w:rFonts w:cs="Arial"/>
        </w:rPr>
        <w:t xml:space="preserve"> </w:t>
      </w:r>
      <w:r w:rsidRPr="00AD7AB6">
        <w:rPr>
          <w:rFonts w:cs="Arial"/>
          <w:i/>
          <w:sz w:val="22"/>
          <w:szCs w:val="22"/>
        </w:rPr>
        <w:t>Id.</w:t>
      </w:r>
      <w:r w:rsidRPr="00AD7AB6">
        <w:rPr>
          <w:rFonts w:cs="Arial"/>
          <w:sz w:val="22"/>
          <w:szCs w:val="22"/>
        </w:rPr>
        <w:t xml:space="preserve"> at 540. </w:t>
      </w:r>
    </w:p>
  </w:footnote>
  <w:footnote w:id="41">
    <w:p w14:paraId="7A901A1B" w14:textId="77777777" w:rsidR="0002283C" w:rsidRPr="00AD7AB6" w:rsidRDefault="0002283C" w:rsidP="00AD7AB6">
      <w:pPr>
        <w:pStyle w:val="FootnoteText"/>
        <w:spacing w:after="120"/>
        <w:rPr>
          <w:rFonts w:cs="Arial"/>
          <w:sz w:val="22"/>
          <w:szCs w:val="22"/>
        </w:rPr>
      </w:pPr>
      <w:r w:rsidRPr="003653C5">
        <w:rPr>
          <w:rStyle w:val="FootnoteReference"/>
          <w:rFonts w:cs="Arial"/>
        </w:rPr>
        <w:footnoteRef/>
      </w:r>
      <w:r w:rsidRPr="003653C5">
        <w:rPr>
          <w:rFonts w:cs="Arial"/>
        </w:rPr>
        <w:t xml:space="preserve"> </w:t>
      </w:r>
      <w:r>
        <w:rPr>
          <w:rFonts w:cs="Arial"/>
        </w:rPr>
        <w:t xml:space="preserve"> </w:t>
      </w:r>
      <w:r w:rsidRPr="00AD7AB6">
        <w:rPr>
          <w:rFonts w:cs="Arial"/>
          <w:i/>
          <w:sz w:val="22"/>
          <w:szCs w:val="22"/>
        </w:rPr>
        <w:t>Id.</w:t>
      </w:r>
      <w:r w:rsidRPr="00AD7AB6">
        <w:rPr>
          <w:rFonts w:cs="Arial"/>
          <w:sz w:val="22"/>
          <w:szCs w:val="22"/>
        </w:rPr>
        <w:t xml:space="preserve"> at 540-41. </w:t>
      </w:r>
    </w:p>
  </w:footnote>
  <w:footnote w:id="42">
    <w:p w14:paraId="05466896" w14:textId="77777777" w:rsidR="0002283C" w:rsidRPr="00AD7AB6" w:rsidRDefault="0002283C" w:rsidP="00AD7AB6">
      <w:pPr>
        <w:pStyle w:val="FootnoteText"/>
        <w:spacing w:after="120"/>
        <w:rPr>
          <w:rFonts w:cs="Arial"/>
          <w:sz w:val="22"/>
          <w:szCs w:val="22"/>
        </w:rPr>
      </w:pPr>
      <w:r w:rsidRPr="003653C5">
        <w:rPr>
          <w:rStyle w:val="FootnoteReference"/>
          <w:rFonts w:cs="Arial"/>
        </w:rPr>
        <w:footnoteRef/>
      </w:r>
      <w:r>
        <w:rPr>
          <w:rFonts w:cs="Arial"/>
        </w:rPr>
        <w:t xml:space="preserve"> </w:t>
      </w:r>
      <w:r w:rsidRPr="003653C5">
        <w:rPr>
          <w:rFonts w:cs="Arial"/>
        </w:rPr>
        <w:t xml:space="preserve"> </w:t>
      </w:r>
      <w:r w:rsidRPr="00AD7AB6">
        <w:rPr>
          <w:rFonts w:cs="Arial"/>
          <w:i/>
          <w:sz w:val="22"/>
          <w:szCs w:val="22"/>
        </w:rPr>
        <w:t>Id</w:t>
      </w:r>
      <w:r w:rsidRPr="00AD7AB6">
        <w:rPr>
          <w:rFonts w:cs="Arial"/>
          <w:sz w:val="22"/>
          <w:szCs w:val="22"/>
        </w:rPr>
        <w:t xml:space="preserve">. at 541. </w:t>
      </w:r>
    </w:p>
  </w:footnote>
  <w:footnote w:id="43">
    <w:p w14:paraId="4E1E9A03" w14:textId="77777777" w:rsidR="0002283C" w:rsidRDefault="0002283C">
      <w:pPr>
        <w:pStyle w:val="FootnoteText"/>
      </w:pPr>
      <w:r>
        <w:rPr>
          <w:rStyle w:val="FootnoteReference"/>
        </w:rPr>
        <w:footnoteRef/>
      </w:r>
      <w:r>
        <w:t xml:space="preserve"> Public Utilities Code </w:t>
      </w:r>
      <w:r>
        <w:rPr>
          <w:rFonts w:ascii="Book Antiqua" w:hAnsi="Book Antiqua"/>
        </w:rPr>
        <w:t xml:space="preserve">§§ </w:t>
      </w:r>
      <w:r w:rsidRPr="00A342FB">
        <w:rPr>
          <w:rFonts w:ascii="Book Antiqua" w:hAnsi="Book Antiqua"/>
        </w:rPr>
        <w:t>8037, 8056</w:t>
      </w:r>
      <w:r>
        <w:rPr>
          <w:rFonts w:ascii="Book Antiqua" w:hAnsi="Book Antiqua"/>
        </w:rPr>
        <w:t>.</w:t>
      </w:r>
    </w:p>
  </w:footnote>
  <w:footnote w:id="44">
    <w:p w14:paraId="7926EFD2" w14:textId="77777777" w:rsidR="0002283C" w:rsidRDefault="0002283C" w:rsidP="007147AF">
      <w:pPr>
        <w:pStyle w:val="FootnoteText"/>
        <w:spacing w:after="120"/>
      </w:pPr>
      <w:r>
        <w:rPr>
          <w:rStyle w:val="FootnoteReference"/>
        </w:rPr>
        <w:footnoteRef/>
      </w:r>
      <w:r>
        <w:t xml:space="preserve">  </w:t>
      </w:r>
      <w:r w:rsidRPr="00C65E79">
        <w:rPr>
          <w:sz w:val="22"/>
          <w:szCs w:val="22"/>
        </w:rPr>
        <w:t>Joint Opening Comments at 4.</w:t>
      </w:r>
    </w:p>
  </w:footnote>
  <w:footnote w:id="45">
    <w:p w14:paraId="65CB475E" w14:textId="77777777" w:rsidR="0002283C" w:rsidRDefault="0002283C" w:rsidP="007147AF">
      <w:pPr>
        <w:pStyle w:val="FootnoteText"/>
        <w:spacing w:after="120"/>
      </w:pPr>
      <w:r>
        <w:rPr>
          <w:rStyle w:val="FootnoteReference"/>
        </w:rPr>
        <w:footnoteRef/>
      </w:r>
      <w:r>
        <w:t xml:space="preserve">  </w:t>
      </w:r>
      <w:r w:rsidRPr="007147AF">
        <w:rPr>
          <w:i/>
          <w:sz w:val="22"/>
          <w:szCs w:val="22"/>
        </w:rPr>
        <w:t>Id.</w:t>
      </w:r>
    </w:p>
  </w:footnote>
  <w:footnote w:id="46">
    <w:p w14:paraId="52E9A462" w14:textId="77777777" w:rsidR="0002283C" w:rsidRDefault="0002283C">
      <w:pPr>
        <w:pStyle w:val="FootnoteText"/>
      </w:pPr>
      <w:r>
        <w:rPr>
          <w:rStyle w:val="FootnoteReference"/>
        </w:rPr>
        <w:footnoteRef/>
      </w:r>
      <w:r>
        <w:t xml:space="preserve"> Public Utilities Code section 8002.</w:t>
      </w:r>
    </w:p>
    <w:p w14:paraId="68542934" w14:textId="77777777" w:rsidR="0002283C" w:rsidRDefault="0002283C">
      <w:pPr>
        <w:pStyle w:val="FootnoteText"/>
      </w:pPr>
    </w:p>
  </w:footnote>
  <w:footnote w:id="47">
    <w:p w14:paraId="2FEC0EB6" w14:textId="77777777" w:rsidR="0002283C" w:rsidRDefault="0002283C">
      <w:pPr>
        <w:pStyle w:val="FootnoteText"/>
      </w:pPr>
      <w:r>
        <w:rPr>
          <w:rStyle w:val="FootnoteReference"/>
        </w:rPr>
        <w:footnoteRef/>
      </w:r>
      <w:r>
        <w:t xml:space="preserve"> D.98-10-059 at p. 4.</w:t>
      </w:r>
    </w:p>
  </w:footnote>
  <w:footnote w:id="48">
    <w:p w14:paraId="427DD98F" w14:textId="77777777" w:rsidR="0002283C" w:rsidRPr="00144855" w:rsidRDefault="0002283C" w:rsidP="00144855">
      <w:pPr>
        <w:pStyle w:val="FootnoteText"/>
        <w:spacing w:after="120"/>
        <w:rPr>
          <w:sz w:val="22"/>
          <w:szCs w:val="22"/>
        </w:rPr>
      </w:pPr>
      <w:r>
        <w:rPr>
          <w:rStyle w:val="FootnoteReference"/>
        </w:rPr>
        <w:footnoteRef/>
      </w:r>
      <w:r>
        <w:t xml:space="preserve">  </w:t>
      </w:r>
      <w:r w:rsidRPr="00144855">
        <w:rPr>
          <w:sz w:val="22"/>
          <w:szCs w:val="22"/>
        </w:rPr>
        <w:t>The Joint Utility Proposal defines Distribution Substation as an electric power substation associated with the distribution system and the primary feeders for supply to residential, commercial and/or industrial loads.  A Distribution Control Center is defined as a facility that has responsibility for monitoring and directing operational activity on distribution power lines and Distribution substations.</w:t>
      </w:r>
    </w:p>
  </w:footnote>
  <w:footnote w:id="49">
    <w:p w14:paraId="711018D0" w14:textId="77777777" w:rsidR="0002283C" w:rsidRPr="006F5CA8" w:rsidRDefault="0002283C" w:rsidP="006F5CA8">
      <w:pPr>
        <w:pStyle w:val="FootnoteText"/>
        <w:spacing w:after="120"/>
        <w:rPr>
          <w:sz w:val="22"/>
          <w:szCs w:val="22"/>
        </w:rPr>
      </w:pPr>
      <w:r>
        <w:rPr>
          <w:rStyle w:val="FootnoteReference"/>
        </w:rPr>
        <w:footnoteRef/>
      </w:r>
      <w:r>
        <w:t xml:space="preserve">  </w:t>
      </w:r>
      <w:r w:rsidRPr="006F5CA8">
        <w:rPr>
          <w:sz w:val="22"/>
          <w:szCs w:val="22"/>
        </w:rPr>
        <w:t>An Operator is an Electrical Corporation, a Local Publicly Owned Electric Utility, or an Electrical Cooperative responsible for the reliability of one or more Distribution Facilities.</w:t>
      </w:r>
    </w:p>
  </w:footnote>
  <w:footnote w:id="50">
    <w:p w14:paraId="1194E9E9" w14:textId="77777777" w:rsidR="0002283C" w:rsidRPr="006F5CA8" w:rsidRDefault="0002283C" w:rsidP="006F5CA8">
      <w:pPr>
        <w:pStyle w:val="FootnoteText"/>
        <w:spacing w:after="120"/>
        <w:rPr>
          <w:sz w:val="22"/>
          <w:szCs w:val="22"/>
        </w:rPr>
      </w:pPr>
      <w:r>
        <w:rPr>
          <w:rStyle w:val="FootnoteReference"/>
        </w:rPr>
        <w:footnoteRef/>
      </w:r>
      <w:r>
        <w:t xml:space="preserve">  </w:t>
      </w:r>
      <w:r w:rsidRPr="006F5CA8">
        <w:rPr>
          <w:sz w:val="22"/>
          <w:szCs w:val="22"/>
        </w:rPr>
        <w:t>A Distribution Substation or Distribution Control Center.</w:t>
      </w:r>
    </w:p>
  </w:footnote>
  <w:footnote w:id="51">
    <w:p w14:paraId="18DE5D59" w14:textId="77777777" w:rsidR="0002283C" w:rsidRPr="00E86179" w:rsidRDefault="0002283C" w:rsidP="00E86179">
      <w:pPr>
        <w:pStyle w:val="FootnoteText"/>
        <w:spacing w:after="120"/>
        <w:rPr>
          <w:sz w:val="22"/>
          <w:szCs w:val="22"/>
        </w:rPr>
      </w:pPr>
      <w:r w:rsidRPr="00B05563">
        <w:rPr>
          <w:rStyle w:val="FootnoteReference"/>
        </w:rPr>
        <w:footnoteRef/>
      </w:r>
      <w:r w:rsidRPr="00B05563">
        <w:t xml:space="preserve"> </w:t>
      </w:r>
      <w:r>
        <w:t xml:space="preserve"> </w:t>
      </w:r>
      <w:r w:rsidRPr="00DE5C14">
        <w:t>“</w:t>
      </w:r>
      <w:r w:rsidRPr="00E86179">
        <w:rPr>
          <w:sz w:val="22"/>
          <w:szCs w:val="22"/>
        </w:rPr>
        <w:t>Covered” is the utility working group term employed to describe those assets that are applicable, or that should be subject to physical security.</w:t>
      </w:r>
      <w:r>
        <w:rPr>
          <w:sz w:val="22"/>
          <w:szCs w:val="22"/>
        </w:rPr>
        <w:t xml:space="preserve"> </w:t>
      </w:r>
      <w:r w:rsidRPr="00E86179">
        <w:rPr>
          <w:sz w:val="22"/>
          <w:szCs w:val="22"/>
        </w:rPr>
        <w:t xml:space="preserve"> We will employ this term for the length of this decision for the sake of consistency.  </w:t>
      </w:r>
    </w:p>
  </w:footnote>
  <w:footnote w:id="52">
    <w:p w14:paraId="25AFE0AC" w14:textId="77777777" w:rsidR="0002283C" w:rsidRPr="006937AC" w:rsidRDefault="0002283C" w:rsidP="006937AC">
      <w:pPr>
        <w:pStyle w:val="FootnoteText"/>
        <w:spacing w:after="120"/>
        <w:rPr>
          <w:sz w:val="22"/>
          <w:szCs w:val="22"/>
        </w:rPr>
      </w:pPr>
      <w:r>
        <w:rPr>
          <w:rStyle w:val="FootnoteReference"/>
        </w:rPr>
        <w:footnoteRef/>
      </w:r>
      <w:r>
        <w:t xml:space="preserve">  </w:t>
      </w:r>
      <w:r w:rsidRPr="006937AC">
        <w:rPr>
          <w:sz w:val="22"/>
          <w:szCs w:val="22"/>
        </w:rPr>
        <w:t>The documentation of a risk-based strategy for mitigating the impacts of a physical attack on a Covered Distribution Facility.  The strategy may consist of operational resiliency measures or physical security measures.</w:t>
      </w:r>
    </w:p>
  </w:footnote>
  <w:footnote w:id="53">
    <w:p w14:paraId="674AE8F2" w14:textId="77777777" w:rsidR="0002283C" w:rsidRPr="00AC0A43" w:rsidRDefault="0002283C" w:rsidP="00AC0A43">
      <w:pPr>
        <w:pStyle w:val="FootnoteText"/>
        <w:spacing w:after="120"/>
        <w:rPr>
          <w:sz w:val="22"/>
          <w:szCs w:val="22"/>
        </w:rPr>
      </w:pPr>
      <w:r>
        <w:rPr>
          <w:rStyle w:val="FootnoteReference"/>
        </w:rPr>
        <w:footnoteRef/>
      </w:r>
      <w:r>
        <w:t xml:space="preserve">  </w:t>
      </w:r>
      <w:r w:rsidRPr="00AC0A43">
        <w:rPr>
          <w:sz w:val="22"/>
          <w:szCs w:val="22"/>
        </w:rPr>
        <w:t>The issue of costs discussed in this section are the positions advanced by the IOUs.  We decline to implement the cost recovery measures suggested by the IOUs.  Rather, they will follow the cost recovery methods as set forth in Section 6.8 below.</w:t>
      </w:r>
    </w:p>
  </w:footnote>
  <w:footnote w:id="54">
    <w:p w14:paraId="3FD76A2D" w14:textId="77777777" w:rsidR="0002283C" w:rsidRPr="007C754C" w:rsidRDefault="0002283C" w:rsidP="007C754C">
      <w:pPr>
        <w:pStyle w:val="FootnoteText"/>
        <w:spacing w:after="120"/>
        <w:rPr>
          <w:sz w:val="22"/>
          <w:szCs w:val="22"/>
        </w:rPr>
      </w:pPr>
      <w:r>
        <w:rPr>
          <w:rFonts w:ascii="Palatino Linotype" w:eastAsia="Palatino Linotype" w:hAnsi="Palatino Linotype" w:cs="Palatino Linotype"/>
          <w:sz w:val="26"/>
          <w:szCs w:val="26"/>
          <w:vertAlign w:val="superscript"/>
        </w:rPr>
        <w:footnoteRef/>
      </w:r>
      <w:r>
        <w:t xml:space="preserve">  </w:t>
      </w:r>
      <w:r w:rsidRPr="007C754C">
        <w:rPr>
          <w:sz w:val="22"/>
          <w:szCs w:val="22"/>
        </w:rPr>
        <w:t>This time interval is based on the requirements instituted for the City of Los Angeles under City Charter.</w:t>
      </w:r>
    </w:p>
  </w:footnote>
  <w:footnote w:id="55">
    <w:p w14:paraId="164C55F6" w14:textId="77777777" w:rsidR="0002283C" w:rsidRPr="00BB3649" w:rsidRDefault="0002283C" w:rsidP="00BB3649">
      <w:pPr>
        <w:pStyle w:val="FootnoteText"/>
        <w:spacing w:after="120"/>
        <w:rPr>
          <w:sz w:val="22"/>
          <w:szCs w:val="22"/>
        </w:rPr>
      </w:pPr>
      <w:r>
        <w:t xml:space="preserve"> </w:t>
      </w:r>
      <w:r>
        <w:rPr>
          <w:rFonts w:ascii="Palatino Linotype" w:eastAsia="Palatino Linotype" w:hAnsi="Palatino Linotype" w:cs="Palatino Linotype"/>
          <w:sz w:val="26"/>
          <w:szCs w:val="26"/>
          <w:vertAlign w:val="superscript"/>
        </w:rPr>
        <w:footnoteRef/>
      </w:r>
      <w:r>
        <w:t xml:space="preserve">  </w:t>
      </w:r>
      <w:r w:rsidRPr="00BB3649">
        <w:rPr>
          <w:sz w:val="22"/>
          <w:szCs w:val="22"/>
        </w:rPr>
        <w:t>This original plan and the third-party review may collectively be called the Mitigation Plan.</w:t>
      </w:r>
    </w:p>
  </w:footnote>
  <w:footnote w:id="56">
    <w:p w14:paraId="098A7C56" w14:textId="77777777" w:rsidR="0002283C" w:rsidRPr="00CC200A" w:rsidRDefault="0002283C" w:rsidP="00CC200A">
      <w:pPr>
        <w:pStyle w:val="FootnoteText"/>
        <w:spacing w:after="120"/>
        <w:rPr>
          <w:sz w:val="22"/>
          <w:szCs w:val="22"/>
        </w:rPr>
      </w:pPr>
      <w:r>
        <w:rPr>
          <w:rStyle w:val="FootnoteReference"/>
        </w:rPr>
        <w:footnoteRef/>
      </w:r>
      <w:r>
        <w:t xml:space="preserve">  </w:t>
      </w:r>
      <w:r w:rsidRPr="00CC200A">
        <w:rPr>
          <w:sz w:val="22"/>
          <w:szCs w:val="22"/>
        </w:rPr>
        <w:t>Unaffiliated Third-Party Reviewer Appropriate Expertise can be established by any of these methods.</w:t>
      </w:r>
    </w:p>
  </w:footnote>
  <w:footnote w:id="57">
    <w:p w14:paraId="20D0AB0A" w14:textId="77777777" w:rsidR="0002283C" w:rsidRPr="00AB1A43" w:rsidRDefault="0002283C" w:rsidP="00AB1A43">
      <w:pPr>
        <w:pStyle w:val="FootnoteText"/>
        <w:spacing w:after="120"/>
        <w:rPr>
          <w:rFonts w:eastAsia="Palatino Linotype" w:cs="Palatino Linotype"/>
          <w:sz w:val="22"/>
          <w:szCs w:val="22"/>
        </w:rPr>
      </w:pPr>
      <w:r>
        <w:rPr>
          <w:rStyle w:val="FootnoteReference"/>
        </w:rPr>
        <w:footnoteRef/>
      </w:r>
      <w:r>
        <w:t xml:space="preserve">  </w:t>
      </w:r>
      <w:r w:rsidRPr="00AB1A43">
        <w:rPr>
          <w:rFonts w:eastAsia="Palatino Linotype" w:cs="Palatino Linotype"/>
          <w:sz w:val="22"/>
          <w:szCs w:val="22"/>
        </w:rPr>
        <w:t>R.14-11-001, Order Instituting Rulemaking to Improve Public Access to Public Records Pursuant to the California Public Records Act.</w:t>
      </w:r>
    </w:p>
  </w:footnote>
  <w:footnote w:id="58">
    <w:p w14:paraId="003E502A" w14:textId="77777777" w:rsidR="0002283C" w:rsidRPr="008E2053" w:rsidRDefault="0002283C" w:rsidP="008E2053">
      <w:pPr>
        <w:pStyle w:val="standard"/>
        <w:spacing w:line="240" w:lineRule="auto"/>
        <w:ind w:left="86" w:firstLine="0"/>
        <w:rPr>
          <w:sz w:val="22"/>
          <w:szCs w:val="22"/>
        </w:rPr>
      </w:pPr>
      <w:r w:rsidRPr="009F0C94">
        <w:rPr>
          <w:rStyle w:val="FootnoteReference"/>
          <w:sz w:val="22"/>
          <w:szCs w:val="22"/>
        </w:rPr>
        <w:footnoteRef/>
      </w:r>
      <w:r>
        <w:rPr>
          <w:sz w:val="22"/>
          <w:szCs w:val="22"/>
        </w:rPr>
        <w:t xml:space="preserve"> </w:t>
      </w:r>
      <w:r w:rsidRPr="009F0C94">
        <w:rPr>
          <w:sz w:val="22"/>
          <w:szCs w:val="22"/>
        </w:rPr>
        <w:t xml:space="preserve"> </w:t>
      </w:r>
      <w:r w:rsidRPr="008E2053">
        <w:rPr>
          <w:sz w:val="22"/>
          <w:szCs w:val="22"/>
        </w:rPr>
        <w:t>SED RASA recommendations for additional measures consist of the following:</w:t>
      </w:r>
    </w:p>
    <w:p w14:paraId="71961134" w14:textId="77777777" w:rsidR="0002283C" w:rsidRPr="008E2053" w:rsidRDefault="0002283C" w:rsidP="006877DB">
      <w:pPr>
        <w:pStyle w:val="standard"/>
        <w:spacing w:line="240" w:lineRule="auto"/>
        <w:ind w:left="360" w:firstLine="0"/>
        <w:rPr>
          <w:sz w:val="22"/>
          <w:szCs w:val="22"/>
        </w:rPr>
      </w:pPr>
      <w:r w:rsidRPr="008E2053">
        <w:rPr>
          <w:sz w:val="22"/>
          <w:szCs w:val="22"/>
        </w:rPr>
        <w:t>6.0 Guiding Principles of California Electric Physical Security</w:t>
      </w:r>
    </w:p>
    <w:p w14:paraId="251EEFB4" w14:textId="77777777" w:rsidR="0002283C" w:rsidRPr="008E2053" w:rsidRDefault="0002283C" w:rsidP="006877DB">
      <w:pPr>
        <w:pStyle w:val="ListParagraph"/>
        <w:ind w:left="360"/>
        <w:contextualSpacing w:val="0"/>
        <w:rPr>
          <w:sz w:val="22"/>
          <w:szCs w:val="22"/>
        </w:rPr>
      </w:pPr>
      <w:r w:rsidRPr="008E2053">
        <w:rPr>
          <w:sz w:val="22"/>
          <w:szCs w:val="22"/>
        </w:rPr>
        <w:t>6.1Six-Step Procedure to Address Utilities’ Distribution Assets</w:t>
      </w:r>
    </w:p>
    <w:p w14:paraId="2EDE9F56" w14:textId="77777777" w:rsidR="0002283C" w:rsidRPr="008E2053" w:rsidRDefault="0002283C" w:rsidP="006877DB">
      <w:pPr>
        <w:pStyle w:val="ListParagraph"/>
        <w:ind w:left="360"/>
        <w:contextualSpacing w:val="0"/>
        <w:rPr>
          <w:sz w:val="22"/>
          <w:szCs w:val="22"/>
        </w:rPr>
      </w:pPr>
      <w:r w:rsidRPr="008E2053">
        <w:rPr>
          <w:sz w:val="22"/>
          <w:szCs w:val="22"/>
        </w:rPr>
        <w:t>6.2.1 Additional Optional Requirements for Mitigation Plans</w:t>
      </w:r>
    </w:p>
    <w:p w14:paraId="2D938301" w14:textId="77777777" w:rsidR="0002283C" w:rsidRPr="008E2053" w:rsidRDefault="0002283C" w:rsidP="006877DB">
      <w:pPr>
        <w:pStyle w:val="ListParagraph"/>
        <w:ind w:left="360"/>
        <w:contextualSpacing w:val="0"/>
        <w:rPr>
          <w:sz w:val="22"/>
          <w:szCs w:val="22"/>
        </w:rPr>
      </w:pPr>
      <w:r w:rsidRPr="008E2053">
        <w:rPr>
          <w:sz w:val="22"/>
          <w:szCs w:val="22"/>
        </w:rPr>
        <w:t>6.2 Additional Requirements for Mitigation Plans</w:t>
      </w:r>
    </w:p>
    <w:p w14:paraId="0F159243" w14:textId="77777777" w:rsidR="0002283C" w:rsidRPr="008E2053" w:rsidRDefault="0002283C" w:rsidP="006877DB">
      <w:pPr>
        <w:pStyle w:val="ListParagraph"/>
        <w:ind w:left="360"/>
        <w:contextualSpacing w:val="0"/>
        <w:rPr>
          <w:sz w:val="22"/>
          <w:szCs w:val="22"/>
        </w:rPr>
      </w:pPr>
      <w:r w:rsidRPr="008E2053">
        <w:rPr>
          <w:sz w:val="22"/>
          <w:szCs w:val="22"/>
        </w:rPr>
        <w:t>6.3 Third-Party Verification</w:t>
      </w:r>
    </w:p>
    <w:p w14:paraId="4998C019" w14:textId="77777777" w:rsidR="0002283C" w:rsidRPr="008E2053" w:rsidRDefault="0002283C" w:rsidP="006877DB">
      <w:pPr>
        <w:pStyle w:val="ListParagraph"/>
        <w:ind w:left="360"/>
        <w:contextualSpacing w:val="0"/>
        <w:rPr>
          <w:sz w:val="22"/>
          <w:szCs w:val="22"/>
        </w:rPr>
      </w:pPr>
      <w:r w:rsidRPr="008E2053">
        <w:rPr>
          <w:sz w:val="22"/>
          <w:szCs w:val="22"/>
        </w:rPr>
        <w:t>6.4 Third-Party Expert Qualifications</w:t>
      </w:r>
    </w:p>
    <w:p w14:paraId="040E5BEC" w14:textId="77777777" w:rsidR="0002283C" w:rsidRPr="008E2053" w:rsidRDefault="0002283C" w:rsidP="006877DB">
      <w:pPr>
        <w:pStyle w:val="ListParagraph"/>
        <w:ind w:left="360"/>
        <w:contextualSpacing w:val="0"/>
        <w:rPr>
          <w:sz w:val="22"/>
          <w:szCs w:val="22"/>
        </w:rPr>
      </w:pPr>
      <w:r w:rsidRPr="008E2053">
        <w:rPr>
          <w:sz w:val="22"/>
          <w:szCs w:val="22"/>
        </w:rPr>
        <w:t>6.5 Access to Information</w:t>
      </w:r>
    </w:p>
    <w:p w14:paraId="35E9223C" w14:textId="77777777" w:rsidR="0002283C" w:rsidRPr="008E2053" w:rsidRDefault="0002283C" w:rsidP="006877DB">
      <w:pPr>
        <w:pStyle w:val="ListParagraph"/>
        <w:ind w:left="360"/>
        <w:contextualSpacing w:val="0"/>
        <w:rPr>
          <w:sz w:val="22"/>
          <w:szCs w:val="22"/>
        </w:rPr>
      </w:pPr>
      <w:r w:rsidRPr="008E2053">
        <w:rPr>
          <w:sz w:val="22"/>
          <w:szCs w:val="22"/>
        </w:rPr>
        <w:t>6.6 Timeline for Implementation</w:t>
      </w:r>
    </w:p>
    <w:p w14:paraId="4BD325CC" w14:textId="77777777" w:rsidR="0002283C" w:rsidRPr="008E2053" w:rsidRDefault="0002283C" w:rsidP="006877DB">
      <w:pPr>
        <w:pStyle w:val="ListParagraph"/>
        <w:ind w:left="360"/>
        <w:contextualSpacing w:val="0"/>
        <w:rPr>
          <w:sz w:val="22"/>
          <w:szCs w:val="22"/>
        </w:rPr>
      </w:pPr>
      <w:r w:rsidRPr="008E2053">
        <w:rPr>
          <w:sz w:val="22"/>
          <w:szCs w:val="22"/>
        </w:rPr>
        <w:t>6.7 Reporting</w:t>
      </w:r>
    </w:p>
    <w:p w14:paraId="7E5DE051" w14:textId="77777777" w:rsidR="0002283C" w:rsidRPr="008E2053" w:rsidRDefault="0002283C" w:rsidP="006877DB">
      <w:pPr>
        <w:pStyle w:val="ListParagraph"/>
        <w:spacing w:after="120"/>
        <w:ind w:left="360"/>
        <w:contextualSpacing w:val="0"/>
        <w:rPr>
          <w:sz w:val="22"/>
          <w:szCs w:val="22"/>
        </w:rPr>
      </w:pPr>
      <w:r w:rsidRPr="008E2053">
        <w:rPr>
          <w:sz w:val="22"/>
          <w:szCs w:val="22"/>
        </w:rPr>
        <w:t>6.8 Cost Recovery</w:t>
      </w:r>
    </w:p>
  </w:footnote>
  <w:footnote w:id="59">
    <w:p w14:paraId="72738220" w14:textId="77777777" w:rsidR="0002283C" w:rsidRPr="008E2053" w:rsidRDefault="0002283C" w:rsidP="008E2053">
      <w:pPr>
        <w:pStyle w:val="FootnoteText"/>
        <w:spacing w:after="120"/>
        <w:ind w:left="86"/>
        <w:rPr>
          <w:sz w:val="22"/>
          <w:szCs w:val="22"/>
        </w:rPr>
      </w:pPr>
      <w:r>
        <w:rPr>
          <w:rStyle w:val="FootnoteReference"/>
        </w:rPr>
        <w:footnoteRef/>
      </w:r>
      <w:r>
        <w:t xml:space="preserve">  </w:t>
      </w:r>
      <w:r w:rsidRPr="008E2053">
        <w:rPr>
          <w:sz w:val="22"/>
          <w:szCs w:val="22"/>
        </w:rPr>
        <w:t xml:space="preserve">Should there be any question of which shall predominate should there be any incongruity or conflict between a utility or SED RASA recommended rule, the SED RASA rule shall apply.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2936" w14:textId="77777777" w:rsidR="0002283C" w:rsidRDefault="0002283C">
    <w:pPr>
      <w:pStyle w:val="Header"/>
    </w:pPr>
    <w:r>
      <w:t>^  ALJ/^/^</w:t>
    </w:r>
    <w:r>
      <w:tab/>
    </w:r>
    <w:r>
      <w:tab/>
    </w:r>
    <w:r>
      <w:rPr>
        <w:rFonts w:ascii="Helvetica" w:hAnsi="Helvetica"/>
        <w:b/>
        <w:sz w:val="32"/>
        <w:szCs w:val="32"/>
      </w:rPr>
      <w:t>PROPOSED DECISION</w:t>
    </w:r>
  </w:p>
  <w:p w14:paraId="009BDDCE" w14:textId="77777777" w:rsidR="0002283C" w:rsidRDefault="0002283C" w:rsidP="00D36D8D">
    <w:pPr>
      <w:pStyle w:val="Header"/>
      <w:rPr>
        <w:b/>
      </w:rPr>
    </w:pPr>
    <w:r>
      <w:t xml:space="preserve">[Date] </w:t>
    </w:r>
    <w:r>
      <w:rPr>
        <w:i/>
      </w:rPr>
      <w:t xml:space="preserve">Internal Review Draft; Subject to </w:t>
    </w:r>
    <w:r>
      <w:rPr>
        <w:b/>
        <w:i/>
      </w:rPr>
      <w:t>ALJ Division Review</w:t>
    </w:r>
  </w:p>
  <w:p w14:paraId="7698CB80" w14:textId="77777777" w:rsidR="0002283C" w:rsidRDefault="0002283C" w:rsidP="00D36D8D">
    <w:pPr>
      <w:pStyle w:val="Header"/>
    </w:pPr>
    <w:r>
      <w:rPr>
        <w:b/>
      </w:rPr>
      <w:t xml:space="preserve">CONFIDENTIAL; </w:t>
    </w:r>
    <w:r>
      <w:rPr>
        <w:i/>
      </w:rPr>
      <w:t>Deliberative Process Privilege</w:t>
    </w:r>
  </w:p>
  <w:p w14:paraId="5EC3D906" w14:textId="77777777" w:rsidR="0002283C" w:rsidRDefault="0002283C" w:rsidP="00D36D8D">
    <w:pPr>
      <w:pStyle w:val="Header"/>
    </w:pPr>
  </w:p>
  <w:p w14:paraId="1A69935F" w14:textId="77777777" w:rsidR="0002283C" w:rsidRPr="0007369B" w:rsidRDefault="0002283C" w:rsidP="00D36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D8FF" w14:textId="557583A7" w:rsidR="0002283C" w:rsidRDefault="0002283C" w:rsidP="00F2387C">
    <w:pPr>
      <w:pStyle w:val="Header"/>
      <w:tabs>
        <w:tab w:val="clear" w:pos="8640"/>
      </w:tabs>
      <w:ind w:right="-450"/>
    </w:pPr>
    <w:r>
      <w:t>R.15-06-009  COM/CR6/avs</w:t>
    </w:r>
    <w:r>
      <w:tab/>
    </w:r>
    <w:r>
      <w:tab/>
    </w:r>
    <w:r>
      <w:tab/>
    </w:r>
  </w:p>
  <w:p w14:paraId="773A7DBB" w14:textId="77777777" w:rsidR="0002283C" w:rsidRDefault="0002283C" w:rsidP="00635DA5">
    <w:pPr>
      <w:pStyle w:val="Header"/>
      <w:tabs>
        <w:tab w:val="clear" w:pos="8640"/>
      </w:tabs>
      <w:ind w:right="-450"/>
    </w:pPr>
  </w:p>
  <w:p w14:paraId="19F662B3" w14:textId="77777777" w:rsidR="0002283C" w:rsidRPr="00F87C91" w:rsidRDefault="0002283C" w:rsidP="00F2387C">
    <w:pPr>
      <w:jc w:val="center"/>
      <w:rPr>
        <w:b/>
      </w:rPr>
    </w:pPr>
    <w:r>
      <w:rPr>
        <w:b/>
      </w:rPr>
      <w:t>TABLE OF CONTENTS</w:t>
    </w:r>
    <w:r>
      <w:rPr>
        <w:b/>
      </w:rPr>
      <w:br/>
      <w:t>Con’t.</w:t>
    </w:r>
  </w:p>
  <w:p w14:paraId="1C3538EF" w14:textId="77777777" w:rsidR="0002283C" w:rsidRDefault="0002283C" w:rsidP="00F2387C"/>
  <w:p w14:paraId="40D5DC60" w14:textId="77777777" w:rsidR="0002283C" w:rsidRDefault="0002283C" w:rsidP="00F2387C">
    <w:pPr>
      <w:pStyle w:val="Header"/>
      <w:tabs>
        <w:tab w:val="clear" w:pos="8640"/>
        <w:tab w:val="right" w:pos="9360"/>
      </w:tabs>
    </w:pPr>
    <w:r>
      <w:rPr>
        <w:b/>
      </w:rPr>
      <w:t>Title</w:t>
    </w:r>
    <w:r>
      <w:rPr>
        <w:b/>
      </w:rPr>
      <w:tab/>
    </w:r>
    <w:r>
      <w:rPr>
        <w:b/>
      </w:rPr>
      <w:tab/>
      <w:t>Page</w:t>
    </w:r>
  </w:p>
  <w:p w14:paraId="67742783" w14:textId="77777777" w:rsidR="0002283C" w:rsidRDefault="0002283C" w:rsidP="00D36D8D">
    <w:pPr>
      <w:pStyle w:val="Header"/>
    </w:pPr>
  </w:p>
  <w:p w14:paraId="6E1CC838" w14:textId="77777777" w:rsidR="0002283C" w:rsidRPr="0007369B" w:rsidRDefault="0002283C" w:rsidP="00D36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45CF" w14:textId="6EDAA840" w:rsidR="0002283C" w:rsidRDefault="0002283C" w:rsidP="008D0AEE">
    <w:pPr>
      <w:pStyle w:val="Header"/>
      <w:tabs>
        <w:tab w:val="clear" w:pos="8640"/>
      </w:tabs>
      <w:ind w:right="-450"/>
    </w:pPr>
    <w:r>
      <w:t>R.15-06-009  COM/CR6/avs</w:t>
    </w:r>
    <w:r>
      <w:tab/>
    </w:r>
    <w:r>
      <w:tab/>
    </w:r>
    <w:r>
      <w:tab/>
    </w:r>
  </w:p>
  <w:p w14:paraId="7452FFD9" w14:textId="77777777" w:rsidR="0002283C" w:rsidRDefault="0002283C" w:rsidP="008D0AEE">
    <w:pPr>
      <w:pStyle w:val="Header"/>
    </w:pPr>
  </w:p>
  <w:p w14:paraId="2F2E1D19" w14:textId="77777777" w:rsidR="0002283C" w:rsidRPr="0007369B" w:rsidRDefault="0002283C" w:rsidP="008D0A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C098" w14:textId="77777777" w:rsidR="00C02C73" w:rsidRDefault="00C02C73" w:rsidP="00C02C73">
    <w:pPr>
      <w:pStyle w:val="Header"/>
      <w:tabs>
        <w:tab w:val="clear" w:pos="8640"/>
      </w:tabs>
      <w:ind w:right="-450"/>
    </w:pPr>
    <w:r>
      <w:t>R.15-06-009  COM/CR6/avs</w:t>
    </w:r>
    <w:r>
      <w:tab/>
    </w:r>
    <w:r>
      <w:tab/>
    </w:r>
    <w:r>
      <w:tab/>
    </w:r>
  </w:p>
  <w:p w14:paraId="1F686367" w14:textId="77777777" w:rsidR="00C02C73" w:rsidRDefault="00C02C73" w:rsidP="00635DA5">
    <w:pPr>
      <w:pStyle w:val="Header"/>
      <w:tabs>
        <w:tab w:val="clear" w:pos="8640"/>
      </w:tabs>
      <w:ind w:right="-450"/>
    </w:pPr>
  </w:p>
  <w:p w14:paraId="71544F80" w14:textId="77777777" w:rsidR="00C02C73" w:rsidRPr="0007369B" w:rsidRDefault="00C02C73" w:rsidP="00D36D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C839" w14:textId="5905FF48" w:rsidR="00D51E45" w:rsidRDefault="00D51E45" w:rsidP="00D51E45">
    <w:pPr>
      <w:pStyle w:val="Header"/>
      <w:tabs>
        <w:tab w:val="clear" w:pos="8640"/>
      </w:tabs>
      <w:ind w:right="-450"/>
    </w:pPr>
    <w:r>
      <w:t>R.15-06-009  COM/CR6/avs</w:t>
    </w:r>
    <w:r>
      <w:tab/>
    </w:r>
    <w:r>
      <w:tab/>
    </w:r>
    <w:r>
      <w:tab/>
    </w:r>
  </w:p>
  <w:p w14:paraId="561F5F6C" w14:textId="0C9C8C27" w:rsidR="00D51E45" w:rsidRDefault="00D51E45" w:rsidP="00D51E45">
    <w:pPr>
      <w:pStyle w:val="Header"/>
      <w:tabs>
        <w:tab w:val="clear" w:pos="8640"/>
      </w:tabs>
      <w:ind w:right="-450"/>
    </w:pPr>
  </w:p>
  <w:p w14:paraId="6CB96671" w14:textId="77777777" w:rsidR="00D51E45" w:rsidRDefault="00D51E45" w:rsidP="00D51E45">
    <w:pPr>
      <w:pStyle w:val="Header"/>
      <w:tabs>
        <w:tab w:val="clear" w:pos="8640"/>
      </w:tabs>
      <w:ind w:right="-450"/>
    </w:pPr>
  </w:p>
  <w:p w14:paraId="4C95F1BB" w14:textId="77777777" w:rsidR="0002283C" w:rsidRPr="00C02C73" w:rsidRDefault="0002283C" w:rsidP="00B25734">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2E94DA8"/>
    <w:multiLevelType w:val="hybridMultilevel"/>
    <w:tmpl w:val="1F4E4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D0EEF"/>
    <w:multiLevelType w:val="multilevel"/>
    <w:tmpl w:val="22825D0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187919"/>
    <w:multiLevelType w:val="hybridMultilevel"/>
    <w:tmpl w:val="479C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B5B63"/>
    <w:multiLevelType w:val="hybridMultilevel"/>
    <w:tmpl w:val="C696E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234D4"/>
    <w:multiLevelType w:val="hybridMultilevel"/>
    <w:tmpl w:val="C4CAEB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0E4BA1"/>
    <w:multiLevelType w:val="hybridMultilevel"/>
    <w:tmpl w:val="31F02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3B381E"/>
    <w:multiLevelType w:val="singleLevel"/>
    <w:tmpl w:val="2FB6A734"/>
    <w:lvl w:ilvl="0">
      <w:start w:val="1"/>
      <w:numFmt w:val="decimal"/>
      <w:lvlText w:val="%1."/>
      <w:legacy w:legacy="1" w:legacySpace="144" w:legacyIndent="0"/>
      <w:lvlJc w:val="left"/>
    </w:lvl>
  </w:abstractNum>
  <w:abstractNum w:abstractNumId="8">
    <w:nsid w:val="19157D23"/>
    <w:multiLevelType w:val="multilevel"/>
    <w:tmpl w:val="EFD8D63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EBA73B7"/>
    <w:multiLevelType w:val="hybridMultilevel"/>
    <w:tmpl w:val="ED46243E"/>
    <w:lvl w:ilvl="0" w:tplc="0409000F">
      <w:start w:val="1"/>
      <w:numFmt w:val="decimal"/>
      <w:lvlText w:val="%1."/>
      <w:lvlJc w:val="left"/>
      <w:pPr>
        <w:ind w:left="1440" w:hanging="360"/>
      </w:pPr>
    </w:lvl>
    <w:lvl w:ilvl="1" w:tplc="0409000F">
      <w:start w:val="1"/>
      <w:numFmt w:val="decimal"/>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534D04"/>
    <w:multiLevelType w:val="hybridMultilevel"/>
    <w:tmpl w:val="68BE9C9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2638D6"/>
    <w:multiLevelType w:val="hybridMultilevel"/>
    <w:tmpl w:val="6914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46003"/>
    <w:multiLevelType w:val="singleLevel"/>
    <w:tmpl w:val="2FB6A734"/>
    <w:lvl w:ilvl="0">
      <w:start w:val="1"/>
      <w:numFmt w:val="decimal"/>
      <w:lvlText w:val="%1."/>
      <w:legacy w:legacy="1" w:legacySpace="144" w:legacyIndent="0"/>
      <w:lvlJc w:val="left"/>
    </w:lvl>
  </w:abstractNum>
  <w:abstractNum w:abstractNumId="13">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5">
    <w:nsid w:val="39691DCF"/>
    <w:multiLevelType w:val="hybridMultilevel"/>
    <w:tmpl w:val="AFA4BF3A"/>
    <w:lvl w:ilvl="0" w:tplc="A3740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1F5A0C"/>
    <w:multiLevelType w:val="hybridMultilevel"/>
    <w:tmpl w:val="70284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9C5B2F"/>
    <w:multiLevelType w:val="hybridMultilevel"/>
    <w:tmpl w:val="DB863B78"/>
    <w:lvl w:ilvl="0" w:tplc="0409000F">
      <w:start w:val="1"/>
      <w:numFmt w:val="decimal"/>
      <w:lvlText w:val="%1."/>
      <w:lvlJc w:val="left"/>
      <w:pPr>
        <w:ind w:left="1440" w:hanging="360"/>
      </w:pPr>
    </w:lvl>
    <w:lvl w:ilvl="1" w:tplc="0409000F">
      <w:start w:val="1"/>
      <w:numFmt w:val="decimal"/>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E65F8F"/>
    <w:multiLevelType w:val="multilevel"/>
    <w:tmpl w:val="9C48FE3A"/>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4A95B01"/>
    <w:multiLevelType w:val="hybridMultilevel"/>
    <w:tmpl w:val="B7DE70EA"/>
    <w:lvl w:ilvl="0" w:tplc="7944B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BD444A"/>
    <w:multiLevelType w:val="hybridMultilevel"/>
    <w:tmpl w:val="98A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95661"/>
    <w:multiLevelType w:val="multilevel"/>
    <w:tmpl w:val="479EE210"/>
    <w:styleLink w:val="List0"/>
    <w:lvl w:ilvl="0">
      <w:start w:val="1"/>
      <w:numFmt w:val="upperLetter"/>
      <w:lvlText w:val="%1."/>
      <w:lvlJc w:val="left"/>
      <w:pPr>
        <w:tabs>
          <w:tab w:val="num" w:pos="720"/>
        </w:tabs>
        <w:ind w:left="720" w:hanging="360"/>
      </w:pPr>
      <w:rPr>
        <w:rFonts w:ascii="Times" w:eastAsia="Times" w:hAnsi="Times" w:cs="Times"/>
        <w:b/>
        <w:bCs/>
        <w:position w:val="0"/>
        <w:sz w:val="26"/>
        <w:szCs w:val="26"/>
      </w:rPr>
    </w:lvl>
    <w:lvl w:ilvl="1">
      <w:start w:val="1"/>
      <w:numFmt w:val="lowerLetter"/>
      <w:lvlText w:val="%2."/>
      <w:lvlJc w:val="left"/>
      <w:pPr>
        <w:tabs>
          <w:tab w:val="num" w:pos="1470"/>
        </w:tabs>
        <w:ind w:left="1470" w:hanging="390"/>
      </w:pPr>
      <w:rPr>
        <w:rFonts w:ascii="Palatino Linotype" w:eastAsia="Palatino Linotype" w:hAnsi="Palatino Linotype" w:cs="Palatino Linotype"/>
        <w:b/>
        <w:bCs/>
        <w:position w:val="0"/>
        <w:sz w:val="26"/>
        <w:szCs w:val="26"/>
      </w:rPr>
    </w:lvl>
    <w:lvl w:ilvl="2">
      <w:start w:val="1"/>
      <w:numFmt w:val="lowerRoman"/>
      <w:lvlText w:val="%3."/>
      <w:lvlJc w:val="left"/>
      <w:pPr>
        <w:tabs>
          <w:tab w:val="num" w:pos="2185"/>
        </w:tabs>
        <w:ind w:left="2185" w:hanging="321"/>
      </w:pPr>
      <w:rPr>
        <w:rFonts w:ascii="Palatino Linotype" w:eastAsia="Palatino Linotype" w:hAnsi="Palatino Linotype" w:cs="Palatino Linotype"/>
        <w:b/>
        <w:bCs/>
        <w:position w:val="0"/>
        <w:sz w:val="26"/>
        <w:szCs w:val="26"/>
      </w:rPr>
    </w:lvl>
    <w:lvl w:ilvl="3">
      <w:start w:val="1"/>
      <w:numFmt w:val="decimal"/>
      <w:lvlText w:val="%4."/>
      <w:lvlJc w:val="left"/>
      <w:pPr>
        <w:tabs>
          <w:tab w:val="num" w:pos="2910"/>
        </w:tabs>
        <w:ind w:left="2910" w:hanging="390"/>
      </w:pPr>
      <w:rPr>
        <w:rFonts w:ascii="Palatino Linotype" w:eastAsia="Palatino Linotype" w:hAnsi="Palatino Linotype" w:cs="Palatino Linotype"/>
        <w:b/>
        <w:bCs/>
        <w:position w:val="0"/>
        <w:sz w:val="26"/>
        <w:szCs w:val="26"/>
      </w:rPr>
    </w:lvl>
    <w:lvl w:ilvl="4">
      <w:start w:val="1"/>
      <w:numFmt w:val="lowerLetter"/>
      <w:lvlText w:val="%5."/>
      <w:lvlJc w:val="left"/>
      <w:pPr>
        <w:tabs>
          <w:tab w:val="num" w:pos="3630"/>
        </w:tabs>
        <w:ind w:left="3630" w:hanging="390"/>
      </w:pPr>
      <w:rPr>
        <w:rFonts w:ascii="Palatino Linotype" w:eastAsia="Palatino Linotype" w:hAnsi="Palatino Linotype" w:cs="Palatino Linotype"/>
        <w:b/>
        <w:bCs/>
        <w:position w:val="0"/>
        <w:sz w:val="26"/>
        <w:szCs w:val="26"/>
      </w:rPr>
    </w:lvl>
    <w:lvl w:ilvl="5">
      <w:start w:val="1"/>
      <w:numFmt w:val="lowerRoman"/>
      <w:lvlText w:val="%6."/>
      <w:lvlJc w:val="left"/>
      <w:pPr>
        <w:tabs>
          <w:tab w:val="num" w:pos="4345"/>
        </w:tabs>
        <w:ind w:left="4345" w:hanging="321"/>
      </w:pPr>
      <w:rPr>
        <w:rFonts w:ascii="Palatino Linotype" w:eastAsia="Palatino Linotype" w:hAnsi="Palatino Linotype" w:cs="Palatino Linotype"/>
        <w:b/>
        <w:bCs/>
        <w:position w:val="0"/>
        <w:sz w:val="26"/>
        <w:szCs w:val="26"/>
      </w:rPr>
    </w:lvl>
    <w:lvl w:ilvl="6">
      <w:start w:val="1"/>
      <w:numFmt w:val="decimal"/>
      <w:lvlText w:val="%7."/>
      <w:lvlJc w:val="left"/>
      <w:pPr>
        <w:tabs>
          <w:tab w:val="num" w:pos="5070"/>
        </w:tabs>
        <w:ind w:left="5070" w:hanging="390"/>
      </w:pPr>
      <w:rPr>
        <w:rFonts w:ascii="Palatino Linotype" w:eastAsia="Palatino Linotype" w:hAnsi="Palatino Linotype" w:cs="Palatino Linotype"/>
        <w:b/>
        <w:bCs/>
        <w:position w:val="0"/>
        <w:sz w:val="26"/>
        <w:szCs w:val="26"/>
      </w:rPr>
    </w:lvl>
    <w:lvl w:ilvl="7">
      <w:start w:val="1"/>
      <w:numFmt w:val="lowerLetter"/>
      <w:lvlText w:val="%8."/>
      <w:lvlJc w:val="left"/>
      <w:pPr>
        <w:tabs>
          <w:tab w:val="num" w:pos="5790"/>
        </w:tabs>
        <w:ind w:left="5790" w:hanging="390"/>
      </w:pPr>
      <w:rPr>
        <w:rFonts w:ascii="Palatino Linotype" w:eastAsia="Palatino Linotype" w:hAnsi="Palatino Linotype" w:cs="Palatino Linotype"/>
        <w:b/>
        <w:bCs/>
        <w:position w:val="0"/>
        <w:sz w:val="26"/>
        <w:szCs w:val="26"/>
      </w:rPr>
    </w:lvl>
    <w:lvl w:ilvl="8">
      <w:start w:val="1"/>
      <w:numFmt w:val="lowerRoman"/>
      <w:lvlText w:val="%9."/>
      <w:lvlJc w:val="left"/>
      <w:pPr>
        <w:tabs>
          <w:tab w:val="num" w:pos="6505"/>
        </w:tabs>
        <w:ind w:left="6505" w:hanging="321"/>
      </w:pPr>
      <w:rPr>
        <w:rFonts w:ascii="Palatino Linotype" w:eastAsia="Palatino Linotype" w:hAnsi="Palatino Linotype" w:cs="Palatino Linotype"/>
        <w:b/>
        <w:bCs/>
        <w:position w:val="0"/>
        <w:sz w:val="26"/>
        <w:szCs w:val="26"/>
      </w:rPr>
    </w:lvl>
  </w:abstractNum>
  <w:abstractNum w:abstractNumId="23">
    <w:nsid w:val="51987F0F"/>
    <w:multiLevelType w:val="hybridMultilevel"/>
    <w:tmpl w:val="F5D8F8EE"/>
    <w:lvl w:ilvl="0" w:tplc="BCDA8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8679F"/>
    <w:multiLevelType w:val="hybridMultilevel"/>
    <w:tmpl w:val="CBC02AD4"/>
    <w:lvl w:ilvl="0" w:tplc="5C42E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544E17"/>
    <w:multiLevelType w:val="multilevel"/>
    <w:tmpl w:val="BF76AFB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57EF31BB"/>
    <w:multiLevelType w:val="hybridMultilevel"/>
    <w:tmpl w:val="2D72F848"/>
    <w:lvl w:ilvl="0" w:tplc="722445EE">
      <w:start w:val="1"/>
      <w:numFmt w:val="lowerLetter"/>
      <w:lvlText w:val="(%1)"/>
      <w:lvlJc w:val="left"/>
      <w:pPr>
        <w:ind w:left="720" w:hanging="360"/>
      </w:pPr>
      <w:rPr>
        <w:rFonts w:ascii="Palatino" w:eastAsia="Palatino Linotype" w:hAnsi="Palatino" w:cs="Palatino Linoty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73A0B"/>
    <w:multiLevelType w:val="hybridMultilevel"/>
    <w:tmpl w:val="26B68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547FE"/>
    <w:multiLevelType w:val="hybridMultilevel"/>
    <w:tmpl w:val="F4A4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9272F"/>
    <w:multiLevelType w:val="hybridMultilevel"/>
    <w:tmpl w:val="EDD8F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D84097"/>
    <w:multiLevelType w:val="hybridMultilevel"/>
    <w:tmpl w:val="41FA7668"/>
    <w:lvl w:ilvl="0" w:tplc="12F0C3F6">
      <w:numFmt w:val="bullet"/>
      <w:pStyle w:val="StyleHeading1Before0ptAfter0ptLinespacing15l"/>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1A2413"/>
    <w:multiLevelType w:val="hybridMultilevel"/>
    <w:tmpl w:val="FC8AF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A25CB"/>
    <w:multiLevelType w:val="hybridMultilevel"/>
    <w:tmpl w:val="030EA582"/>
    <w:lvl w:ilvl="0" w:tplc="F14C7E7E">
      <w:start w:val="1"/>
      <w:numFmt w:val="decimal"/>
      <w:lvlText w:val="%1."/>
      <w:lvlJc w:val="left"/>
      <w:pPr>
        <w:ind w:left="810" w:hanging="360"/>
      </w:pPr>
      <w:rPr>
        <w:rFonts w:ascii="Palatino" w:eastAsia="Times New Roman" w:hAnsi="Palatino"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A91095B"/>
    <w:multiLevelType w:val="hybridMultilevel"/>
    <w:tmpl w:val="DBF6F222"/>
    <w:lvl w:ilvl="0" w:tplc="CB5651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510F2"/>
    <w:multiLevelType w:val="hybridMultilevel"/>
    <w:tmpl w:val="94063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3D726F"/>
    <w:multiLevelType w:val="singleLevel"/>
    <w:tmpl w:val="2FB6A734"/>
    <w:lvl w:ilvl="0">
      <w:start w:val="1"/>
      <w:numFmt w:val="decimal"/>
      <w:lvlText w:val="%1."/>
      <w:legacy w:legacy="1" w:legacySpace="144" w:legacyIndent="0"/>
      <w:lvlJc w:val="left"/>
    </w:lvl>
  </w:abstractNum>
  <w:abstractNum w:abstractNumId="36">
    <w:nsid w:val="6F611D6F"/>
    <w:multiLevelType w:val="multilevel"/>
    <w:tmpl w:val="A96C3D4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2D063C2"/>
    <w:multiLevelType w:val="hybridMultilevel"/>
    <w:tmpl w:val="CB14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13B70"/>
    <w:multiLevelType w:val="hybridMultilevel"/>
    <w:tmpl w:val="688C5AF4"/>
    <w:lvl w:ilvl="0" w:tplc="0409000F">
      <w:start w:val="1"/>
      <w:numFmt w:val="decimal"/>
      <w:lvlText w:val="%1."/>
      <w:lvlJc w:val="left"/>
      <w:pPr>
        <w:ind w:left="720" w:hanging="360"/>
      </w:pPr>
      <w:rPr>
        <w:rFonts w:hint="default"/>
      </w:rPr>
    </w:lvl>
    <w:lvl w:ilvl="1" w:tplc="A0123D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47CFD"/>
    <w:multiLevelType w:val="multilevel"/>
    <w:tmpl w:val="75CE055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B1C30FD"/>
    <w:multiLevelType w:val="singleLevel"/>
    <w:tmpl w:val="2FB6A734"/>
    <w:lvl w:ilvl="0">
      <w:start w:val="1"/>
      <w:numFmt w:val="decimal"/>
      <w:lvlText w:val="%1."/>
      <w:legacy w:legacy="1" w:legacySpace="144" w:legacyIndent="0"/>
      <w:lvlJc w:val="left"/>
    </w:lvl>
  </w:abstractNum>
  <w:num w:numId="1">
    <w:abstractNumId w:val="12"/>
  </w:num>
  <w:num w:numId="2">
    <w:abstractNumId w:val="7"/>
  </w:num>
  <w:num w:numId="3">
    <w:abstractNumId w:val="40"/>
  </w:num>
  <w:num w:numId="4">
    <w:abstractNumId w:val="13"/>
  </w:num>
  <w:num w:numId="5">
    <w:abstractNumId w:val="16"/>
  </w:num>
  <w:num w:numId="6">
    <w:abstractNumId w:val="0"/>
  </w:num>
  <w:num w:numId="7">
    <w:abstractNumId w:val="14"/>
  </w:num>
  <w:num w:numId="8">
    <w:abstractNumId w:val="31"/>
  </w:num>
  <w:num w:numId="9">
    <w:abstractNumId w:val="30"/>
  </w:num>
  <w:num w:numId="10">
    <w:abstractNumId w:val="0"/>
    <w:lvlOverride w:ilvl="0">
      <w:startOverride w:val="1"/>
    </w:lvlOverride>
  </w:num>
  <w:num w:numId="11">
    <w:abstractNumId w:val="35"/>
  </w:num>
  <w:num w:numId="12">
    <w:abstractNumId w:val="4"/>
  </w:num>
  <w:num w:numId="13">
    <w:abstractNumId w:val="38"/>
  </w:num>
  <w:num w:numId="14">
    <w:abstractNumId w:val="2"/>
  </w:num>
  <w:num w:numId="15">
    <w:abstractNumId w:val="39"/>
  </w:num>
  <w:num w:numId="16">
    <w:abstractNumId w:val="1"/>
  </w:num>
  <w:num w:numId="17">
    <w:abstractNumId w:val="36"/>
  </w:num>
  <w:num w:numId="18">
    <w:abstractNumId w:val="27"/>
  </w:num>
  <w:num w:numId="19">
    <w:abstractNumId w:val="10"/>
  </w:num>
  <w:num w:numId="20">
    <w:abstractNumId w:val="19"/>
  </w:num>
  <w:num w:numId="21">
    <w:abstractNumId w:val="15"/>
  </w:num>
  <w:num w:numId="22">
    <w:abstractNumId w:val="32"/>
  </w:num>
  <w:num w:numId="23">
    <w:abstractNumId w:val="22"/>
    <w:lvlOverride w:ilvl="3">
      <w:lvl w:ilvl="3">
        <w:start w:val="1"/>
        <w:numFmt w:val="decimal"/>
        <w:lvlText w:val="%4."/>
        <w:lvlJc w:val="left"/>
        <w:pPr>
          <w:tabs>
            <w:tab w:val="num" w:pos="2910"/>
          </w:tabs>
          <w:ind w:left="2910" w:hanging="390"/>
        </w:pPr>
        <w:rPr>
          <w:rFonts w:ascii="Palatino Linotype" w:eastAsia="Palatino Linotype" w:hAnsi="Palatino Linotype" w:cs="Palatino Linotype"/>
          <w:b w:val="0"/>
          <w:bCs/>
          <w:position w:val="0"/>
          <w:sz w:val="26"/>
          <w:szCs w:val="26"/>
        </w:rPr>
      </w:lvl>
    </w:lvlOverride>
  </w:num>
  <w:num w:numId="24">
    <w:abstractNumId w:val="22"/>
  </w:num>
  <w:num w:numId="25">
    <w:abstractNumId w:val="25"/>
  </w:num>
  <w:num w:numId="26">
    <w:abstractNumId w:val="11"/>
  </w:num>
  <w:num w:numId="27">
    <w:abstractNumId w:val="17"/>
  </w:num>
  <w:num w:numId="28">
    <w:abstractNumId w:val="21"/>
  </w:num>
  <w:num w:numId="29">
    <w:abstractNumId w:val="6"/>
  </w:num>
  <w:num w:numId="30">
    <w:abstractNumId w:val="24"/>
  </w:num>
  <w:num w:numId="31">
    <w:abstractNumId w:val="26"/>
  </w:num>
  <w:num w:numId="32">
    <w:abstractNumId w:val="5"/>
  </w:num>
  <w:num w:numId="33">
    <w:abstractNumId w:val="18"/>
  </w:num>
  <w:num w:numId="34">
    <w:abstractNumId w:val="34"/>
  </w:num>
  <w:num w:numId="35">
    <w:abstractNumId w:val="9"/>
  </w:num>
  <w:num w:numId="36">
    <w:abstractNumId w:val="23"/>
  </w:num>
  <w:num w:numId="37">
    <w:abstractNumId w:val="3"/>
  </w:num>
  <w:num w:numId="38">
    <w:abstractNumId w:val="8"/>
  </w:num>
  <w:num w:numId="39">
    <w:abstractNumId w:val="20"/>
  </w:num>
  <w:num w:numId="40">
    <w:abstractNumId w:val="37"/>
  </w:num>
  <w:num w:numId="41">
    <w:abstractNumId w:val="33"/>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B9"/>
    <w:rsid w:val="0000712F"/>
    <w:rsid w:val="00010478"/>
    <w:rsid w:val="00013AD0"/>
    <w:rsid w:val="0001573F"/>
    <w:rsid w:val="000158EE"/>
    <w:rsid w:val="0002283C"/>
    <w:rsid w:val="00033F04"/>
    <w:rsid w:val="0003571A"/>
    <w:rsid w:val="00041235"/>
    <w:rsid w:val="0004343F"/>
    <w:rsid w:val="000457CE"/>
    <w:rsid w:val="0005613D"/>
    <w:rsid w:val="00062A6E"/>
    <w:rsid w:val="000661A6"/>
    <w:rsid w:val="00066B10"/>
    <w:rsid w:val="00067A9D"/>
    <w:rsid w:val="000720C8"/>
    <w:rsid w:val="0007369B"/>
    <w:rsid w:val="000848F8"/>
    <w:rsid w:val="00084F63"/>
    <w:rsid w:val="0008501F"/>
    <w:rsid w:val="00096C93"/>
    <w:rsid w:val="000A1C99"/>
    <w:rsid w:val="000B0B88"/>
    <w:rsid w:val="000B1761"/>
    <w:rsid w:val="000B2BF7"/>
    <w:rsid w:val="000B7153"/>
    <w:rsid w:val="000C1A46"/>
    <w:rsid w:val="000C1EC2"/>
    <w:rsid w:val="000C6EDA"/>
    <w:rsid w:val="000C76C6"/>
    <w:rsid w:val="000D1F2C"/>
    <w:rsid w:val="000D3477"/>
    <w:rsid w:val="000E15EC"/>
    <w:rsid w:val="000E657D"/>
    <w:rsid w:val="000E7639"/>
    <w:rsid w:val="000F1F33"/>
    <w:rsid w:val="00110861"/>
    <w:rsid w:val="00114769"/>
    <w:rsid w:val="0011761E"/>
    <w:rsid w:val="00120CDB"/>
    <w:rsid w:val="00131F6D"/>
    <w:rsid w:val="00132945"/>
    <w:rsid w:val="00135088"/>
    <w:rsid w:val="00142E37"/>
    <w:rsid w:val="00142FA1"/>
    <w:rsid w:val="00144855"/>
    <w:rsid w:val="001463D4"/>
    <w:rsid w:val="00147718"/>
    <w:rsid w:val="00166981"/>
    <w:rsid w:val="001753E0"/>
    <w:rsid w:val="00194C17"/>
    <w:rsid w:val="001956D6"/>
    <w:rsid w:val="001A39CA"/>
    <w:rsid w:val="001B4B2F"/>
    <w:rsid w:val="001B52B0"/>
    <w:rsid w:val="001B6698"/>
    <w:rsid w:val="001C775A"/>
    <w:rsid w:val="001F4CD0"/>
    <w:rsid w:val="00205FD0"/>
    <w:rsid w:val="00207484"/>
    <w:rsid w:val="00220D7E"/>
    <w:rsid w:val="00224ADC"/>
    <w:rsid w:val="0022736F"/>
    <w:rsid w:val="002340E5"/>
    <w:rsid w:val="0023788A"/>
    <w:rsid w:val="002459CB"/>
    <w:rsid w:val="00246737"/>
    <w:rsid w:val="00253A29"/>
    <w:rsid w:val="00254A32"/>
    <w:rsid w:val="00263268"/>
    <w:rsid w:val="00272D20"/>
    <w:rsid w:val="00277D1C"/>
    <w:rsid w:val="002919D8"/>
    <w:rsid w:val="00296E6D"/>
    <w:rsid w:val="002C3B39"/>
    <w:rsid w:val="002C3EDE"/>
    <w:rsid w:val="002C4D8A"/>
    <w:rsid w:val="002D0DA2"/>
    <w:rsid w:val="002E2BE0"/>
    <w:rsid w:val="002E3F57"/>
    <w:rsid w:val="002E5A0F"/>
    <w:rsid w:val="002F25AD"/>
    <w:rsid w:val="002F370E"/>
    <w:rsid w:val="002F4B64"/>
    <w:rsid w:val="00305952"/>
    <w:rsid w:val="00307975"/>
    <w:rsid w:val="00312C21"/>
    <w:rsid w:val="003151AF"/>
    <w:rsid w:val="00315473"/>
    <w:rsid w:val="00315D11"/>
    <w:rsid w:val="00322A86"/>
    <w:rsid w:val="00324D71"/>
    <w:rsid w:val="0035771E"/>
    <w:rsid w:val="00361476"/>
    <w:rsid w:val="0036566C"/>
    <w:rsid w:val="00374129"/>
    <w:rsid w:val="003763AB"/>
    <w:rsid w:val="00392DFB"/>
    <w:rsid w:val="003A06E2"/>
    <w:rsid w:val="003A2D6C"/>
    <w:rsid w:val="003A72D3"/>
    <w:rsid w:val="003B5592"/>
    <w:rsid w:val="003C3B66"/>
    <w:rsid w:val="003C57C3"/>
    <w:rsid w:val="003C58F6"/>
    <w:rsid w:val="003E42EE"/>
    <w:rsid w:val="003F6E18"/>
    <w:rsid w:val="003F7204"/>
    <w:rsid w:val="00403A39"/>
    <w:rsid w:val="0041235E"/>
    <w:rsid w:val="004128D1"/>
    <w:rsid w:val="00415A1A"/>
    <w:rsid w:val="004178D6"/>
    <w:rsid w:val="00421914"/>
    <w:rsid w:val="00422E23"/>
    <w:rsid w:val="00434CB6"/>
    <w:rsid w:val="00445CAA"/>
    <w:rsid w:val="0045230A"/>
    <w:rsid w:val="004530AC"/>
    <w:rsid w:val="004544F9"/>
    <w:rsid w:val="0046034C"/>
    <w:rsid w:val="004605DB"/>
    <w:rsid w:val="00466B02"/>
    <w:rsid w:val="00467509"/>
    <w:rsid w:val="00480235"/>
    <w:rsid w:val="00480D29"/>
    <w:rsid w:val="004826A7"/>
    <w:rsid w:val="004844C7"/>
    <w:rsid w:val="00494CBA"/>
    <w:rsid w:val="004C2F94"/>
    <w:rsid w:val="004C3030"/>
    <w:rsid w:val="004D3D98"/>
    <w:rsid w:val="0050548C"/>
    <w:rsid w:val="0050766E"/>
    <w:rsid w:val="0051008B"/>
    <w:rsid w:val="00511880"/>
    <w:rsid w:val="00513EED"/>
    <w:rsid w:val="0051633C"/>
    <w:rsid w:val="00521C79"/>
    <w:rsid w:val="005275C7"/>
    <w:rsid w:val="00527CEE"/>
    <w:rsid w:val="00540775"/>
    <w:rsid w:val="005462C2"/>
    <w:rsid w:val="00546594"/>
    <w:rsid w:val="005469DB"/>
    <w:rsid w:val="00546CA9"/>
    <w:rsid w:val="005541F8"/>
    <w:rsid w:val="00563DBF"/>
    <w:rsid w:val="00570C1E"/>
    <w:rsid w:val="00577B03"/>
    <w:rsid w:val="005816E4"/>
    <w:rsid w:val="00581C0C"/>
    <w:rsid w:val="00582C08"/>
    <w:rsid w:val="005843FC"/>
    <w:rsid w:val="00585922"/>
    <w:rsid w:val="00590428"/>
    <w:rsid w:val="005A610A"/>
    <w:rsid w:val="005B297A"/>
    <w:rsid w:val="005B46A8"/>
    <w:rsid w:val="005C27EE"/>
    <w:rsid w:val="005C3A8B"/>
    <w:rsid w:val="005C66FB"/>
    <w:rsid w:val="005D1AB0"/>
    <w:rsid w:val="005D4C43"/>
    <w:rsid w:val="005D5868"/>
    <w:rsid w:val="005E0B34"/>
    <w:rsid w:val="005E2FC6"/>
    <w:rsid w:val="005E4DBF"/>
    <w:rsid w:val="005F3204"/>
    <w:rsid w:val="005F3674"/>
    <w:rsid w:val="0060465E"/>
    <w:rsid w:val="00604F13"/>
    <w:rsid w:val="00611E50"/>
    <w:rsid w:val="0061665B"/>
    <w:rsid w:val="00621AD9"/>
    <w:rsid w:val="006316EB"/>
    <w:rsid w:val="00635DA5"/>
    <w:rsid w:val="006377A7"/>
    <w:rsid w:val="00640DAA"/>
    <w:rsid w:val="006420AA"/>
    <w:rsid w:val="006433AA"/>
    <w:rsid w:val="006463F0"/>
    <w:rsid w:val="00655742"/>
    <w:rsid w:val="00655A27"/>
    <w:rsid w:val="00661516"/>
    <w:rsid w:val="0066448F"/>
    <w:rsid w:val="006877DB"/>
    <w:rsid w:val="0069239C"/>
    <w:rsid w:val="006933C7"/>
    <w:rsid w:val="006937AC"/>
    <w:rsid w:val="006946F8"/>
    <w:rsid w:val="00694CC6"/>
    <w:rsid w:val="00695834"/>
    <w:rsid w:val="006965B8"/>
    <w:rsid w:val="006B0564"/>
    <w:rsid w:val="006B478B"/>
    <w:rsid w:val="006C48A9"/>
    <w:rsid w:val="006C5667"/>
    <w:rsid w:val="006C5C5A"/>
    <w:rsid w:val="006D2A12"/>
    <w:rsid w:val="006E6BD9"/>
    <w:rsid w:val="006F424D"/>
    <w:rsid w:val="006F5CA8"/>
    <w:rsid w:val="006F5E07"/>
    <w:rsid w:val="006F7645"/>
    <w:rsid w:val="00705AB5"/>
    <w:rsid w:val="00705F81"/>
    <w:rsid w:val="007065C9"/>
    <w:rsid w:val="00713587"/>
    <w:rsid w:val="007147AF"/>
    <w:rsid w:val="00726B9C"/>
    <w:rsid w:val="00733188"/>
    <w:rsid w:val="0073477E"/>
    <w:rsid w:val="00735118"/>
    <w:rsid w:val="0073514B"/>
    <w:rsid w:val="007375A7"/>
    <w:rsid w:val="0076359F"/>
    <w:rsid w:val="00781C55"/>
    <w:rsid w:val="00783947"/>
    <w:rsid w:val="007948A0"/>
    <w:rsid w:val="007A05C5"/>
    <w:rsid w:val="007A2FFA"/>
    <w:rsid w:val="007A43C6"/>
    <w:rsid w:val="007B0093"/>
    <w:rsid w:val="007C7479"/>
    <w:rsid w:val="007C754C"/>
    <w:rsid w:val="007C75A4"/>
    <w:rsid w:val="007D0926"/>
    <w:rsid w:val="007D3ED0"/>
    <w:rsid w:val="007E3B70"/>
    <w:rsid w:val="007E552D"/>
    <w:rsid w:val="007E58F0"/>
    <w:rsid w:val="007E7FBB"/>
    <w:rsid w:val="007F50A8"/>
    <w:rsid w:val="00815462"/>
    <w:rsid w:val="00816FB1"/>
    <w:rsid w:val="00817E17"/>
    <w:rsid w:val="008217D6"/>
    <w:rsid w:val="008240E1"/>
    <w:rsid w:val="0084433D"/>
    <w:rsid w:val="00847928"/>
    <w:rsid w:val="008564D2"/>
    <w:rsid w:val="008873E6"/>
    <w:rsid w:val="0088758F"/>
    <w:rsid w:val="00887A7E"/>
    <w:rsid w:val="00891069"/>
    <w:rsid w:val="008913E6"/>
    <w:rsid w:val="00896019"/>
    <w:rsid w:val="008A1E47"/>
    <w:rsid w:val="008A600C"/>
    <w:rsid w:val="008B5C4B"/>
    <w:rsid w:val="008B652B"/>
    <w:rsid w:val="008C32BE"/>
    <w:rsid w:val="008C5F12"/>
    <w:rsid w:val="008D0AEE"/>
    <w:rsid w:val="008D30CE"/>
    <w:rsid w:val="008D56B1"/>
    <w:rsid w:val="008D57A3"/>
    <w:rsid w:val="008E2053"/>
    <w:rsid w:val="008E5DA7"/>
    <w:rsid w:val="008F0558"/>
    <w:rsid w:val="008F64FC"/>
    <w:rsid w:val="008F7776"/>
    <w:rsid w:val="00903704"/>
    <w:rsid w:val="009041E4"/>
    <w:rsid w:val="00904650"/>
    <w:rsid w:val="009058B0"/>
    <w:rsid w:val="0090753C"/>
    <w:rsid w:val="00920249"/>
    <w:rsid w:val="00931702"/>
    <w:rsid w:val="00933035"/>
    <w:rsid w:val="00956389"/>
    <w:rsid w:val="00956589"/>
    <w:rsid w:val="00962E57"/>
    <w:rsid w:val="0097033D"/>
    <w:rsid w:val="0097193B"/>
    <w:rsid w:val="0097271E"/>
    <w:rsid w:val="009824E7"/>
    <w:rsid w:val="00994FD2"/>
    <w:rsid w:val="009A56D9"/>
    <w:rsid w:val="009B46C8"/>
    <w:rsid w:val="009B7916"/>
    <w:rsid w:val="009B7D1E"/>
    <w:rsid w:val="009D24D2"/>
    <w:rsid w:val="009D4A7E"/>
    <w:rsid w:val="009E01E8"/>
    <w:rsid w:val="009E1442"/>
    <w:rsid w:val="009E20A1"/>
    <w:rsid w:val="009E2E6C"/>
    <w:rsid w:val="009E50B3"/>
    <w:rsid w:val="009F1BCD"/>
    <w:rsid w:val="009F30D1"/>
    <w:rsid w:val="009F535E"/>
    <w:rsid w:val="00A01612"/>
    <w:rsid w:val="00A03BDD"/>
    <w:rsid w:val="00A13AB0"/>
    <w:rsid w:val="00A21A07"/>
    <w:rsid w:val="00A233A6"/>
    <w:rsid w:val="00A30128"/>
    <w:rsid w:val="00A32C2F"/>
    <w:rsid w:val="00A342FB"/>
    <w:rsid w:val="00A35A57"/>
    <w:rsid w:val="00A427DA"/>
    <w:rsid w:val="00A47242"/>
    <w:rsid w:val="00A55602"/>
    <w:rsid w:val="00A57E44"/>
    <w:rsid w:val="00A608FB"/>
    <w:rsid w:val="00A62B53"/>
    <w:rsid w:val="00A63029"/>
    <w:rsid w:val="00A63887"/>
    <w:rsid w:val="00A74C47"/>
    <w:rsid w:val="00A77083"/>
    <w:rsid w:val="00A8594E"/>
    <w:rsid w:val="00A91243"/>
    <w:rsid w:val="00A9524B"/>
    <w:rsid w:val="00AA67BD"/>
    <w:rsid w:val="00AB1A43"/>
    <w:rsid w:val="00AB48EC"/>
    <w:rsid w:val="00AC0A43"/>
    <w:rsid w:val="00AC2BF3"/>
    <w:rsid w:val="00AD1F1B"/>
    <w:rsid w:val="00AD7AB6"/>
    <w:rsid w:val="00AE4EE2"/>
    <w:rsid w:val="00AE631C"/>
    <w:rsid w:val="00B05310"/>
    <w:rsid w:val="00B0774B"/>
    <w:rsid w:val="00B233F6"/>
    <w:rsid w:val="00B25734"/>
    <w:rsid w:val="00B25919"/>
    <w:rsid w:val="00B25A38"/>
    <w:rsid w:val="00B31E65"/>
    <w:rsid w:val="00B3573F"/>
    <w:rsid w:val="00B412F3"/>
    <w:rsid w:val="00B534B7"/>
    <w:rsid w:val="00B536AA"/>
    <w:rsid w:val="00B62890"/>
    <w:rsid w:val="00B65E04"/>
    <w:rsid w:val="00B80F6A"/>
    <w:rsid w:val="00B83592"/>
    <w:rsid w:val="00B918A8"/>
    <w:rsid w:val="00B94278"/>
    <w:rsid w:val="00B94B9A"/>
    <w:rsid w:val="00B953A1"/>
    <w:rsid w:val="00BA5267"/>
    <w:rsid w:val="00BB3649"/>
    <w:rsid w:val="00BB79DE"/>
    <w:rsid w:val="00BC3402"/>
    <w:rsid w:val="00BC4631"/>
    <w:rsid w:val="00BD6B83"/>
    <w:rsid w:val="00BE3727"/>
    <w:rsid w:val="00BE596B"/>
    <w:rsid w:val="00BF381A"/>
    <w:rsid w:val="00C01F23"/>
    <w:rsid w:val="00C02C73"/>
    <w:rsid w:val="00C12878"/>
    <w:rsid w:val="00C15A15"/>
    <w:rsid w:val="00C23C5E"/>
    <w:rsid w:val="00C30694"/>
    <w:rsid w:val="00C3586D"/>
    <w:rsid w:val="00C402C8"/>
    <w:rsid w:val="00C5439B"/>
    <w:rsid w:val="00C5498D"/>
    <w:rsid w:val="00C55C1B"/>
    <w:rsid w:val="00C62FC4"/>
    <w:rsid w:val="00C63404"/>
    <w:rsid w:val="00C64B5A"/>
    <w:rsid w:val="00C65E79"/>
    <w:rsid w:val="00C669F6"/>
    <w:rsid w:val="00C70D9C"/>
    <w:rsid w:val="00C7554E"/>
    <w:rsid w:val="00C834C5"/>
    <w:rsid w:val="00C843A2"/>
    <w:rsid w:val="00CA5F70"/>
    <w:rsid w:val="00CA5FB9"/>
    <w:rsid w:val="00CB0C71"/>
    <w:rsid w:val="00CB7FB8"/>
    <w:rsid w:val="00CC050F"/>
    <w:rsid w:val="00CC200A"/>
    <w:rsid w:val="00CC2A00"/>
    <w:rsid w:val="00CD23D5"/>
    <w:rsid w:val="00CE2C44"/>
    <w:rsid w:val="00CE3651"/>
    <w:rsid w:val="00CE4B57"/>
    <w:rsid w:val="00CE7147"/>
    <w:rsid w:val="00CF0F2A"/>
    <w:rsid w:val="00CF202A"/>
    <w:rsid w:val="00CF36F0"/>
    <w:rsid w:val="00D06DE0"/>
    <w:rsid w:val="00D34E37"/>
    <w:rsid w:val="00D36D8D"/>
    <w:rsid w:val="00D43F0D"/>
    <w:rsid w:val="00D44970"/>
    <w:rsid w:val="00D4753A"/>
    <w:rsid w:val="00D47CB9"/>
    <w:rsid w:val="00D51E45"/>
    <w:rsid w:val="00D52917"/>
    <w:rsid w:val="00D52AA4"/>
    <w:rsid w:val="00D53420"/>
    <w:rsid w:val="00D55250"/>
    <w:rsid w:val="00D5537C"/>
    <w:rsid w:val="00D7101C"/>
    <w:rsid w:val="00D72795"/>
    <w:rsid w:val="00D7642C"/>
    <w:rsid w:val="00D837BD"/>
    <w:rsid w:val="00D84D77"/>
    <w:rsid w:val="00D86416"/>
    <w:rsid w:val="00D87310"/>
    <w:rsid w:val="00D95610"/>
    <w:rsid w:val="00D96D82"/>
    <w:rsid w:val="00DA13C4"/>
    <w:rsid w:val="00DA5D45"/>
    <w:rsid w:val="00DA71A0"/>
    <w:rsid w:val="00DB01F8"/>
    <w:rsid w:val="00DB2F6F"/>
    <w:rsid w:val="00DC056C"/>
    <w:rsid w:val="00DC09C1"/>
    <w:rsid w:val="00DC7DCC"/>
    <w:rsid w:val="00DC7E47"/>
    <w:rsid w:val="00DE1082"/>
    <w:rsid w:val="00DE363E"/>
    <w:rsid w:val="00DE6536"/>
    <w:rsid w:val="00E023B3"/>
    <w:rsid w:val="00E03B51"/>
    <w:rsid w:val="00E07187"/>
    <w:rsid w:val="00E13ED7"/>
    <w:rsid w:val="00E20DEA"/>
    <w:rsid w:val="00E26EE6"/>
    <w:rsid w:val="00E3243A"/>
    <w:rsid w:val="00E34379"/>
    <w:rsid w:val="00E41943"/>
    <w:rsid w:val="00E471D0"/>
    <w:rsid w:val="00E4778C"/>
    <w:rsid w:val="00E51A8E"/>
    <w:rsid w:val="00E5373D"/>
    <w:rsid w:val="00E562DB"/>
    <w:rsid w:val="00E64F7E"/>
    <w:rsid w:val="00E659E9"/>
    <w:rsid w:val="00E65A48"/>
    <w:rsid w:val="00E84EB9"/>
    <w:rsid w:val="00E8545F"/>
    <w:rsid w:val="00E86179"/>
    <w:rsid w:val="00E862C3"/>
    <w:rsid w:val="00E87D42"/>
    <w:rsid w:val="00E9037B"/>
    <w:rsid w:val="00E916BD"/>
    <w:rsid w:val="00E922D7"/>
    <w:rsid w:val="00E96C39"/>
    <w:rsid w:val="00EA1F84"/>
    <w:rsid w:val="00EA1FDE"/>
    <w:rsid w:val="00EB7219"/>
    <w:rsid w:val="00EC58AA"/>
    <w:rsid w:val="00ED4D1E"/>
    <w:rsid w:val="00ED64FE"/>
    <w:rsid w:val="00EE5D9C"/>
    <w:rsid w:val="00EF1D30"/>
    <w:rsid w:val="00EF6AD5"/>
    <w:rsid w:val="00F0259A"/>
    <w:rsid w:val="00F06679"/>
    <w:rsid w:val="00F11036"/>
    <w:rsid w:val="00F1325B"/>
    <w:rsid w:val="00F205B3"/>
    <w:rsid w:val="00F2387C"/>
    <w:rsid w:val="00F2781C"/>
    <w:rsid w:val="00F50970"/>
    <w:rsid w:val="00F54AC7"/>
    <w:rsid w:val="00F552BA"/>
    <w:rsid w:val="00F5637B"/>
    <w:rsid w:val="00F71F59"/>
    <w:rsid w:val="00F73738"/>
    <w:rsid w:val="00F74847"/>
    <w:rsid w:val="00F81061"/>
    <w:rsid w:val="00F817B3"/>
    <w:rsid w:val="00F82C3B"/>
    <w:rsid w:val="00F86C3B"/>
    <w:rsid w:val="00F87C91"/>
    <w:rsid w:val="00FA19F3"/>
    <w:rsid w:val="00FA6344"/>
    <w:rsid w:val="00FA6565"/>
    <w:rsid w:val="00FB15B8"/>
    <w:rsid w:val="00FC1465"/>
    <w:rsid w:val="00FD299B"/>
    <w:rsid w:val="00FD2B81"/>
    <w:rsid w:val="00FD6A91"/>
    <w:rsid w:val="00FE3439"/>
    <w:rsid w:val="00FE7B7D"/>
    <w:rsid w:val="00FF3CC6"/>
    <w:rsid w:val="00FF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C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B94B9A"/>
    <w:pPr>
      <w:spacing w:after="120"/>
      <w:ind w:left="360" w:hanging="360"/>
      <w:outlineLvl w:val="0"/>
    </w:pPr>
    <w:rPr>
      <w:rFonts w:ascii="Helvetica" w:hAnsi="Helvetica"/>
      <w:b/>
      <w:kern w:val="28"/>
    </w:rPr>
  </w:style>
  <w:style w:type="paragraph" w:styleId="Heading2">
    <w:name w:val="heading 2"/>
    <w:basedOn w:val="Normal"/>
    <w:next w:val="sub1"/>
    <w:qFormat/>
    <w:rsid w:val="00C01F23"/>
    <w:pPr>
      <w:spacing w:after="120"/>
      <w:ind w:left="1260" w:hanging="540"/>
      <w:outlineLvl w:val="1"/>
    </w:pPr>
    <w:rPr>
      <w:rFonts w:ascii="Helvetica" w:hAnsi="Helvetica"/>
      <w:b/>
    </w:rPr>
  </w:style>
  <w:style w:type="paragraph" w:styleId="Heading3">
    <w:name w:val="heading 3"/>
    <w:basedOn w:val="Normal"/>
    <w:next w:val="sub2"/>
    <w:qFormat/>
    <w:rsid w:val="00B412F3"/>
    <w:pPr>
      <w:spacing w:after="120"/>
      <w:ind w:left="2160" w:right="1440" w:hanging="72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standard"/>
    <w:link w:val="Heading6Char"/>
    <w:qFormat/>
    <w:rsid w:val="0097193B"/>
    <w:p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rsid w:val="0097193B"/>
    <w:p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qFormat/>
    <w:rsid w:val="0097193B"/>
    <w:pPr>
      <w:outlineLvl w:val="7"/>
    </w:pPr>
  </w:style>
  <w:style w:type="paragraph" w:styleId="Heading9">
    <w:name w:val="heading 9"/>
    <w:basedOn w:val="Normal"/>
    <w:next w:val="standard"/>
    <w:link w:val="Heading9Char"/>
    <w:autoRedefine/>
    <w:qFormat/>
    <w:rsid w:val="0097193B"/>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qFormat/>
    <w:pPr>
      <w:spacing w:after="240"/>
    </w:pPr>
    <w:rPr>
      <w:sz w:val="24"/>
    </w:rPr>
  </w:style>
  <w:style w:type="character" w:styleId="FootnoteReference">
    <w:name w:val="footnote reference"/>
    <w:aliases w:val="o,fr,o1,o2,o3,o4,o5,o6,o11,o21,o7,o + Times New Roman,Style 3,Style 12,(NECG) Footnote Reference,Appel note de bas de p,Style 124,Style 17,Style 20,Style 13,fr1,fr2,fr3"/>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Char"/>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Heading6Char">
    <w:name w:val="Heading 6 Char"/>
    <w:link w:val="Heading6"/>
    <w:rsid w:val="0097193B"/>
    <w:rPr>
      <w:rFonts w:ascii="Helvetica" w:hAnsi="Helvetica" w:cs="Arial"/>
      <w:b/>
      <w:bCs/>
      <w:sz w:val="26"/>
      <w:szCs w:val="26"/>
    </w:rPr>
  </w:style>
  <w:style w:type="character" w:customStyle="1" w:styleId="Heading7Char">
    <w:name w:val="Heading 7 Char"/>
    <w:link w:val="Heading7"/>
    <w:rsid w:val="0097193B"/>
    <w:rPr>
      <w:rFonts w:ascii="Helvetica" w:hAnsi="Helvetica"/>
      <w:b/>
      <w:sz w:val="26"/>
    </w:rPr>
  </w:style>
  <w:style w:type="character" w:customStyle="1" w:styleId="Heading8Char">
    <w:name w:val="Heading 8 Char"/>
    <w:link w:val="Heading8"/>
    <w:rsid w:val="0097193B"/>
    <w:rPr>
      <w:rFonts w:ascii="Helvetica" w:hAnsi="Helvetica"/>
      <w:b/>
      <w:sz w:val="26"/>
      <w:szCs w:val="24"/>
    </w:rPr>
  </w:style>
  <w:style w:type="character" w:customStyle="1" w:styleId="Heading9Char">
    <w:name w:val="Heading 9 Char"/>
    <w:link w:val="Heading9"/>
    <w:rsid w:val="0097193B"/>
    <w:rPr>
      <w:rFonts w:ascii="Helvetica" w:hAnsi="Helvetica"/>
      <w:b/>
      <w:sz w:val="26"/>
      <w:szCs w:val="24"/>
    </w:rPr>
  </w:style>
  <w:style w:type="character" w:styleId="Hyperlink">
    <w:name w:val="Hyperlink"/>
    <w:uiPriority w:val="99"/>
    <w:rsid w:val="0097193B"/>
    <w:rPr>
      <w:color w:val="0000FF"/>
      <w:u w:val="single"/>
    </w:rPr>
  </w:style>
  <w:style w:type="paragraph" w:styleId="BodyText">
    <w:name w:val="Body Text"/>
    <w:basedOn w:val="Normal"/>
    <w:link w:val="BodyTextChar"/>
    <w:rsid w:val="0097193B"/>
    <w:pPr>
      <w:tabs>
        <w:tab w:val="left" w:pos="2160"/>
        <w:tab w:val="left" w:pos="3600"/>
      </w:tabs>
    </w:pPr>
    <w:rPr>
      <w:rFonts w:ascii="Times New Roman" w:hAnsi="Times New Roman"/>
      <w:sz w:val="24"/>
    </w:rPr>
  </w:style>
  <w:style w:type="character" w:customStyle="1" w:styleId="BodyTextChar">
    <w:name w:val="Body Text Char"/>
    <w:link w:val="BodyText"/>
    <w:rsid w:val="0097193B"/>
    <w:rPr>
      <w:sz w:val="24"/>
    </w:rPr>
  </w:style>
  <w:style w:type="character" w:styleId="FollowedHyperlink">
    <w:name w:val="FollowedHyperlink"/>
    <w:rsid w:val="0097193B"/>
    <w:rPr>
      <w:color w:val="800080"/>
      <w:u w:val="single"/>
    </w:rPr>
  </w:style>
  <w:style w:type="paragraph" w:styleId="BlockText">
    <w:name w:val="Block Text"/>
    <w:basedOn w:val="Normal"/>
    <w:rsid w:val="0097193B"/>
    <w:pPr>
      <w:ind w:left="720" w:right="720"/>
    </w:pPr>
    <w:rPr>
      <w:rFonts w:ascii="Times" w:hAnsi="Times"/>
      <w:sz w:val="24"/>
    </w:rPr>
  </w:style>
  <w:style w:type="paragraph" w:styleId="NormalIndent">
    <w:name w:val="Normal Indent"/>
    <w:basedOn w:val="Normal"/>
    <w:rsid w:val="0097193B"/>
    <w:pPr>
      <w:spacing w:line="480" w:lineRule="auto"/>
      <w:ind w:firstLine="720"/>
    </w:pPr>
    <w:rPr>
      <w:rFonts w:ascii="Times" w:hAnsi="Times"/>
      <w:sz w:val="24"/>
    </w:rPr>
  </w:style>
  <w:style w:type="paragraph" w:styleId="BodyText3">
    <w:name w:val="Body Text 3"/>
    <w:basedOn w:val="Normal"/>
    <w:link w:val="BodyText3Char"/>
    <w:rsid w:val="0097193B"/>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link w:val="BodyText3"/>
    <w:rsid w:val="0097193B"/>
    <w:rPr>
      <w:sz w:val="24"/>
      <w:u w:val="single"/>
    </w:rPr>
  </w:style>
  <w:style w:type="paragraph" w:styleId="BodyText2">
    <w:name w:val="Body Text 2"/>
    <w:basedOn w:val="Normal"/>
    <w:link w:val="BodyText2Char"/>
    <w:rsid w:val="0097193B"/>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link w:val="BodyText2"/>
    <w:rsid w:val="0097193B"/>
    <w:rPr>
      <w:rFonts w:ascii="Times" w:hAnsi="Times"/>
      <w:sz w:val="24"/>
    </w:rPr>
  </w:style>
  <w:style w:type="paragraph" w:customStyle="1" w:styleId="Quotation">
    <w:name w:val="Quotation"/>
    <w:basedOn w:val="BodyText"/>
    <w:next w:val="BodyText"/>
    <w:rsid w:val="0097193B"/>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97193B"/>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97193B"/>
    <w:rPr>
      <w:sz w:val="24"/>
      <w:szCs w:val="24"/>
    </w:rPr>
  </w:style>
  <w:style w:type="paragraph" w:styleId="PlainText">
    <w:name w:val="Plain Text"/>
    <w:basedOn w:val="Normal"/>
    <w:link w:val="PlainTextChar"/>
    <w:rsid w:val="0097193B"/>
    <w:pPr>
      <w:spacing w:line="250" w:lineRule="exact"/>
    </w:pPr>
    <w:rPr>
      <w:rFonts w:ascii="Courier New" w:hAnsi="Courier New" w:cs="Courier New"/>
      <w:spacing w:val="-4"/>
      <w:sz w:val="24"/>
    </w:rPr>
  </w:style>
  <w:style w:type="character" w:customStyle="1" w:styleId="PlainTextChar">
    <w:name w:val="Plain Text Char"/>
    <w:link w:val="PlainText"/>
    <w:rsid w:val="0097193B"/>
    <w:rPr>
      <w:rFonts w:ascii="Courier New" w:hAnsi="Courier New" w:cs="Courier New"/>
      <w:spacing w:val="-4"/>
      <w:sz w:val="24"/>
    </w:rPr>
  </w:style>
  <w:style w:type="paragraph" w:styleId="BodyTextIndent3">
    <w:name w:val="Body Text Indent 3"/>
    <w:basedOn w:val="Normal"/>
    <w:link w:val="BodyTextIndent3Char"/>
    <w:rsid w:val="0097193B"/>
    <w:pPr>
      <w:ind w:left="720"/>
    </w:pPr>
    <w:rPr>
      <w:rFonts w:ascii="Times New Roman" w:hAnsi="Times New Roman"/>
      <w:snapToGrid w:val="0"/>
      <w:sz w:val="24"/>
    </w:rPr>
  </w:style>
  <w:style w:type="character" w:customStyle="1" w:styleId="BodyTextIndent3Char">
    <w:name w:val="Body Text Indent 3 Char"/>
    <w:link w:val="BodyTextIndent3"/>
    <w:rsid w:val="0097193B"/>
    <w:rPr>
      <w:snapToGrid w:val="0"/>
      <w:sz w:val="24"/>
    </w:rPr>
  </w:style>
  <w:style w:type="paragraph" w:customStyle="1" w:styleId="xl24">
    <w:name w:val="xl24"/>
    <w:basedOn w:val="Normal"/>
    <w:rsid w:val="0097193B"/>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97193B"/>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97193B"/>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97193B"/>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97193B"/>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97193B"/>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97193B"/>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97193B"/>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97193B"/>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719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719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7193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97193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9719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9719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9719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7193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97193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97193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97193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97193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9719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9719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97193B"/>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D57A3"/>
    <w:pPr>
      <w:tabs>
        <w:tab w:val="left" w:pos="1080"/>
        <w:tab w:val="right" w:leader="dot" w:pos="9350"/>
      </w:tabs>
      <w:ind w:left="540"/>
    </w:pPr>
    <w:rPr>
      <w:noProof/>
      <w:szCs w:val="26"/>
    </w:rPr>
  </w:style>
  <w:style w:type="paragraph" w:styleId="TOC2">
    <w:name w:val="toc 2"/>
    <w:basedOn w:val="Normal"/>
    <w:next w:val="Normal"/>
    <w:autoRedefine/>
    <w:uiPriority w:val="39"/>
    <w:rsid w:val="00585922"/>
    <w:pPr>
      <w:tabs>
        <w:tab w:val="right" w:leader="dot" w:pos="9350"/>
      </w:tabs>
      <w:ind w:left="990" w:hanging="360"/>
    </w:pPr>
    <w:rPr>
      <w:noProof/>
      <w:szCs w:val="26"/>
    </w:rPr>
  </w:style>
  <w:style w:type="paragraph" w:styleId="TOC3">
    <w:name w:val="toc 3"/>
    <w:basedOn w:val="Normal"/>
    <w:next w:val="Normal"/>
    <w:autoRedefine/>
    <w:uiPriority w:val="39"/>
    <w:rsid w:val="00F81061"/>
    <w:pPr>
      <w:tabs>
        <w:tab w:val="right" w:leader="dot" w:pos="9350"/>
      </w:tabs>
      <w:ind w:left="1530" w:hanging="540"/>
    </w:pPr>
    <w:rPr>
      <w:noProof/>
      <w:szCs w:val="24"/>
    </w:rPr>
  </w:style>
  <w:style w:type="paragraph" w:styleId="TOC5">
    <w:name w:val="toc 5"/>
    <w:basedOn w:val="Normal"/>
    <w:next w:val="Normal"/>
    <w:autoRedefine/>
    <w:semiHidden/>
    <w:rsid w:val="0097193B"/>
    <w:pPr>
      <w:tabs>
        <w:tab w:val="left" w:pos="3060"/>
        <w:tab w:val="right" w:leader="dot" w:pos="9270"/>
      </w:tabs>
      <w:ind w:left="3060" w:hanging="990"/>
    </w:pPr>
    <w:rPr>
      <w:noProof/>
      <w:szCs w:val="24"/>
    </w:rPr>
  </w:style>
  <w:style w:type="paragraph" w:styleId="TOC6">
    <w:name w:val="toc 6"/>
    <w:basedOn w:val="Normal"/>
    <w:next w:val="Normal"/>
    <w:autoRedefine/>
    <w:semiHidden/>
    <w:rsid w:val="0097193B"/>
    <w:pPr>
      <w:tabs>
        <w:tab w:val="left" w:pos="3690"/>
        <w:tab w:val="right" w:leader="dot" w:pos="9350"/>
      </w:tabs>
      <w:ind w:left="3690" w:hanging="1170"/>
    </w:pPr>
    <w:rPr>
      <w:noProof/>
      <w:szCs w:val="26"/>
    </w:rPr>
  </w:style>
  <w:style w:type="paragraph" w:styleId="TOC7">
    <w:name w:val="toc 7"/>
    <w:basedOn w:val="Normal"/>
    <w:next w:val="Normal"/>
    <w:autoRedefine/>
    <w:semiHidden/>
    <w:rsid w:val="0097193B"/>
    <w:pPr>
      <w:ind w:left="1560"/>
    </w:pPr>
  </w:style>
  <w:style w:type="paragraph" w:styleId="TOC8">
    <w:name w:val="toc 8"/>
    <w:basedOn w:val="Normal"/>
    <w:next w:val="Normal"/>
    <w:autoRedefine/>
    <w:semiHidden/>
    <w:rsid w:val="0097193B"/>
    <w:pPr>
      <w:ind w:left="1820"/>
    </w:pPr>
  </w:style>
  <w:style w:type="paragraph" w:styleId="TOC9">
    <w:name w:val="toc 9"/>
    <w:basedOn w:val="Normal"/>
    <w:next w:val="Normal"/>
    <w:autoRedefine/>
    <w:semiHidden/>
    <w:rsid w:val="0097193B"/>
    <w:pPr>
      <w:ind w:left="2080"/>
    </w:pPr>
  </w:style>
  <w:style w:type="paragraph" w:customStyle="1" w:styleId="sub5">
    <w:name w:val="sub5"/>
    <w:basedOn w:val="sub4"/>
    <w:rsid w:val="0097193B"/>
    <w:pPr>
      <w:spacing w:line="360" w:lineRule="auto"/>
      <w:ind w:firstLine="720"/>
    </w:pPr>
  </w:style>
  <w:style w:type="paragraph" w:customStyle="1" w:styleId="quote10">
    <w:name w:val="quote1"/>
    <w:basedOn w:val="Quote1"/>
    <w:rsid w:val="0097193B"/>
    <w:pPr>
      <w:ind w:right="1080"/>
    </w:pPr>
  </w:style>
  <w:style w:type="paragraph" w:customStyle="1" w:styleId="quote3">
    <w:name w:val="quote3"/>
    <w:basedOn w:val="Quote1"/>
    <w:rsid w:val="0097193B"/>
    <w:pPr>
      <w:ind w:right="1080"/>
    </w:pPr>
  </w:style>
  <w:style w:type="paragraph" w:customStyle="1" w:styleId="quote2">
    <w:name w:val="quote2"/>
    <w:basedOn w:val="quote3"/>
    <w:rsid w:val="0097193B"/>
  </w:style>
  <w:style w:type="paragraph" w:customStyle="1" w:styleId="bullets">
    <w:name w:val="bullets"/>
    <w:basedOn w:val="sub1"/>
    <w:rsid w:val="0097193B"/>
    <w:pPr>
      <w:numPr>
        <w:numId w:val="4"/>
      </w:numPr>
      <w:spacing w:after="120" w:line="240" w:lineRule="auto"/>
      <w:ind w:right="720"/>
    </w:pPr>
  </w:style>
  <w:style w:type="paragraph" w:customStyle="1" w:styleId="sub6">
    <w:name w:val="sub6"/>
    <w:basedOn w:val="sub4"/>
    <w:rsid w:val="0097193B"/>
    <w:pPr>
      <w:spacing w:line="360" w:lineRule="auto"/>
      <w:ind w:firstLine="720"/>
    </w:pPr>
  </w:style>
  <w:style w:type="paragraph" w:customStyle="1" w:styleId="sub7">
    <w:name w:val="sub7"/>
    <w:basedOn w:val="sub4"/>
    <w:rsid w:val="0097193B"/>
    <w:pPr>
      <w:spacing w:line="360" w:lineRule="auto"/>
      <w:ind w:firstLine="720"/>
    </w:pPr>
  </w:style>
  <w:style w:type="paragraph" w:customStyle="1" w:styleId="sub8">
    <w:name w:val="sub8"/>
    <w:basedOn w:val="sub7"/>
    <w:rsid w:val="0097193B"/>
    <w:pPr>
      <w:ind w:firstLine="3787"/>
    </w:pPr>
  </w:style>
  <w:style w:type="paragraph" w:customStyle="1" w:styleId="Style1">
    <w:name w:val="Style1"/>
    <w:basedOn w:val="Heading7"/>
    <w:next w:val="sub6"/>
    <w:rsid w:val="0097193B"/>
  </w:style>
  <w:style w:type="paragraph" w:customStyle="1" w:styleId="StyleHeading1Before0ptAfter0ptLinespacing15l">
    <w:name w:val="Style Heading 1 + Before:  0 pt After:  0 pt Line spacing:  1.5 l..."/>
    <w:basedOn w:val="Heading1"/>
    <w:autoRedefine/>
    <w:rsid w:val="0097193B"/>
    <w:pPr>
      <w:numPr>
        <w:numId w:val="9"/>
      </w:numPr>
      <w:spacing w:after="0" w:line="360" w:lineRule="auto"/>
    </w:pPr>
    <w:rPr>
      <w:bCs/>
      <w:szCs w:val="26"/>
    </w:rPr>
  </w:style>
  <w:style w:type="paragraph" w:customStyle="1" w:styleId="a1">
    <w:name w:val="a.1"/>
    <w:basedOn w:val="BodyTextIndent"/>
    <w:rsid w:val="0097193B"/>
    <w:pPr>
      <w:numPr>
        <w:ilvl w:val="1"/>
        <w:numId w:val="5"/>
      </w:numPr>
      <w:ind w:right="1080"/>
    </w:pPr>
  </w:style>
  <w:style w:type="paragraph" w:customStyle="1" w:styleId="a2">
    <w:name w:val="a2"/>
    <w:basedOn w:val="BodyTextIndent"/>
    <w:rsid w:val="0097193B"/>
    <w:pPr>
      <w:ind w:left="1166" w:right="1080" w:hanging="446"/>
    </w:pPr>
  </w:style>
  <w:style w:type="paragraph" w:customStyle="1" w:styleId="StyleHeading6Left05Hanging106">
    <w:name w:val="Style Heading 6 + Left:  0.5&quot; Hanging:  1.06&quot;"/>
    <w:basedOn w:val="Heading6"/>
    <w:rsid w:val="0097193B"/>
    <w:pPr>
      <w:numPr>
        <w:ilvl w:val="5"/>
        <w:numId w:val="7"/>
      </w:numPr>
    </w:pPr>
    <w:rPr>
      <w:rFonts w:cs="Times New Roman"/>
      <w:bCs w:val="0"/>
      <w:szCs w:val="20"/>
    </w:rPr>
  </w:style>
  <w:style w:type="character" w:styleId="Emphasis">
    <w:name w:val="Emphasis"/>
    <w:qFormat/>
    <w:rsid w:val="0097193B"/>
    <w:rPr>
      <w:i/>
      <w:iCs/>
    </w:rPr>
  </w:style>
  <w:style w:type="character" w:customStyle="1" w:styleId="FooterChar">
    <w:name w:val="Footer Char"/>
    <w:link w:val="Footer"/>
    <w:uiPriority w:val="99"/>
    <w:rsid w:val="0097193B"/>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97193B"/>
    <w:rPr>
      <w:rFonts w:ascii="Palatino" w:hAnsi="Palatino"/>
      <w:sz w:val="24"/>
    </w:rPr>
  </w:style>
  <w:style w:type="paragraph" w:styleId="ListParagraph">
    <w:name w:val="List Paragraph"/>
    <w:basedOn w:val="Normal"/>
    <w:qFormat/>
    <w:rsid w:val="0097193B"/>
    <w:pPr>
      <w:ind w:left="720"/>
      <w:contextualSpacing/>
    </w:pPr>
  </w:style>
  <w:style w:type="paragraph" w:customStyle="1" w:styleId="Body">
    <w:name w:val="Body"/>
    <w:rsid w:val="0097193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rPr>
  </w:style>
  <w:style w:type="paragraph" w:styleId="CommentText">
    <w:name w:val="annotation text"/>
    <w:basedOn w:val="Normal"/>
    <w:link w:val="CommentTextChar"/>
    <w:rsid w:val="0097193B"/>
    <w:rPr>
      <w:rFonts w:ascii="Times New Roman" w:hAnsi="Times New Roman"/>
      <w:sz w:val="20"/>
    </w:rPr>
  </w:style>
  <w:style w:type="character" w:customStyle="1" w:styleId="CommentTextChar">
    <w:name w:val="Comment Text Char"/>
    <w:basedOn w:val="DefaultParagraphFont"/>
    <w:link w:val="CommentText"/>
    <w:rsid w:val="0097193B"/>
  </w:style>
  <w:style w:type="character" w:customStyle="1" w:styleId="Heading4Char">
    <w:name w:val="Heading 4 Char"/>
    <w:link w:val="Heading4"/>
    <w:rsid w:val="0097193B"/>
    <w:rPr>
      <w:rFonts w:ascii="Helvetica" w:hAnsi="Helvetica"/>
      <w:b/>
      <w:i/>
      <w:sz w:val="26"/>
    </w:rPr>
  </w:style>
  <w:style w:type="character" w:customStyle="1" w:styleId="num1CharChar">
    <w:name w:val="num1 Char Char"/>
    <w:link w:val="num1"/>
    <w:locked/>
    <w:rsid w:val="0097193B"/>
    <w:rPr>
      <w:rFonts w:ascii="Palatino" w:hAnsi="Palatino"/>
      <w:sz w:val="26"/>
    </w:rPr>
  </w:style>
  <w:style w:type="numbering" w:customStyle="1" w:styleId="List0">
    <w:name w:val="List 0"/>
    <w:basedOn w:val="NoList"/>
    <w:rsid w:val="0097193B"/>
    <w:pPr>
      <w:numPr>
        <w:numId w:val="24"/>
      </w:numPr>
    </w:pPr>
  </w:style>
  <w:style w:type="paragraph" w:styleId="BalloonText">
    <w:name w:val="Balloon Text"/>
    <w:basedOn w:val="Normal"/>
    <w:link w:val="BalloonTextChar"/>
    <w:rsid w:val="0097193B"/>
    <w:rPr>
      <w:rFonts w:ascii="Segoe UI" w:hAnsi="Segoe UI" w:cs="Segoe UI"/>
      <w:sz w:val="18"/>
      <w:szCs w:val="18"/>
    </w:rPr>
  </w:style>
  <w:style w:type="character" w:customStyle="1" w:styleId="BalloonTextChar">
    <w:name w:val="Balloon Text Char"/>
    <w:link w:val="BalloonText"/>
    <w:rsid w:val="0097193B"/>
    <w:rPr>
      <w:rFonts w:ascii="Segoe UI" w:hAnsi="Segoe UI" w:cs="Segoe UI"/>
      <w:sz w:val="18"/>
      <w:szCs w:val="18"/>
    </w:rPr>
  </w:style>
  <w:style w:type="character" w:styleId="CommentReference">
    <w:name w:val="annotation reference"/>
    <w:semiHidden/>
    <w:unhideWhenUsed/>
    <w:rsid w:val="0097193B"/>
    <w:rPr>
      <w:sz w:val="16"/>
      <w:szCs w:val="16"/>
    </w:rPr>
  </w:style>
  <w:style w:type="paragraph" w:styleId="CommentSubject">
    <w:name w:val="annotation subject"/>
    <w:basedOn w:val="CommentText"/>
    <w:next w:val="CommentText"/>
    <w:link w:val="CommentSubjectChar"/>
    <w:semiHidden/>
    <w:unhideWhenUsed/>
    <w:rsid w:val="0097193B"/>
    <w:rPr>
      <w:rFonts w:ascii="Palatino" w:hAnsi="Palatino"/>
      <w:b/>
      <w:bCs/>
    </w:rPr>
  </w:style>
  <w:style w:type="character" w:customStyle="1" w:styleId="CommentSubjectChar">
    <w:name w:val="Comment Subject Char"/>
    <w:link w:val="CommentSubject"/>
    <w:semiHidden/>
    <w:rsid w:val="0097193B"/>
    <w:rPr>
      <w:rFonts w:ascii="Palatino" w:hAnsi="Palatino"/>
      <w:b/>
      <w:bCs/>
    </w:rPr>
  </w:style>
  <w:style w:type="paragraph" w:styleId="Revision">
    <w:name w:val="Revision"/>
    <w:hidden/>
    <w:uiPriority w:val="99"/>
    <w:semiHidden/>
    <w:rsid w:val="0097193B"/>
    <w:rPr>
      <w:rFonts w:ascii="Palatino" w:hAnsi="Palatino"/>
      <w:sz w:val="26"/>
    </w:rPr>
  </w:style>
  <w:style w:type="character" w:customStyle="1" w:styleId="UnresolvedMention1">
    <w:name w:val="Unresolved Mention1"/>
    <w:uiPriority w:val="99"/>
    <w:semiHidden/>
    <w:unhideWhenUsed/>
    <w:rsid w:val="0097193B"/>
    <w:rPr>
      <w:color w:val="605E5C"/>
      <w:shd w:val="clear" w:color="auto" w:fill="E1DFDD"/>
    </w:rPr>
  </w:style>
  <w:style w:type="character" w:customStyle="1" w:styleId="UnresolvedMention2">
    <w:name w:val="Unresolved Mention2"/>
    <w:uiPriority w:val="99"/>
    <w:semiHidden/>
    <w:unhideWhenUsed/>
    <w:rsid w:val="0069239C"/>
    <w:rPr>
      <w:color w:val="605E5C"/>
      <w:shd w:val="clear" w:color="auto" w:fill="E1DFDD"/>
    </w:rPr>
  </w:style>
  <w:style w:type="paragraph" w:customStyle="1" w:styleId="xmsonormal">
    <w:name w:val="x_msonormal"/>
    <w:basedOn w:val="Normal"/>
    <w:rsid w:val="008B5C4B"/>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B94B9A"/>
    <w:pPr>
      <w:spacing w:after="120"/>
      <w:ind w:left="360" w:hanging="360"/>
      <w:outlineLvl w:val="0"/>
    </w:pPr>
    <w:rPr>
      <w:rFonts w:ascii="Helvetica" w:hAnsi="Helvetica"/>
      <w:b/>
      <w:kern w:val="28"/>
    </w:rPr>
  </w:style>
  <w:style w:type="paragraph" w:styleId="Heading2">
    <w:name w:val="heading 2"/>
    <w:basedOn w:val="Normal"/>
    <w:next w:val="sub1"/>
    <w:qFormat/>
    <w:rsid w:val="00C01F23"/>
    <w:pPr>
      <w:spacing w:after="120"/>
      <w:ind w:left="1260" w:hanging="540"/>
      <w:outlineLvl w:val="1"/>
    </w:pPr>
    <w:rPr>
      <w:rFonts w:ascii="Helvetica" w:hAnsi="Helvetica"/>
      <w:b/>
    </w:rPr>
  </w:style>
  <w:style w:type="paragraph" w:styleId="Heading3">
    <w:name w:val="heading 3"/>
    <w:basedOn w:val="Normal"/>
    <w:next w:val="sub2"/>
    <w:qFormat/>
    <w:rsid w:val="00B412F3"/>
    <w:pPr>
      <w:spacing w:after="120"/>
      <w:ind w:left="2160" w:right="1440" w:hanging="72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standard"/>
    <w:link w:val="Heading6Char"/>
    <w:qFormat/>
    <w:rsid w:val="0097193B"/>
    <w:p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rsid w:val="0097193B"/>
    <w:p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qFormat/>
    <w:rsid w:val="0097193B"/>
    <w:pPr>
      <w:outlineLvl w:val="7"/>
    </w:pPr>
  </w:style>
  <w:style w:type="paragraph" w:styleId="Heading9">
    <w:name w:val="heading 9"/>
    <w:basedOn w:val="Normal"/>
    <w:next w:val="standard"/>
    <w:link w:val="Heading9Char"/>
    <w:autoRedefine/>
    <w:qFormat/>
    <w:rsid w:val="0097193B"/>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qFormat/>
    <w:pPr>
      <w:spacing w:after="240"/>
    </w:pPr>
    <w:rPr>
      <w:sz w:val="24"/>
    </w:rPr>
  </w:style>
  <w:style w:type="character" w:styleId="FootnoteReference">
    <w:name w:val="footnote reference"/>
    <w:aliases w:val="o,fr,o1,o2,o3,o4,o5,o6,o11,o21,o7,o + Times New Roman,Style 3,Style 12,(NECG) Footnote Reference,Appel note de bas de p,Style 124,Style 17,Style 20,Style 13,fr1,fr2,fr3"/>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Char"/>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Heading6Char">
    <w:name w:val="Heading 6 Char"/>
    <w:link w:val="Heading6"/>
    <w:rsid w:val="0097193B"/>
    <w:rPr>
      <w:rFonts w:ascii="Helvetica" w:hAnsi="Helvetica" w:cs="Arial"/>
      <w:b/>
      <w:bCs/>
      <w:sz w:val="26"/>
      <w:szCs w:val="26"/>
    </w:rPr>
  </w:style>
  <w:style w:type="character" w:customStyle="1" w:styleId="Heading7Char">
    <w:name w:val="Heading 7 Char"/>
    <w:link w:val="Heading7"/>
    <w:rsid w:val="0097193B"/>
    <w:rPr>
      <w:rFonts w:ascii="Helvetica" w:hAnsi="Helvetica"/>
      <w:b/>
      <w:sz w:val="26"/>
    </w:rPr>
  </w:style>
  <w:style w:type="character" w:customStyle="1" w:styleId="Heading8Char">
    <w:name w:val="Heading 8 Char"/>
    <w:link w:val="Heading8"/>
    <w:rsid w:val="0097193B"/>
    <w:rPr>
      <w:rFonts w:ascii="Helvetica" w:hAnsi="Helvetica"/>
      <w:b/>
      <w:sz w:val="26"/>
      <w:szCs w:val="24"/>
    </w:rPr>
  </w:style>
  <w:style w:type="character" w:customStyle="1" w:styleId="Heading9Char">
    <w:name w:val="Heading 9 Char"/>
    <w:link w:val="Heading9"/>
    <w:rsid w:val="0097193B"/>
    <w:rPr>
      <w:rFonts w:ascii="Helvetica" w:hAnsi="Helvetica"/>
      <w:b/>
      <w:sz w:val="26"/>
      <w:szCs w:val="24"/>
    </w:rPr>
  </w:style>
  <w:style w:type="character" w:styleId="Hyperlink">
    <w:name w:val="Hyperlink"/>
    <w:uiPriority w:val="99"/>
    <w:rsid w:val="0097193B"/>
    <w:rPr>
      <w:color w:val="0000FF"/>
      <w:u w:val="single"/>
    </w:rPr>
  </w:style>
  <w:style w:type="paragraph" w:styleId="BodyText">
    <w:name w:val="Body Text"/>
    <w:basedOn w:val="Normal"/>
    <w:link w:val="BodyTextChar"/>
    <w:rsid w:val="0097193B"/>
    <w:pPr>
      <w:tabs>
        <w:tab w:val="left" w:pos="2160"/>
        <w:tab w:val="left" w:pos="3600"/>
      </w:tabs>
    </w:pPr>
    <w:rPr>
      <w:rFonts w:ascii="Times New Roman" w:hAnsi="Times New Roman"/>
      <w:sz w:val="24"/>
    </w:rPr>
  </w:style>
  <w:style w:type="character" w:customStyle="1" w:styleId="BodyTextChar">
    <w:name w:val="Body Text Char"/>
    <w:link w:val="BodyText"/>
    <w:rsid w:val="0097193B"/>
    <w:rPr>
      <w:sz w:val="24"/>
    </w:rPr>
  </w:style>
  <w:style w:type="character" w:styleId="FollowedHyperlink">
    <w:name w:val="FollowedHyperlink"/>
    <w:rsid w:val="0097193B"/>
    <w:rPr>
      <w:color w:val="800080"/>
      <w:u w:val="single"/>
    </w:rPr>
  </w:style>
  <w:style w:type="paragraph" w:styleId="BlockText">
    <w:name w:val="Block Text"/>
    <w:basedOn w:val="Normal"/>
    <w:rsid w:val="0097193B"/>
    <w:pPr>
      <w:ind w:left="720" w:right="720"/>
    </w:pPr>
    <w:rPr>
      <w:rFonts w:ascii="Times" w:hAnsi="Times"/>
      <w:sz w:val="24"/>
    </w:rPr>
  </w:style>
  <w:style w:type="paragraph" w:styleId="NormalIndent">
    <w:name w:val="Normal Indent"/>
    <w:basedOn w:val="Normal"/>
    <w:rsid w:val="0097193B"/>
    <w:pPr>
      <w:spacing w:line="480" w:lineRule="auto"/>
      <w:ind w:firstLine="720"/>
    </w:pPr>
    <w:rPr>
      <w:rFonts w:ascii="Times" w:hAnsi="Times"/>
      <w:sz w:val="24"/>
    </w:rPr>
  </w:style>
  <w:style w:type="paragraph" w:styleId="BodyText3">
    <w:name w:val="Body Text 3"/>
    <w:basedOn w:val="Normal"/>
    <w:link w:val="BodyText3Char"/>
    <w:rsid w:val="0097193B"/>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link w:val="BodyText3"/>
    <w:rsid w:val="0097193B"/>
    <w:rPr>
      <w:sz w:val="24"/>
      <w:u w:val="single"/>
    </w:rPr>
  </w:style>
  <w:style w:type="paragraph" w:styleId="BodyText2">
    <w:name w:val="Body Text 2"/>
    <w:basedOn w:val="Normal"/>
    <w:link w:val="BodyText2Char"/>
    <w:rsid w:val="0097193B"/>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link w:val="BodyText2"/>
    <w:rsid w:val="0097193B"/>
    <w:rPr>
      <w:rFonts w:ascii="Times" w:hAnsi="Times"/>
      <w:sz w:val="24"/>
    </w:rPr>
  </w:style>
  <w:style w:type="paragraph" w:customStyle="1" w:styleId="Quotation">
    <w:name w:val="Quotation"/>
    <w:basedOn w:val="BodyText"/>
    <w:next w:val="BodyText"/>
    <w:rsid w:val="0097193B"/>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97193B"/>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97193B"/>
    <w:rPr>
      <w:sz w:val="24"/>
      <w:szCs w:val="24"/>
    </w:rPr>
  </w:style>
  <w:style w:type="paragraph" w:styleId="PlainText">
    <w:name w:val="Plain Text"/>
    <w:basedOn w:val="Normal"/>
    <w:link w:val="PlainTextChar"/>
    <w:rsid w:val="0097193B"/>
    <w:pPr>
      <w:spacing w:line="250" w:lineRule="exact"/>
    </w:pPr>
    <w:rPr>
      <w:rFonts w:ascii="Courier New" w:hAnsi="Courier New" w:cs="Courier New"/>
      <w:spacing w:val="-4"/>
      <w:sz w:val="24"/>
    </w:rPr>
  </w:style>
  <w:style w:type="character" w:customStyle="1" w:styleId="PlainTextChar">
    <w:name w:val="Plain Text Char"/>
    <w:link w:val="PlainText"/>
    <w:rsid w:val="0097193B"/>
    <w:rPr>
      <w:rFonts w:ascii="Courier New" w:hAnsi="Courier New" w:cs="Courier New"/>
      <w:spacing w:val="-4"/>
      <w:sz w:val="24"/>
    </w:rPr>
  </w:style>
  <w:style w:type="paragraph" w:styleId="BodyTextIndent3">
    <w:name w:val="Body Text Indent 3"/>
    <w:basedOn w:val="Normal"/>
    <w:link w:val="BodyTextIndent3Char"/>
    <w:rsid w:val="0097193B"/>
    <w:pPr>
      <w:ind w:left="720"/>
    </w:pPr>
    <w:rPr>
      <w:rFonts w:ascii="Times New Roman" w:hAnsi="Times New Roman"/>
      <w:snapToGrid w:val="0"/>
      <w:sz w:val="24"/>
    </w:rPr>
  </w:style>
  <w:style w:type="character" w:customStyle="1" w:styleId="BodyTextIndent3Char">
    <w:name w:val="Body Text Indent 3 Char"/>
    <w:link w:val="BodyTextIndent3"/>
    <w:rsid w:val="0097193B"/>
    <w:rPr>
      <w:snapToGrid w:val="0"/>
      <w:sz w:val="24"/>
    </w:rPr>
  </w:style>
  <w:style w:type="paragraph" w:customStyle="1" w:styleId="xl24">
    <w:name w:val="xl24"/>
    <w:basedOn w:val="Normal"/>
    <w:rsid w:val="0097193B"/>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97193B"/>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97193B"/>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97193B"/>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97193B"/>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97193B"/>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97193B"/>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97193B"/>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97193B"/>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71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719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719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7193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97193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9719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9719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9719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7193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97193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97193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97193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97193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9719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9719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97193B"/>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D57A3"/>
    <w:pPr>
      <w:tabs>
        <w:tab w:val="left" w:pos="1080"/>
        <w:tab w:val="right" w:leader="dot" w:pos="9350"/>
      </w:tabs>
      <w:ind w:left="540"/>
    </w:pPr>
    <w:rPr>
      <w:noProof/>
      <w:szCs w:val="26"/>
    </w:rPr>
  </w:style>
  <w:style w:type="paragraph" w:styleId="TOC2">
    <w:name w:val="toc 2"/>
    <w:basedOn w:val="Normal"/>
    <w:next w:val="Normal"/>
    <w:autoRedefine/>
    <w:uiPriority w:val="39"/>
    <w:rsid w:val="00585922"/>
    <w:pPr>
      <w:tabs>
        <w:tab w:val="right" w:leader="dot" w:pos="9350"/>
      </w:tabs>
      <w:ind w:left="990" w:hanging="360"/>
    </w:pPr>
    <w:rPr>
      <w:noProof/>
      <w:szCs w:val="26"/>
    </w:rPr>
  </w:style>
  <w:style w:type="paragraph" w:styleId="TOC3">
    <w:name w:val="toc 3"/>
    <w:basedOn w:val="Normal"/>
    <w:next w:val="Normal"/>
    <w:autoRedefine/>
    <w:uiPriority w:val="39"/>
    <w:rsid w:val="00F81061"/>
    <w:pPr>
      <w:tabs>
        <w:tab w:val="right" w:leader="dot" w:pos="9350"/>
      </w:tabs>
      <w:ind w:left="1530" w:hanging="540"/>
    </w:pPr>
    <w:rPr>
      <w:noProof/>
      <w:szCs w:val="24"/>
    </w:rPr>
  </w:style>
  <w:style w:type="paragraph" w:styleId="TOC5">
    <w:name w:val="toc 5"/>
    <w:basedOn w:val="Normal"/>
    <w:next w:val="Normal"/>
    <w:autoRedefine/>
    <w:semiHidden/>
    <w:rsid w:val="0097193B"/>
    <w:pPr>
      <w:tabs>
        <w:tab w:val="left" w:pos="3060"/>
        <w:tab w:val="right" w:leader="dot" w:pos="9270"/>
      </w:tabs>
      <w:ind w:left="3060" w:hanging="990"/>
    </w:pPr>
    <w:rPr>
      <w:noProof/>
      <w:szCs w:val="24"/>
    </w:rPr>
  </w:style>
  <w:style w:type="paragraph" w:styleId="TOC6">
    <w:name w:val="toc 6"/>
    <w:basedOn w:val="Normal"/>
    <w:next w:val="Normal"/>
    <w:autoRedefine/>
    <w:semiHidden/>
    <w:rsid w:val="0097193B"/>
    <w:pPr>
      <w:tabs>
        <w:tab w:val="left" w:pos="3690"/>
        <w:tab w:val="right" w:leader="dot" w:pos="9350"/>
      </w:tabs>
      <w:ind w:left="3690" w:hanging="1170"/>
    </w:pPr>
    <w:rPr>
      <w:noProof/>
      <w:szCs w:val="26"/>
    </w:rPr>
  </w:style>
  <w:style w:type="paragraph" w:styleId="TOC7">
    <w:name w:val="toc 7"/>
    <w:basedOn w:val="Normal"/>
    <w:next w:val="Normal"/>
    <w:autoRedefine/>
    <w:semiHidden/>
    <w:rsid w:val="0097193B"/>
    <w:pPr>
      <w:ind w:left="1560"/>
    </w:pPr>
  </w:style>
  <w:style w:type="paragraph" w:styleId="TOC8">
    <w:name w:val="toc 8"/>
    <w:basedOn w:val="Normal"/>
    <w:next w:val="Normal"/>
    <w:autoRedefine/>
    <w:semiHidden/>
    <w:rsid w:val="0097193B"/>
    <w:pPr>
      <w:ind w:left="1820"/>
    </w:pPr>
  </w:style>
  <w:style w:type="paragraph" w:styleId="TOC9">
    <w:name w:val="toc 9"/>
    <w:basedOn w:val="Normal"/>
    <w:next w:val="Normal"/>
    <w:autoRedefine/>
    <w:semiHidden/>
    <w:rsid w:val="0097193B"/>
    <w:pPr>
      <w:ind w:left="2080"/>
    </w:pPr>
  </w:style>
  <w:style w:type="paragraph" w:customStyle="1" w:styleId="sub5">
    <w:name w:val="sub5"/>
    <w:basedOn w:val="sub4"/>
    <w:rsid w:val="0097193B"/>
    <w:pPr>
      <w:spacing w:line="360" w:lineRule="auto"/>
      <w:ind w:firstLine="720"/>
    </w:pPr>
  </w:style>
  <w:style w:type="paragraph" w:customStyle="1" w:styleId="quote10">
    <w:name w:val="quote1"/>
    <w:basedOn w:val="Quote1"/>
    <w:rsid w:val="0097193B"/>
    <w:pPr>
      <w:ind w:right="1080"/>
    </w:pPr>
  </w:style>
  <w:style w:type="paragraph" w:customStyle="1" w:styleId="quote3">
    <w:name w:val="quote3"/>
    <w:basedOn w:val="Quote1"/>
    <w:rsid w:val="0097193B"/>
    <w:pPr>
      <w:ind w:right="1080"/>
    </w:pPr>
  </w:style>
  <w:style w:type="paragraph" w:customStyle="1" w:styleId="quote2">
    <w:name w:val="quote2"/>
    <w:basedOn w:val="quote3"/>
    <w:rsid w:val="0097193B"/>
  </w:style>
  <w:style w:type="paragraph" w:customStyle="1" w:styleId="bullets">
    <w:name w:val="bullets"/>
    <w:basedOn w:val="sub1"/>
    <w:rsid w:val="0097193B"/>
    <w:pPr>
      <w:numPr>
        <w:numId w:val="4"/>
      </w:numPr>
      <w:spacing w:after="120" w:line="240" w:lineRule="auto"/>
      <w:ind w:right="720"/>
    </w:pPr>
  </w:style>
  <w:style w:type="paragraph" w:customStyle="1" w:styleId="sub6">
    <w:name w:val="sub6"/>
    <w:basedOn w:val="sub4"/>
    <w:rsid w:val="0097193B"/>
    <w:pPr>
      <w:spacing w:line="360" w:lineRule="auto"/>
      <w:ind w:firstLine="720"/>
    </w:pPr>
  </w:style>
  <w:style w:type="paragraph" w:customStyle="1" w:styleId="sub7">
    <w:name w:val="sub7"/>
    <w:basedOn w:val="sub4"/>
    <w:rsid w:val="0097193B"/>
    <w:pPr>
      <w:spacing w:line="360" w:lineRule="auto"/>
      <w:ind w:firstLine="720"/>
    </w:pPr>
  </w:style>
  <w:style w:type="paragraph" w:customStyle="1" w:styleId="sub8">
    <w:name w:val="sub8"/>
    <w:basedOn w:val="sub7"/>
    <w:rsid w:val="0097193B"/>
    <w:pPr>
      <w:ind w:firstLine="3787"/>
    </w:pPr>
  </w:style>
  <w:style w:type="paragraph" w:customStyle="1" w:styleId="Style1">
    <w:name w:val="Style1"/>
    <w:basedOn w:val="Heading7"/>
    <w:next w:val="sub6"/>
    <w:rsid w:val="0097193B"/>
  </w:style>
  <w:style w:type="paragraph" w:customStyle="1" w:styleId="StyleHeading1Before0ptAfter0ptLinespacing15l">
    <w:name w:val="Style Heading 1 + Before:  0 pt After:  0 pt Line spacing:  1.5 l..."/>
    <w:basedOn w:val="Heading1"/>
    <w:autoRedefine/>
    <w:rsid w:val="0097193B"/>
    <w:pPr>
      <w:numPr>
        <w:numId w:val="9"/>
      </w:numPr>
      <w:spacing w:after="0" w:line="360" w:lineRule="auto"/>
    </w:pPr>
    <w:rPr>
      <w:bCs/>
      <w:szCs w:val="26"/>
    </w:rPr>
  </w:style>
  <w:style w:type="paragraph" w:customStyle="1" w:styleId="a1">
    <w:name w:val="a.1"/>
    <w:basedOn w:val="BodyTextIndent"/>
    <w:rsid w:val="0097193B"/>
    <w:pPr>
      <w:numPr>
        <w:ilvl w:val="1"/>
        <w:numId w:val="5"/>
      </w:numPr>
      <w:ind w:right="1080"/>
    </w:pPr>
  </w:style>
  <w:style w:type="paragraph" w:customStyle="1" w:styleId="a2">
    <w:name w:val="a2"/>
    <w:basedOn w:val="BodyTextIndent"/>
    <w:rsid w:val="0097193B"/>
    <w:pPr>
      <w:ind w:left="1166" w:right="1080" w:hanging="446"/>
    </w:pPr>
  </w:style>
  <w:style w:type="paragraph" w:customStyle="1" w:styleId="StyleHeading6Left05Hanging106">
    <w:name w:val="Style Heading 6 + Left:  0.5&quot; Hanging:  1.06&quot;"/>
    <w:basedOn w:val="Heading6"/>
    <w:rsid w:val="0097193B"/>
    <w:pPr>
      <w:numPr>
        <w:ilvl w:val="5"/>
        <w:numId w:val="7"/>
      </w:numPr>
    </w:pPr>
    <w:rPr>
      <w:rFonts w:cs="Times New Roman"/>
      <w:bCs w:val="0"/>
      <w:szCs w:val="20"/>
    </w:rPr>
  </w:style>
  <w:style w:type="character" w:styleId="Emphasis">
    <w:name w:val="Emphasis"/>
    <w:qFormat/>
    <w:rsid w:val="0097193B"/>
    <w:rPr>
      <w:i/>
      <w:iCs/>
    </w:rPr>
  </w:style>
  <w:style w:type="character" w:customStyle="1" w:styleId="FooterChar">
    <w:name w:val="Footer Char"/>
    <w:link w:val="Footer"/>
    <w:uiPriority w:val="99"/>
    <w:rsid w:val="0097193B"/>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97193B"/>
    <w:rPr>
      <w:rFonts w:ascii="Palatino" w:hAnsi="Palatino"/>
      <w:sz w:val="24"/>
    </w:rPr>
  </w:style>
  <w:style w:type="paragraph" w:styleId="ListParagraph">
    <w:name w:val="List Paragraph"/>
    <w:basedOn w:val="Normal"/>
    <w:qFormat/>
    <w:rsid w:val="0097193B"/>
    <w:pPr>
      <w:ind w:left="720"/>
      <w:contextualSpacing/>
    </w:pPr>
  </w:style>
  <w:style w:type="paragraph" w:customStyle="1" w:styleId="Body">
    <w:name w:val="Body"/>
    <w:rsid w:val="0097193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rPr>
  </w:style>
  <w:style w:type="paragraph" w:styleId="CommentText">
    <w:name w:val="annotation text"/>
    <w:basedOn w:val="Normal"/>
    <w:link w:val="CommentTextChar"/>
    <w:rsid w:val="0097193B"/>
    <w:rPr>
      <w:rFonts w:ascii="Times New Roman" w:hAnsi="Times New Roman"/>
      <w:sz w:val="20"/>
    </w:rPr>
  </w:style>
  <w:style w:type="character" w:customStyle="1" w:styleId="CommentTextChar">
    <w:name w:val="Comment Text Char"/>
    <w:basedOn w:val="DefaultParagraphFont"/>
    <w:link w:val="CommentText"/>
    <w:rsid w:val="0097193B"/>
  </w:style>
  <w:style w:type="character" w:customStyle="1" w:styleId="Heading4Char">
    <w:name w:val="Heading 4 Char"/>
    <w:link w:val="Heading4"/>
    <w:rsid w:val="0097193B"/>
    <w:rPr>
      <w:rFonts w:ascii="Helvetica" w:hAnsi="Helvetica"/>
      <w:b/>
      <w:i/>
      <w:sz w:val="26"/>
    </w:rPr>
  </w:style>
  <w:style w:type="character" w:customStyle="1" w:styleId="num1CharChar">
    <w:name w:val="num1 Char Char"/>
    <w:link w:val="num1"/>
    <w:locked/>
    <w:rsid w:val="0097193B"/>
    <w:rPr>
      <w:rFonts w:ascii="Palatino" w:hAnsi="Palatino"/>
      <w:sz w:val="26"/>
    </w:rPr>
  </w:style>
  <w:style w:type="numbering" w:customStyle="1" w:styleId="List0">
    <w:name w:val="List 0"/>
    <w:basedOn w:val="NoList"/>
    <w:rsid w:val="0097193B"/>
    <w:pPr>
      <w:numPr>
        <w:numId w:val="24"/>
      </w:numPr>
    </w:pPr>
  </w:style>
  <w:style w:type="paragraph" w:styleId="BalloonText">
    <w:name w:val="Balloon Text"/>
    <w:basedOn w:val="Normal"/>
    <w:link w:val="BalloonTextChar"/>
    <w:rsid w:val="0097193B"/>
    <w:rPr>
      <w:rFonts w:ascii="Segoe UI" w:hAnsi="Segoe UI" w:cs="Segoe UI"/>
      <w:sz w:val="18"/>
      <w:szCs w:val="18"/>
    </w:rPr>
  </w:style>
  <w:style w:type="character" w:customStyle="1" w:styleId="BalloonTextChar">
    <w:name w:val="Balloon Text Char"/>
    <w:link w:val="BalloonText"/>
    <w:rsid w:val="0097193B"/>
    <w:rPr>
      <w:rFonts w:ascii="Segoe UI" w:hAnsi="Segoe UI" w:cs="Segoe UI"/>
      <w:sz w:val="18"/>
      <w:szCs w:val="18"/>
    </w:rPr>
  </w:style>
  <w:style w:type="character" w:styleId="CommentReference">
    <w:name w:val="annotation reference"/>
    <w:semiHidden/>
    <w:unhideWhenUsed/>
    <w:rsid w:val="0097193B"/>
    <w:rPr>
      <w:sz w:val="16"/>
      <w:szCs w:val="16"/>
    </w:rPr>
  </w:style>
  <w:style w:type="paragraph" w:styleId="CommentSubject">
    <w:name w:val="annotation subject"/>
    <w:basedOn w:val="CommentText"/>
    <w:next w:val="CommentText"/>
    <w:link w:val="CommentSubjectChar"/>
    <w:semiHidden/>
    <w:unhideWhenUsed/>
    <w:rsid w:val="0097193B"/>
    <w:rPr>
      <w:rFonts w:ascii="Palatino" w:hAnsi="Palatino"/>
      <w:b/>
      <w:bCs/>
    </w:rPr>
  </w:style>
  <w:style w:type="character" w:customStyle="1" w:styleId="CommentSubjectChar">
    <w:name w:val="Comment Subject Char"/>
    <w:link w:val="CommentSubject"/>
    <w:semiHidden/>
    <w:rsid w:val="0097193B"/>
    <w:rPr>
      <w:rFonts w:ascii="Palatino" w:hAnsi="Palatino"/>
      <w:b/>
      <w:bCs/>
    </w:rPr>
  </w:style>
  <w:style w:type="paragraph" w:styleId="Revision">
    <w:name w:val="Revision"/>
    <w:hidden/>
    <w:uiPriority w:val="99"/>
    <w:semiHidden/>
    <w:rsid w:val="0097193B"/>
    <w:rPr>
      <w:rFonts w:ascii="Palatino" w:hAnsi="Palatino"/>
      <w:sz w:val="26"/>
    </w:rPr>
  </w:style>
  <w:style w:type="character" w:customStyle="1" w:styleId="UnresolvedMention1">
    <w:name w:val="Unresolved Mention1"/>
    <w:uiPriority w:val="99"/>
    <w:semiHidden/>
    <w:unhideWhenUsed/>
    <w:rsid w:val="0097193B"/>
    <w:rPr>
      <w:color w:val="605E5C"/>
      <w:shd w:val="clear" w:color="auto" w:fill="E1DFDD"/>
    </w:rPr>
  </w:style>
  <w:style w:type="character" w:customStyle="1" w:styleId="UnresolvedMention2">
    <w:name w:val="Unresolved Mention2"/>
    <w:uiPriority w:val="99"/>
    <w:semiHidden/>
    <w:unhideWhenUsed/>
    <w:rsid w:val="0069239C"/>
    <w:rPr>
      <w:color w:val="605E5C"/>
      <w:shd w:val="clear" w:color="auto" w:fill="E1DFDD"/>
    </w:rPr>
  </w:style>
  <w:style w:type="paragraph" w:customStyle="1" w:styleId="xmsonormal">
    <w:name w:val="x_msonormal"/>
    <w:basedOn w:val="Normal"/>
    <w:rsid w:val="008B5C4B"/>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8976">
      <w:bodyDiv w:val="1"/>
      <w:marLeft w:val="0"/>
      <w:marRight w:val="0"/>
      <w:marTop w:val="0"/>
      <w:marBottom w:val="0"/>
      <w:divBdr>
        <w:top w:val="none" w:sz="0" w:space="0" w:color="auto"/>
        <w:left w:val="none" w:sz="0" w:space="0" w:color="auto"/>
        <w:bottom w:val="none" w:sz="0" w:space="0" w:color="auto"/>
        <w:right w:val="none" w:sz="0" w:space="0" w:color="auto"/>
      </w:divBdr>
    </w:div>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005286760">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 w:id="18718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dhs.gov/publication/niac-framework-establishing-resilience-goals-final-report" TargetMode="External"/><Relationship Id="rId2" Type="http://schemas.openxmlformats.org/officeDocument/2006/relationships/hyperlink" Target="https://standards.ieee.org/standard/1402-2000.html" TargetMode="External"/><Relationship Id="rId1" Type="http://schemas.openxmlformats.org/officeDocument/2006/relationships/hyperlink" Target="http://leginfo.legislature.ca.gov/faces/billCompareClient.xhtml?bill_id=201520160SB697" TargetMode="External"/><Relationship Id="rId4" Type="http://schemas.openxmlformats.org/officeDocument/2006/relationships/hyperlink" Target="https://obamawhitehouse.archives.gov/the-press-office/2013/02/12/presidential-policy-directive-critical-infrastructure-security-and-res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Q17D2LU7\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1349-F835-47EA-A6ED-2C2C504D8819}">
  <ds:schemaRefs>
    <ds:schemaRef ds:uri="http://schemas.microsoft.com/sharepoint/v3/contenttype/forms"/>
  </ds:schemaRefs>
</ds:datastoreItem>
</file>

<file path=customXml/itemProps2.xml><?xml version="1.0" encoding="utf-8"?>
<ds:datastoreItem xmlns:ds="http://schemas.openxmlformats.org/officeDocument/2006/customXml" ds:itemID="{C0937E76-A7FC-4690-8160-2A145D282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8B7E3-277C-4EA9-B88C-13CC7350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3E87C-373C-444F-94C9-20875DAC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47</TotalTime>
  <Pages>4</Pages>
  <Words>13672</Words>
  <Characters>77931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91421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Swansen, Antonina</dc:creator>
  <cp:keywords/>
  <dc:description/>
  <cp:lastModifiedBy>ECMadmin</cp:lastModifiedBy>
  <cp:revision>13</cp:revision>
  <cp:lastPrinted>2019-01-19T02:16:00Z</cp:lastPrinted>
  <dcterms:created xsi:type="dcterms:W3CDTF">2019-01-19T01:12:00Z</dcterms:created>
  <dcterms:modified xsi:type="dcterms:W3CDTF">2019-01-19T02:16:00Z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0x010100393DC6CF16686B4BA2933CFE51EE0CE7</vt:lpwstr>
  </property>
</Properties>
</file>